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b/>
          <w:color w:val="auto"/>
          <w:sz w:val="72"/>
          <w:szCs w:val="72"/>
          <w:highlight w:val="none"/>
          <w:lang w:eastAsia="zh-CN"/>
        </w:rPr>
      </w:pPr>
      <w:r>
        <w:rPr>
          <w:rFonts w:hint="eastAsia"/>
          <w:b/>
          <w:color w:val="auto"/>
          <w:sz w:val="72"/>
          <w:szCs w:val="72"/>
          <w:highlight w:val="none"/>
          <w:lang w:eastAsia="zh-CN"/>
        </w:rPr>
        <w:t>浙江省水利规划重要专题</w:t>
      </w:r>
    </w:p>
    <w:p>
      <w:pPr>
        <w:jc w:val="center"/>
        <w:rPr>
          <w:rFonts w:hint="eastAsia" w:eastAsia="宋体"/>
          <w:b/>
          <w:color w:val="auto"/>
          <w:sz w:val="84"/>
          <w:szCs w:val="84"/>
          <w:highlight w:val="none"/>
          <w:lang w:eastAsia="zh-CN"/>
        </w:rPr>
      </w:pPr>
      <w:r>
        <w:rPr>
          <w:rFonts w:hint="eastAsia"/>
          <w:b/>
          <w:color w:val="auto"/>
          <w:sz w:val="72"/>
          <w:szCs w:val="72"/>
          <w:highlight w:val="none"/>
          <w:lang w:eastAsia="zh-CN"/>
        </w:rPr>
        <w:t>视频设计</w:t>
      </w:r>
    </w:p>
    <w:p>
      <w:pPr>
        <w:jc w:val="center"/>
        <w:rPr>
          <w:color w:val="auto"/>
          <w:sz w:val="36"/>
          <w:szCs w:val="36"/>
          <w:highlight w:val="none"/>
        </w:rPr>
      </w:pPr>
    </w:p>
    <w:p>
      <w:pPr>
        <w:pStyle w:val="3"/>
        <w:ind w:firstLine="240"/>
        <w:rPr>
          <w:color w:val="auto"/>
          <w:highlight w:val="none"/>
        </w:rPr>
      </w:pPr>
    </w:p>
    <w:p>
      <w:pPr>
        <w:pStyle w:val="28"/>
        <w:ind w:left="2400"/>
        <w:rPr>
          <w:color w:val="auto"/>
          <w:highlight w:val="none"/>
        </w:rPr>
      </w:pPr>
    </w:p>
    <w:p>
      <w:pPr>
        <w:rPr>
          <w:color w:val="auto"/>
          <w:highlight w:val="none"/>
        </w:rPr>
      </w:pPr>
    </w:p>
    <w:p>
      <w:pPr>
        <w:pStyle w:val="3"/>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2"/>
        <w:rPr>
          <w:color w:val="auto"/>
          <w:highlight w:val="none"/>
        </w:rPr>
      </w:pPr>
    </w:p>
    <w:p>
      <w:pPr>
        <w:rPr>
          <w:color w:val="auto"/>
          <w:highlight w:val="none"/>
        </w:rPr>
      </w:pPr>
    </w:p>
    <w:p>
      <w:pPr>
        <w:pStyle w:val="3"/>
        <w:ind w:firstLine="240"/>
        <w:rPr>
          <w:color w:val="auto"/>
          <w:highlight w:val="none"/>
        </w:rPr>
      </w:pPr>
    </w:p>
    <w:p>
      <w:pPr>
        <w:pStyle w:val="28"/>
        <w:ind w:left="2400"/>
        <w:rPr>
          <w:color w:val="auto"/>
          <w:highlight w:val="none"/>
        </w:rPr>
      </w:pPr>
    </w:p>
    <w:p>
      <w:pPr>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2"/>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202404046</w:t>
      </w:r>
    </w:p>
    <w:p>
      <w:pPr>
        <w:rPr>
          <w:color w:val="auto"/>
          <w:highlight w:val="none"/>
        </w:rPr>
      </w:pPr>
    </w:p>
    <w:p>
      <w:pPr>
        <w:rPr>
          <w:color w:val="auto"/>
          <w:highlight w:val="none"/>
        </w:rPr>
      </w:pPr>
    </w:p>
    <w:p>
      <w:pPr>
        <w:spacing w:after="120"/>
        <w:rPr>
          <w:color w:val="auto"/>
          <w:highlight w:val="none"/>
        </w:rPr>
      </w:pPr>
    </w:p>
    <w:p>
      <w:pPr>
        <w:rPr>
          <w:color w:val="auto"/>
          <w:highlight w:val="none"/>
        </w:rPr>
      </w:pPr>
    </w:p>
    <w:p>
      <w:pPr>
        <w:spacing w:line="360" w:lineRule="auto"/>
        <w:ind w:firstLine="960" w:firstLineChars="300"/>
        <w:jc w:val="left"/>
        <w:rPr>
          <w:color w:val="auto"/>
          <w:sz w:val="32"/>
          <w:szCs w:val="32"/>
          <w:highlight w:val="none"/>
        </w:rPr>
      </w:pPr>
    </w:p>
    <w:p>
      <w:pPr>
        <w:spacing w:line="360" w:lineRule="auto"/>
        <w:ind w:firstLine="960" w:firstLineChars="300"/>
        <w:jc w:val="left"/>
        <w:rPr>
          <w:color w:val="auto"/>
          <w:sz w:val="32"/>
          <w:szCs w:val="32"/>
          <w:highlight w:val="none"/>
        </w:rPr>
      </w:pPr>
      <w:r>
        <w:rPr>
          <w:color w:val="auto"/>
          <w:sz w:val="32"/>
          <w:szCs w:val="32"/>
          <w:highlight w:val="none"/>
        </w:rPr>
        <w:t>采    购  人：</w:t>
      </w:r>
      <w:r>
        <w:rPr>
          <w:rFonts w:hint="eastAsia"/>
          <w:color w:val="auto"/>
          <w:sz w:val="32"/>
          <w:szCs w:val="32"/>
          <w:highlight w:val="none"/>
        </w:rPr>
        <w:t>浙江省水利厅</w:t>
      </w:r>
    </w:p>
    <w:p>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_Toc30321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_Toc30321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_Toc5122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_Toc5122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_Toc21635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_Toc21635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_Toc21392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_Toc21392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_Toc12331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_Toc12331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_Toc31434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_Toc31434 \h </w:instrText>
      </w:r>
      <w:r>
        <w:rPr>
          <w:color w:val="auto"/>
          <w:highlight w:val="none"/>
        </w:rPr>
        <w:fldChar w:fldCharType="separate"/>
      </w:r>
      <w:r>
        <w:rPr>
          <w:color w:val="auto"/>
          <w:highlight w:val="none"/>
        </w:rPr>
        <w:t>12</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_Toc28808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_Toc28808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_Toc27048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_Toc27048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_Toc7598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_Toc7598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_Toc22556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_Toc22556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_Toc18242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_Toc18242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_Toc30895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_Toc30895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_Toc6463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_Toc6463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_Toc17593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_Toc17593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_Toc22458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_Toc22458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_Toc26519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_Toc26519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_Toc469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color w:val="auto"/>
          <w:highlight w:val="none"/>
        </w:rPr>
        <w:t>评标程序和内容</w:t>
      </w:r>
      <w:r>
        <w:rPr>
          <w:color w:val="auto"/>
          <w:highlight w:val="none"/>
        </w:rPr>
        <w:tab/>
      </w:r>
      <w:bookmarkStart w:id="224" w:name="_GoBack"/>
      <w:bookmarkEnd w:id="224"/>
      <w:r>
        <w:rPr>
          <w:color w:val="auto"/>
          <w:highlight w:val="none"/>
        </w:rPr>
        <w:fldChar w:fldCharType="begin"/>
      </w:r>
      <w:r>
        <w:rPr>
          <w:color w:val="auto"/>
          <w:highlight w:val="none"/>
        </w:rPr>
        <w:instrText xml:space="preserve"> PAGEREF _Toc469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_Toc10314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_Toc10314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_Toc7496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_Toc7496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_Toc30497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_Toc30497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_Toc5458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_Toc5458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_Toc8544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_Toc8544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_Toc5787 </w:instrText>
      </w:r>
      <w:r>
        <w:rPr>
          <w:color w:val="auto"/>
          <w:szCs w:val="32"/>
          <w:highlight w:val="none"/>
        </w:rPr>
        <w:fldChar w:fldCharType="separate"/>
      </w:r>
      <w:r>
        <w:rPr>
          <w:rFonts w:hint="eastAsia" w:ascii="Times New Roman" w:hAnsi="Times New Roman" w:eastAsia="宋体" w:cs="宋体"/>
          <w:color w:val="auto"/>
          <w:highlight w:val="none"/>
        </w:rPr>
        <w:t xml:space="preserve">3.9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_Toc5787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_Toc11828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_Toc11828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_Toc7936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项目背景</w:t>
      </w:r>
      <w:r>
        <w:rPr>
          <w:color w:val="auto"/>
          <w:highlight w:val="none"/>
        </w:rPr>
        <w:tab/>
      </w:r>
      <w:r>
        <w:rPr>
          <w:color w:val="auto"/>
          <w:highlight w:val="none"/>
        </w:rPr>
        <w:fldChar w:fldCharType="begin"/>
      </w:r>
      <w:r>
        <w:rPr>
          <w:color w:val="auto"/>
          <w:highlight w:val="none"/>
        </w:rPr>
        <w:instrText xml:space="preserve"> PAGEREF _Toc7936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_Toc3465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rFonts w:hint="eastAsia"/>
          <w:color w:val="auto"/>
          <w:highlight w:val="none"/>
        </w:rPr>
        <w:t>工作内容</w:t>
      </w:r>
      <w:r>
        <w:rPr>
          <w:color w:val="auto"/>
          <w:highlight w:val="none"/>
        </w:rPr>
        <w:tab/>
      </w:r>
      <w:r>
        <w:rPr>
          <w:color w:val="auto"/>
          <w:highlight w:val="none"/>
        </w:rPr>
        <w:fldChar w:fldCharType="begin"/>
      </w:r>
      <w:r>
        <w:rPr>
          <w:color w:val="auto"/>
          <w:highlight w:val="none"/>
        </w:rPr>
        <w:instrText xml:space="preserve"> PAGEREF _Toc3465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_Toc2068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rFonts w:hint="eastAsia"/>
          <w:color w:val="auto"/>
          <w:highlight w:val="none"/>
        </w:rPr>
        <w:t>项目进度要求</w:t>
      </w:r>
      <w:r>
        <w:rPr>
          <w:color w:val="auto"/>
          <w:highlight w:val="none"/>
        </w:rPr>
        <w:tab/>
      </w:r>
      <w:r>
        <w:rPr>
          <w:color w:val="auto"/>
          <w:highlight w:val="none"/>
        </w:rPr>
        <w:fldChar w:fldCharType="begin"/>
      </w:r>
      <w:r>
        <w:rPr>
          <w:color w:val="auto"/>
          <w:highlight w:val="none"/>
        </w:rPr>
        <w:instrText xml:space="preserve"> PAGEREF _Toc2068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_Toc27436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rFonts w:hint="eastAsia"/>
          <w:color w:val="auto"/>
          <w:highlight w:val="none"/>
        </w:rPr>
        <w:t>项目</w:t>
      </w:r>
      <w:r>
        <w:rPr>
          <w:rFonts w:hint="eastAsia"/>
          <w:color w:val="auto"/>
          <w:highlight w:val="none"/>
          <w:lang w:val="en-US" w:eastAsia="zh-CN"/>
        </w:rPr>
        <w:t>成果</w:t>
      </w:r>
      <w:r>
        <w:rPr>
          <w:rFonts w:hint="eastAsia"/>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_Toc27436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_Toc6697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_Toc6697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_Toc21269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_Toc21269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_Toc10900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rFonts w:hint="eastAsia"/>
          <w:color w:val="auto"/>
          <w:highlight w:val="none"/>
        </w:rPr>
        <w:t>其他要求</w:t>
      </w:r>
      <w:r>
        <w:rPr>
          <w:color w:val="auto"/>
          <w:highlight w:val="none"/>
        </w:rPr>
        <w:tab/>
      </w:r>
      <w:r>
        <w:rPr>
          <w:color w:val="auto"/>
          <w:highlight w:val="none"/>
        </w:rPr>
        <w:fldChar w:fldCharType="begin"/>
      </w:r>
      <w:r>
        <w:rPr>
          <w:color w:val="auto"/>
          <w:highlight w:val="none"/>
        </w:rPr>
        <w:instrText xml:space="preserve"> PAGEREF _Toc10900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_Toc24958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_Toc24958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_Toc30717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_Toc30717 \h </w:instrText>
      </w:r>
      <w:r>
        <w:rPr>
          <w:color w:val="auto"/>
          <w:highlight w:val="none"/>
        </w:rPr>
        <w:fldChar w:fldCharType="separate"/>
      </w:r>
      <w:r>
        <w:rPr>
          <w:color w:val="auto"/>
          <w:highlight w:val="none"/>
        </w:rPr>
        <w:t>48</w:t>
      </w:r>
      <w:r>
        <w:rPr>
          <w:color w:val="auto"/>
          <w:highlight w:val="none"/>
        </w:rP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4"/>
        <w:rPr>
          <w:color w:val="auto"/>
          <w:highlight w:val="none"/>
        </w:rPr>
      </w:pPr>
      <w:bookmarkStart w:id="0" w:name="_Toc30321"/>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浙江省水利规划重要专题视频设计</w:t>
            </w:r>
            <w:r>
              <w:rPr>
                <w:rFonts w:hint="eastAsia"/>
                <w:color w:val="auto"/>
                <w:highlight w:val="none"/>
              </w:rPr>
              <w:t>项目的潜在投标人应在政府采购云平台（www.zcygov.cn）获取（下载）招标文件，并于</w:t>
            </w:r>
            <w:r>
              <w:rPr>
                <w:rFonts w:hint="eastAsia"/>
                <w:color w:val="auto"/>
                <w:highlight w:val="none"/>
                <w:lang w:eastAsia="zh-CN"/>
              </w:rPr>
              <w:t>2024年06月05日09:30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202404046</w:t>
      </w:r>
    </w:p>
    <w:p>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浙江省水利规划重要专题视频设计</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444000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444000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浙江省水利规划重要专题视频设计</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444000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05</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2024年06月05日09:30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2024年06月05日09:30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浙江省水利厅</w:t>
      </w:r>
    </w:p>
    <w:p>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项目联系人（询问）：王正</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项目联系方式（询问）：0571-87826564</w:t>
      </w:r>
    </w:p>
    <w:p>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质疑联系人：赵昕</w:t>
      </w:r>
    </w:p>
    <w:p>
      <w:pPr>
        <w:snapToGrid w:val="0"/>
        <w:spacing w:line="338" w:lineRule="auto"/>
        <w:ind w:firstLine="480" w:firstLineChars="200"/>
        <w:rPr>
          <w:color w:val="auto"/>
          <w:szCs w:val="24"/>
          <w:highlight w:val="none"/>
        </w:rPr>
      </w:pPr>
      <w:r>
        <w:rPr>
          <w:rFonts w:hint="eastAsia"/>
          <w:color w:val="auto"/>
          <w:szCs w:val="24"/>
          <w:highlight w:val="none"/>
        </w:rPr>
        <w:t>质疑联系方式：0571-87886167</w:t>
      </w:r>
    </w:p>
    <w:p>
      <w:pPr>
        <w:pStyle w:val="2"/>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2"/>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4"/>
        <w:rPr>
          <w:color w:val="auto"/>
          <w:highlight w:val="none"/>
        </w:rPr>
      </w:pPr>
      <w:bookmarkStart w:id="4" w:name="_Toc5122"/>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浙江省水利规划重要专题视频设计</w:t>
            </w:r>
          </w:p>
          <w:p>
            <w:pPr>
              <w:wordWrap w:val="0"/>
              <w:snapToGrid w:val="0"/>
              <w:spacing w:before="120" w:beforeLines="50" w:after="120" w:afterLines="50"/>
              <w:rPr>
                <w:rFonts w:hint="eastAsia" w:eastAsia="宋体"/>
                <w:color w:val="auto"/>
                <w:sz w:val="21"/>
                <w:szCs w:val="21"/>
                <w:highlight w:val="none"/>
                <w:lang w:eastAsia="zh-CN"/>
              </w:rPr>
            </w:pPr>
            <w:bookmarkStart w:id="5" w:name="_Toc25015"/>
            <w:bookmarkStart w:id="6" w:name="_Toc9353086"/>
            <w:bookmarkStart w:id="7" w:name="_Toc61532586"/>
            <w:bookmarkStart w:id="8" w:name="_Toc282"/>
            <w:bookmarkStart w:id="9" w:name="_Toc19634"/>
            <w:bookmarkStart w:id="10" w:name="_Toc510948476"/>
            <w:bookmarkStart w:id="11" w:name="_Toc21350"/>
            <w:bookmarkStart w:id="12" w:name="_Toc15852"/>
            <w:bookmarkStart w:id="13" w:name="_Toc12598"/>
            <w:bookmarkStart w:id="14" w:name="_Toc4654"/>
            <w:bookmarkStart w:id="15" w:name="_Toc71305501"/>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202404046</w:t>
            </w:r>
          </w:p>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eastAsia"/>
                <w:color w:val="auto"/>
                <w:sz w:val="21"/>
                <w:szCs w:val="21"/>
                <w:highlight w:val="none"/>
              </w:rPr>
              <w:t>采购人是否允许分包</w:t>
            </w:r>
          </w:p>
        </w:tc>
        <w:tc>
          <w:tcPr>
            <w:tcW w:w="6088" w:type="dxa"/>
            <w:vAlign w:val="center"/>
          </w:tcPr>
          <w:p>
            <w:pPr>
              <w:keepNext w:val="0"/>
              <w:keepLines w:val="0"/>
              <w:pageBreakBefore w:val="0"/>
              <w:widowControl w:val="0"/>
              <w:kinsoku/>
              <w:wordWrap w:val="0"/>
              <w:overflowPunct/>
              <w:topLinePunct w:val="0"/>
              <w:bidi w:val="0"/>
              <w:snapToGrid w:val="0"/>
              <w:spacing w:before="164" w:beforeLines="50" w:after="164" w:afterLines="50"/>
              <w:rPr>
                <w:rFonts w:hint="eastAsia" w:eastAsia="宋体"/>
                <w:color w:val="auto"/>
                <w:sz w:val="21"/>
                <w:szCs w:val="21"/>
                <w:highlight w:val="none"/>
                <w:lang w:val="en-US" w:eastAsia="zh-CN"/>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lang w:val="en-US" w:eastAsia="zh-CN"/>
              </w:rPr>
              <w:t>是</w:t>
            </w:r>
          </w:p>
          <w:p>
            <w:pPr>
              <w:keepNext w:val="0"/>
              <w:keepLines w:val="0"/>
              <w:pageBreakBefore w:val="0"/>
              <w:widowControl w:val="0"/>
              <w:kinsoku/>
              <w:wordWrap w:val="0"/>
              <w:overflowPunct/>
              <w:topLinePunct w:val="0"/>
              <w:bidi w:val="0"/>
              <w:snapToGrid w:val="0"/>
              <w:spacing w:before="164" w:beforeLines="50" w:after="164"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lang w:eastAsia="zh-CN"/>
              </w:rPr>
              <w:instrText xml:space="preserve">,</w:instrText>
            </w:r>
            <w:r>
              <w:rPr>
                <w:rFonts w:hint="eastAsia"/>
                <w:color w:val="auto"/>
                <w:position w:val="2"/>
                <w:sz w:val="14"/>
                <w:szCs w:val="21"/>
                <w:highlight w:val="none"/>
                <w:lang w:eastAsia="zh-CN"/>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2024年06月05日09:30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44.4</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5"/>
        <w:rPr>
          <w:color w:val="auto"/>
          <w:highlight w:val="none"/>
        </w:rPr>
      </w:pPr>
      <w:bookmarkStart w:id="16" w:name="_Toc21635"/>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7"/>
        <w:rPr>
          <w:color w:val="auto"/>
          <w:highlight w:val="none"/>
        </w:rPr>
      </w:pPr>
      <w:r>
        <w:rPr>
          <w:color w:val="auto"/>
          <w:highlight w:val="none"/>
        </w:rPr>
        <w:t>概述</w:t>
      </w:r>
    </w:p>
    <w:p>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浙江省水利规划重要专题视频设计</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202404046</w:t>
      </w:r>
    </w:p>
    <w:p>
      <w:pPr>
        <w:snapToGrid w:val="0"/>
        <w:spacing w:line="360" w:lineRule="auto"/>
        <w:ind w:firstLine="480" w:firstLineChars="200"/>
        <w:jc w:val="left"/>
        <w:rPr>
          <w:color w:val="auto"/>
          <w:szCs w:val="22"/>
          <w:highlight w:val="none"/>
        </w:rPr>
      </w:pPr>
      <w:r>
        <w:rPr>
          <w:color w:val="auto"/>
          <w:highlight w:val="none"/>
        </w:rPr>
        <w:t>（2）采购人：</w:t>
      </w:r>
      <w:r>
        <w:rPr>
          <w:rFonts w:hint="eastAsia"/>
          <w:color w:val="auto"/>
          <w:szCs w:val="22"/>
          <w:highlight w:val="none"/>
        </w:rPr>
        <w:t>浙江省水利厅</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7"/>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7"/>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7"/>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7"/>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7"/>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7"/>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w:t>
      </w:r>
      <w:r>
        <w:rPr>
          <w:rFonts w:hint="eastAsia"/>
          <w:color w:val="auto"/>
          <w:highlight w:val="none"/>
          <w:lang w:val="en-US" w:eastAsia="zh-CN"/>
        </w:rPr>
        <w:t>不</w:t>
      </w:r>
      <w:r>
        <w:rPr>
          <w:rFonts w:hint="eastAsia"/>
          <w:color w:val="auto"/>
          <w:highlight w:val="none"/>
        </w:rPr>
        <w:t>允许分包。</w:t>
      </w:r>
    </w:p>
    <w:p>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5"/>
        <w:rPr>
          <w:color w:val="auto"/>
          <w:highlight w:val="none"/>
        </w:rPr>
      </w:pPr>
      <w:bookmarkStart w:id="20" w:name="_Toc21392"/>
      <w:r>
        <w:rPr>
          <w:color w:val="auto"/>
          <w:highlight w:val="none"/>
        </w:rPr>
        <w:t>采购文件</w:t>
      </w:r>
      <w:bookmarkEnd w:id="20"/>
    </w:p>
    <w:p>
      <w:pPr>
        <w:pStyle w:val="7"/>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7"/>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5"/>
        <w:rPr>
          <w:color w:val="auto"/>
          <w:highlight w:val="none"/>
        </w:rPr>
      </w:pPr>
      <w:bookmarkStart w:id="21" w:name="_Toc12331"/>
      <w:r>
        <w:rPr>
          <w:color w:val="auto"/>
          <w:highlight w:val="none"/>
        </w:rPr>
        <w:t>投标文件</w:t>
      </w:r>
      <w:bookmarkEnd w:id="21"/>
    </w:p>
    <w:p>
      <w:pPr>
        <w:pStyle w:val="7"/>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8"/>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8"/>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（5）技术方案（根据评分办法及标准结合自身情况编制）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8"/>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pPr>
        <w:pStyle w:val="7"/>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7"/>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7"/>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5"/>
        <w:rPr>
          <w:color w:val="auto"/>
          <w:highlight w:val="none"/>
        </w:rPr>
      </w:pPr>
      <w:bookmarkStart w:id="22" w:name="_Toc31434"/>
      <w:r>
        <w:rPr>
          <w:color w:val="auto"/>
          <w:highlight w:val="none"/>
        </w:rPr>
        <w:t>投标</w:t>
      </w:r>
      <w:bookmarkEnd w:id="22"/>
    </w:p>
    <w:p>
      <w:pPr>
        <w:pStyle w:val="7"/>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7"/>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2024年06月05日09:30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7"/>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5"/>
        <w:rPr>
          <w:color w:val="auto"/>
          <w:highlight w:val="none"/>
        </w:rPr>
      </w:pPr>
      <w:bookmarkStart w:id="23" w:name="_Toc28808"/>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5"/>
        <w:rPr>
          <w:color w:val="auto"/>
          <w:highlight w:val="none"/>
        </w:rPr>
      </w:pPr>
      <w:bookmarkStart w:id="24" w:name="_Toc27048"/>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5"/>
        <w:rPr>
          <w:color w:val="auto"/>
          <w:highlight w:val="none"/>
        </w:rPr>
      </w:pPr>
      <w:bookmarkStart w:id="25" w:name="_Toc7598"/>
      <w:r>
        <w:rPr>
          <w:color w:val="auto"/>
          <w:highlight w:val="none"/>
        </w:rPr>
        <w:t>开标与评标</w:t>
      </w:r>
      <w:bookmarkEnd w:id="25"/>
    </w:p>
    <w:p>
      <w:pPr>
        <w:pStyle w:val="7"/>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2024年06月05日09:30</w:t>
      </w:r>
      <w:r>
        <w:rPr>
          <w:rFonts w:hint="eastAsia"/>
          <w:color w:val="auto"/>
          <w:highlight w:val="none"/>
        </w:rPr>
        <w:t>（北京时间）</w:t>
      </w:r>
    </w:p>
    <w:p>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7"/>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7"/>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7"/>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7"/>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7"/>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5"/>
        <w:rPr>
          <w:color w:val="auto"/>
          <w:highlight w:val="none"/>
        </w:rPr>
      </w:pPr>
      <w:bookmarkStart w:id="28" w:name="_Toc22556"/>
      <w:r>
        <w:rPr>
          <w:color w:val="auto"/>
          <w:highlight w:val="none"/>
        </w:rPr>
        <w:t>中标</w:t>
      </w:r>
      <w:bookmarkEnd w:id="28"/>
    </w:p>
    <w:p>
      <w:pPr>
        <w:pStyle w:val="7"/>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7"/>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5"/>
        <w:rPr>
          <w:color w:val="auto"/>
          <w:highlight w:val="none"/>
        </w:rPr>
      </w:pPr>
      <w:bookmarkStart w:id="29" w:name="_Toc18242"/>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5"/>
        <w:rPr>
          <w:color w:val="auto"/>
          <w:highlight w:val="none"/>
        </w:rPr>
      </w:pPr>
      <w:bookmarkStart w:id="30" w:name="_Toc30895"/>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5"/>
        <w:rPr>
          <w:color w:val="auto"/>
          <w:highlight w:val="none"/>
        </w:rPr>
      </w:pPr>
      <w:bookmarkStart w:id="31" w:name="_Toc6463"/>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44.4</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4"/>
        <w:rPr>
          <w:color w:val="auto"/>
          <w:highlight w:val="none"/>
        </w:rPr>
      </w:pPr>
      <w:bookmarkStart w:id="32" w:name="_Toc17593"/>
      <w:r>
        <w:rPr>
          <w:color w:val="auto"/>
          <w:highlight w:val="none"/>
        </w:rPr>
        <w:t>评标细则</w:t>
      </w:r>
      <w:bookmarkEnd w:id="32"/>
    </w:p>
    <w:p>
      <w:pPr>
        <w:pStyle w:val="5"/>
        <w:rPr>
          <w:color w:val="auto"/>
          <w:highlight w:val="none"/>
        </w:rPr>
      </w:pPr>
      <w:bookmarkStart w:id="33" w:name="_Toc22458"/>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5"/>
        <w:rPr>
          <w:color w:val="auto"/>
          <w:highlight w:val="none"/>
        </w:rPr>
      </w:pPr>
      <w:bookmarkStart w:id="34" w:name="_Toc26519"/>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5"/>
        <w:rPr>
          <w:color w:val="auto"/>
          <w:highlight w:val="none"/>
        </w:rPr>
      </w:pPr>
      <w:bookmarkStart w:id="35" w:name="_Toc469"/>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5"/>
        <w:rPr>
          <w:color w:val="auto"/>
          <w:highlight w:val="none"/>
        </w:rPr>
      </w:pPr>
      <w:bookmarkStart w:id="36" w:name="_Toc10314"/>
      <w:bookmarkStart w:id="37" w:name="_Toc295337118"/>
      <w:bookmarkStart w:id="38" w:name="_Toc320543194"/>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5"/>
        <w:rPr>
          <w:color w:val="auto"/>
          <w:highlight w:val="none"/>
        </w:rPr>
      </w:pPr>
      <w:bookmarkStart w:id="39" w:name="_Toc7496"/>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pStyle w:val="21"/>
        <w:adjustRightInd w:val="0"/>
        <w:snapToGrid w:val="0"/>
        <w:spacing w:after="0" w:line="360" w:lineRule="auto"/>
        <w:ind w:left="0" w:leftChars="0" w:firstLine="480" w:firstLineChars="200"/>
        <w:jc w:val="left"/>
        <w:rPr>
          <w:color w:val="auto"/>
          <w:kern w:val="0"/>
          <w:sz w:val="24"/>
          <w:highlight w:val="none"/>
        </w:rPr>
      </w:pPr>
      <w:r>
        <w:rPr>
          <w:color w:val="auto"/>
          <w:kern w:val="0"/>
          <w:sz w:val="24"/>
          <w:highlight w:val="none"/>
        </w:rPr>
        <w:t>商务评分：评标委员会</w:t>
      </w:r>
      <w:r>
        <w:rPr>
          <w:color w:val="auto"/>
          <w:kern w:val="0"/>
          <w:sz w:val="24"/>
          <w:szCs w:val="22"/>
          <w:highlight w:val="none"/>
        </w:rPr>
        <w:t>按照商务评分标准对</w:t>
      </w:r>
      <w:r>
        <w:rPr>
          <w:rFonts w:hint="eastAsia"/>
          <w:color w:val="auto"/>
          <w:kern w:val="0"/>
          <w:sz w:val="24"/>
          <w:highlight w:val="none"/>
        </w:rPr>
        <w:t>类似业绩、</w:t>
      </w:r>
      <w:r>
        <w:rPr>
          <w:rFonts w:hint="eastAsia"/>
          <w:color w:val="auto"/>
          <w:kern w:val="0"/>
          <w:sz w:val="24"/>
          <w:highlight w:val="none"/>
          <w:lang w:val="en-US" w:eastAsia="zh-CN"/>
        </w:rPr>
        <w:t>项目团队</w:t>
      </w:r>
      <w:r>
        <w:rPr>
          <w:color w:val="auto"/>
          <w:kern w:val="0"/>
          <w:sz w:val="24"/>
          <w:szCs w:val="22"/>
          <w:highlight w:val="none"/>
        </w:rPr>
        <w:t>等方面进行评审，采用集体评议的方法进行；</w:t>
      </w:r>
    </w:p>
    <w:p>
      <w:pPr>
        <w:spacing w:line="360" w:lineRule="auto"/>
        <w:ind w:firstLine="480" w:firstLineChars="200"/>
        <w:rPr>
          <w:color w:val="auto"/>
          <w:highlight w:val="none"/>
        </w:rPr>
      </w:pPr>
      <w:r>
        <w:rPr>
          <w:color w:val="auto"/>
          <w:szCs w:val="22"/>
          <w:highlight w:val="none"/>
        </w:rPr>
        <w:t>技术评分：评标委员会按照技术评分标准对</w:t>
      </w:r>
      <w:r>
        <w:rPr>
          <w:rFonts w:hint="eastAsia"/>
          <w:color w:val="auto"/>
          <w:highlight w:val="none"/>
          <w:lang w:val="en-US" w:eastAsia="zh-CN"/>
        </w:rPr>
        <w:t>项目理解、创意方案、宣传承诺、视频样片、拟投入设备、进度控制、质量保证、相关承诺</w:t>
      </w:r>
      <w:r>
        <w:rPr>
          <w:color w:val="auto"/>
          <w:szCs w:val="22"/>
          <w:highlight w:val="none"/>
        </w:rPr>
        <w:t>等方面进行评审，采用记名方式各自评分。如</w:t>
      </w:r>
      <w:r>
        <w:rPr>
          <w:color w:val="auto"/>
          <w:highlight w:val="none"/>
        </w:rPr>
        <w:t>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w:t>
      </w:r>
      <w:r>
        <w:rPr>
          <w:rFonts w:hint="eastAsia"/>
          <w:color w:val="auto"/>
          <w:highlight w:val="none"/>
        </w:rPr>
        <w:t>0</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w:t>
      </w:r>
      <w:r>
        <w:rPr>
          <w:rFonts w:hint="eastAsia"/>
          <w:color w:val="auto"/>
          <w:highlight w:val="none"/>
        </w:rPr>
        <w:t>0</w:t>
      </w:r>
      <w:r>
        <w:rPr>
          <w:color w:val="auto"/>
          <w:highlight w:val="none"/>
        </w:rPr>
        <w:t>分，其他的报价得分为：（评标基准价/投标报价）×</w:t>
      </w:r>
      <w:r>
        <w:rPr>
          <w:rFonts w:hint="eastAsia"/>
          <w:color w:val="auto"/>
          <w:highlight w:val="none"/>
          <w:lang w:val="en-US" w:eastAsia="zh-CN"/>
        </w:rPr>
        <w:t>1</w:t>
      </w:r>
      <w:r>
        <w:rPr>
          <w:rFonts w:hint="eastAsia"/>
          <w:color w:val="auto"/>
          <w:highlight w:val="none"/>
        </w:rPr>
        <w:t>0</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37"/>
    <w:bookmarkEnd w:id="38"/>
    <w:p>
      <w:pPr>
        <w:pStyle w:val="5"/>
        <w:rPr>
          <w:color w:val="auto"/>
          <w:highlight w:val="none"/>
        </w:rPr>
      </w:pPr>
      <w:bookmarkStart w:id="40" w:name="_Toc30497"/>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5"/>
        <w:rPr>
          <w:color w:val="auto"/>
          <w:highlight w:val="none"/>
        </w:rPr>
      </w:pPr>
      <w:bookmarkStart w:id="41" w:name="_Toc5458"/>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7"/>
        <w:rPr>
          <w:rFonts w:ascii="Times New Roman" w:hAnsi="Times New Roman"/>
          <w:color w:val="auto"/>
          <w:highlight w:val="none"/>
        </w:rPr>
      </w:pPr>
      <w:bookmarkStart w:id="42" w:name="_Toc26318"/>
      <w:bookmarkStart w:id="43" w:name="_Toc7900"/>
      <w:bookmarkStart w:id="44" w:name="_Toc26672"/>
      <w:bookmarkStart w:id="45" w:name="_Toc3082"/>
      <w:bookmarkStart w:id="46" w:name="_Toc3254"/>
      <w:bookmarkStart w:id="47" w:name="_Toc32032"/>
      <w:bookmarkStart w:id="48" w:name="_Toc15384"/>
      <w:bookmarkStart w:id="49" w:name="_Toc19171"/>
      <w:bookmarkStart w:id="50" w:name="_Toc30811"/>
      <w:bookmarkStart w:id="51" w:name="_Toc23228"/>
      <w:bookmarkStart w:id="52" w:name="_Toc3220"/>
      <w:bookmarkStart w:id="53" w:name="_Toc7275"/>
      <w:bookmarkStart w:id="54" w:name="_Toc30376"/>
      <w:bookmarkStart w:id="55" w:name="_Toc15658"/>
      <w:bookmarkStart w:id="56" w:name="_Toc11973"/>
      <w:bookmarkStart w:id="57" w:name="_Toc30379"/>
      <w:bookmarkStart w:id="58" w:name="_Toc11179"/>
      <w:bookmarkStart w:id="59" w:name="_Toc12935"/>
      <w:bookmarkStart w:id="60" w:name="_Toc1862"/>
      <w:bookmarkStart w:id="61" w:name="_Toc9075"/>
      <w:bookmarkStart w:id="62" w:name="_Toc25907"/>
      <w:bookmarkStart w:id="63" w:name="_Toc28562"/>
      <w:bookmarkStart w:id="64" w:name="_Toc26364"/>
      <w:bookmarkStart w:id="65" w:name="_Toc23792"/>
      <w:bookmarkStart w:id="66" w:name="_Toc31278"/>
      <w:bookmarkStart w:id="67" w:name="_Toc61532607"/>
      <w:bookmarkStart w:id="68" w:name="_Toc15313"/>
      <w:bookmarkStart w:id="69" w:name="_Toc16969"/>
      <w:bookmarkStart w:id="70" w:name="_Toc15217"/>
      <w:bookmarkStart w:id="71" w:name="_Toc26426"/>
      <w:bookmarkStart w:id="72" w:name="_Toc17646"/>
      <w:bookmarkStart w:id="73" w:name="_Toc5354"/>
      <w:bookmarkStart w:id="74" w:name="_Toc19472"/>
      <w:bookmarkStart w:id="75" w:name="_Toc14733"/>
      <w:bookmarkStart w:id="76" w:name="_Toc12156"/>
      <w:bookmarkStart w:id="77" w:name="_Toc830"/>
      <w:bookmarkStart w:id="78" w:name="_Toc21536"/>
      <w:bookmarkStart w:id="79" w:name="_Toc1078"/>
      <w:bookmarkStart w:id="80" w:name="_Toc17361"/>
      <w:bookmarkStart w:id="81" w:name="_Toc4479"/>
      <w:bookmarkStart w:id="82" w:name="_Toc2178"/>
      <w:bookmarkStart w:id="83" w:name="_Toc24163"/>
      <w:bookmarkStart w:id="84" w:name="_Toc15856"/>
      <w:bookmarkStart w:id="85" w:name="_Toc23330"/>
      <w:bookmarkStart w:id="86" w:name="_Toc12265"/>
      <w:bookmarkStart w:id="87" w:name="_Toc29105"/>
      <w:bookmarkStart w:id="88" w:name="_Toc117"/>
      <w:bookmarkStart w:id="89" w:name="_Toc12254"/>
      <w:bookmarkStart w:id="90" w:name="_Toc26568"/>
      <w:bookmarkStart w:id="91" w:name="_Toc20212"/>
      <w:bookmarkStart w:id="92" w:name="_Toc9181"/>
      <w:bookmarkStart w:id="93" w:name="_Toc23948"/>
      <w:bookmarkStart w:id="94" w:name="_Toc18765"/>
      <w:bookmarkStart w:id="95" w:name="_Toc71305522"/>
      <w:bookmarkStart w:id="96" w:name="_Toc26607"/>
      <w:bookmarkStart w:id="97" w:name="_Toc29308"/>
      <w:bookmarkStart w:id="98" w:name="_Toc13608"/>
      <w:bookmarkStart w:id="99" w:name="_Toc29834"/>
      <w:bookmarkStart w:id="100" w:name="_Toc22283"/>
      <w:bookmarkStart w:id="101" w:name="_Toc18284"/>
      <w:bookmarkStart w:id="102" w:name="_Toc19380"/>
      <w:bookmarkStart w:id="103" w:name="_Toc26962"/>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35"/>
        <w:tblW w:w="90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40"/>
        <w:gridCol w:w="1200"/>
        <w:gridCol w:w="4965"/>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212" w:type="dxa"/>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评分类型</w:t>
            </w:r>
          </w:p>
        </w:tc>
        <w:tc>
          <w:tcPr>
            <w:tcW w:w="840" w:type="dxa"/>
            <w:vAlign w:val="center"/>
          </w:tcPr>
          <w:p>
            <w:pPr>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序号</w:t>
            </w:r>
          </w:p>
        </w:tc>
        <w:tc>
          <w:tcPr>
            <w:tcW w:w="1200" w:type="dxa"/>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评议内容</w:t>
            </w:r>
          </w:p>
        </w:tc>
        <w:tc>
          <w:tcPr>
            <w:tcW w:w="5840" w:type="dxa"/>
            <w:gridSpan w:val="2"/>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restart"/>
            <w:vAlign w:val="center"/>
          </w:tcPr>
          <w:p>
            <w:pPr>
              <w:spacing w:line="36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商务部分</w:t>
            </w:r>
          </w:p>
          <w:p>
            <w:pPr>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0</w:t>
            </w:r>
            <w:r>
              <w:rPr>
                <w:rFonts w:ascii="Times New Roman" w:hAnsi="Times New Roman" w:eastAsia="宋体" w:cs="Times New Roman"/>
                <w:color w:val="auto"/>
                <w:sz w:val="21"/>
                <w:szCs w:val="21"/>
                <w:highlight w:val="none"/>
              </w:rPr>
              <w:t>分）</w:t>
            </w: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类似</w:t>
            </w:r>
            <w:r>
              <w:rPr>
                <w:rFonts w:hint="default" w:ascii="Times New Roman" w:hAnsi="Times New Roman" w:eastAsia="宋体" w:cs="Times New Roman"/>
                <w:color w:val="auto"/>
                <w:sz w:val="21"/>
                <w:szCs w:val="21"/>
                <w:highlight w:val="none"/>
                <w:lang w:val="en-US" w:eastAsia="zh-CN"/>
              </w:rPr>
              <w:t>业绩</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投标供应商为省级及以上行政单位、组织、机构提供过宣传片摄制服务或媒体宣传活动策划的，每个得0.4分；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投标供应商为省级及以上行政单位、组织、机构提供过宣传文本、活动创意文案或设计服务的，每个得0.2分。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本项最高得1分，同一合同不重复得分。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【证明材料：合同或委托协议书】</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0-</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line="360" w:lineRule="auto"/>
              <w:jc w:val="center"/>
              <w:rPr>
                <w:rFonts w:ascii="Times New Roman" w:hAnsi="Times New Roman" w:eastAsia="宋体" w:cs="Times New Roman"/>
                <w:color w:val="auto"/>
                <w:sz w:val="21"/>
                <w:szCs w:val="21"/>
                <w:highlight w:val="none"/>
              </w:rPr>
            </w:pPr>
          </w:p>
        </w:tc>
        <w:tc>
          <w:tcPr>
            <w:tcW w:w="84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项目团队</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拟派项目总导演参与制作的图、文、影像获得过省（部）级及以上奖项的得3分；获得过市（厅）级奖项的得1分；获得过县（局）级奖项的得0.5分。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本项最高得3分。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【证明材料：</w:t>
            </w:r>
            <w:r>
              <w:rPr>
                <w:rFonts w:hint="default" w:ascii="Times New Roman" w:hAnsi="Times New Roman" w:eastAsia="宋体" w:cs="Times New Roman"/>
                <w:color w:val="auto"/>
                <w:sz w:val="21"/>
                <w:szCs w:val="21"/>
                <w:highlight w:val="none"/>
                <w:lang w:val="en-US" w:eastAsia="zh-CN"/>
              </w:rPr>
              <w:t>荣誉或获奖证书，如以上证明材料无法证明导演参与的，应附通讯报道或表扬信等相关证明材料</w:t>
            </w:r>
            <w:r>
              <w:rPr>
                <w:rFonts w:hint="default" w:ascii="Times New Roman" w:hAnsi="Times New Roman" w:eastAsia="宋体" w:cs="Times New Roman"/>
                <w:color w:val="auto"/>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line="360" w:lineRule="auto"/>
              <w:jc w:val="center"/>
              <w:rPr>
                <w:rFonts w:ascii="Times New Roman" w:hAnsi="Times New Roman" w:eastAsia="宋体" w:cs="Times New Roman"/>
                <w:color w:val="auto"/>
                <w:sz w:val="21"/>
                <w:szCs w:val="21"/>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项目团队设项目负责人1名，团队人员结构合理、职责明确</w:t>
            </w:r>
            <w:r>
              <w:rPr>
                <w:rFonts w:hint="default" w:ascii="Times New Roman" w:hAnsi="Times New Roman" w:eastAsia="宋体" w:cs="Times New Roman"/>
                <w:color w:val="auto"/>
                <w:sz w:val="21"/>
                <w:szCs w:val="21"/>
                <w:highlight w:val="none"/>
                <w:lang w:eastAsia="zh-CN"/>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212" w:type="dxa"/>
            <w:vMerge w:val="continue"/>
            <w:vAlign w:val="center"/>
          </w:tcPr>
          <w:p>
            <w:pPr>
              <w:spacing w:line="360" w:lineRule="auto"/>
              <w:jc w:val="center"/>
              <w:rPr>
                <w:rFonts w:ascii="Times New Roman" w:hAnsi="Times New Roman" w:eastAsia="宋体" w:cs="Times New Roman"/>
                <w:color w:val="auto"/>
                <w:sz w:val="21"/>
                <w:szCs w:val="21"/>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拟投入的视频拍摄组（不含项目负责人）不少于6</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含</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人</w:t>
            </w:r>
            <w:r>
              <w:rPr>
                <w:rFonts w:hint="eastAsia"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得3分，其中至少</w:t>
            </w:r>
            <w:r>
              <w:rPr>
                <w:rFonts w:hint="default" w:ascii="Times New Roman" w:hAnsi="Times New Roman" w:eastAsia="宋体" w:cs="Times New Roman"/>
                <w:color w:val="auto"/>
                <w:sz w:val="21"/>
                <w:szCs w:val="21"/>
                <w:highlight w:val="none"/>
                <w:lang w:eastAsia="zh-CN"/>
              </w:rPr>
              <w:t>配备1名导演、1名撰稿人员、2名摄像、2名后期专业人员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少于6人的不得分</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【证明材料：</w:t>
            </w:r>
            <w:r>
              <w:rPr>
                <w:rFonts w:hint="default" w:ascii="Times New Roman" w:hAnsi="Times New Roman" w:eastAsia="宋体" w:cs="Times New Roman"/>
                <w:color w:val="auto"/>
                <w:sz w:val="21"/>
                <w:szCs w:val="21"/>
                <w:highlight w:val="none"/>
              </w:rPr>
              <w:t>投标人为其缴纳的近三个月内任意一个月社保证明</w:t>
            </w:r>
            <w:r>
              <w:rPr>
                <w:rFonts w:hint="default" w:ascii="Times New Roman" w:hAnsi="Times New Roman" w:eastAsia="宋体" w:cs="Times New Roman"/>
                <w:color w:val="auto"/>
                <w:kern w:val="0"/>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restart"/>
            <w:vAlign w:val="center"/>
          </w:tcPr>
          <w:p>
            <w:pPr>
              <w:spacing w:line="360" w:lineRule="auto"/>
              <w:jc w:val="center"/>
              <w:rPr>
                <w:rFonts w:ascii="Times New Roman" w:hAnsi="Times New Roman" w:eastAsia="宋体" w:cs="Times New Roman"/>
                <w:color w:val="auto"/>
                <w:sz w:val="28"/>
                <w:szCs w:val="21"/>
                <w:highlight w:val="none"/>
              </w:rPr>
            </w:pPr>
            <w:r>
              <w:rPr>
                <w:rFonts w:hint="eastAsia" w:ascii="Times New Roman" w:hAnsi="Times New Roman" w:eastAsia="宋体" w:cs="Times New Roman"/>
                <w:color w:val="auto"/>
                <w:sz w:val="21"/>
                <w:szCs w:val="21"/>
                <w:highlight w:val="none"/>
              </w:rPr>
              <w:t>技术部分（</w:t>
            </w:r>
            <w:r>
              <w:rPr>
                <w:rFonts w:hint="eastAsia" w:cs="Times New Roman"/>
                <w:color w:val="auto"/>
                <w:sz w:val="21"/>
                <w:szCs w:val="21"/>
                <w:highlight w:val="none"/>
                <w:lang w:val="en-US" w:eastAsia="zh-CN"/>
              </w:rPr>
              <w:t>80</w:t>
            </w:r>
            <w:r>
              <w:rPr>
                <w:rFonts w:hint="eastAsia" w:ascii="Times New Roman" w:hAnsi="Times New Roman" w:eastAsia="宋体" w:cs="Times New Roman"/>
                <w:color w:val="auto"/>
                <w:sz w:val="21"/>
                <w:szCs w:val="21"/>
                <w:highlight w:val="none"/>
              </w:rPr>
              <w:t>分）</w:t>
            </w: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项目理解</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对浙江水网建设、水资源规划及“千项万亿”水网安澜提升工程等工作有深入的了解。</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line="360" w:lineRule="auto"/>
              <w:jc w:val="center"/>
              <w:rPr>
                <w:rFonts w:ascii="Times New Roman" w:hAnsi="Times New Roman" w:eastAsia="宋体" w:cs="Times New Roman"/>
                <w:color w:val="auto"/>
                <w:sz w:val="28"/>
                <w:szCs w:val="21"/>
                <w:highlight w:val="none"/>
              </w:rPr>
            </w:pPr>
          </w:p>
        </w:tc>
        <w:tc>
          <w:tcPr>
            <w:tcW w:w="84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4</w:t>
            </w:r>
          </w:p>
        </w:tc>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创意方案</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整体方案内容齐全、结构合理，创意合理，符合实际情况和当前工作要求。</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宣传片大纲主题突出、脉络清晰、架构完整，能</w:t>
            </w:r>
            <w:r>
              <w:rPr>
                <w:rFonts w:hint="default" w:ascii="Times New Roman" w:hAnsi="Times New Roman" w:eastAsia="宋体" w:cs="Times New Roman"/>
                <w:color w:val="auto"/>
                <w:sz w:val="21"/>
                <w:szCs w:val="21"/>
                <w:highlight w:val="none"/>
                <w:lang w:val="en-US" w:eastAsia="zh-CN"/>
              </w:rPr>
              <w:t>深入体现浙江水网建设的成效与特色</w:t>
            </w:r>
            <w:r>
              <w:rPr>
                <w:rFonts w:hint="default" w:ascii="Times New Roman" w:hAnsi="Times New Roman" w:eastAsia="宋体" w:cs="Times New Roman"/>
                <w:color w:val="auto"/>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
              </w:rPr>
              <w:t>熟知</w:t>
            </w:r>
            <w:r>
              <w:rPr>
                <w:rFonts w:hint="default" w:ascii="Times New Roman" w:hAnsi="Times New Roman" w:eastAsia="宋体" w:cs="Times New Roman"/>
                <w:color w:val="auto"/>
                <w:sz w:val="21"/>
                <w:szCs w:val="21"/>
                <w:highlight w:val="none"/>
                <w:lang w:val="en-US" w:eastAsia="zh-CN"/>
              </w:rPr>
              <w:t>浙江水网</w:t>
            </w:r>
            <w:r>
              <w:rPr>
                <w:rFonts w:hint="default" w:ascii="Times New Roman" w:hAnsi="Times New Roman" w:eastAsia="宋体" w:cs="Times New Roman"/>
                <w:color w:val="auto"/>
                <w:sz w:val="21"/>
                <w:szCs w:val="21"/>
                <w:highlight w:val="none"/>
              </w:rPr>
              <w:t>建设典型案例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对典型案例的</w:t>
            </w:r>
            <w:r>
              <w:rPr>
                <w:rFonts w:hint="default" w:ascii="Times New Roman" w:hAnsi="Times New Roman" w:eastAsia="宋体" w:cs="Times New Roman"/>
                <w:color w:val="auto"/>
                <w:sz w:val="21"/>
                <w:szCs w:val="21"/>
                <w:highlight w:val="none"/>
              </w:rPr>
              <w:t>选择标准明确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有特色</w:t>
            </w:r>
            <w:r>
              <w:rPr>
                <w:rFonts w:hint="default" w:ascii="Times New Roman" w:hAnsi="Times New Roman" w:eastAsia="宋体" w:cs="Times New Roman"/>
                <w:color w:val="auto"/>
                <w:sz w:val="21"/>
                <w:szCs w:val="21"/>
                <w:highlight w:val="none"/>
              </w:rPr>
              <w:t>，可操作性强</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满足宣传需要。</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宣传片的摄制思路及脚本文案风格能准确表达浙江水网建设成效主题。</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bCs w:val="0"/>
                <w:color w:val="auto"/>
                <w:sz w:val="21"/>
                <w:szCs w:val="21"/>
                <w:highlight w:val="none"/>
              </w:rPr>
              <w:t>宣传片拍摄</w:t>
            </w:r>
            <w:r>
              <w:rPr>
                <w:rFonts w:hint="default" w:ascii="Times New Roman" w:hAnsi="Times New Roman" w:eastAsia="宋体" w:cs="Times New Roman"/>
                <w:bCs w:val="0"/>
                <w:color w:val="auto"/>
                <w:sz w:val="21"/>
                <w:szCs w:val="21"/>
                <w:highlight w:val="none"/>
                <w:lang w:eastAsia="zh-CN"/>
              </w:rPr>
              <w:t>、</w:t>
            </w:r>
            <w:r>
              <w:rPr>
                <w:rFonts w:hint="default" w:ascii="Times New Roman" w:hAnsi="Times New Roman" w:eastAsia="宋体" w:cs="Times New Roman"/>
                <w:bCs w:val="0"/>
                <w:color w:val="auto"/>
                <w:sz w:val="21"/>
                <w:szCs w:val="21"/>
                <w:highlight w:val="none"/>
                <w:lang w:val="en-US" w:eastAsia="zh-CN"/>
              </w:rPr>
              <w:t>制作等工作</w:t>
            </w:r>
            <w:r>
              <w:rPr>
                <w:rFonts w:hint="default" w:ascii="Times New Roman" w:hAnsi="Times New Roman" w:eastAsia="宋体" w:cs="Times New Roman"/>
                <w:bCs w:val="0"/>
                <w:color w:val="auto"/>
                <w:sz w:val="21"/>
                <w:szCs w:val="21"/>
                <w:highlight w:val="none"/>
              </w:rPr>
              <w:t>流程安排合理</w:t>
            </w:r>
            <w:r>
              <w:rPr>
                <w:rFonts w:hint="default" w:ascii="Times New Roman" w:hAnsi="Times New Roman" w:eastAsia="宋体" w:cs="Times New Roman"/>
                <w:bCs w:val="0"/>
                <w:color w:val="auto"/>
                <w:sz w:val="21"/>
                <w:szCs w:val="21"/>
                <w:highlight w:val="none"/>
                <w:lang w:eastAsia="zh-CN"/>
              </w:rPr>
              <w:t>，</w:t>
            </w:r>
            <w:r>
              <w:rPr>
                <w:rFonts w:hint="default" w:ascii="Times New Roman" w:hAnsi="Times New Roman" w:eastAsia="宋体" w:cs="Times New Roman"/>
                <w:bCs w:val="0"/>
                <w:color w:val="auto"/>
                <w:sz w:val="21"/>
                <w:szCs w:val="21"/>
                <w:highlight w:val="none"/>
                <w:lang w:val="en-US" w:eastAsia="zh-CN"/>
              </w:rPr>
              <w:t>具有可操作性</w:t>
            </w:r>
            <w:r>
              <w:rPr>
                <w:rFonts w:hint="default" w:ascii="Times New Roman" w:hAnsi="Times New Roman" w:eastAsia="宋体" w:cs="Times New Roman"/>
                <w:bCs w:val="0"/>
                <w:color w:val="auto"/>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bCs w:val="0"/>
                <w:color w:val="auto"/>
                <w:sz w:val="21"/>
                <w:szCs w:val="21"/>
                <w:highlight w:val="none"/>
                <w:lang w:val="en-US" w:eastAsia="zh-CN"/>
              </w:rPr>
            </w:pPr>
            <w:r>
              <w:rPr>
                <w:rFonts w:hint="eastAsia" w:ascii="Times New Roman" w:hAnsi="Times New Roman" w:eastAsia="宋体" w:cs="Times New Roman"/>
                <w:bCs w:val="0"/>
                <w:color w:val="auto"/>
                <w:sz w:val="21"/>
                <w:szCs w:val="21"/>
                <w:highlight w:val="none"/>
                <w:lang w:val="en-US" w:eastAsia="zh-CN"/>
              </w:rPr>
              <w:t>对专业视频制作软件应用熟练，熟知转场特效、字幕特效、数据注释等功能的运用方式。</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售后服务方案完善合理，能够符合工作开展的实际和更新的要求。</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宣传承诺</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承诺视频拍摄完成之后，宣传片能在省级及以上媒体平台宣传，宣传计划形式丰富，提供媒体宣传承诺（0-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分）与宣传方案（0-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分），不提供不得分。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【证明材料：</w:t>
            </w:r>
            <w:r>
              <w:rPr>
                <w:rFonts w:hint="default" w:ascii="Times New Roman" w:hAnsi="Times New Roman" w:eastAsia="宋体" w:cs="Times New Roman"/>
                <w:color w:val="auto"/>
                <w:kern w:val="0"/>
                <w:sz w:val="21"/>
                <w:szCs w:val="21"/>
                <w:highlight w:val="none"/>
                <w:lang w:val="en-US" w:eastAsia="zh-CN"/>
              </w:rPr>
              <w:t>承诺函（格式自拟）及宣传方案</w:t>
            </w:r>
            <w:r>
              <w:rPr>
                <w:rFonts w:hint="default" w:ascii="Times New Roman" w:hAnsi="Times New Roman" w:eastAsia="宋体" w:cs="Times New Roman"/>
                <w:color w:val="auto"/>
                <w:kern w:val="0"/>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before="120" w:beforeLines="50" w:after="120" w:afterLines="50"/>
              <w:rPr>
                <w:rFonts w:ascii="Times New Roman" w:hAnsi="Times New Roman" w:eastAsia="宋体" w:cs="Times New Roman"/>
                <w:color w:val="auto"/>
                <w:highlight w:val="none"/>
              </w:rPr>
            </w:pP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视频样片</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left"/>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提供3分钟视频样片（分辨率不得低于1920*1080），作品契合主题，画面、声音流畅、高清、美观或全方位、多角度生动形象呈现美丽河湖建设成果。未提供样片的本项不得分。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left"/>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【视频样片提供方式：以U盘的形式存储且密封完好，投标截止时间前递交至采购代理机构，包封需注明采购人名称、投标人名称和投标项目名称】</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vAlign w:val="center"/>
          </w:tcPr>
          <w:p>
            <w:pPr>
              <w:spacing w:line="360" w:lineRule="auto"/>
              <w:jc w:val="center"/>
              <w:rPr>
                <w:rFonts w:ascii="Times New Roman" w:hAnsi="Times New Roman" w:eastAsia="宋体" w:cs="Times New Roman"/>
                <w:color w:val="auto"/>
                <w:sz w:val="28"/>
                <w:szCs w:val="21"/>
                <w:highlight w:val="none"/>
              </w:rPr>
            </w:pP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7</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拟投入设备</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拟投入的拍摄设备和制片器材满足工作开展需要。</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tcPr>
          <w:p>
            <w:pPr>
              <w:spacing w:line="360" w:lineRule="auto"/>
              <w:jc w:val="center"/>
              <w:rPr>
                <w:rFonts w:ascii="Times New Roman" w:hAnsi="Times New Roman" w:eastAsia="宋体" w:cs="Times New Roman"/>
                <w:color w:val="auto"/>
                <w:sz w:val="21"/>
                <w:szCs w:val="21"/>
                <w:highlight w:val="none"/>
                <w:lang w:bidi="ar"/>
              </w:rPr>
            </w:pPr>
          </w:p>
        </w:tc>
        <w:tc>
          <w:tcPr>
            <w:tcW w:w="84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bidi="ar"/>
              </w:rPr>
              <w:t>8</w:t>
            </w:r>
          </w:p>
        </w:tc>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ind w:left="72" w:leftChars="30" w:right="72" w:rightChars="3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进度控制</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总体进度安排满足采购文件要求。</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tcPr>
          <w:p>
            <w:pPr>
              <w:spacing w:line="360" w:lineRule="auto"/>
              <w:jc w:val="center"/>
              <w:rPr>
                <w:rFonts w:ascii="Times New Roman" w:hAnsi="Times New Roman" w:eastAsia="宋体" w:cs="Times New Roman"/>
                <w:color w:val="auto"/>
                <w:sz w:val="21"/>
                <w:szCs w:val="21"/>
                <w:highlight w:val="none"/>
                <w:lang w:bidi="ar"/>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节点进度细化合理、有利于项目开展。</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tcPr>
          <w:p>
            <w:pPr>
              <w:spacing w:line="360" w:lineRule="auto"/>
              <w:jc w:val="center"/>
              <w:rPr>
                <w:rFonts w:ascii="Times New Roman" w:hAnsi="Times New Roman" w:eastAsia="宋体" w:cs="Times New Roman"/>
                <w:color w:val="auto"/>
                <w:sz w:val="20"/>
                <w:highlight w:val="none"/>
              </w:rPr>
            </w:pPr>
          </w:p>
        </w:tc>
        <w:tc>
          <w:tcPr>
            <w:tcW w:w="84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9</w:t>
            </w:r>
          </w:p>
        </w:tc>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质量保证</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结合采购需求，有针对性地建立了项目质量保障工作机制。</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tcPr>
          <w:p>
            <w:pPr>
              <w:spacing w:line="360" w:lineRule="auto"/>
              <w:jc w:val="center"/>
              <w:rPr>
                <w:rFonts w:ascii="Times New Roman" w:hAnsi="Times New Roman" w:eastAsia="宋体" w:cs="Times New Roman"/>
                <w:color w:val="auto"/>
                <w:sz w:val="20"/>
                <w:highlight w:val="none"/>
              </w:rPr>
            </w:pPr>
          </w:p>
        </w:tc>
        <w:tc>
          <w:tcPr>
            <w:tcW w:w="84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bidi="ar"/>
              </w:rPr>
            </w:pPr>
          </w:p>
        </w:tc>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单位内部质量管理制度齐全。</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2" w:type="dxa"/>
            <w:vMerge w:val="continue"/>
          </w:tcPr>
          <w:p>
            <w:pPr>
              <w:spacing w:line="360" w:lineRule="auto"/>
              <w:jc w:val="center"/>
              <w:rPr>
                <w:rFonts w:ascii="Times New Roman" w:hAnsi="Times New Roman" w:eastAsia="宋体" w:cs="Times New Roman"/>
                <w:color w:val="auto"/>
                <w:sz w:val="20"/>
                <w:highlight w:val="none"/>
              </w:rPr>
            </w:pPr>
          </w:p>
        </w:tc>
        <w:tc>
          <w:tcPr>
            <w:tcW w:w="84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10</w:t>
            </w:r>
          </w:p>
        </w:tc>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ind w:left="72" w:leftChars="30" w:right="72" w:rightChars="30"/>
              <w:jc w:val="center"/>
              <w:textAlignment w:val="baseline"/>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相关承诺</w:t>
            </w:r>
          </w:p>
        </w:tc>
        <w:tc>
          <w:tcPr>
            <w:tcW w:w="496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承诺</w:t>
            </w:r>
            <w:r>
              <w:rPr>
                <w:rFonts w:hint="default" w:ascii="Times New Roman" w:hAnsi="Times New Roman" w:eastAsia="宋体" w:cs="Times New Roman"/>
                <w:color w:val="auto"/>
                <w:sz w:val="21"/>
                <w:szCs w:val="21"/>
                <w:highlight w:val="none"/>
              </w:rPr>
              <w:t>所提交的所有工作成果原创率达到80%以上。承诺原创率80%~90%的，得2分；原创率90%及以上的，得3分。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承诺</w:t>
            </w:r>
            <w:r>
              <w:rPr>
                <w:rFonts w:hint="default" w:ascii="Times New Roman" w:hAnsi="Times New Roman" w:eastAsia="宋体" w:cs="Times New Roman"/>
                <w:color w:val="auto"/>
                <w:sz w:val="21"/>
                <w:szCs w:val="21"/>
                <w:highlight w:val="none"/>
              </w:rPr>
              <w:t>提交的成果不得侵犯第三方权益，若造成侵权的由供应商自行承担侵权责任并承担因此给采购人造成的损失，得1分。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承诺</w:t>
            </w:r>
            <w:r>
              <w:rPr>
                <w:rFonts w:hint="default" w:ascii="Times New Roman" w:hAnsi="Times New Roman" w:eastAsia="宋体" w:cs="Times New Roman"/>
                <w:color w:val="auto"/>
                <w:sz w:val="21"/>
                <w:szCs w:val="21"/>
                <w:highlight w:val="none"/>
              </w:rPr>
              <w:t>提交的所有工作成果的知识产权、版权、著作权、所有权、收益权，均归属采购人所有。供应商不得擅自将其向第三方提供，也不得用于其他商业用途，得1分。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本项最高得5分。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【提供方式：</w:t>
            </w:r>
            <w:r>
              <w:rPr>
                <w:rFonts w:hint="eastAsia" w:cs="Times New Roman"/>
                <w:color w:val="auto"/>
                <w:sz w:val="21"/>
                <w:szCs w:val="21"/>
                <w:highlight w:val="none"/>
                <w:lang w:val="en-US" w:eastAsia="zh-CN"/>
              </w:rPr>
              <w:t>承诺函（</w:t>
            </w:r>
            <w:r>
              <w:rPr>
                <w:rFonts w:hint="default" w:ascii="Times New Roman" w:hAnsi="Times New Roman" w:eastAsia="宋体" w:cs="Times New Roman"/>
                <w:color w:val="auto"/>
                <w:sz w:val="21"/>
                <w:szCs w:val="21"/>
                <w:highlight w:val="none"/>
              </w:rPr>
              <w:t>格式自拟</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17" w:type="dxa"/>
            <w:gridSpan w:val="4"/>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合计</w:t>
            </w:r>
          </w:p>
        </w:tc>
        <w:tc>
          <w:tcPr>
            <w:tcW w:w="875"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0-</w:t>
            </w:r>
            <w:r>
              <w:rPr>
                <w:rFonts w:hint="eastAsia" w:cs="Times New Roman"/>
                <w:b/>
                <w:bCs/>
                <w:color w:val="auto"/>
                <w:sz w:val="21"/>
                <w:szCs w:val="21"/>
                <w:highlight w:val="none"/>
                <w:lang w:val="en-US" w:eastAsia="zh-CN" w:bidi="ar"/>
              </w:rPr>
              <w:t>9</w:t>
            </w:r>
            <w:r>
              <w:rPr>
                <w:rFonts w:hint="default" w:ascii="Times New Roman" w:hAnsi="Times New Roman" w:eastAsia="宋体" w:cs="Times New Roman"/>
                <w:b/>
                <w:bCs/>
                <w:color w:val="auto"/>
                <w:sz w:val="21"/>
                <w:szCs w:val="21"/>
                <w:highlight w:val="none"/>
                <w:lang w:bidi="ar"/>
              </w:rPr>
              <w:t>0分</w:t>
            </w:r>
          </w:p>
        </w:tc>
      </w:tr>
    </w:tbl>
    <w:p>
      <w:pPr>
        <w:pStyle w:val="27"/>
        <w:rPr>
          <w:rFonts w:ascii="Times New Roman" w:hAnsi="Times New Roman"/>
          <w:color w:val="auto"/>
          <w:highlight w:val="none"/>
        </w:rPr>
      </w:pPr>
      <w:bookmarkStart w:id="104" w:name="_Toc24289"/>
      <w:bookmarkStart w:id="105" w:name="_Toc4168"/>
      <w:bookmarkStart w:id="106" w:name="_Toc13236"/>
      <w:bookmarkStart w:id="107" w:name="_Toc7556"/>
      <w:bookmarkStart w:id="108" w:name="_Toc16151"/>
      <w:bookmarkStart w:id="109" w:name="_Toc26233"/>
      <w:bookmarkStart w:id="110" w:name="_Toc14410"/>
      <w:bookmarkStart w:id="111" w:name="_Toc29460"/>
      <w:bookmarkStart w:id="112" w:name="_Toc9625"/>
      <w:bookmarkStart w:id="113" w:name="_Toc10945"/>
      <w:bookmarkStart w:id="114" w:name="_Toc28011"/>
      <w:bookmarkStart w:id="115" w:name="_Toc12489"/>
      <w:bookmarkStart w:id="116" w:name="_Toc4823"/>
      <w:bookmarkStart w:id="117" w:name="_Toc19545"/>
      <w:bookmarkStart w:id="118" w:name="_Toc15062"/>
      <w:bookmarkStart w:id="119" w:name="_Toc3666"/>
      <w:bookmarkStart w:id="120" w:name="_Toc18795"/>
      <w:bookmarkStart w:id="121" w:name="_Toc2397"/>
      <w:bookmarkStart w:id="122" w:name="_Toc13228"/>
      <w:bookmarkStart w:id="123" w:name="_Toc20055"/>
      <w:bookmarkStart w:id="124" w:name="_Toc3065"/>
      <w:bookmarkStart w:id="125" w:name="_Toc6405"/>
      <w:bookmarkStart w:id="126" w:name="_Toc12848"/>
      <w:bookmarkStart w:id="127" w:name="_Toc32451"/>
      <w:bookmarkStart w:id="128" w:name="_Toc28782"/>
      <w:bookmarkStart w:id="129" w:name="_Toc6548"/>
      <w:bookmarkStart w:id="130" w:name="_Toc7465"/>
      <w:bookmarkStart w:id="131" w:name="_Toc3581"/>
      <w:bookmarkStart w:id="132" w:name="_Toc30333"/>
      <w:bookmarkStart w:id="133" w:name="_Toc27394"/>
      <w:bookmarkStart w:id="134" w:name="_Toc5218"/>
      <w:bookmarkStart w:id="135" w:name="_Toc14826"/>
      <w:bookmarkStart w:id="136" w:name="_Toc22662"/>
      <w:bookmarkStart w:id="137" w:name="_Toc6247"/>
      <w:bookmarkStart w:id="138" w:name="_Toc1129"/>
      <w:bookmarkStart w:id="139" w:name="_Toc4209"/>
      <w:bookmarkStart w:id="140" w:name="_Toc24679"/>
      <w:bookmarkStart w:id="141" w:name="_Toc32593"/>
      <w:bookmarkStart w:id="142" w:name="_Toc3265"/>
      <w:bookmarkStart w:id="143" w:name="_Toc2099"/>
      <w:bookmarkStart w:id="144" w:name="_Toc27019"/>
      <w:bookmarkStart w:id="145" w:name="_Toc14722"/>
      <w:bookmarkStart w:id="146" w:name="_Toc15813"/>
      <w:bookmarkStart w:id="147" w:name="_Toc61532608"/>
      <w:bookmarkStart w:id="148" w:name="_Toc21510"/>
      <w:bookmarkStart w:id="149" w:name="_Toc26378"/>
      <w:bookmarkStart w:id="150" w:name="_Toc21165"/>
      <w:bookmarkStart w:id="151" w:name="_Toc71305523"/>
      <w:bookmarkStart w:id="152" w:name="_Toc23238"/>
      <w:bookmarkStart w:id="153" w:name="_Toc27874"/>
      <w:bookmarkStart w:id="154" w:name="_Toc19997"/>
      <w:bookmarkStart w:id="155" w:name="_Toc4788"/>
      <w:bookmarkStart w:id="156" w:name="_Toc7210"/>
      <w:bookmarkStart w:id="157" w:name="_Toc19539"/>
      <w:bookmarkStart w:id="158" w:name="_Toc27091"/>
      <w:bookmarkStart w:id="159" w:name="_Toc30633"/>
      <w:bookmarkStart w:id="160" w:name="_Toc14943"/>
      <w:bookmarkStart w:id="161" w:name="_Toc2619"/>
      <w:bookmarkStart w:id="162" w:name="_Toc6854"/>
      <w:bookmarkStart w:id="163" w:name="_Toc12834"/>
      <w:bookmarkStart w:id="164" w:name="_Toc16264"/>
      <w:bookmarkStart w:id="165" w:name="_Toc11310"/>
      <w:r>
        <w:rPr>
          <w:rFonts w:ascii="Times New Roman" w:hAnsi="Times New Roman"/>
          <w:color w:val="auto"/>
          <w:highlight w:val="none"/>
        </w:rPr>
        <w:t>报价部分评分标准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Style w:val="35"/>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分，其他的报价得分为：（评标基准价/投标报价）×</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r>
    </w:tbl>
    <w:p>
      <w:pPr>
        <w:rPr>
          <w:color w:val="auto"/>
          <w:highlight w:val="none"/>
        </w:rPr>
      </w:pPr>
      <w:bookmarkStart w:id="166" w:name="_Toc5009"/>
      <w:bookmarkStart w:id="167" w:name="_Toc22739"/>
      <w:bookmarkStart w:id="168" w:name="_Toc29378"/>
      <w:bookmarkStart w:id="169" w:name="_Toc23394"/>
      <w:bookmarkStart w:id="170" w:name="_Toc7941"/>
      <w:bookmarkStart w:id="171" w:name="_Toc2301"/>
      <w:bookmarkStart w:id="172" w:name="_Toc6199"/>
      <w:bookmarkStart w:id="173" w:name="_Toc29695"/>
      <w:bookmarkStart w:id="174" w:name="_Toc25203"/>
      <w:bookmarkStart w:id="175" w:name="_Toc14416"/>
      <w:bookmarkStart w:id="176" w:name="_Toc13485"/>
      <w:bookmarkStart w:id="177" w:name="_Toc31115"/>
      <w:bookmarkStart w:id="178" w:name="_Toc16868"/>
      <w:bookmarkStart w:id="179" w:name="_Toc10660"/>
      <w:bookmarkStart w:id="180" w:name="_Toc3607"/>
      <w:bookmarkStart w:id="181" w:name="_Toc25010"/>
      <w:bookmarkStart w:id="182" w:name="_Toc10035"/>
      <w:bookmarkStart w:id="183" w:name="_Toc28141"/>
      <w:bookmarkStart w:id="184" w:name="_Toc700"/>
      <w:bookmarkStart w:id="185" w:name="_Toc18911"/>
    </w:p>
    <w:p>
      <w:pPr>
        <w:pStyle w:val="27"/>
        <w:rPr>
          <w:rFonts w:ascii="Times New Roman" w:hAnsi="Times New Roman"/>
          <w:color w:val="auto"/>
          <w:highlight w:val="none"/>
        </w:rPr>
      </w:pPr>
      <w:bookmarkStart w:id="186" w:name="_Toc22372"/>
      <w:bookmarkStart w:id="187" w:name="_Toc29725"/>
      <w:bookmarkStart w:id="188" w:name="_Toc22410"/>
      <w:bookmarkStart w:id="189" w:name="_Toc5836"/>
      <w:bookmarkStart w:id="190" w:name="_Toc14923"/>
      <w:bookmarkStart w:id="191" w:name="_Toc26930"/>
      <w:bookmarkStart w:id="192" w:name="_Toc8073"/>
      <w:bookmarkStart w:id="193" w:name="_Toc2764"/>
      <w:r>
        <w:rPr>
          <w:rFonts w:ascii="Times New Roman" w:hAnsi="Times New Roman"/>
          <w:color w:val="auto"/>
          <w:highlight w:val="none"/>
        </w:rPr>
        <w:t>综合评分表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bl>
      <w:tblPr>
        <w:tblStyle w:val="35"/>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04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1</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商务</w:t>
            </w:r>
            <w:r>
              <w:rPr>
                <w:rFonts w:hint="eastAsia"/>
                <w:color w:val="auto"/>
                <w:sz w:val="21"/>
                <w:szCs w:val="21"/>
                <w:highlight w:val="none"/>
              </w:rPr>
              <w:t>技术</w:t>
            </w:r>
            <w:r>
              <w:rPr>
                <w:color w:val="auto"/>
                <w:sz w:val="21"/>
                <w:szCs w:val="21"/>
                <w:highlight w:val="none"/>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2</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4994" w:type="dxa"/>
            <w:gridSpan w:val="2"/>
            <w:tcBorders>
              <w:tl2br w:val="nil"/>
              <w:tr2bl w:val="nil"/>
            </w:tcBorders>
          </w:tcPr>
          <w:p>
            <w:pPr>
              <w:snapToGrid w:val="0"/>
              <w:spacing w:before="120" w:beforeLines="50" w:after="120" w:afterLines="50"/>
              <w:jc w:val="center"/>
              <w:rPr>
                <w:color w:val="auto"/>
                <w:sz w:val="21"/>
                <w:szCs w:val="21"/>
                <w:highlight w:val="none"/>
              </w:rPr>
            </w:pPr>
            <w:r>
              <w:rPr>
                <w:color w:val="auto"/>
                <w:sz w:val="21"/>
                <w:szCs w:val="21"/>
                <w:highlight w:val="none"/>
              </w:rPr>
              <w:t>综合评分合计</w:t>
            </w:r>
          </w:p>
          <w:p>
            <w:pPr>
              <w:snapToGrid w:val="0"/>
              <w:spacing w:before="120" w:beforeLines="50" w:after="120" w:afterLines="50"/>
              <w:jc w:val="center"/>
              <w:rPr>
                <w:color w:val="auto"/>
                <w:sz w:val="21"/>
                <w:szCs w:val="21"/>
                <w:highlight w:val="none"/>
              </w:rPr>
            </w:pPr>
            <w:r>
              <w:rPr>
                <w:color w:val="auto"/>
                <w:sz w:val="21"/>
                <w:szCs w:val="21"/>
                <w:highlight w:val="none"/>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5"/>
        <w:rPr>
          <w:color w:val="auto"/>
          <w:highlight w:val="none"/>
        </w:rPr>
      </w:pPr>
      <w:bookmarkStart w:id="194" w:name="_Toc8544"/>
      <w:r>
        <w:rPr>
          <w:color w:val="auto"/>
          <w:highlight w:val="none"/>
        </w:rPr>
        <w:t>推荐中标候选人</w:t>
      </w:r>
      <w:bookmarkEnd w:id="194"/>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5"/>
        <w:rPr>
          <w:color w:val="auto"/>
          <w:highlight w:val="none"/>
        </w:rPr>
      </w:pPr>
      <w:bookmarkStart w:id="195" w:name="_Toc5787"/>
      <w:r>
        <w:rPr>
          <w:color w:val="auto"/>
          <w:highlight w:val="none"/>
        </w:rPr>
        <w:t>评标报告</w:t>
      </w:r>
      <w:bookmarkEnd w:id="195"/>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pPr>
        <w:spacing w:line="300" w:lineRule="auto"/>
        <w:jc w:val="center"/>
        <w:rPr>
          <w:b/>
          <w:bCs/>
          <w:color w:val="auto"/>
          <w:sz w:val="52"/>
          <w:szCs w:val="52"/>
          <w:highlight w:val="none"/>
        </w:rPr>
      </w:pP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4"/>
        <w:rPr>
          <w:color w:val="auto"/>
          <w:highlight w:val="none"/>
        </w:rPr>
      </w:pPr>
      <w:bookmarkStart w:id="196" w:name="_Toc11828"/>
      <w:r>
        <w:rPr>
          <w:rFonts w:hint="eastAsia"/>
          <w:color w:val="auto"/>
          <w:highlight w:val="none"/>
          <w:lang w:eastAsia="zh-CN"/>
        </w:rPr>
        <w:t>采购需求</w:t>
      </w:r>
      <w:bookmarkEnd w:id="196"/>
    </w:p>
    <w:p>
      <w:pPr>
        <w:pStyle w:val="5"/>
        <w:rPr>
          <w:color w:val="auto"/>
          <w:highlight w:val="none"/>
        </w:rPr>
      </w:pPr>
      <w:bookmarkStart w:id="197" w:name="_Toc29902"/>
      <w:bookmarkStart w:id="198" w:name="_Toc61532611"/>
      <w:bookmarkStart w:id="199" w:name="_Toc30165"/>
      <w:bookmarkStart w:id="200" w:name="_Toc7936"/>
      <w:r>
        <w:rPr>
          <w:color w:val="auto"/>
          <w:highlight w:val="none"/>
        </w:rPr>
        <w:t>项目背景</w:t>
      </w:r>
      <w:bookmarkEnd w:id="197"/>
      <w:bookmarkEnd w:id="198"/>
      <w:bookmarkEnd w:id="199"/>
      <w:bookmarkEnd w:id="200"/>
    </w:p>
    <w:p>
      <w:pPr>
        <w:widowControl/>
        <w:tabs>
          <w:tab w:val="left" w:pos="638"/>
        </w:tabs>
        <w:autoSpaceDE/>
        <w:autoSpaceDN/>
        <w:snapToGrid w:val="0"/>
        <w:spacing w:line="360" w:lineRule="auto"/>
        <w:ind w:firstLine="435"/>
        <w:textAlignment w:val="auto"/>
        <w:rPr>
          <w:color w:val="auto"/>
          <w:highlight w:val="none"/>
        </w:rPr>
      </w:pPr>
      <w:bookmarkStart w:id="201" w:name="_Toc61532612"/>
      <w:r>
        <w:rPr>
          <w:rFonts w:hint="eastAsia"/>
          <w:color w:val="auto"/>
          <w:highlight w:val="none"/>
        </w:rPr>
        <w:t>2022年全国水利工作会议指出，落实意识形态工作责任制，统筹做好水情教育、水文化建设。结合重大水利项目进行视频制作，影像拍摄及制作等需要委托第三方完成相关工作。</w:t>
      </w:r>
    </w:p>
    <w:p>
      <w:pPr>
        <w:pStyle w:val="5"/>
        <w:rPr>
          <w:color w:val="auto"/>
          <w:highlight w:val="none"/>
        </w:rPr>
      </w:pPr>
      <w:bookmarkStart w:id="202" w:name="_Toc232"/>
      <w:bookmarkStart w:id="203" w:name="_Toc3465"/>
      <w:bookmarkStart w:id="204" w:name="_Toc23075"/>
      <w:r>
        <w:rPr>
          <w:rFonts w:hint="eastAsia"/>
          <w:color w:val="auto"/>
          <w:highlight w:val="none"/>
        </w:rPr>
        <w:t>工作内容</w:t>
      </w:r>
      <w:bookmarkEnd w:id="202"/>
      <w:bookmarkEnd w:id="203"/>
      <w:bookmarkEnd w:id="204"/>
    </w:p>
    <w:p>
      <w:pPr>
        <w:widowControl/>
        <w:tabs>
          <w:tab w:val="left" w:pos="638"/>
        </w:tabs>
        <w:autoSpaceDE/>
        <w:autoSpaceDN/>
        <w:snapToGrid w:val="0"/>
        <w:spacing w:line="360" w:lineRule="auto"/>
        <w:ind w:firstLine="480" w:firstLineChars="200"/>
        <w:textAlignment w:val="auto"/>
        <w:rPr>
          <w:rFonts w:hint="eastAsia" w:eastAsia="宋体"/>
          <w:color w:val="auto"/>
          <w:highlight w:val="none"/>
          <w:lang w:eastAsia="zh-CN"/>
        </w:rPr>
      </w:pPr>
      <w:r>
        <w:rPr>
          <w:rFonts w:hint="eastAsia"/>
          <w:color w:val="auto"/>
          <w:highlight w:val="none"/>
        </w:rPr>
        <w:t>为加快推进高质量现代化水利设施网，坚定不移践行十六字治水思路，围绕“建现代水网、保浙水安澜、促共同富裕”，加快推进全省水利工程建设，为高质量发展建设共同富裕示范区提供强有力的水资源安全保障，将开展浙江水网建设、水资源规划及“千项万亿”水网安澜提升等工程建设</w:t>
      </w:r>
      <w:r>
        <w:rPr>
          <w:rFonts w:hint="eastAsia"/>
          <w:color w:val="auto"/>
          <w:highlight w:val="none"/>
          <w:lang w:eastAsia="zh-CN"/>
        </w:rPr>
        <w:t>及有关重要推进举措等</w:t>
      </w:r>
      <w:r>
        <w:rPr>
          <w:rFonts w:hint="eastAsia"/>
          <w:color w:val="auto"/>
          <w:highlight w:val="none"/>
        </w:rPr>
        <w:t>视频制作。针对我省主要水利工程建设情况进行拍摄，并收集影像材料，选择能反映行动计划建设进展中的角度及场景，通过专业视频制作软件（如AE、PR），将视频、图像、文字、音频等素材经过非线性编辑后，添加转场特效、字幕特效、数据注释的功能，合成视频。形成的专题视频能够反映</w:t>
      </w:r>
      <w:r>
        <w:rPr>
          <w:rFonts w:hint="eastAsia"/>
          <w:color w:val="auto"/>
          <w:highlight w:val="none"/>
          <w:lang w:eastAsia="zh-CN"/>
        </w:rPr>
        <w:t>典型</w:t>
      </w:r>
      <w:r>
        <w:rPr>
          <w:rFonts w:hint="eastAsia"/>
          <w:color w:val="auto"/>
          <w:highlight w:val="none"/>
        </w:rPr>
        <w:t>工程进展和建设特色</w:t>
      </w:r>
      <w:r>
        <w:rPr>
          <w:rFonts w:hint="eastAsia"/>
          <w:color w:val="auto"/>
          <w:highlight w:val="none"/>
          <w:lang w:eastAsia="zh-CN"/>
        </w:rPr>
        <w:t>、典型案例开展情况和成效</w:t>
      </w:r>
      <w:r>
        <w:rPr>
          <w:rFonts w:hint="eastAsia"/>
          <w:color w:val="auto"/>
          <w:highlight w:val="none"/>
        </w:rPr>
        <w:t>，使各级领导和</w:t>
      </w:r>
      <w:r>
        <w:rPr>
          <w:rFonts w:hint="eastAsia"/>
          <w:color w:val="auto"/>
          <w:highlight w:val="none"/>
          <w:lang w:val="en-US" w:eastAsia="zh-CN"/>
        </w:rPr>
        <w:t>广大群众</w:t>
      </w:r>
      <w:r>
        <w:rPr>
          <w:rFonts w:hint="eastAsia"/>
          <w:color w:val="auto"/>
          <w:highlight w:val="none"/>
        </w:rPr>
        <w:t>对我省水利规划</w:t>
      </w:r>
      <w:r>
        <w:rPr>
          <w:rFonts w:hint="eastAsia"/>
          <w:color w:val="auto"/>
          <w:highlight w:val="none"/>
          <w:lang w:eastAsia="zh-CN"/>
        </w:rPr>
        <w:t>重要</w:t>
      </w:r>
      <w:r>
        <w:rPr>
          <w:rFonts w:hint="eastAsia"/>
          <w:color w:val="auto"/>
          <w:highlight w:val="none"/>
        </w:rPr>
        <w:t>专题研究成果能全面深入地了解。本项目将完成</w:t>
      </w:r>
      <w:r>
        <w:rPr>
          <w:rFonts w:hint="eastAsia"/>
          <w:color w:val="auto"/>
          <w:highlight w:val="none"/>
          <w:lang w:eastAsia="zh-CN"/>
        </w:rPr>
        <w:t>两部</w:t>
      </w:r>
      <w:r>
        <w:rPr>
          <w:rFonts w:hint="eastAsia"/>
          <w:color w:val="auto"/>
          <w:highlight w:val="none"/>
        </w:rPr>
        <w:t>浙江省水利规划重要专题视频</w:t>
      </w:r>
      <w:r>
        <w:rPr>
          <w:rFonts w:hint="eastAsia"/>
          <w:color w:val="auto"/>
          <w:highlight w:val="none"/>
          <w:lang w:eastAsia="zh-CN"/>
        </w:rPr>
        <w:t>设计制作。</w:t>
      </w:r>
    </w:p>
    <w:bookmarkEnd w:id="201"/>
    <w:p>
      <w:pPr>
        <w:pStyle w:val="5"/>
        <w:rPr>
          <w:color w:val="auto"/>
          <w:highlight w:val="none"/>
        </w:rPr>
      </w:pPr>
      <w:bookmarkStart w:id="205" w:name="_Toc8619"/>
      <w:bookmarkStart w:id="206" w:name="_Toc20504"/>
      <w:bookmarkStart w:id="207" w:name="_Toc2068"/>
      <w:bookmarkStart w:id="208" w:name="_Toc61532614"/>
      <w:r>
        <w:rPr>
          <w:rFonts w:hint="eastAsia"/>
          <w:color w:val="auto"/>
          <w:highlight w:val="none"/>
        </w:rPr>
        <w:t>项目进度要求</w:t>
      </w:r>
      <w:bookmarkEnd w:id="205"/>
      <w:bookmarkEnd w:id="206"/>
      <w:bookmarkEnd w:id="207"/>
      <w:bookmarkEnd w:id="208"/>
    </w:p>
    <w:p>
      <w:pPr>
        <w:spacing w:line="360" w:lineRule="auto"/>
        <w:ind w:firstLine="480" w:firstLineChars="200"/>
        <w:rPr>
          <w:rFonts w:hint="default"/>
          <w:color w:val="auto"/>
          <w:highlight w:val="none"/>
          <w:lang w:val="en-US" w:eastAsia="zh-CN"/>
        </w:rPr>
      </w:pPr>
      <w:r>
        <w:rPr>
          <w:rFonts w:hint="eastAsia"/>
          <w:color w:val="auto"/>
          <w:szCs w:val="22"/>
          <w:highlight w:val="none"/>
          <w:lang w:eastAsia="zh-CN"/>
        </w:rPr>
        <w:t>（1）2024年</w:t>
      </w:r>
      <w:r>
        <w:rPr>
          <w:rFonts w:hint="eastAsia"/>
          <w:color w:val="auto"/>
          <w:szCs w:val="22"/>
          <w:highlight w:val="none"/>
          <w:lang w:val="en-US" w:eastAsia="zh-CN"/>
        </w:rPr>
        <w:t>6</w:t>
      </w:r>
      <w:r>
        <w:rPr>
          <w:rFonts w:hint="eastAsia"/>
          <w:color w:val="auto"/>
          <w:szCs w:val="22"/>
          <w:highlight w:val="none"/>
          <w:lang w:eastAsia="zh-CN"/>
        </w:rPr>
        <w:t>月底前完成一部水利规划重要专题视频框架及脚本。</w:t>
      </w:r>
    </w:p>
    <w:p>
      <w:pPr>
        <w:spacing w:line="360" w:lineRule="auto"/>
        <w:ind w:firstLine="480" w:firstLineChars="200"/>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2</w:t>
      </w:r>
      <w:r>
        <w:rPr>
          <w:rFonts w:hint="eastAsia"/>
          <w:color w:val="auto"/>
          <w:szCs w:val="22"/>
          <w:highlight w:val="none"/>
          <w:lang w:eastAsia="zh-CN"/>
        </w:rPr>
        <w:t>）2024年</w:t>
      </w:r>
      <w:r>
        <w:rPr>
          <w:rFonts w:hint="eastAsia"/>
          <w:color w:val="auto"/>
          <w:szCs w:val="22"/>
          <w:highlight w:val="none"/>
          <w:lang w:val="en-US" w:eastAsia="zh-CN"/>
        </w:rPr>
        <w:t>9</w:t>
      </w:r>
      <w:r>
        <w:rPr>
          <w:rFonts w:hint="eastAsia"/>
          <w:color w:val="auto"/>
          <w:szCs w:val="22"/>
          <w:highlight w:val="none"/>
          <w:lang w:eastAsia="zh-CN"/>
        </w:rPr>
        <w:t>月底完成一部水利规划重要专题宣传片的拍摄工作与剪辑制作。</w:t>
      </w:r>
    </w:p>
    <w:p>
      <w:pPr>
        <w:spacing w:line="360" w:lineRule="auto"/>
        <w:ind w:firstLine="480" w:firstLineChars="200"/>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3</w:t>
      </w:r>
      <w:r>
        <w:rPr>
          <w:rFonts w:hint="eastAsia"/>
          <w:color w:val="auto"/>
          <w:szCs w:val="22"/>
          <w:highlight w:val="none"/>
          <w:lang w:eastAsia="zh-CN"/>
        </w:rPr>
        <w:t>）2024年</w:t>
      </w:r>
      <w:r>
        <w:rPr>
          <w:rFonts w:hint="eastAsia"/>
          <w:color w:val="auto"/>
          <w:szCs w:val="22"/>
          <w:highlight w:val="none"/>
          <w:lang w:val="en-US" w:eastAsia="zh-CN"/>
        </w:rPr>
        <w:t>10</w:t>
      </w:r>
      <w:r>
        <w:rPr>
          <w:rFonts w:hint="eastAsia"/>
          <w:color w:val="auto"/>
          <w:szCs w:val="22"/>
          <w:highlight w:val="none"/>
          <w:lang w:eastAsia="zh-CN"/>
        </w:rPr>
        <w:t>月底前</w:t>
      </w:r>
      <w:r>
        <w:rPr>
          <w:rFonts w:hint="default"/>
          <w:color w:val="auto"/>
          <w:szCs w:val="22"/>
          <w:highlight w:val="none"/>
          <w:lang w:eastAsia="zh-CN"/>
        </w:rPr>
        <w:t>完成</w:t>
      </w:r>
      <w:r>
        <w:rPr>
          <w:rFonts w:hint="eastAsia"/>
          <w:color w:val="auto"/>
          <w:szCs w:val="22"/>
          <w:highlight w:val="none"/>
          <w:lang w:val="en-US" w:eastAsia="zh-CN"/>
        </w:rPr>
        <w:t>两部</w:t>
      </w:r>
      <w:r>
        <w:rPr>
          <w:rFonts w:hint="eastAsia"/>
          <w:color w:val="auto"/>
          <w:szCs w:val="22"/>
          <w:highlight w:val="none"/>
          <w:lang w:eastAsia="zh-CN"/>
        </w:rPr>
        <w:t>水利规划重要专题宣传片的宣传工作</w:t>
      </w:r>
      <w:r>
        <w:rPr>
          <w:rFonts w:hint="eastAsia"/>
          <w:color w:val="auto"/>
          <w:szCs w:val="22"/>
          <w:highlight w:val="none"/>
          <w:lang w:val="en-US" w:eastAsia="zh-CN"/>
        </w:rPr>
        <w:t>，11月底前完成</w:t>
      </w:r>
      <w:r>
        <w:rPr>
          <w:rFonts w:hint="eastAsia"/>
          <w:color w:val="auto"/>
          <w:szCs w:val="22"/>
          <w:highlight w:val="none"/>
          <w:lang w:eastAsia="zh-CN"/>
        </w:rPr>
        <w:t>验收。</w:t>
      </w:r>
    </w:p>
    <w:p>
      <w:pPr>
        <w:pStyle w:val="5"/>
        <w:rPr>
          <w:color w:val="auto"/>
          <w:highlight w:val="none"/>
        </w:rPr>
      </w:pPr>
      <w:bookmarkStart w:id="209" w:name="_Toc29019"/>
      <w:bookmarkStart w:id="210" w:name="_Toc27436"/>
      <w:r>
        <w:rPr>
          <w:rFonts w:hint="eastAsia"/>
          <w:color w:val="auto"/>
          <w:highlight w:val="none"/>
        </w:rPr>
        <w:t>项目</w:t>
      </w:r>
      <w:r>
        <w:rPr>
          <w:rFonts w:hint="eastAsia"/>
          <w:color w:val="auto"/>
          <w:highlight w:val="none"/>
          <w:lang w:val="en-US" w:eastAsia="zh-CN"/>
        </w:rPr>
        <w:t>成果</w:t>
      </w:r>
      <w:r>
        <w:rPr>
          <w:rFonts w:hint="eastAsia"/>
          <w:color w:val="auto"/>
          <w:highlight w:val="none"/>
        </w:rPr>
        <w:t>要求</w:t>
      </w:r>
      <w:bookmarkEnd w:id="209"/>
      <w:bookmarkEnd w:id="210"/>
    </w:p>
    <w:p>
      <w:pPr>
        <w:spacing w:line="360" w:lineRule="auto"/>
        <w:ind w:firstLine="480" w:firstLineChars="200"/>
        <w:rPr>
          <w:rFonts w:hint="eastAsia" w:eastAsia="宋体"/>
          <w:color w:val="auto"/>
          <w:szCs w:val="22"/>
          <w:highlight w:val="none"/>
          <w:lang w:eastAsia="zh-CN"/>
        </w:rPr>
      </w:pPr>
      <w:r>
        <w:rPr>
          <w:rFonts w:hint="eastAsia"/>
          <w:color w:val="auto"/>
          <w:szCs w:val="22"/>
          <w:highlight w:val="none"/>
          <w:lang w:val="en-US" w:eastAsia="zh-CN"/>
        </w:rPr>
        <w:t>（1）</w:t>
      </w:r>
      <w:r>
        <w:rPr>
          <w:rFonts w:hint="eastAsia" w:eastAsia="宋体"/>
          <w:color w:val="auto"/>
          <w:szCs w:val="22"/>
          <w:highlight w:val="none"/>
          <w:lang w:eastAsia="zh-CN"/>
        </w:rPr>
        <w:t>对浙江水利规划的重点工作进行影像拍摄纪录。</w:t>
      </w:r>
    </w:p>
    <w:p>
      <w:pPr>
        <w:spacing w:line="360" w:lineRule="auto"/>
        <w:ind w:firstLine="480" w:firstLineChars="200"/>
        <w:rPr>
          <w:rFonts w:hint="eastAsia" w:eastAsia="宋体"/>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2</w:t>
      </w:r>
      <w:r>
        <w:rPr>
          <w:rFonts w:hint="eastAsia"/>
          <w:color w:val="auto"/>
          <w:szCs w:val="22"/>
          <w:highlight w:val="none"/>
          <w:lang w:eastAsia="zh-CN"/>
        </w:rPr>
        <w:t>）</w:t>
      </w:r>
      <w:r>
        <w:rPr>
          <w:rFonts w:hint="eastAsia" w:eastAsia="宋体"/>
          <w:color w:val="auto"/>
          <w:szCs w:val="22"/>
          <w:highlight w:val="none"/>
          <w:lang w:eastAsia="zh-CN"/>
        </w:rPr>
        <w:t>完成</w:t>
      </w:r>
      <w:r>
        <w:rPr>
          <w:rFonts w:hint="eastAsia"/>
          <w:color w:val="auto"/>
          <w:szCs w:val="22"/>
          <w:highlight w:val="none"/>
          <w:lang w:eastAsia="zh-CN"/>
        </w:rPr>
        <w:t>两</w:t>
      </w:r>
      <w:r>
        <w:rPr>
          <w:rFonts w:hint="eastAsia" w:eastAsia="宋体"/>
          <w:color w:val="auto"/>
          <w:szCs w:val="22"/>
          <w:highlight w:val="none"/>
          <w:lang w:eastAsia="zh-CN"/>
        </w:rPr>
        <w:t>部浙江水利规划</w:t>
      </w:r>
      <w:r>
        <w:rPr>
          <w:rFonts w:hint="eastAsia"/>
          <w:color w:val="auto"/>
          <w:szCs w:val="22"/>
          <w:highlight w:val="none"/>
          <w:lang w:eastAsia="zh-CN"/>
        </w:rPr>
        <w:t>重要专题</w:t>
      </w:r>
      <w:r>
        <w:rPr>
          <w:rFonts w:hint="eastAsia" w:eastAsia="宋体"/>
          <w:color w:val="auto"/>
          <w:szCs w:val="22"/>
          <w:highlight w:val="none"/>
          <w:lang w:eastAsia="zh-CN"/>
        </w:rPr>
        <w:t>宣传片的摄制</w:t>
      </w:r>
      <w:r>
        <w:rPr>
          <w:rFonts w:hint="eastAsia"/>
          <w:color w:val="auto"/>
          <w:szCs w:val="22"/>
          <w:highlight w:val="none"/>
          <w:lang w:eastAsia="zh-CN"/>
        </w:rPr>
        <w:t>，每部</w:t>
      </w:r>
      <w:r>
        <w:rPr>
          <w:rFonts w:hint="eastAsia"/>
          <w:color w:val="auto"/>
          <w:szCs w:val="22"/>
          <w:highlight w:val="none"/>
          <w:lang w:val="en-US" w:eastAsia="zh-CN"/>
        </w:rPr>
        <w:t>8-10分钟左右。</w:t>
      </w:r>
    </w:p>
    <w:p>
      <w:pPr>
        <w:pStyle w:val="2"/>
        <w:ind w:firstLine="480" w:firstLineChars="200"/>
        <w:rPr>
          <w:rFonts w:hint="default" w:ascii="Times New Roman" w:hAnsi="Times New Roman" w:eastAsia="宋体" w:cs="Times New Roman"/>
          <w:color w:val="auto"/>
          <w:kern w:val="0"/>
          <w:sz w:val="24"/>
          <w:szCs w:val="22"/>
          <w:highlight w:val="none"/>
          <w:lang w:val="en-US" w:eastAsia="zh-CN" w:bidi="ar-SA"/>
        </w:rPr>
      </w:pPr>
      <w:r>
        <w:rPr>
          <w:rFonts w:hint="eastAsia"/>
          <w:color w:val="auto"/>
          <w:szCs w:val="22"/>
          <w:highlight w:val="none"/>
          <w:lang w:eastAsia="zh-CN"/>
        </w:rPr>
        <w:t>（</w:t>
      </w:r>
      <w:r>
        <w:rPr>
          <w:rFonts w:hint="eastAsia"/>
          <w:color w:val="auto"/>
          <w:szCs w:val="22"/>
          <w:highlight w:val="none"/>
          <w:lang w:val="en-US" w:eastAsia="zh-CN"/>
        </w:rPr>
        <w:t>3</w:t>
      </w:r>
      <w:r>
        <w:rPr>
          <w:rFonts w:hint="eastAsia"/>
          <w:color w:val="auto"/>
          <w:szCs w:val="22"/>
          <w:highlight w:val="none"/>
          <w:lang w:eastAsia="zh-CN"/>
        </w:rPr>
        <w:t>）</w:t>
      </w:r>
      <w:r>
        <w:rPr>
          <w:rFonts w:hint="eastAsia" w:eastAsia="宋体"/>
          <w:color w:val="auto"/>
          <w:szCs w:val="22"/>
          <w:highlight w:val="none"/>
          <w:lang w:eastAsia="zh-CN"/>
        </w:rPr>
        <w:t>在省级媒体平台完成对浙江水利规划宣传片的宣传。</w:t>
      </w:r>
    </w:p>
    <w:p>
      <w:pPr>
        <w:pStyle w:val="5"/>
        <w:rPr>
          <w:color w:val="auto"/>
          <w:highlight w:val="none"/>
        </w:rPr>
      </w:pPr>
      <w:bookmarkStart w:id="211" w:name="_Toc16906"/>
      <w:bookmarkStart w:id="212" w:name="_Toc6697"/>
      <w:bookmarkStart w:id="213" w:name="_Toc61532615"/>
      <w:bookmarkStart w:id="214" w:name="_Toc17553"/>
      <w:r>
        <w:rPr>
          <w:color w:val="auto"/>
          <w:highlight w:val="none"/>
        </w:rPr>
        <w:t>验收方式</w:t>
      </w:r>
      <w:bookmarkEnd w:id="211"/>
      <w:bookmarkEnd w:id="212"/>
      <w:bookmarkEnd w:id="213"/>
      <w:bookmarkEnd w:id="214"/>
    </w:p>
    <w:p>
      <w:pPr>
        <w:spacing w:line="360" w:lineRule="auto"/>
        <w:ind w:firstLine="480" w:firstLineChars="200"/>
        <w:rPr>
          <w:rFonts w:hint="default" w:ascii="宋体" w:hAnsi="宋体" w:cs="Arial"/>
          <w:color w:val="auto"/>
          <w:szCs w:val="24"/>
          <w:highlight w:val="none"/>
          <w:lang w:val="en-US" w:eastAsia="zh-CN"/>
        </w:rPr>
      </w:pPr>
      <w:bookmarkStart w:id="215" w:name="_Toc24503"/>
      <w:bookmarkStart w:id="216" w:name="_Toc61532616"/>
      <w:r>
        <w:rPr>
          <w:rFonts w:hint="eastAsia" w:ascii="宋体" w:hAnsi="宋体" w:cs="Arial"/>
          <w:color w:val="auto"/>
          <w:szCs w:val="24"/>
          <w:highlight w:val="none"/>
          <w:lang w:val="en-US" w:eastAsia="zh-CN"/>
        </w:rPr>
        <w:t>通过浙江省水利厅组织的专家评审验收。</w:t>
      </w:r>
    </w:p>
    <w:p>
      <w:pPr>
        <w:pStyle w:val="5"/>
        <w:rPr>
          <w:color w:val="auto"/>
          <w:highlight w:val="none"/>
        </w:rPr>
      </w:pPr>
      <w:bookmarkStart w:id="217" w:name="_Toc15242"/>
      <w:bookmarkStart w:id="218" w:name="_Toc21269"/>
      <w:r>
        <w:rPr>
          <w:color w:val="auto"/>
          <w:highlight w:val="none"/>
        </w:rPr>
        <w:t>付款方式</w:t>
      </w:r>
      <w:bookmarkEnd w:id="215"/>
      <w:bookmarkEnd w:id="216"/>
      <w:bookmarkEnd w:id="217"/>
      <w:bookmarkEnd w:id="218"/>
    </w:p>
    <w:p>
      <w:pPr>
        <w:spacing w:line="360" w:lineRule="auto"/>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自合同签订之日起1个月内，支付项目总价款的50%；</w:t>
      </w:r>
    </w:p>
    <w:p>
      <w:pPr>
        <w:spacing w:line="360" w:lineRule="auto"/>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.提交两部专题片初步成果后，</w:t>
      </w:r>
      <w:r>
        <w:rPr>
          <w:rFonts w:hint="eastAsia"/>
          <w:color w:val="auto"/>
          <w:highlight w:val="none"/>
        </w:rPr>
        <w:t>1个月内支付项目总价款的41%；</w:t>
      </w:r>
    </w:p>
    <w:p>
      <w:pPr>
        <w:spacing w:line="360" w:lineRule="auto"/>
        <w:ind w:firstLine="480" w:firstLineChars="200"/>
        <w:rPr>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项目验收通过后1个月内，支付尾款。</w:t>
      </w:r>
    </w:p>
    <w:p>
      <w:pPr>
        <w:pStyle w:val="5"/>
        <w:rPr>
          <w:color w:val="auto"/>
          <w:highlight w:val="none"/>
        </w:rPr>
      </w:pPr>
      <w:bookmarkStart w:id="219" w:name="_Toc8023"/>
      <w:bookmarkStart w:id="220" w:name="_Toc7809"/>
      <w:bookmarkStart w:id="221" w:name="_Toc10900"/>
      <w:r>
        <w:rPr>
          <w:rFonts w:hint="eastAsia"/>
          <w:color w:val="auto"/>
          <w:highlight w:val="none"/>
        </w:rPr>
        <w:t>其他要求</w:t>
      </w:r>
      <w:bookmarkEnd w:id="219"/>
      <w:bookmarkEnd w:id="220"/>
      <w:bookmarkEnd w:id="221"/>
    </w:p>
    <w:p>
      <w:pPr>
        <w:adjustRightInd/>
        <w:spacing w:line="360" w:lineRule="auto"/>
        <w:ind w:firstLine="480" w:firstLineChars="200"/>
        <w:rPr>
          <w:color w:val="auto"/>
          <w:highlight w:val="none"/>
        </w:rPr>
      </w:pPr>
      <w:r>
        <w:rPr>
          <w:color w:val="auto"/>
          <w:highlight w:val="none"/>
        </w:rPr>
        <w:t>中标供应商应按照《浙江省水利厅关于加强部门项目支出预算管理的通知》（浙水办计[201</w:t>
      </w:r>
      <w:r>
        <w:rPr>
          <w:rFonts w:hint="eastAsia"/>
          <w:color w:val="auto"/>
          <w:highlight w:val="none"/>
          <w:lang w:val="en-US" w:eastAsia="zh-CN"/>
        </w:rPr>
        <w:t>8</w:t>
      </w:r>
      <w:r>
        <w:rPr>
          <w:color w:val="auto"/>
          <w:highlight w:val="none"/>
        </w:rPr>
        <w:t>]9号）要求，加强项目管理。项目验收时提供专项财务支出记录</w:t>
      </w:r>
      <w:r>
        <w:rPr>
          <w:rFonts w:hint="eastAsia"/>
          <w:color w:val="auto"/>
          <w:highlight w:val="none"/>
        </w:rPr>
        <w:t>。</w:t>
      </w:r>
    </w:p>
    <w:p>
      <w:pPr>
        <w:adjustRightInd/>
        <w:spacing w:line="360" w:lineRule="auto"/>
        <w:ind w:firstLine="480" w:firstLineChars="200"/>
        <w:rPr>
          <w:color w:val="auto"/>
          <w:highlight w:val="none"/>
        </w:rPr>
      </w:pPr>
    </w:p>
    <w:p>
      <w:pPr>
        <w:spacing w:line="360" w:lineRule="auto"/>
        <w:ind w:firstLine="480" w:firstLineChars="200"/>
        <w:rPr>
          <w:rFonts w:ascii="Times New Roman" w:hAnsi="Times New Roman" w:eastAsia="宋体" w:cs="Times New Roman"/>
          <w:color w:val="auto"/>
          <w:highlight w:val="none"/>
        </w:rPr>
      </w:pP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spacing w:line="360" w:lineRule="auto"/>
        <w:ind w:firstLine="480" w:firstLineChars="200"/>
        <w:rPr>
          <w:color w:val="auto"/>
          <w:highlight w:val="none"/>
        </w:rPr>
      </w:pPr>
    </w:p>
    <w:p>
      <w:pPr>
        <w:pStyle w:val="4"/>
        <w:rPr>
          <w:color w:val="auto"/>
          <w:highlight w:val="none"/>
        </w:rPr>
      </w:pPr>
      <w:bookmarkStart w:id="222" w:name="_Toc24958"/>
      <w:r>
        <w:rPr>
          <w:rFonts w:hint="eastAsia"/>
          <w:color w:val="auto"/>
          <w:highlight w:val="none"/>
        </w:rPr>
        <w:t>投标文件格式</w:t>
      </w:r>
      <w:bookmarkEnd w:id="222"/>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浙江省水利规划重要专题视频设计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202404046</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pPr>
        <w:pStyle w:val="3"/>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1"/>
        <w:spacing w:before="0" w:beforeAutospacing="0" w:after="0" w:afterAutospacing="0" w:line="360" w:lineRule="auto"/>
        <w:jc w:val="both"/>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jc w:val="left"/>
        <w:rPr>
          <w:b/>
          <w:color w:val="auto"/>
          <w:sz w:val="30"/>
          <w:szCs w:val="30"/>
          <w:highlight w:val="none"/>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w:t>
      </w:r>
      <w:r>
        <w:rPr>
          <w:rFonts w:hint="eastAsia"/>
          <w:b/>
          <w:bCs/>
          <w:color w:val="auto"/>
          <w:sz w:val="32"/>
          <w:szCs w:val="32"/>
          <w:highlight w:val="none"/>
        </w:rPr>
        <w:t>授权委托书或法定代表人（单位负责人、自然人本人）身份证明</w:t>
      </w:r>
    </w:p>
    <w:p>
      <w:pPr>
        <w:jc w:val="center"/>
        <w:rPr>
          <w:b/>
          <w:bCs/>
          <w:color w:val="auto"/>
          <w:sz w:val="44"/>
          <w:highlight w:val="none"/>
        </w:rPr>
      </w:pPr>
      <w:r>
        <w:rPr>
          <w:b/>
          <w:bCs/>
          <w:color w:val="auto"/>
          <w:sz w:val="44"/>
          <w:highlight w:val="none"/>
        </w:rPr>
        <w:t>授权委托书</w:t>
      </w:r>
    </w:p>
    <w:p>
      <w:pPr>
        <w:jc w:val="left"/>
        <w:rPr>
          <w:color w:val="auto"/>
          <w:sz w:val="28"/>
          <w:highlight w:val="none"/>
        </w:rPr>
      </w:pPr>
    </w:p>
    <w:p>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val="en-US" w:eastAsia="zh-CN"/>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pPr>
        <w:spacing w:line="360" w:lineRule="auto"/>
        <w:jc w:val="left"/>
        <w:rPr>
          <w:color w:val="auto"/>
          <w:szCs w:val="24"/>
          <w:highlight w:val="none"/>
        </w:rPr>
      </w:pPr>
    </w:p>
    <w:p>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pPr>
        <w:spacing w:line="360" w:lineRule="auto"/>
        <w:jc w:val="left"/>
        <w:rPr>
          <w:color w:val="auto"/>
          <w:szCs w:val="24"/>
          <w:highlight w:val="none"/>
        </w:rPr>
      </w:pPr>
    </w:p>
    <w:p>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w:t>
      </w:r>
      <w:r>
        <w:rPr>
          <w:rFonts w:hint="eastAsia" w:ascii="Times New Roman" w:hAnsi="Times New Roman"/>
          <w:snapToGrid w:val="0"/>
          <w:color w:val="auto"/>
          <w:highlight w:val="none"/>
        </w:rPr>
        <w:t>（公章或电子签章）</w:t>
      </w:r>
      <w:r>
        <w:rPr>
          <w:rFonts w:hint="eastAsia" w:ascii="宋体" w:hAnsi="宋体" w:eastAsia="宋体" w:cs="宋体"/>
          <w:color w:val="auto"/>
          <w:szCs w:val="24"/>
          <w:highlight w:val="none"/>
          <w:lang w:val="zh-CN"/>
        </w:rPr>
        <w:t>：</w:t>
      </w:r>
    </w:p>
    <w:p>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spacing w:line="360" w:lineRule="auto"/>
        <w:jc w:val="left"/>
        <w:rPr>
          <w:color w:val="auto"/>
          <w:szCs w:val="24"/>
          <w:highlight w:val="none"/>
        </w:rPr>
      </w:pPr>
    </w:p>
    <w:p>
      <w:pPr>
        <w:spacing w:line="480" w:lineRule="auto"/>
        <w:jc w:val="left"/>
        <w:rPr>
          <w:color w:val="auto"/>
          <w:szCs w:val="24"/>
          <w:highlight w:val="none"/>
        </w:rPr>
      </w:pPr>
      <w:r>
        <w:rPr>
          <w:color w:val="auto"/>
          <w:szCs w:val="24"/>
          <w:highlight w:val="none"/>
        </w:rPr>
        <w:t>附：</w:t>
      </w:r>
    </w:p>
    <w:p>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pPr>
        <w:spacing w:line="360" w:lineRule="auto"/>
        <w:ind w:firstLine="480" w:firstLineChars="200"/>
        <w:jc w:val="left"/>
        <w:rPr>
          <w:color w:val="auto"/>
          <w:szCs w:val="24"/>
          <w:highlight w:val="none"/>
        </w:rPr>
      </w:pPr>
      <w:r>
        <w:rPr>
          <w:color w:val="auto"/>
          <w:szCs w:val="24"/>
          <w:highlight w:val="none"/>
        </w:rPr>
        <w:t>法定代表身份证复印件（正、反面）</w:t>
      </w:r>
    </w:p>
    <w:p>
      <w:pPr>
        <w:ind w:firstLine="480" w:firstLineChars="200"/>
        <w:rPr>
          <w:color w:val="auto"/>
          <w:szCs w:val="24"/>
          <w:highlight w:val="none"/>
        </w:rPr>
      </w:pPr>
      <w:r>
        <w:rPr>
          <w:color w:val="auto"/>
          <w:szCs w:val="24"/>
          <w:highlight w:val="none"/>
        </w:rPr>
        <w:t>授权代表身份证复印件（正、反面）</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p>
    <w:p>
      <w:pPr>
        <w:autoSpaceDE/>
        <w:autoSpaceDN/>
        <w:snapToGrid w:val="0"/>
        <w:spacing w:line="360" w:lineRule="auto"/>
        <w:textAlignment w:val="auto"/>
        <w:rPr>
          <w:rFonts w:ascii="宋体" w:hAnsi="宋体" w:cs="宋体"/>
          <w:color w:val="auto"/>
          <w:kern w:val="2"/>
          <w:szCs w:val="24"/>
          <w:highlight w:val="none"/>
        </w:rPr>
      </w:pP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7"/>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r>
        <w:rPr>
          <w:b/>
          <w:bCs/>
          <w:color w:val="auto"/>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rPr>
          <w:b/>
          <w:color w:val="auto"/>
          <w:sz w:val="30"/>
          <w:szCs w:val="30"/>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浙江省水利规划重要专题视频设计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202404046</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（5）技术方案................................................................................................................页码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2"/>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w:t>
      </w:r>
    </w:p>
    <w:p>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6"/>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ind w:firstLine="4800" w:firstLineChars="2000"/>
        <w:rPr>
          <w:rFonts w:ascii="Times New Roman" w:hAnsi="Times New Roman"/>
          <w:snapToGrid w:val="0"/>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浙江省水利规划重要专题视频设计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202404046</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5"/>
        <w:tblW w:w="943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33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3391" w:type="dxa"/>
            <w:vAlign w:val="center"/>
          </w:tcPr>
          <w:p>
            <w:pPr>
              <w:spacing w:line="540" w:lineRule="exact"/>
              <w:jc w:val="center"/>
              <w:rPr>
                <w:color w:val="auto"/>
                <w:szCs w:val="24"/>
                <w:highlight w:val="none"/>
              </w:rPr>
            </w:pPr>
            <w:r>
              <w:rPr>
                <w:color w:val="auto"/>
                <w:szCs w:val="24"/>
                <w:highlight w:val="none"/>
              </w:rPr>
              <w:t>项目完成时间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3391"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pPr>
              <w:snapToGrid w:val="0"/>
              <w:jc w:val="center"/>
              <w:rPr>
                <w:b/>
                <w:bCs/>
                <w:color w:val="auto"/>
                <w:highlight w:val="none"/>
              </w:rPr>
            </w:pPr>
            <w:r>
              <w:rPr>
                <w:b/>
                <w:bCs/>
                <w:color w:val="auto"/>
                <w:highlight w:val="none"/>
              </w:rPr>
              <w:t>序号</w:t>
            </w:r>
          </w:p>
        </w:tc>
        <w:tc>
          <w:tcPr>
            <w:tcW w:w="1782" w:type="dxa"/>
            <w:vAlign w:val="center"/>
          </w:tcPr>
          <w:p>
            <w:pPr>
              <w:snapToGrid w:val="0"/>
              <w:jc w:val="center"/>
              <w:rPr>
                <w:b/>
                <w:bCs/>
                <w:color w:val="auto"/>
                <w:highlight w:val="none"/>
              </w:rPr>
            </w:pPr>
            <w:r>
              <w:rPr>
                <w:b/>
                <w:bCs/>
                <w:color w:val="auto"/>
                <w:highlight w:val="none"/>
              </w:rPr>
              <w:t>项目</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pStyle w:val="4"/>
        <w:rPr>
          <w:color w:val="auto"/>
          <w:highlight w:val="none"/>
        </w:rPr>
      </w:pPr>
      <w:bookmarkStart w:id="223" w:name="_Toc30717"/>
      <w:r>
        <w:rPr>
          <w:rFonts w:hint="eastAsia"/>
          <w:color w:val="auto"/>
          <w:highlight w:val="none"/>
        </w:rPr>
        <w:t>项目委托合同（样本）</w:t>
      </w:r>
      <w:bookmarkEnd w:id="223"/>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widowControl/>
        <w:autoSpaceDE/>
        <w:autoSpaceDN/>
        <w:adjustRightInd/>
        <w:spacing w:line="300" w:lineRule="auto"/>
        <w:jc w:val="center"/>
        <w:textAlignment w:val="auto"/>
        <w:rPr>
          <w:color w:val="auto"/>
          <w:sz w:val="28"/>
          <w:highlight w:val="none"/>
        </w:rPr>
      </w:pPr>
      <w:r>
        <w:rPr>
          <w:color w:val="auto"/>
          <w:sz w:val="28"/>
          <w:highlight w:val="none"/>
        </w:rPr>
        <w:t>(试    用)</w:t>
      </w: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浙江省水利规划重要专题视频设计</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704350710"/>
        </w:rPr>
        <w:t>委托方</w:t>
      </w:r>
      <w:r>
        <w:rPr>
          <w:color w:val="auto"/>
          <w:spacing w:val="0"/>
          <w:kern w:val="0"/>
          <w:sz w:val="30"/>
          <w:highlight w:val="none"/>
          <w:fitText w:val="1500" w:id="1704350710"/>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704350710"/>
        </w:rPr>
        <w:t>服务方</w:t>
      </w:r>
      <w:r>
        <w:rPr>
          <w:color w:val="auto"/>
          <w:spacing w:val="0"/>
          <w:kern w:val="0"/>
          <w:sz w:val="30"/>
          <w:highlight w:val="none"/>
          <w:fitText w:val="1500" w:id="1704350710"/>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704350710"/>
        </w:rPr>
        <w:t>鉴证方</w:t>
      </w:r>
      <w:r>
        <w:rPr>
          <w:color w:val="auto"/>
          <w:spacing w:val="0"/>
          <w:kern w:val="0"/>
          <w:sz w:val="30"/>
          <w:highlight w:val="none"/>
          <w:fitText w:val="1500" w:id="1704350710"/>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浙江省水利规划重要专题视频设计</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pPr>
              <w:autoSpaceDE/>
              <w:autoSpaceDN/>
              <w:spacing w:line="360" w:lineRule="auto"/>
              <w:ind w:firstLine="480" w:firstLineChars="200"/>
              <w:textAlignment w:val="auto"/>
              <w:rPr>
                <w:color w:val="auto"/>
                <w:szCs w:val="24"/>
                <w:highlight w:val="none"/>
              </w:rPr>
            </w:pPr>
            <w:r>
              <w:rPr>
                <w:rFonts w:hint="eastAsia"/>
                <w:color w:val="auto"/>
                <w:highlight w:val="none"/>
                <w:lang w:eastAsia="zh-CN"/>
              </w:rPr>
              <w:t>为加快推进高质量现代化水利设施网，坚定不移践行十六字治水思路，围绕“建现代水网、保浙水安澜、促共同富裕”，加快推进全省水利工程建设，为高质量发展建设共同富裕示范区提供强有力的水资源安全保障，将开展浙江水网建设、水资源规划及“千项万亿”水网安澜提升等工程建设及有关重要推进举措等视频制作。针对我省主要水利工程建设情况进行拍摄，并收集影像材料，选择能反映行动计划建设进展中的角度及场景，通过专业视频制作软件（如AE、PR），将视频、图像、文字、音频等素材经过非线性编辑后，添加转场特效、字幕特效、数据注释的功能，合成视频。形成的专题视频能够反映典型工程进展和建设特色、典型案例开展情况和成效，使各级领导和广大群众对我省水利规划重要专题研究成果能全面深入地了解。本项目将完成两部浙江省水利规划重要专题视频设计制作。</w:t>
            </w:r>
          </w:p>
          <w:p>
            <w:pPr>
              <w:rPr>
                <w:rFonts w:hint="eastAsia"/>
                <w:color w:val="auto"/>
                <w:highlight w:val="none"/>
              </w:rPr>
            </w:pPr>
          </w:p>
          <w:p>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pPr>
              <w:rPr>
                <w:rFonts w:hint="eastAsia"/>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pPr>
              <w:autoSpaceDE/>
              <w:autoSpaceDN/>
              <w:spacing w:line="336" w:lineRule="auto"/>
              <w:ind w:firstLine="480" w:firstLineChars="200"/>
              <w:textAlignment w:val="auto"/>
              <w:rPr>
                <w:rFonts w:hint="eastAsia"/>
                <w:color w:val="auto"/>
                <w:szCs w:val="24"/>
                <w:highlight w:val="none"/>
              </w:rPr>
            </w:pPr>
            <w:r>
              <w:rPr>
                <w:rFonts w:hint="eastAsia"/>
                <w:color w:val="auto"/>
                <w:szCs w:val="24"/>
                <w:highlight w:val="none"/>
              </w:rPr>
              <w:t>（1）2024年6月底前完成一部水利规划重要专题视频框架及脚本。</w:t>
            </w:r>
          </w:p>
          <w:p>
            <w:pPr>
              <w:autoSpaceDE/>
              <w:autoSpaceDN/>
              <w:spacing w:line="336" w:lineRule="auto"/>
              <w:ind w:firstLine="480" w:firstLineChars="200"/>
              <w:textAlignment w:val="auto"/>
              <w:rPr>
                <w:rFonts w:hint="eastAsia"/>
                <w:color w:val="auto"/>
                <w:szCs w:val="24"/>
                <w:highlight w:val="none"/>
              </w:rPr>
            </w:pPr>
            <w:r>
              <w:rPr>
                <w:rFonts w:hint="eastAsia"/>
                <w:color w:val="auto"/>
                <w:szCs w:val="24"/>
                <w:highlight w:val="none"/>
              </w:rPr>
              <w:t>（2）2024年9月底完成一部水利规划重要专题宣传片的拍摄工作与剪辑制作。</w:t>
            </w:r>
          </w:p>
          <w:p>
            <w:pPr>
              <w:autoSpaceDE/>
              <w:autoSpaceDN/>
              <w:spacing w:line="336" w:lineRule="auto"/>
              <w:ind w:firstLine="480" w:firstLineChars="200"/>
              <w:textAlignment w:val="auto"/>
              <w:rPr>
                <w:color w:val="auto"/>
                <w:szCs w:val="24"/>
                <w:highlight w:val="none"/>
              </w:rPr>
            </w:pPr>
            <w:r>
              <w:rPr>
                <w:rFonts w:hint="eastAsia"/>
                <w:color w:val="auto"/>
                <w:szCs w:val="24"/>
                <w:highlight w:val="none"/>
              </w:rPr>
              <w:t>（3）2024年10月底前完成两部水利规划重要专题宣传片的宣传工作,11月底前完成验收。</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服务方负责提交下列成果：</w:t>
            </w:r>
          </w:p>
          <w:p>
            <w:pPr>
              <w:autoSpaceDE/>
              <w:autoSpaceDN/>
              <w:spacing w:line="336" w:lineRule="auto"/>
              <w:ind w:firstLine="480" w:firstLineChars="200"/>
              <w:textAlignment w:val="auto"/>
              <w:rPr>
                <w:rFonts w:hint="default" w:eastAsia="宋体"/>
                <w:color w:val="auto"/>
                <w:szCs w:val="24"/>
                <w:highlight w:val="none"/>
                <w:lang w:val="en-US" w:eastAsia="zh-CN"/>
              </w:rPr>
            </w:pPr>
            <w:r>
              <w:rPr>
                <w:rFonts w:hint="default" w:eastAsia="宋体"/>
                <w:color w:val="auto"/>
                <w:szCs w:val="24"/>
                <w:highlight w:val="none"/>
                <w:lang w:val="en-US" w:eastAsia="zh-CN"/>
              </w:rPr>
              <w:t>（1）对浙江水利规划的重点工作进行影像拍摄纪录。</w:t>
            </w:r>
          </w:p>
          <w:p>
            <w:pPr>
              <w:autoSpaceDE/>
              <w:autoSpaceDN/>
              <w:spacing w:line="336" w:lineRule="auto"/>
              <w:ind w:firstLine="480" w:firstLineChars="200"/>
              <w:textAlignment w:val="auto"/>
              <w:rPr>
                <w:rFonts w:hint="default" w:eastAsia="宋体"/>
                <w:color w:val="auto"/>
                <w:szCs w:val="24"/>
                <w:highlight w:val="none"/>
                <w:lang w:val="en-US" w:eastAsia="zh-CN"/>
              </w:rPr>
            </w:pPr>
            <w:r>
              <w:rPr>
                <w:rFonts w:hint="default" w:eastAsia="宋体"/>
                <w:color w:val="auto"/>
                <w:szCs w:val="24"/>
                <w:highlight w:val="none"/>
                <w:lang w:val="en-US" w:eastAsia="zh-CN"/>
              </w:rPr>
              <w:t>（2）完成两部浙江水利规划重要专题宣传片的摄制，每部8-10分钟左右。</w:t>
            </w:r>
          </w:p>
          <w:p>
            <w:pPr>
              <w:autoSpaceDE/>
              <w:autoSpaceDN/>
              <w:spacing w:line="336" w:lineRule="auto"/>
              <w:ind w:firstLine="480" w:firstLineChars="200"/>
              <w:textAlignment w:val="auto"/>
              <w:rPr>
                <w:rFonts w:hint="default" w:eastAsia="宋体"/>
                <w:color w:val="auto"/>
                <w:szCs w:val="24"/>
                <w:highlight w:val="none"/>
                <w:lang w:val="en-US" w:eastAsia="zh-CN"/>
              </w:rPr>
            </w:pPr>
            <w:r>
              <w:rPr>
                <w:rFonts w:hint="default" w:eastAsia="宋体"/>
                <w:color w:val="auto"/>
                <w:szCs w:val="24"/>
                <w:highlight w:val="none"/>
                <w:lang w:val="en-US" w:eastAsia="zh-CN"/>
              </w:rPr>
              <w:t>（3）在省级媒体平台完成对浙江水利规划宣传片的宣传。</w:t>
            </w:r>
          </w:p>
          <w:p>
            <w:pPr>
              <w:rPr>
                <w:rFonts w:hint="eastAsia"/>
                <w:color w:val="auto"/>
                <w:highlight w:val="none"/>
              </w:rPr>
            </w:pPr>
          </w:p>
          <w:p>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pPr>
              <w:rPr>
                <w:rFonts w:hint="eastAsia"/>
                <w:color w:val="auto"/>
                <w:highlight w:val="none"/>
                <w:lang w:eastAsia="zh-CN"/>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right="92" w:firstLine="480" w:firstLineChars="200"/>
              <w:rPr>
                <w:color w:val="auto"/>
                <w:szCs w:val="24"/>
                <w:highlight w:val="none"/>
              </w:rPr>
            </w:pPr>
            <w:r>
              <w:rPr>
                <w:color w:val="auto"/>
                <w:szCs w:val="24"/>
                <w:highlight w:val="none"/>
              </w:rPr>
              <w:t>（1）鉴定会鉴定；     （2）专家评审；    （3）委托方直接认可；</w:t>
            </w:r>
          </w:p>
          <w:p>
            <w:pPr>
              <w:autoSpaceDE/>
              <w:autoSpaceDN/>
              <w:spacing w:line="336" w:lineRule="auto"/>
              <w:ind w:firstLine="480" w:firstLineChars="200"/>
              <w:textAlignment w:val="auto"/>
              <w:rPr>
                <w:color w:val="auto"/>
                <w:szCs w:val="24"/>
                <w:highlight w:val="none"/>
              </w:rPr>
            </w:pPr>
            <w:r>
              <w:rPr>
                <w:color w:val="auto"/>
                <w:szCs w:val="24"/>
                <w:highlight w:val="none"/>
              </w:rPr>
              <w:t>（4）其他方式（双方约定）。</w:t>
            </w: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pPr>
              <w:spacing w:line="336" w:lineRule="auto"/>
              <w:ind w:left="120" w:right="92" w:firstLine="390"/>
              <w:rPr>
                <w:color w:val="auto"/>
                <w:highlight w:val="none"/>
              </w:rPr>
            </w:pPr>
            <w:r>
              <w:rPr>
                <w:color w:val="auto"/>
                <w:highlight w:val="none"/>
              </w:rPr>
              <w:t>服务方完成专业技术工作，解决技术问题需要的经费，由    方负担。</w:t>
            </w:r>
          </w:p>
          <w:p>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pPr>
              <w:numPr>
                <w:ilvl w:val="0"/>
                <w:numId w:val="4"/>
              </w:numPr>
              <w:spacing w:line="336" w:lineRule="auto"/>
              <w:ind w:left="120" w:right="92" w:firstLine="390"/>
              <w:rPr>
                <w:rFonts w:hint="eastAsia"/>
                <w:color w:val="auto"/>
                <w:highlight w:val="none"/>
              </w:rPr>
            </w:pPr>
            <w:r>
              <w:rPr>
                <w:rFonts w:hint="eastAsia"/>
                <w:color w:val="auto"/>
                <w:highlight w:val="none"/>
                <w:lang w:val="en-US" w:eastAsia="zh-CN"/>
              </w:rPr>
              <w:t>自合同签订之日起1个月内，支付项目总价款的50%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rPr>
              <w:t>完提交两部专题片初步成果后，1个月内支付项目总价款的41%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lang w:val="en-US" w:eastAsia="zh-CN"/>
              </w:rPr>
              <w:t>项目验收通过后1个月内，支付尾款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line="360" w:lineRule="auto"/>
              <w:ind w:left="120" w:right="92" w:firstLine="39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pPr>
              <w:spacing w:line="336" w:lineRule="auto"/>
              <w:ind w:left="120" w:right="92"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在合同履行过程中发生争议</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双方应当协商解决。</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当事人不愿协商、调解解决或者协商、调解不成的，双方商定采用以下第</w:t>
            </w:r>
            <w:r>
              <w:rPr>
                <w:rFonts w:hint="eastAsia" w:ascii="Times New Roman" w:hAnsi="Times New Roman" w:eastAsia="宋体" w:cs="Times New Roman"/>
                <w:color w:val="auto"/>
                <w:szCs w:val="24"/>
                <w:highlight w:val="none"/>
                <w:u w:val="single"/>
              </w:rPr>
              <w:t xml:space="preserve"> （一） </w:t>
            </w:r>
            <w:r>
              <w:rPr>
                <w:rFonts w:ascii="Times New Roman" w:hAnsi="Times New Roman" w:eastAsia="宋体" w:cs="Times New Roman"/>
                <w:color w:val="auto"/>
                <w:szCs w:val="24"/>
                <w:highlight w:val="none"/>
              </w:rPr>
              <w:t>种方式解决。</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一</w:t>
            </w:r>
            <w:r>
              <w:rPr>
                <w:rFonts w:hint="eastAsia" w:ascii="Times New Roman" w:hAnsi="Times New Roman" w:eastAsia="宋体" w:cs="Times New Roman"/>
                <w:color w:val="auto"/>
                <w:szCs w:val="24"/>
                <w:highlight w:val="none"/>
                <w:lang w:eastAsia="zh-CN"/>
              </w:rPr>
              <w:t>）因本合同所发生的任何争议，申请  杭州  仲裁委员会仲裁；</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二</w:t>
            </w:r>
            <w:r>
              <w:rPr>
                <w:rFonts w:hint="eastAsia" w:ascii="Times New Roman" w:hAnsi="Times New Roman" w:eastAsia="宋体" w:cs="Times New Roman"/>
                <w:color w:val="auto"/>
                <w:szCs w:val="24"/>
                <w:highlight w:val="none"/>
                <w:lang w:eastAsia="zh-CN"/>
              </w:rPr>
              <w:t>）按司法程序解决。</w:t>
            </w:r>
          </w:p>
          <w:p>
            <w:pPr>
              <w:spacing w:line="360" w:lineRule="auto"/>
              <w:ind w:firstLine="390"/>
              <w:rPr>
                <w:rFonts w:hint="eastAsia" w:ascii="Times New Roman" w:hAnsi="Times New Roman" w:eastAsia="宋体" w:cs="Times New Roman"/>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pPr>
              <w:spacing w:line="360" w:lineRule="auto"/>
              <w:ind w:firstLine="39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pPr>
              <w:spacing w:line="360" w:lineRule="auto"/>
              <w:ind w:firstLine="390"/>
              <w:rPr>
                <w:color w:val="auto"/>
                <w:szCs w:val="24"/>
                <w:highlight w:val="none"/>
              </w:rPr>
            </w:pPr>
            <w:r>
              <w:rPr>
                <w:rFonts w:hint="eastAsia"/>
                <w:color w:val="auto"/>
                <w:highlight w:val="none"/>
              </w:rPr>
              <w:t>（二）约定服务方在履约过程中，除不可抗力，投标文件中的项目责任人和项目组主要成员不予更换。</w:t>
            </w:r>
          </w:p>
          <w:p>
            <w:pPr>
              <w:pStyle w:val="3"/>
              <w:rPr>
                <w:color w:val="auto"/>
                <w:highlight w:val="none"/>
              </w:rPr>
            </w:pPr>
          </w:p>
        </w:tc>
      </w:tr>
    </w:tbl>
    <w:p>
      <w:pPr>
        <w:rPr>
          <w:color w:val="auto"/>
          <w:sz w:val="28"/>
          <w:highlight w:val="none"/>
        </w:rPr>
      </w:pPr>
    </w:p>
    <w:p>
      <w:pPr>
        <w:pStyle w:val="3"/>
        <w:ind w:firstLine="240"/>
        <w:rPr>
          <w:color w:val="auto"/>
          <w:highlight w:val="none"/>
        </w:rPr>
      </w:pP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autoSpaceDE/>
              <w:autoSpaceDN/>
              <w:spacing w:before="120" w:beforeLines="50" w:after="120" w:afterLines="50"/>
              <w:jc w:val="center"/>
              <w:rPr>
                <w:rFonts w:eastAsia="楷体_GB2312"/>
                <w:color w:val="auto"/>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pPr>
              <w:spacing w:before="120" w:beforeLines="50" w:after="120" w:afterLines="50"/>
              <w:jc w:val="center"/>
              <w:rPr>
                <w:rFonts w:eastAsia="楷体_GB2312"/>
                <w:color w:val="auto"/>
                <w:sz w:val="21"/>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spacing w:before="120" w:beforeLines="50" w:after="120" w:afterLines="50"/>
              <w:jc w:val="center"/>
              <w:rPr>
                <w:rFonts w:eastAsia="楷体_GB2312"/>
                <w:color w:val="auto"/>
                <w:sz w:val="28"/>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pPr>
              <w:spacing w:before="120" w:beforeLines="50" w:after="120" w:afterLines="50"/>
              <w:jc w:val="center"/>
              <w:rPr>
                <w:rFonts w:eastAsia="楷体_GB2312"/>
                <w:color w:val="auto"/>
                <w:sz w:val="28"/>
                <w:szCs w:val="28"/>
                <w:highlight w:val="none"/>
              </w:rPr>
            </w:pPr>
          </w:p>
        </w:tc>
        <w:tc>
          <w:tcPr>
            <w:tcW w:w="1087"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pPr>
              <w:spacing w:before="120" w:beforeLines="50" w:after="120" w:afterLines="50"/>
              <w:jc w:val="center"/>
              <w:rPr>
                <w:color w:val="auto"/>
                <w:sz w:val="21"/>
                <w:highlight w:val="none"/>
              </w:rPr>
            </w:pP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3"/>
        <w:rPr>
          <w:color w:val="auto"/>
          <w:highlight w:val="none"/>
          <w:lang w:eastAsia="zh-CN"/>
        </w:rPr>
      </w:pPr>
    </w:p>
    <w:p>
      <w:pPr>
        <w:pStyle w:val="43"/>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32378E-6ACF-4297-A4A1-87F9C06F34B8}"/>
  </w:font>
  <w:font w:name="黑体">
    <w:panose1 w:val="02010609060101010101"/>
    <w:charset w:val="86"/>
    <w:family w:val="auto"/>
    <w:pitch w:val="default"/>
    <w:sig w:usb0="800002BF" w:usb1="38CF7CFA" w:usb2="00000016" w:usb3="00000000" w:csb0="00040001" w:csb1="00000000"/>
    <w:embedRegular r:id="rId2" w:fontKey="{AF607B50-37CD-4C01-A791-B3687C7079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D70EE647-5245-404D-9A31-3EA0A7DFD4C7}"/>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80740A3C-09EB-47F2-9C75-E6C8EA64481D}"/>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16857B5F-D7FE-4618-A6C9-E075A3E806E3}"/>
  </w:font>
  <w:font w:name="楷体">
    <w:panose1 w:val="02010609060101010101"/>
    <w:charset w:val="86"/>
    <w:family w:val="auto"/>
    <w:pitch w:val="default"/>
    <w:sig w:usb0="800002BF" w:usb1="38CF7CFA" w:usb2="00000016" w:usb3="00000000" w:csb0="00040001" w:csb1="00000000"/>
    <w:embedRegular r:id="rId6" w:fontKey="{81FF56AF-5BC4-4C66-94B0-B19749EF1ED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浙江省水利规划重要专题视频设计</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9F36C4"/>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125F82"/>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3590F"/>
    <w:rsid w:val="05E83DFF"/>
    <w:rsid w:val="06161AE0"/>
    <w:rsid w:val="061C1918"/>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4762C4"/>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C175FAD"/>
    <w:rsid w:val="0C7B65B1"/>
    <w:rsid w:val="0C821038"/>
    <w:rsid w:val="0C833994"/>
    <w:rsid w:val="0CAC0DEC"/>
    <w:rsid w:val="0CC7352F"/>
    <w:rsid w:val="0CE718A7"/>
    <w:rsid w:val="0CFC5D2F"/>
    <w:rsid w:val="0D183D8B"/>
    <w:rsid w:val="0D1D5845"/>
    <w:rsid w:val="0D240FBE"/>
    <w:rsid w:val="0D266C0A"/>
    <w:rsid w:val="0D363464"/>
    <w:rsid w:val="0D493333"/>
    <w:rsid w:val="0D701205"/>
    <w:rsid w:val="0D7B5CE0"/>
    <w:rsid w:val="0D873487"/>
    <w:rsid w:val="0D8F335A"/>
    <w:rsid w:val="0D8F3E31"/>
    <w:rsid w:val="0D914B1E"/>
    <w:rsid w:val="0DF07FC7"/>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7D6BB9"/>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8B1612"/>
    <w:rsid w:val="169F71A9"/>
    <w:rsid w:val="16FD2454"/>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C277A48"/>
    <w:rsid w:val="1C2A0C71"/>
    <w:rsid w:val="1C404155"/>
    <w:rsid w:val="1C7D2E60"/>
    <w:rsid w:val="1CAB4C49"/>
    <w:rsid w:val="1CD61AEE"/>
    <w:rsid w:val="1CDD6D9F"/>
    <w:rsid w:val="1CDF48C5"/>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1B7CE2"/>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682D8D"/>
    <w:rsid w:val="27712B1F"/>
    <w:rsid w:val="279019FD"/>
    <w:rsid w:val="27960766"/>
    <w:rsid w:val="27B444F3"/>
    <w:rsid w:val="27BF00FA"/>
    <w:rsid w:val="27D72D1C"/>
    <w:rsid w:val="27DD5FC2"/>
    <w:rsid w:val="28006CED"/>
    <w:rsid w:val="28357A8F"/>
    <w:rsid w:val="285E2EA8"/>
    <w:rsid w:val="286263BD"/>
    <w:rsid w:val="28935E56"/>
    <w:rsid w:val="28B95682"/>
    <w:rsid w:val="28BF0690"/>
    <w:rsid w:val="28C52BC1"/>
    <w:rsid w:val="28F159FD"/>
    <w:rsid w:val="28FB61A4"/>
    <w:rsid w:val="29137678"/>
    <w:rsid w:val="29154452"/>
    <w:rsid w:val="294155C7"/>
    <w:rsid w:val="299918B2"/>
    <w:rsid w:val="29CE2ACB"/>
    <w:rsid w:val="29DB1818"/>
    <w:rsid w:val="29ED5F9C"/>
    <w:rsid w:val="2A2F0444"/>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35D58"/>
    <w:rsid w:val="2CC51E4D"/>
    <w:rsid w:val="2CDA56D6"/>
    <w:rsid w:val="2D0A34ED"/>
    <w:rsid w:val="2D240956"/>
    <w:rsid w:val="2D241E80"/>
    <w:rsid w:val="2D2D1661"/>
    <w:rsid w:val="2D371D7D"/>
    <w:rsid w:val="2D3826E3"/>
    <w:rsid w:val="2D547805"/>
    <w:rsid w:val="2D712A73"/>
    <w:rsid w:val="2D7A43FD"/>
    <w:rsid w:val="2D9C7D09"/>
    <w:rsid w:val="2D9F6151"/>
    <w:rsid w:val="2DB8419B"/>
    <w:rsid w:val="2DD976CB"/>
    <w:rsid w:val="2DF14458"/>
    <w:rsid w:val="2DF24A3D"/>
    <w:rsid w:val="2DF778AD"/>
    <w:rsid w:val="2E0460B3"/>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C6167E"/>
    <w:rsid w:val="2FEC2F3D"/>
    <w:rsid w:val="2FF37C75"/>
    <w:rsid w:val="2FFB28A7"/>
    <w:rsid w:val="2FFC488C"/>
    <w:rsid w:val="30265809"/>
    <w:rsid w:val="30575792"/>
    <w:rsid w:val="306B26E1"/>
    <w:rsid w:val="30A56F22"/>
    <w:rsid w:val="30AA03C9"/>
    <w:rsid w:val="30E03BD2"/>
    <w:rsid w:val="30F775BA"/>
    <w:rsid w:val="311A0E00"/>
    <w:rsid w:val="3120227A"/>
    <w:rsid w:val="31372DB3"/>
    <w:rsid w:val="3152277A"/>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10D4D"/>
    <w:rsid w:val="3B55499D"/>
    <w:rsid w:val="3B654785"/>
    <w:rsid w:val="3B660234"/>
    <w:rsid w:val="3B9C552E"/>
    <w:rsid w:val="3BFF50CF"/>
    <w:rsid w:val="3C0B7739"/>
    <w:rsid w:val="3C123996"/>
    <w:rsid w:val="3C6F092F"/>
    <w:rsid w:val="3C6F47FD"/>
    <w:rsid w:val="3C9C021C"/>
    <w:rsid w:val="3CA86084"/>
    <w:rsid w:val="3CB13A4A"/>
    <w:rsid w:val="3CD11E57"/>
    <w:rsid w:val="3CD3621D"/>
    <w:rsid w:val="3CFF704B"/>
    <w:rsid w:val="3D03364A"/>
    <w:rsid w:val="3D0D2931"/>
    <w:rsid w:val="3D16727E"/>
    <w:rsid w:val="3D1A2F01"/>
    <w:rsid w:val="3D1B23E9"/>
    <w:rsid w:val="3D1C79B4"/>
    <w:rsid w:val="3D597514"/>
    <w:rsid w:val="3D7B3F30"/>
    <w:rsid w:val="3DEF22B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8137EC"/>
    <w:rsid w:val="3F9722BA"/>
    <w:rsid w:val="3FB0631E"/>
    <w:rsid w:val="3FB15386"/>
    <w:rsid w:val="3FE41961"/>
    <w:rsid w:val="3FFBBCC3"/>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663AF5"/>
    <w:rsid w:val="496A035A"/>
    <w:rsid w:val="496F29A9"/>
    <w:rsid w:val="49F83FE5"/>
    <w:rsid w:val="49FB373F"/>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CF7178D"/>
    <w:rsid w:val="4D330C8C"/>
    <w:rsid w:val="4D3D2DBF"/>
    <w:rsid w:val="4D4C0259"/>
    <w:rsid w:val="4D8C673F"/>
    <w:rsid w:val="4DB34E2F"/>
    <w:rsid w:val="4DC816AE"/>
    <w:rsid w:val="4DFD3C82"/>
    <w:rsid w:val="4E1E1598"/>
    <w:rsid w:val="4E25121E"/>
    <w:rsid w:val="4EB20A1B"/>
    <w:rsid w:val="4EC058B8"/>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3404A9"/>
    <w:rsid w:val="50544C4E"/>
    <w:rsid w:val="507D7F9B"/>
    <w:rsid w:val="50842A4A"/>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6456A3"/>
    <w:rsid w:val="589B4CFF"/>
    <w:rsid w:val="59056B55"/>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4E0CD8"/>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2100A"/>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5F17F4"/>
    <w:rsid w:val="6D8850D1"/>
    <w:rsid w:val="6DAB33F9"/>
    <w:rsid w:val="6DB663A6"/>
    <w:rsid w:val="6DCF49BF"/>
    <w:rsid w:val="6DE82327"/>
    <w:rsid w:val="6DF02BC2"/>
    <w:rsid w:val="6E072901"/>
    <w:rsid w:val="6E2A23D7"/>
    <w:rsid w:val="6E6D6B1A"/>
    <w:rsid w:val="6E7066F8"/>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51B99"/>
    <w:rsid w:val="74163470"/>
    <w:rsid w:val="74340667"/>
    <w:rsid w:val="743C0231"/>
    <w:rsid w:val="747964D4"/>
    <w:rsid w:val="74921CF0"/>
    <w:rsid w:val="74CB752F"/>
    <w:rsid w:val="74DC34A0"/>
    <w:rsid w:val="74F57957"/>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5B3F75"/>
    <w:rsid w:val="78686692"/>
    <w:rsid w:val="786B1CDE"/>
    <w:rsid w:val="78736406"/>
    <w:rsid w:val="788F69ED"/>
    <w:rsid w:val="78BE1364"/>
    <w:rsid w:val="78C71A6C"/>
    <w:rsid w:val="78CA6944"/>
    <w:rsid w:val="78D635FC"/>
    <w:rsid w:val="78F975FD"/>
    <w:rsid w:val="790436F6"/>
    <w:rsid w:val="791156F9"/>
    <w:rsid w:val="7917313C"/>
    <w:rsid w:val="792233A2"/>
    <w:rsid w:val="793E4426"/>
    <w:rsid w:val="798A01C9"/>
    <w:rsid w:val="79967C5A"/>
    <w:rsid w:val="79D80A11"/>
    <w:rsid w:val="79D85537"/>
    <w:rsid w:val="7A401675"/>
    <w:rsid w:val="7A4543A9"/>
    <w:rsid w:val="7A4D5B40"/>
    <w:rsid w:val="7A562B5D"/>
    <w:rsid w:val="7A8C2E05"/>
    <w:rsid w:val="7A973F3C"/>
    <w:rsid w:val="7AB365B5"/>
    <w:rsid w:val="7AC91C3D"/>
    <w:rsid w:val="7AD77E0C"/>
    <w:rsid w:val="7AE462EC"/>
    <w:rsid w:val="7B0949B1"/>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CD0EBD"/>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autoRedefine/>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2"/>
    <w:autoRedefine/>
    <w:qFormat/>
    <w:uiPriority w:val="0"/>
    <w:pPr>
      <w:spacing w:after="120"/>
    </w:pPr>
  </w:style>
  <w:style w:type="paragraph" w:styleId="3">
    <w:name w:val="Body Text First Indent"/>
    <w:basedOn w:val="2"/>
    <w:next w:val="1"/>
    <w:link w:val="93"/>
    <w:autoRedefine/>
    <w:qFormat/>
    <w:uiPriority w:val="0"/>
    <w:pPr>
      <w:ind w:firstLine="420" w:firstLineChars="100"/>
    </w:pPr>
  </w:style>
  <w:style w:type="paragraph" w:styleId="6">
    <w:name w:val="Normal Indent"/>
    <w:basedOn w:val="1"/>
    <w:next w:val="1"/>
    <w:link w:val="47"/>
    <w:autoRedefine/>
    <w:qFormat/>
    <w:uiPriority w:val="0"/>
    <w:pPr>
      <w:ind w:firstLine="488"/>
    </w:pPr>
  </w:style>
  <w:style w:type="paragraph" w:styleId="14">
    <w:name w:val="Document Map"/>
    <w:basedOn w:val="1"/>
    <w:autoRedefine/>
    <w:qFormat/>
    <w:uiPriority w:val="0"/>
    <w:pPr>
      <w:shd w:val="clear" w:color="auto" w:fill="000080"/>
    </w:pPr>
  </w:style>
  <w:style w:type="paragraph" w:styleId="15">
    <w:name w:val="annotation text"/>
    <w:basedOn w:val="1"/>
    <w:link w:val="49"/>
    <w:autoRedefine/>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next w:val="1"/>
    <w:link w:val="50"/>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2"/>
    <w:autoRedefine/>
    <w:qFormat/>
    <w:uiPriority w:val="0"/>
    <w:pPr>
      <w:autoSpaceDE/>
      <w:autoSpaceDN/>
      <w:adjustRightInd/>
      <w:textAlignment w:val="auto"/>
    </w:pPr>
    <w:rPr>
      <w:kern w:val="2"/>
    </w:rPr>
  </w:style>
  <w:style w:type="paragraph" w:styleId="21">
    <w:name w:val="Body Text Indent 2"/>
    <w:basedOn w:val="1"/>
    <w:link w:val="53"/>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toc 4"/>
    <w:basedOn w:val="1"/>
    <w:next w:val="1"/>
    <w:autoRedefine/>
    <w:qFormat/>
    <w:uiPriority w:val="39"/>
    <w:pPr>
      <w:widowControl/>
      <w:ind w:left="600"/>
      <w:jc w:val="left"/>
    </w:pPr>
    <w:rPr>
      <w:kern w:val="0"/>
      <w:sz w:val="18"/>
      <w:szCs w:val="20"/>
    </w:rPr>
  </w:style>
  <w:style w:type="paragraph" w:styleId="27">
    <w:name w:val="Subtitle"/>
    <w:basedOn w:val="1"/>
    <w:next w:val="1"/>
    <w:link w:val="54"/>
    <w:autoRedefine/>
    <w:qFormat/>
    <w:uiPriority w:val="0"/>
    <w:pPr>
      <w:spacing w:line="360" w:lineRule="auto"/>
      <w:jc w:val="center"/>
      <w:outlineLvl w:val="1"/>
    </w:pPr>
    <w:rPr>
      <w:rFonts w:ascii="Calibri Light" w:hAnsi="Calibri Light"/>
      <w:b/>
      <w:bCs/>
      <w:kern w:val="28"/>
      <w:sz w:val="32"/>
      <w:szCs w:val="32"/>
    </w:rPr>
  </w:style>
  <w:style w:type="paragraph" w:styleId="28">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1">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autoRedefine/>
    <w:qFormat/>
    <w:uiPriority w:val="0"/>
    <w:pPr>
      <w:spacing w:before="240" w:after="60"/>
      <w:jc w:val="center"/>
      <w:outlineLvl w:val="0"/>
    </w:pPr>
    <w:rPr>
      <w:b/>
      <w:sz w:val="52"/>
    </w:rPr>
  </w:style>
  <w:style w:type="paragraph" w:styleId="33">
    <w:name w:val="annotation subject"/>
    <w:basedOn w:val="15"/>
    <w:next w:val="15"/>
    <w:autoRedefine/>
    <w:qFormat/>
    <w:uiPriority w:val="0"/>
    <w:rPr>
      <w:b/>
      <w:bCs/>
    </w:rPr>
  </w:style>
  <w:style w:type="paragraph" w:styleId="34">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6">
    <w:name w:val="Table Grid"/>
    <w:basedOn w:val="3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Emphasis"/>
    <w:autoRedefine/>
    <w:qFormat/>
    <w:uiPriority w:val="20"/>
    <w:rPr>
      <w:i/>
      <w:iCs/>
    </w:rPr>
  </w:style>
  <w:style w:type="character" w:styleId="41">
    <w:name w:val="Hyperlink"/>
    <w:autoRedefine/>
    <w:qFormat/>
    <w:uiPriority w:val="99"/>
    <w:rPr>
      <w:color w:val="0000FF"/>
      <w:u w:val="single"/>
    </w:rPr>
  </w:style>
  <w:style w:type="character" w:styleId="42">
    <w:name w:val="annotation reference"/>
    <w:basedOn w:val="37"/>
    <w:autoRedefine/>
    <w:qFormat/>
    <w:uiPriority w:val="0"/>
    <w:rPr>
      <w:sz w:val="21"/>
      <w:szCs w:val="21"/>
    </w:rPr>
  </w:style>
  <w:style w:type="paragraph" w:customStyle="1" w:styleId="43">
    <w:name w:val="[Normal]"/>
    <w:autoRedefine/>
    <w:qFormat/>
    <w:uiPriority w:val="0"/>
    <w:rPr>
      <w:rFonts w:ascii="宋体" w:hAnsi="宋体" w:eastAsia="宋体" w:cs="Times New Roman"/>
      <w:sz w:val="24"/>
      <w:lang w:val="en-US" w:eastAsia="en-US" w:bidi="ar-SA"/>
    </w:rPr>
  </w:style>
  <w:style w:type="paragraph" w:customStyle="1" w:styleId="44">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autoRedefine/>
    <w:qFormat/>
    <w:uiPriority w:val="0"/>
    <w:rPr>
      <w:rFonts w:eastAsia="宋体"/>
      <w:b/>
      <w:kern w:val="2"/>
      <w:sz w:val="32"/>
      <w:lang w:val="en-US" w:eastAsia="zh-CN"/>
    </w:rPr>
  </w:style>
  <w:style w:type="character" w:customStyle="1" w:styleId="46">
    <w:name w:val="标题 2 字符"/>
    <w:link w:val="5"/>
    <w:autoRedefine/>
    <w:qFormat/>
    <w:uiPriority w:val="0"/>
    <w:rPr>
      <w:rFonts w:eastAsia="宋体"/>
      <w:b/>
      <w:sz w:val="24"/>
      <w:szCs w:val="24"/>
    </w:rPr>
  </w:style>
  <w:style w:type="character" w:customStyle="1" w:styleId="47">
    <w:name w:val="正文缩进 字符"/>
    <w:link w:val="6"/>
    <w:autoRedefine/>
    <w:qFormat/>
    <w:uiPriority w:val="0"/>
    <w:rPr>
      <w:rFonts w:eastAsia="宋体"/>
      <w:sz w:val="24"/>
      <w:lang w:val="en-US" w:eastAsia="zh-CN" w:bidi="ar-SA"/>
    </w:rPr>
  </w:style>
  <w:style w:type="character" w:customStyle="1" w:styleId="48">
    <w:name w:val="标题 4 字符"/>
    <w:link w:val="8"/>
    <w:autoRedefine/>
    <w:qFormat/>
    <w:uiPriority w:val="0"/>
    <w:rPr>
      <w:rFonts w:ascii="Times New Roman" w:hAnsi="Times New Roman" w:eastAsia="宋体"/>
      <w:b/>
      <w:bCs/>
      <w:sz w:val="24"/>
      <w:szCs w:val="28"/>
      <w:lang w:val="en-US" w:eastAsia="zh-CN" w:bidi="ar-SA"/>
    </w:rPr>
  </w:style>
  <w:style w:type="character" w:customStyle="1" w:styleId="49">
    <w:name w:val="批注文字 字符1"/>
    <w:link w:val="15"/>
    <w:autoRedefine/>
    <w:qFormat/>
    <w:uiPriority w:val="99"/>
    <w:rPr>
      <w:sz w:val="24"/>
    </w:rPr>
  </w:style>
  <w:style w:type="character" w:customStyle="1" w:styleId="50">
    <w:name w:val="正文文本缩进 字符"/>
    <w:link w:val="17"/>
    <w:autoRedefine/>
    <w:qFormat/>
    <w:uiPriority w:val="0"/>
    <w:rPr>
      <w:sz w:val="24"/>
    </w:rPr>
  </w:style>
  <w:style w:type="character" w:customStyle="1" w:styleId="51">
    <w:name w:val="纯文本 字符"/>
    <w:link w:val="19"/>
    <w:autoRedefine/>
    <w:qFormat/>
    <w:uiPriority w:val="0"/>
    <w:rPr>
      <w:rFonts w:ascii="宋体" w:hAnsi="Courier New" w:eastAsia="宋体"/>
      <w:kern w:val="2"/>
      <w:sz w:val="21"/>
      <w:lang w:val="en-US" w:eastAsia="zh-CN" w:bidi="ar-SA"/>
    </w:rPr>
  </w:style>
  <w:style w:type="character" w:customStyle="1" w:styleId="52">
    <w:name w:val="日期 字符1"/>
    <w:link w:val="20"/>
    <w:autoRedefine/>
    <w:qFormat/>
    <w:uiPriority w:val="0"/>
    <w:rPr>
      <w:kern w:val="2"/>
      <w:sz w:val="24"/>
    </w:rPr>
  </w:style>
  <w:style w:type="character" w:customStyle="1" w:styleId="53">
    <w:name w:val="正文文本缩进 2 字符1"/>
    <w:link w:val="21"/>
    <w:autoRedefine/>
    <w:qFormat/>
    <w:uiPriority w:val="0"/>
    <w:rPr>
      <w:rFonts w:eastAsia="宋体"/>
      <w:kern w:val="2"/>
      <w:sz w:val="21"/>
      <w:lang w:val="en-US" w:eastAsia="zh-CN" w:bidi="ar-SA"/>
    </w:rPr>
  </w:style>
  <w:style w:type="character" w:customStyle="1" w:styleId="54">
    <w:name w:val="副标题 字符"/>
    <w:link w:val="27"/>
    <w:autoRedefine/>
    <w:qFormat/>
    <w:uiPriority w:val="0"/>
    <w:rPr>
      <w:rFonts w:ascii="Calibri Light" w:hAnsi="Calibri Light" w:cs="Times New Roman"/>
      <w:b/>
      <w:bCs/>
      <w:kern w:val="28"/>
      <w:sz w:val="32"/>
      <w:szCs w:val="32"/>
    </w:rPr>
  </w:style>
  <w:style w:type="character" w:customStyle="1" w:styleId="55">
    <w:name w:val="正文文本缩进 2 字符"/>
    <w:autoRedefine/>
    <w:qFormat/>
    <w:uiPriority w:val="0"/>
    <w:rPr>
      <w:rFonts w:eastAsia="宋体"/>
      <w:kern w:val="2"/>
      <w:sz w:val="21"/>
      <w:lang w:val="en-US" w:eastAsia="zh-CN" w:bidi="ar-SA"/>
    </w:rPr>
  </w:style>
  <w:style w:type="character" w:customStyle="1" w:styleId="56">
    <w:name w:val="font21"/>
    <w:autoRedefine/>
    <w:qFormat/>
    <w:uiPriority w:val="0"/>
    <w:rPr>
      <w:rFonts w:hint="default" w:ascii="等线" w:hAnsi="等线" w:eastAsia="等线" w:cs="等线"/>
      <w:color w:val="000000"/>
      <w:sz w:val="22"/>
      <w:szCs w:val="22"/>
      <w:u w:val="none"/>
    </w:rPr>
  </w:style>
  <w:style w:type="character" w:customStyle="1" w:styleId="57">
    <w:name w:val="首行缩进两字 Char"/>
    <w:autoRedefine/>
    <w:qFormat/>
    <w:uiPriority w:val="0"/>
    <w:rPr>
      <w:rFonts w:eastAsia="宋体"/>
      <w:kern w:val="2"/>
      <w:sz w:val="21"/>
      <w:szCs w:val="24"/>
      <w:lang w:val="en-US" w:eastAsia="zh-CN" w:bidi="ar-SA"/>
    </w:rPr>
  </w:style>
  <w:style w:type="character" w:customStyle="1" w:styleId="58">
    <w:name w:val="style9"/>
    <w:autoRedefine/>
    <w:qFormat/>
    <w:uiPriority w:val="0"/>
  </w:style>
  <w:style w:type="character" w:customStyle="1" w:styleId="59">
    <w:name w:val="正文缩进 Char Char"/>
    <w:autoRedefine/>
    <w:qFormat/>
    <w:uiPriority w:val="0"/>
    <w:rPr>
      <w:rFonts w:eastAsia="宋体"/>
      <w:kern w:val="2"/>
      <w:sz w:val="21"/>
      <w:lang w:val="en-US" w:eastAsia="zh-CN"/>
    </w:rPr>
  </w:style>
  <w:style w:type="character" w:customStyle="1" w:styleId="60">
    <w:name w:val="maywed421"/>
    <w:autoRedefine/>
    <w:qFormat/>
    <w:uiPriority w:val="0"/>
    <w:rPr>
      <w:color w:val="366FB6"/>
      <w:u w:val="none"/>
    </w:rPr>
  </w:style>
  <w:style w:type="character" w:customStyle="1" w:styleId="61">
    <w:name w:val="批注文字 字符"/>
    <w:autoRedefine/>
    <w:qFormat/>
    <w:uiPriority w:val="99"/>
    <w:rPr>
      <w:sz w:val="24"/>
    </w:rPr>
  </w:style>
  <w:style w:type="character" w:customStyle="1" w:styleId="62">
    <w:name w:val="纯文本 Char1"/>
    <w:autoRedefine/>
    <w:qFormat/>
    <w:uiPriority w:val="0"/>
    <w:rPr>
      <w:rFonts w:ascii="宋体" w:hAnsi="Courier New" w:eastAsia="宋体"/>
    </w:rPr>
  </w:style>
  <w:style w:type="character" w:customStyle="1" w:styleId="63">
    <w:name w:val="font11"/>
    <w:basedOn w:val="37"/>
    <w:autoRedefine/>
    <w:qFormat/>
    <w:uiPriority w:val="0"/>
    <w:rPr>
      <w:rFonts w:hint="default" w:ascii="等线" w:hAnsi="等线" w:eastAsia="等线" w:cs="等线"/>
      <w:color w:val="000000"/>
      <w:sz w:val="22"/>
      <w:szCs w:val="22"/>
      <w:u w:val="none"/>
    </w:rPr>
  </w:style>
  <w:style w:type="character" w:customStyle="1" w:styleId="64">
    <w:name w:val="日期 字符"/>
    <w:autoRedefine/>
    <w:qFormat/>
    <w:uiPriority w:val="0"/>
    <w:rPr>
      <w:kern w:val="2"/>
      <w:sz w:val="24"/>
    </w:rPr>
  </w:style>
  <w:style w:type="paragraph" w:customStyle="1" w:styleId="65">
    <w:name w:val="密级编号"/>
    <w:basedOn w:val="1"/>
    <w:autoRedefine/>
    <w:qFormat/>
    <w:uiPriority w:val="0"/>
    <w:pPr>
      <w:autoSpaceDE/>
      <w:autoSpaceDN/>
      <w:jc w:val="center"/>
    </w:pPr>
    <w:rPr>
      <w:rFonts w:ascii="仿宋_GB2312" w:eastAsia="仿宋_GB2312"/>
    </w:rPr>
  </w:style>
  <w:style w:type="paragraph" w:customStyle="1" w:styleId="66">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autoRedefine/>
    <w:qFormat/>
    <w:uiPriority w:val="0"/>
    <w:pPr>
      <w:autoSpaceDE/>
      <w:autoSpaceDN/>
      <w:adjustRightInd/>
      <w:textAlignment w:val="auto"/>
    </w:pPr>
    <w:rPr>
      <w:kern w:val="2"/>
      <w:sz w:val="21"/>
      <w:szCs w:val="24"/>
    </w:rPr>
  </w:style>
  <w:style w:type="paragraph" w:customStyle="1" w:styleId="70">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4">
    <w:name w:val="_Style 62"/>
    <w:autoRedefine/>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autoRedefine/>
    <w:qFormat/>
    <w:uiPriority w:val="0"/>
    <w:pPr>
      <w:widowControl w:val="0"/>
    </w:pPr>
    <w:rPr>
      <w:rFonts w:hint="eastAsia"/>
      <w:szCs w:val="20"/>
    </w:rPr>
  </w:style>
  <w:style w:type="paragraph" w:customStyle="1" w:styleId="76">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autoRedefine/>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80">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autoRedefine/>
    <w:qFormat/>
    <w:uiPriority w:val="0"/>
    <w:pPr>
      <w:autoSpaceDE/>
      <w:autoSpaceDN/>
      <w:jc w:val="center"/>
    </w:pPr>
    <w:rPr>
      <w:rFonts w:ascii="宋体"/>
      <w:b/>
      <w:sz w:val="32"/>
    </w:rPr>
  </w:style>
  <w:style w:type="paragraph" w:customStyle="1" w:styleId="84">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6">
    <w:name w:val="保留正文"/>
    <w:basedOn w:val="1"/>
    <w:autoRedefine/>
    <w:qFormat/>
    <w:uiPriority w:val="0"/>
    <w:pPr>
      <w:keepNext/>
      <w:autoSpaceDE/>
      <w:autoSpaceDN/>
      <w:spacing w:after="160" w:line="480" w:lineRule="auto"/>
    </w:pPr>
    <w:rPr>
      <w:rFonts w:ascii="宋体"/>
    </w:rPr>
  </w:style>
  <w:style w:type="paragraph" w:customStyle="1" w:styleId="87">
    <w:name w:val="无间隔1"/>
    <w:autoRedefine/>
    <w:qFormat/>
    <w:uiPriority w:val="0"/>
    <w:rPr>
      <w:rFonts w:ascii="Times New Roman" w:hAnsi="Times New Roman" w:eastAsia="??" w:cs="宋体"/>
      <w:sz w:val="22"/>
      <w:szCs w:val="22"/>
      <w:lang w:val="en-US" w:eastAsia="en-US" w:bidi="ar-SA"/>
    </w:rPr>
  </w:style>
  <w:style w:type="paragraph" w:customStyle="1" w:styleId="88">
    <w:name w:val="样式1"/>
    <w:basedOn w:val="6"/>
    <w:autoRedefine/>
    <w:qFormat/>
    <w:uiPriority w:val="0"/>
    <w:pPr>
      <w:autoSpaceDE/>
      <w:autoSpaceDN/>
      <w:ind w:firstLine="510"/>
    </w:pPr>
    <w:rPr>
      <w:rFonts w:ascii="宋体"/>
    </w:rPr>
  </w:style>
  <w:style w:type="paragraph" w:customStyle="1" w:styleId="89">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autoRedefine/>
    <w:qFormat/>
    <w:uiPriority w:val="0"/>
    <w:rPr>
      <w:sz w:val="24"/>
    </w:rPr>
  </w:style>
  <w:style w:type="character" w:customStyle="1" w:styleId="93">
    <w:name w:val="正文文本首行缩进 字符"/>
    <w:basedOn w:val="92"/>
    <w:link w:val="3"/>
    <w:autoRedefine/>
    <w:qFormat/>
    <w:uiPriority w:val="0"/>
    <w:rPr>
      <w:sz w:val="24"/>
    </w:rPr>
  </w:style>
  <w:style w:type="paragraph" w:customStyle="1" w:styleId="94">
    <w:name w:val="首行缩进"/>
    <w:basedOn w:val="1"/>
    <w:autoRedefine/>
    <w:qFormat/>
    <w:uiPriority w:val="0"/>
    <w:pPr>
      <w:ind w:firstLine="480" w:firstLineChars="200"/>
    </w:pPr>
    <w:rPr>
      <w:lang w:val="zh-CN"/>
    </w:rPr>
  </w:style>
  <w:style w:type="paragraph" w:customStyle="1" w:styleId="95">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7">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22828</Words>
  <Characters>25110</Characters>
  <Lines>232</Lines>
  <Paragraphs>65</Paragraphs>
  <TotalTime>65</TotalTime>
  <ScaleCrop>false</ScaleCrop>
  <LinksUpToDate>false</LinksUpToDate>
  <CharactersWithSpaces>26535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2023-10-25T09:24:00Z</dcterms:created>
  <dc:creator>微软用户</dc:creator>
  <cp:lastModifiedBy>…D</cp:lastModifiedBy>
  <cp:lastPrinted>2023-10-24T15:05:00Z</cp:lastPrinted>
  <dcterms:modified xsi:type="dcterms:W3CDTF">2024-05-14T04:11:31Z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D05735CBFE5A4801B94E4D975747F95C_13</vt:lpwstr>
  </property>
</Properties>
</file>