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autoSpaceDE/>
        <w:autoSpaceDN/>
        <w:adjustRightInd/>
        <w:snapToGrid w:val="0"/>
        <w:spacing w:line="300" w:lineRule="auto"/>
        <w:textAlignment w:val="auto"/>
        <w:rPr>
          <w:color w:val="auto"/>
          <w:kern w:val="2"/>
          <w:sz w:val="84"/>
          <w:szCs w:val="24"/>
          <w:highlight w:val="none"/>
        </w:rPr>
      </w:pPr>
    </w:p>
    <w:p>
      <w:pPr>
        <w:jc w:val="center"/>
        <w:rPr>
          <w:rFonts w:hint="eastAsia" w:eastAsia="宋体"/>
          <w:b/>
          <w:color w:val="auto"/>
          <w:sz w:val="84"/>
          <w:szCs w:val="84"/>
          <w:highlight w:val="none"/>
          <w:lang w:eastAsia="zh-CN"/>
        </w:rPr>
      </w:pPr>
      <w:r>
        <w:rPr>
          <w:rFonts w:hint="eastAsia"/>
          <w:b/>
          <w:color w:val="auto"/>
          <w:sz w:val="72"/>
          <w:szCs w:val="72"/>
          <w:highlight w:val="none"/>
          <w:lang w:eastAsia="zh-CN"/>
        </w:rPr>
        <w:t>中心机构改革撤并单位档案整体移交整理及扫描</w:t>
      </w:r>
    </w:p>
    <w:p>
      <w:pPr>
        <w:jc w:val="center"/>
        <w:rPr>
          <w:color w:val="auto"/>
          <w:sz w:val="36"/>
          <w:szCs w:val="36"/>
          <w:highlight w:val="none"/>
        </w:rPr>
      </w:pPr>
    </w:p>
    <w:p>
      <w:pPr>
        <w:pStyle w:val="33"/>
        <w:ind w:firstLine="240"/>
        <w:rPr>
          <w:color w:val="auto"/>
          <w:highlight w:val="none"/>
        </w:rPr>
      </w:pPr>
    </w:p>
    <w:p>
      <w:pPr>
        <w:pStyle w:val="27"/>
        <w:ind w:left="2400"/>
        <w:rPr>
          <w:color w:val="auto"/>
          <w:highlight w:val="none"/>
        </w:rPr>
      </w:pPr>
    </w:p>
    <w:p>
      <w:pPr>
        <w:rPr>
          <w:color w:val="auto"/>
          <w:highlight w:val="none"/>
        </w:rPr>
      </w:pPr>
    </w:p>
    <w:p>
      <w:pPr>
        <w:pStyle w:val="33"/>
        <w:ind w:firstLine="240"/>
        <w:rPr>
          <w:color w:val="auto"/>
          <w:highlight w:val="none"/>
        </w:rPr>
      </w:pPr>
    </w:p>
    <w:p>
      <w:pPr>
        <w:jc w:val="center"/>
        <w:rPr>
          <w:color w:val="auto"/>
          <w:sz w:val="28"/>
          <w:szCs w:val="28"/>
          <w:highlight w:val="none"/>
        </w:rPr>
      </w:pPr>
      <w:r>
        <w:rPr>
          <w:rFonts w:hint="eastAsia"/>
          <w:color w:val="auto"/>
          <w:sz w:val="28"/>
          <w:szCs w:val="28"/>
          <w:highlight w:val="none"/>
        </w:rPr>
        <w:t>（电子招投标方式）</w:t>
      </w:r>
    </w:p>
    <w:p>
      <w:pPr>
        <w:pStyle w:val="2"/>
        <w:rPr>
          <w:color w:val="auto"/>
          <w:highlight w:val="none"/>
        </w:rPr>
      </w:pPr>
    </w:p>
    <w:p>
      <w:pPr>
        <w:rPr>
          <w:color w:val="auto"/>
          <w:highlight w:val="none"/>
        </w:rPr>
      </w:pPr>
    </w:p>
    <w:p>
      <w:pPr>
        <w:pStyle w:val="27"/>
        <w:ind w:left="2400"/>
        <w:rPr>
          <w:color w:val="auto"/>
          <w:highlight w:val="none"/>
        </w:rPr>
      </w:pPr>
    </w:p>
    <w:p>
      <w:pPr>
        <w:rPr>
          <w:color w:val="auto"/>
          <w:highlight w:val="none"/>
        </w:rPr>
      </w:pPr>
    </w:p>
    <w:p>
      <w:pPr>
        <w:pStyle w:val="2"/>
        <w:rPr>
          <w:color w:val="auto"/>
          <w:highlight w:val="none"/>
        </w:rPr>
      </w:pPr>
    </w:p>
    <w:p>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pPr>
        <w:pStyle w:val="2"/>
        <w:rPr>
          <w:color w:val="auto"/>
          <w:highlight w:val="none"/>
        </w:rPr>
      </w:pPr>
    </w:p>
    <w:p>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202403001</w:t>
      </w:r>
    </w:p>
    <w:p>
      <w:pPr>
        <w:tabs>
          <w:tab w:val="left" w:pos="2520"/>
        </w:tabs>
        <w:autoSpaceDE/>
        <w:autoSpaceDN/>
        <w:adjustRightInd/>
        <w:snapToGrid w:val="0"/>
        <w:spacing w:line="300" w:lineRule="auto"/>
        <w:textAlignment w:val="auto"/>
        <w:rPr>
          <w:bCs/>
          <w:color w:val="auto"/>
          <w:w w:val="90"/>
          <w:kern w:val="2"/>
          <w:sz w:val="32"/>
          <w:szCs w:val="24"/>
          <w:highlight w:val="none"/>
        </w:rPr>
      </w:pPr>
    </w:p>
    <w:p>
      <w:pPr>
        <w:rPr>
          <w:color w:val="auto"/>
          <w:highlight w:val="none"/>
        </w:rPr>
      </w:pPr>
    </w:p>
    <w:p>
      <w:pPr>
        <w:rPr>
          <w:color w:val="auto"/>
          <w:highlight w:val="none"/>
        </w:rPr>
      </w:pPr>
    </w:p>
    <w:p>
      <w:pPr>
        <w:spacing w:after="120"/>
        <w:rPr>
          <w:color w:val="auto"/>
          <w:highlight w:val="none"/>
        </w:rPr>
      </w:pPr>
    </w:p>
    <w:p>
      <w:pPr>
        <w:spacing w:line="360" w:lineRule="auto"/>
        <w:ind w:firstLine="960" w:firstLineChars="300"/>
        <w:jc w:val="left"/>
        <w:rPr>
          <w:color w:val="auto"/>
          <w:sz w:val="32"/>
          <w:szCs w:val="32"/>
          <w:highlight w:val="none"/>
        </w:rPr>
      </w:pPr>
    </w:p>
    <w:p>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浙江省钱塘江流域中心</w:t>
      </w:r>
    </w:p>
    <w:p>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pPr>
        <w:spacing w:line="360" w:lineRule="auto"/>
        <w:jc w:val="center"/>
        <w:rPr>
          <w:color w:val="auto"/>
          <w:sz w:val="32"/>
          <w:szCs w:val="32"/>
          <w:highlight w:val="none"/>
        </w:rPr>
        <w:sectPr>
          <w:headerReference r:id="rId3" w:type="default"/>
          <w:pgSz w:w="11907" w:h="16840"/>
          <w:pgMar w:top="1701" w:right="164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pPr>
        <w:spacing w:line="480" w:lineRule="auto"/>
        <w:jc w:val="center"/>
        <w:rPr>
          <w:b/>
          <w:bCs/>
          <w:color w:val="auto"/>
          <w:sz w:val="56"/>
          <w:szCs w:val="72"/>
          <w:highlight w:val="none"/>
        </w:rPr>
      </w:pPr>
      <w:r>
        <w:rPr>
          <w:b/>
          <w:bCs/>
          <w:color w:val="auto"/>
          <w:sz w:val="56"/>
          <w:szCs w:val="72"/>
          <w:highlight w:val="none"/>
        </w:rPr>
        <w:t>目   录</w:t>
      </w:r>
    </w:p>
    <w:p>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_Toc26931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_Toc26931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_Toc8891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_Toc8891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_Toc10809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_Toc10809 \h </w:instrText>
      </w:r>
      <w:r>
        <w:rPr>
          <w:color w:val="auto"/>
          <w:highlight w:val="none"/>
        </w:rPr>
        <w:fldChar w:fldCharType="separate"/>
      </w:r>
      <w:r>
        <w:rPr>
          <w:color w:val="auto"/>
          <w:highlight w:val="none"/>
        </w:rPr>
        <w:t>7</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_Toc10288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_Toc10288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_Toc7907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_Toc7907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_Toc7986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_Toc7986 \h </w:instrText>
      </w:r>
      <w:r>
        <w:rPr>
          <w:color w:val="auto"/>
          <w:highlight w:val="none"/>
        </w:rPr>
        <w:fldChar w:fldCharType="separate"/>
      </w:r>
      <w:r>
        <w:rPr>
          <w:color w:val="auto"/>
          <w:highlight w:val="none"/>
        </w:rPr>
        <w:t>12</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_Toc3709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_Toc3709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_Toc22441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_Toc22441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_Toc16364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_Toc16364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_Toc24829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_Toc24829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_Toc16556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_Toc16556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_Toc10148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_Toc10148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_Toc13472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_Toc13472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_Toc3121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_Toc3121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_Toc32092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_Toc32092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_Toc10228 </w:instrText>
      </w:r>
      <w:r>
        <w:rPr>
          <w:color w:val="auto"/>
          <w:szCs w:val="32"/>
          <w:highlight w:val="none"/>
        </w:rPr>
        <w:fldChar w:fldCharType="separate"/>
      </w:r>
      <w:r>
        <w:rPr>
          <w:rFonts w:hint="eastAsia" w:ascii="Times New Roman" w:hAnsi="Times New Roman" w:eastAsia="宋体" w:cs="宋体"/>
          <w:color w:val="auto"/>
          <w:highlight w:val="none"/>
        </w:rPr>
        <w:t xml:space="preserve">3.2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_Toc10228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_Toc15574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_Toc15574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_Toc21342 </w:instrText>
      </w:r>
      <w:r>
        <w:rPr>
          <w:color w:val="auto"/>
          <w:szCs w:val="32"/>
          <w:highlight w:val="none"/>
        </w:rPr>
        <w:fldChar w:fldCharType="separate"/>
      </w:r>
      <w:r>
        <w:rPr>
          <w:rFonts w:hint="eastAsia" w:ascii="Times New Roman" w:hAnsi="Times New Roman" w:eastAsia="宋体" w:cs="宋体"/>
          <w:color w:val="auto"/>
          <w:highlight w:val="none"/>
        </w:rPr>
        <w:t xml:space="preserve">3.4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_Toc21342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_Toc5802 </w:instrText>
      </w:r>
      <w:r>
        <w:rPr>
          <w:color w:val="auto"/>
          <w:szCs w:val="32"/>
          <w:highlight w:val="none"/>
        </w:rPr>
        <w:fldChar w:fldCharType="separate"/>
      </w:r>
      <w:r>
        <w:rPr>
          <w:rFonts w:hint="eastAsia" w:ascii="Times New Roman" w:hAnsi="Times New Roman" w:eastAsia="宋体" w:cs="宋体"/>
          <w:color w:val="auto"/>
          <w:highlight w:val="none"/>
        </w:rPr>
        <w:t xml:space="preserve">3.5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_Toc5802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_Toc25803 </w:instrText>
      </w:r>
      <w:r>
        <w:rPr>
          <w:color w:val="auto"/>
          <w:szCs w:val="32"/>
          <w:highlight w:val="none"/>
        </w:rPr>
        <w:fldChar w:fldCharType="separate"/>
      </w:r>
      <w:r>
        <w:rPr>
          <w:rFonts w:hint="eastAsia" w:ascii="Times New Roman" w:hAnsi="Times New Roman" w:eastAsia="宋体" w:cs="宋体"/>
          <w:color w:val="auto"/>
          <w:highlight w:val="none"/>
        </w:rPr>
        <w:t xml:space="preserve">3.6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_Toc25803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_Toc27720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color w:val="auto"/>
          <w:highlight w:val="none"/>
        </w:rPr>
        <w:t>评审计分内容</w:t>
      </w:r>
      <w:bookmarkStart w:id="196" w:name="_GoBack"/>
      <w:bookmarkEnd w:id="196"/>
      <w:r>
        <w:rPr>
          <w:color w:val="auto"/>
          <w:highlight w:val="none"/>
        </w:rPr>
        <w:t>和分值范围</w:t>
      </w:r>
      <w:r>
        <w:rPr>
          <w:color w:val="auto"/>
          <w:highlight w:val="none"/>
        </w:rPr>
        <w:tab/>
      </w:r>
      <w:r>
        <w:rPr>
          <w:color w:val="auto"/>
          <w:highlight w:val="none"/>
        </w:rPr>
        <w:fldChar w:fldCharType="begin"/>
      </w:r>
      <w:r>
        <w:rPr>
          <w:color w:val="auto"/>
          <w:highlight w:val="none"/>
        </w:rPr>
        <w:instrText xml:space="preserve"> PAGEREF _Toc27720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_Toc17978 </w:instrText>
      </w:r>
      <w:r>
        <w:rPr>
          <w:color w:val="auto"/>
          <w:szCs w:val="32"/>
          <w:highlight w:val="none"/>
        </w:rPr>
        <w:fldChar w:fldCharType="separate"/>
      </w:r>
      <w:r>
        <w:rPr>
          <w:rFonts w:hint="eastAsia" w:ascii="Times New Roman" w:hAnsi="Times New Roman" w:eastAsia="宋体" w:cs="宋体"/>
          <w:color w:val="auto"/>
          <w:highlight w:val="none"/>
        </w:rPr>
        <w:t xml:space="preserve">3.8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_Toc17978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_Toc2951 </w:instrText>
      </w:r>
      <w:r>
        <w:rPr>
          <w:color w:val="auto"/>
          <w:szCs w:val="32"/>
          <w:highlight w:val="none"/>
        </w:rPr>
        <w:fldChar w:fldCharType="separate"/>
      </w:r>
      <w:r>
        <w:rPr>
          <w:rFonts w:hint="eastAsia" w:ascii="Times New Roman" w:hAnsi="Times New Roman" w:eastAsia="宋体" w:cs="宋体"/>
          <w:color w:val="auto"/>
          <w:highlight w:val="none"/>
        </w:rPr>
        <w:t xml:space="preserve">3.9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_Toc2951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_Toc10676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_Toc10676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_Toc20388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4.1 </w:t>
      </w:r>
      <w:r>
        <w:rPr>
          <w:rFonts w:hint="eastAsia"/>
          <w:color w:val="auto"/>
          <w:highlight w:val="none"/>
          <w:lang w:val="en-US" w:eastAsia="zh-CN"/>
        </w:rPr>
        <w:t>服务范围</w:t>
      </w:r>
      <w:r>
        <w:rPr>
          <w:color w:val="auto"/>
          <w:highlight w:val="none"/>
        </w:rPr>
        <w:tab/>
      </w:r>
      <w:r>
        <w:rPr>
          <w:color w:val="auto"/>
          <w:highlight w:val="none"/>
        </w:rPr>
        <w:fldChar w:fldCharType="begin"/>
      </w:r>
      <w:r>
        <w:rPr>
          <w:color w:val="auto"/>
          <w:highlight w:val="none"/>
        </w:rPr>
        <w:instrText xml:space="preserve"> PAGEREF _Toc20388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_Toc15453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4.2 </w:t>
      </w:r>
      <w:r>
        <w:rPr>
          <w:rFonts w:hint="eastAsia"/>
          <w:color w:val="auto"/>
          <w:highlight w:val="none"/>
          <w:lang w:val="en-US" w:eastAsia="zh-CN"/>
        </w:rPr>
        <w:t>质量要求</w:t>
      </w:r>
      <w:r>
        <w:rPr>
          <w:color w:val="auto"/>
          <w:highlight w:val="none"/>
        </w:rPr>
        <w:tab/>
      </w:r>
      <w:r>
        <w:rPr>
          <w:color w:val="auto"/>
          <w:highlight w:val="none"/>
        </w:rPr>
        <w:fldChar w:fldCharType="begin"/>
      </w:r>
      <w:r>
        <w:rPr>
          <w:color w:val="auto"/>
          <w:highlight w:val="none"/>
        </w:rPr>
        <w:instrText xml:space="preserve"> PAGEREF _Toc15453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_Toc31429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rFonts w:hint="eastAsia"/>
          <w:color w:val="auto"/>
          <w:highlight w:val="none"/>
        </w:rPr>
        <w:t>总体要求</w:t>
      </w:r>
      <w:r>
        <w:rPr>
          <w:color w:val="auto"/>
          <w:highlight w:val="none"/>
        </w:rPr>
        <w:tab/>
      </w:r>
      <w:r>
        <w:rPr>
          <w:color w:val="auto"/>
          <w:highlight w:val="none"/>
        </w:rPr>
        <w:fldChar w:fldCharType="begin"/>
      </w:r>
      <w:r>
        <w:rPr>
          <w:color w:val="auto"/>
          <w:highlight w:val="none"/>
        </w:rPr>
        <w:instrText xml:space="preserve"> PAGEREF _Toc31429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_Toc4425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4.4 </w:t>
      </w:r>
      <w:r>
        <w:rPr>
          <w:rFonts w:hint="eastAsia"/>
          <w:color w:val="auto"/>
          <w:highlight w:val="none"/>
          <w:lang w:val="en-US" w:eastAsia="zh-CN"/>
        </w:rPr>
        <w:t>项目进度要求</w:t>
      </w:r>
      <w:r>
        <w:rPr>
          <w:color w:val="auto"/>
          <w:highlight w:val="none"/>
        </w:rPr>
        <w:tab/>
      </w:r>
      <w:r>
        <w:rPr>
          <w:color w:val="auto"/>
          <w:highlight w:val="none"/>
        </w:rPr>
        <w:fldChar w:fldCharType="begin"/>
      </w:r>
      <w:r>
        <w:rPr>
          <w:color w:val="auto"/>
          <w:highlight w:val="none"/>
        </w:rPr>
        <w:instrText xml:space="preserve"> PAGEREF _Toc4425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_Toc31286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4.5 </w:t>
      </w:r>
      <w:r>
        <w:rPr>
          <w:rFonts w:hint="eastAsia"/>
          <w:color w:val="auto"/>
          <w:highlight w:val="none"/>
          <w:lang w:val="en-US" w:eastAsia="zh-CN"/>
        </w:rPr>
        <w:t>验收方式</w:t>
      </w:r>
      <w:r>
        <w:rPr>
          <w:color w:val="auto"/>
          <w:highlight w:val="none"/>
        </w:rPr>
        <w:tab/>
      </w:r>
      <w:r>
        <w:rPr>
          <w:color w:val="auto"/>
          <w:highlight w:val="none"/>
        </w:rPr>
        <w:fldChar w:fldCharType="begin"/>
      </w:r>
      <w:r>
        <w:rPr>
          <w:color w:val="auto"/>
          <w:highlight w:val="none"/>
        </w:rPr>
        <w:instrText xml:space="preserve"> PAGEREF _Toc31286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8"/>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_Toc5362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4.6 </w:t>
      </w:r>
      <w:r>
        <w:rPr>
          <w:rFonts w:hint="eastAsia"/>
          <w:color w:val="auto"/>
          <w:highlight w:val="none"/>
          <w:lang w:val="en-US" w:eastAsia="zh-CN"/>
        </w:rPr>
        <w:t>付款方式</w:t>
      </w:r>
      <w:r>
        <w:rPr>
          <w:color w:val="auto"/>
          <w:highlight w:val="none"/>
        </w:rPr>
        <w:tab/>
      </w:r>
      <w:r>
        <w:rPr>
          <w:color w:val="auto"/>
          <w:highlight w:val="none"/>
        </w:rPr>
        <w:fldChar w:fldCharType="begin"/>
      </w:r>
      <w:r>
        <w:rPr>
          <w:color w:val="auto"/>
          <w:highlight w:val="none"/>
        </w:rPr>
        <w:instrText xml:space="preserve"> PAGEREF _Toc5362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_Toc29542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_Toc29542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_Toc32380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rPr>
        <w:t>项目委托合同（样本）</w:t>
      </w:r>
      <w:r>
        <w:rPr>
          <w:color w:val="auto"/>
          <w:highlight w:val="none"/>
        </w:rPr>
        <w:tab/>
      </w:r>
      <w:r>
        <w:rPr>
          <w:color w:val="auto"/>
          <w:highlight w:val="none"/>
        </w:rPr>
        <w:fldChar w:fldCharType="begin"/>
      </w:r>
      <w:r>
        <w:rPr>
          <w:color w:val="auto"/>
          <w:highlight w:val="none"/>
        </w:rPr>
        <w:instrText xml:space="preserve"> PAGEREF _Toc32380 \h </w:instrText>
      </w:r>
      <w:r>
        <w:rPr>
          <w:color w:val="auto"/>
          <w:highlight w:val="none"/>
        </w:rPr>
        <w:fldChar w:fldCharType="separate"/>
      </w:r>
      <w:r>
        <w:rPr>
          <w:color w:val="auto"/>
          <w:highlight w:val="none"/>
        </w:rPr>
        <w:t>48</w:t>
      </w:r>
      <w:r>
        <w:rPr>
          <w:color w:val="auto"/>
          <w:highlight w:val="none"/>
        </w:rPr>
        <w:fldChar w:fldCharType="end"/>
      </w:r>
      <w:r>
        <w:rPr>
          <w:color w:val="auto"/>
          <w:szCs w:val="32"/>
          <w:highlight w:val="none"/>
        </w:rPr>
        <w:fldChar w:fldCharType="end"/>
      </w:r>
    </w:p>
    <w:p>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pPr>
        <w:pStyle w:val="4"/>
        <w:rPr>
          <w:color w:val="auto"/>
          <w:highlight w:val="none"/>
        </w:rPr>
      </w:pPr>
      <w:bookmarkStart w:id="0" w:name="_Toc26931"/>
      <w:r>
        <w:rPr>
          <w:color w:val="auto"/>
          <w:highlight w:val="none"/>
        </w:rPr>
        <w:t>采购公告</w:t>
      </w:r>
      <w:bookmarkEnd w:id="0"/>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中心机构改革撤并单位档案整体移交整理及扫描</w:t>
            </w:r>
            <w:r>
              <w:rPr>
                <w:rFonts w:hint="eastAsia"/>
                <w:color w:val="auto"/>
                <w:highlight w:val="none"/>
              </w:rPr>
              <w:t>项目的潜在投标人应在政府采购云平台（www.zcygov.cn）获取（下载）招标文件，并于</w:t>
            </w:r>
            <w:r>
              <w:rPr>
                <w:rFonts w:hint="eastAsia"/>
                <w:color w:val="auto"/>
                <w:highlight w:val="none"/>
                <w:lang w:eastAsia="zh-CN"/>
              </w:rPr>
              <w:t>2024年04月30日09:30</w:t>
            </w:r>
            <w:r>
              <w:rPr>
                <w:rFonts w:hint="eastAsia"/>
                <w:color w:val="auto"/>
                <w:highlight w:val="none"/>
              </w:rPr>
              <w:t xml:space="preserve">（北京时间）前递交（上传）投标文件。            </w:t>
            </w:r>
          </w:p>
        </w:tc>
      </w:tr>
    </w:tbl>
    <w:p>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202403001</w:t>
      </w:r>
    </w:p>
    <w:p>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中心机构改革撤并单位档案整体移交整理及扫描</w:t>
      </w:r>
    </w:p>
    <w:p>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309400</w:t>
      </w:r>
    </w:p>
    <w:p>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309400</w:t>
      </w:r>
    </w:p>
    <w:p>
      <w:pPr>
        <w:spacing w:line="338" w:lineRule="auto"/>
        <w:ind w:firstLine="480" w:firstLineChars="200"/>
        <w:rPr>
          <w:color w:val="auto"/>
          <w:highlight w:val="none"/>
        </w:rPr>
      </w:pPr>
      <w:r>
        <w:rPr>
          <w:rFonts w:hint="eastAsia"/>
          <w:color w:val="auto"/>
          <w:highlight w:val="none"/>
        </w:rPr>
        <w:t>采购需求：</w:t>
      </w:r>
    </w:p>
    <w:p>
      <w:pPr>
        <w:spacing w:line="338" w:lineRule="auto"/>
        <w:ind w:firstLine="480" w:firstLineChars="200"/>
        <w:rPr>
          <w:color w:val="auto"/>
          <w:highlight w:val="none"/>
        </w:rPr>
      </w:pPr>
    </w:p>
    <w:p>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中心机构改革撤并单位档案整体移交整理及扫描</w:t>
      </w:r>
    </w:p>
    <w:p>
      <w:pPr>
        <w:spacing w:line="338" w:lineRule="auto"/>
        <w:ind w:firstLine="480" w:firstLineChars="200"/>
        <w:rPr>
          <w:color w:val="auto"/>
          <w:highlight w:val="none"/>
        </w:rPr>
      </w:pPr>
      <w:r>
        <w:rPr>
          <w:rFonts w:hint="eastAsia"/>
          <w:color w:val="auto"/>
          <w:highlight w:val="none"/>
        </w:rPr>
        <w:t>数量：1</w:t>
      </w:r>
    </w:p>
    <w:p>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309400</w:t>
      </w:r>
    </w:p>
    <w:p>
      <w:pPr>
        <w:spacing w:line="338" w:lineRule="auto"/>
        <w:ind w:firstLine="480" w:firstLineChars="200"/>
        <w:rPr>
          <w:color w:val="auto"/>
          <w:highlight w:val="none"/>
        </w:rPr>
      </w:pPr>
      <w:r>
        <w:rPr>
          <w:rFonts w:hint="eastAsia"/>
          <w:color w:val="auto"/>
          <w:highlight w:val="none"/>
        </w:rPr>
        <w:t xml:space="preserve">简要规格描述或项目基本概况介绍、用途：详见《第四部分 </w:t>
      </w:r>
      <w:r>
        <w:rPr>
          <w:rFonts w:hint="eastAsia"/>
          <w:color w:val="auto"/>
          <w:highlight w:val="none"/>
          <w:lang w:eastAsia="zh-CN"/>
        </w:rPr>
        <w:t>采购需求</w:t>
      </w:r>
      <w:r>
        <w:rPr>
          <w:rFonts w:hint="eastAsia"/>
          <w:color w:val="auto"/>
          <w:highlight w:val="none"/>
        </w:rPr>
        <w:t>》</w:t>
      </w:r>
    </w:p>
    <w:p>
      <w:pPr>
        <w:spacing w:line="338" w:lineRule="auto"/>
        <w:ind w:firstLine="480" w:firstLineChars="200"/>
        <w:rPr>
          <w:color w:val="auto"/>
          <w:highlight w:val="none"/>
        </w:rPr>
      </w:pPr>
      <w:r>
        <w:rPr>
          <w:rFonts w:hint="eastAsia"/>
          <w:color w:val="auto"/>
          <w:highlight w:val="none"/>
        </w:rPr>
        <w:t>备注：</w:t>
      </w:r>
    </w:p>
    <w:p>
      <w:pPr>
        <w:spacing w:line="338" w:lineRule="auto"/>
        <w:ind w:firstLine="480" w:firstLineChars="200"/>
        <w:rPr>
          <w:color w:val="auto"/>
          <w:highlight w:val="none"/>
        </w:rPr>
      </w:pPr>
    </w:p>
    <w:p>
      <w:pPr>
        <w:spacing w:line="338" w:lineRule="auto"/>
        <w:ind w:firstLine="480" w:firstLineChars="200"/>
        <w:rPr>
          <w:color w:val="auto"/>
          <w:highlight w:val="none"/>
        </w:rPr>
      </w:pPr>
      <w:r>
        <w:rPr>
          <w:rFonts w:hint="eastAsia"/>
          <w:color w:val="auto"/>
          <w:highlight w:val="none"/>
        </w:rPr>
        <w:t>合同履约期限：标项1，按采购文件要求</w:t>
      </w:r>
    </w:p>
    <w:p>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8" w:lineRule="auto"/>
        <w:ind w:firstLine="480" w:firstLineChars="200"/>
        <w:rPr>
          <w:color w:val="auto"/>
          <w:highlight w:val="none"/>
        </w:rPr>
      </w:pPr>
      <w:r>
        <w:rPr>
          <w:rFonts w:hint="eastAsia"/>
          <w:color w:val="auto"/>
          <w:highlight w:val="none"/>
        </w:rPr>
        <w:t>2.落实政府采购政策需满足的资格要求：本项目专门面向中小企业采购，供应商应为中小微企业或监狱企业或残疾人福利性单位。</w:t>
      </w:r>
    </w:p>
    <w:p>
      <w:pPr>
        <w:spacing w:line="338" w:lineRule="auto"/>
        <w:ind w:firstLine="480" w:firstLineChars="200"/>
        <w:rPr>
          <w:color w:val="auto"/>
          <w:highlight w:val="none"/>
        </w:rPr>
      </w:pPr>
      <w:r>
        <w:rPr>
          <w:rFonts w:hint="eastAsia"/>
          <w:color w:val="auto"/>
          <w:highlight w:val="none"/>
        </w:rPr>
        <w:t>3.本项目的特定资格要求：无</w:t>
      </w:r>
    </w:p>
    <w:p>
      <w:pPr>
        <w:spacing w:before="60" w:after="60" w:line="338" w:lineRule="auto"/>
        <w:ind w:right="60"/>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04</w:t>
      </w:r>
      <w:r>
        <w:rPr>
          <w:rFonts w:hint="eastAsia"/>
          <w:color w:val="auto"/>
          <w:highlight w:val="none"/>
        </w:rPr>
        <w:t>月</w:t>
      </w:r>
      <w:r>
        <w:rPr>
          <w:rFonts w:hint="eastAsia"/>
          <w:color w:val="auto"/>
          <w:highlight w:val="none"/>
          <w:lang w:val="en-US" w:eastAsia="zh-CN"/>
        </w:rPr>
        <w:t>30</w:t>
      </w:r>
      <w:r>
        <w:rPr>
          <w:rFonts w:hint="eastAsia"/>
          <w:color w:val="auto"/>
          <w:highlight w:val="none"/>
        </w:rPr>
        <w:t>日 ，每天上午00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pPr>
        <w:spacing w:line="338" w:lineRule="auto"/>
        <w:ind w:firstLine="480" w:firstLineChars="200"/>
        <w:rPr>
          <w:color w:val="auto"/>
          <w:highlight w:val="none"/>
        </w:rPr>
      </w:pPr>
      <w:r>
        <w:rPr>
          <w:rFonts w:hint="eastAsia"/>
          <w:color w:val="auto"/>
          <w:highlight w:val="none"/>
        </w:rPr>
        <w:t>售价（元）：0</w:t>
      </w:r>
    </w:p>
    <w:p>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2024年04月30日09:30</w:t>
      </w:r>
      <w:r>
        <w:rPr>
          <w:rFonts w:hint="eastAsia"/>
          <w:color w:val="auto"/>
          <w:highlight w:val="none"/>
        </w:rPr>
        <w:t>（北京时间）</w:t>
      </w:r>
    </w:p>
    <w:p>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2024年04月30日09:30</w:t>
      </w:r>
    </w:p>
    <w:p>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pPr>
        <w:spacing w:before="60" w:after="60" w:line="338" w:lineRule="auto"/>
        <w:ind w:right="60"/>
        <w:rPr>
          <w:b/>
          <w:color w:val="auto"/>
          <w:highlight w:val="none"/>
        </w:rPr>
      </w:pPr>
      <w:r>
        <w:rPr>
          <w:rFonts w:hint="eastAsia"/>
          <w:b/>
          <w:color w:val="auto"/>
          <w:highlight w:val="none"/>
        </w:rPr>
        <w:t>六、其它补充事宜</w:t>
      </w:r>
    </w:p>
    <w:p>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浙江省钱塘江流域中心</w:t>
      </w:r>
    </w:p>
    <w:p>
      <w:pPr>
        <w:snapToGrid w:val="0"/>
        <w:spacing w:line="338" w:lineRule="auto"/>
        <w:ind w:firstLine="480" w:firstLineChars="200"/>
        <w:rPr>
          <w:color w:val="auto"/>
          <w:szCs w:val="24"/>
          <w:highlight w:val="none"/>
        </w:rPr>
      </w:pPr>
      <w:r>
        <w:rPr>
          <w:rFonts w:hint="eastAsia"/>
          <w:color w:val="auto"/>
          <w:szCs w:val="24"/>
          <w:highlight w:val="none"/>
        </w:rPr>
        <w:t xml:space="preserve">地址：杭州市清江路185号 </w:t>
      </w:r>
    </w:p>
    <w:p>
      <w:pPr>
        <w:snapToGrid w:val="0"/>
        <w:spacing w:line="338" w:lineRule="auto"/>
        <w:ind w:firstLine="480" w:firstLineChars="200"/>
        <w:rPr>
          <w:color w:val="auto"/>
          <w:szCs w:val="24"/>
          <w:highlight w:val="none"/>
        </w:rPr>
      </w:pPr>
      <w:r>
        <w:rPr>
          <w:rFonts w:hint="eastAsia"/>
          <w:color w:val="auto"/>
          <w:szCs w:val="24"/>
          <w:highlight w:val="none"/>
        </w:rPr>
        <w:t>传真：/</w:t>
      </w:r>
    </w:p>
    <w:p>
      <w:pPr>
        <w:snapToGrid w:val="0"/>
        <w:spacing w:line="338" w:lineRule="auto"/>
        <w:ind w:firstLine="480" w:firstLineChars="200"/>
        <w:rPr>
          <w:rFonts w:hint="eastAsia"/>
          <w:color w:val="auto"/>
          <w:szCs w:val="24"/>
          <w:highlight w:val="none"/>
        </w:rPr>
      </w:pPr>
      <w:r>
        <w:rPr>
          <w:rFonts w:hint="eastAsia"/>
          <w:color w:val="auto"/>
          <w:szCs w:val="24"/>
          <w:highlight w:val="none"/>
        </w:rPr>
        <w:t>项目联系人（询问）：施颖茵</w:t>
      </w:r>
    </w:p>
    <w:p>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项目联系方式（询问）：0571-86526041</w:t>
      </w:r>
    </w:p>
    <w:p>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质疑联系人：何学成</w:t>
      </w:r>
    </w:p>
    <w:p>
      <w:pPr>
        <w:snapToGrid w:val="0"/>
        <w:spacing w:line="338" w:lineRule="auto"/>
        <w:ind w:firstLine="480" w:firstLineChars="200"/>
        <w:rPr>
          <w:rFonts w:hint="default"/>
          <w:color w:val="auto"/>
          <w:szCs w:val="24"/>
          <w:highlight w:val="none"/>
        </w:rPr>
      </w:pPr>
      <w:r>
        <w:rPr>
          <w:rFonts w:hint="eastAsia"/>
          <w:color w:val="auto"/>
          <w:szCs w:val="24"/>
          <w:highlight w:val="none"/>
        </w:rPr>
        <w:t>质疑联系方式：13738168378</w:t>
      </w:r>
    </w:p>
    <w:p>
      <w:pPr>
        <w:pStyle w:val="2"/>
        <w:rPr>
          <w:color w:val="auto"/>
          <w:highlight w:val="none"/>
        </w:rPr>
      </w:pPr>
    </w:p>
    <w:p>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pPr>
        <w:snapToGrid w:val="0"/>
        <w:spacing w:line="338" w:lineRule="auto"/>
        <w:ind w:firstLine="480" w:firstLineChars="200"/>
        <w:rPr>
          <w:color w:val="auto"/>
          <w:szCs w:val="24"/>
          <w:highlight w:val="none"/>
        </w:rPr>
      </w:pPr>
      <w:r>
        <w:rPr>
          <w:rFonts w:hint="eastAsia"/>
          <w:color w:val="auto"/>
          <w:szCs w:val="24"/>
          <w:highlight w:val="none"/>
        </w:rPr>
        <w:t>传真：0571-87801502</w:t>
      </w:r>
    </w:p>
    <w:p>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pPr>
        <w:pStyle w:val="2"/>
        <w:rPr>
          <w:color w:val="auto"/>
          <w:highlight w:val="none"/>
        </w:rPr>
      </w:pPr>
    </w:p>
    <w:p>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pPr>
        <w:pStyle w:val="4"/>
        <w:rPr>
          <w:color w:val="auto"/>
          <w:highlight w:val="none"/>
        </w:rPr>
      </w:pPr>
      <w:bookmarkStart w:id="4" w:name="_Toc8891"/>
      <w:r>
        <w:rPr>
          <w:rFonts w:hint="eastAsia"/>
          <w:color w:val="auto"/>
          <w:highlight w:val="none"/>
        </w:rPr>
        <w:t>投标供应商须知</w:t>
      </w:r>
      <w:bookmarkEnd w:id="4"/>
    </w:p>
    <w:p>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中心机构改革撤并单位档案整体移交整理及扫描</w:t>
            </w:r>
          </w:p>
          <w:p>
            <w:pPr>
              <w:wordWrap w:val="0"/>
              <w:snapToGrid w:val="0"/>
              <w:spacing w:before="120" w:beforeLines="50" w:after="120" w:afterLines="50"/>
              <w:rPr>
                <w:rFonts w:hint="eastAsia" w:eastAsia="宋体"/>
                <w:color w:val="auto"/>
                <w:sz w:val="21"/>
                <w:szCs w:val="21"/>
                <w:highlight w:val="none"/>
                <w:lang w:eastAsia="zh-CN"/>
              </w:rPr>
            </w:pPr>
            <w:bookmarkStart w:id="5" w:name="_Toc4654"/>
            <w:bookmarkStart w:id="6" w:name="_Toc25015"/>
            <w:bookmarkStart w:id="7" w:name="_Toc9353086"/>
            <w:bookmarkStart w:id="8" w:name="_Toc19634"/>
            <w:bookmarkStart w:id="9" w:name="_Toc282"/>
            <w:bookmarkStart w:id="10" w:name="_Toc12598"/>
            <w:bookmarkStart w:id="11" w:name="_Toc61532586"/>
            <w:bookmarkStart w:id="12" w:name="_Toc15852"/>
            <w:bookmarkStart w:id="13" w:name="_Toc510948476"/>
            <w:bookmarkStart w:id="14" w:name="_Toc21350"/>
            <w:bookmarkStart w:id="15" w:name="_Toc71305501"/>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202403001</w:t>
            </w:r>
          </w:p>
          <w:p>
            <w:pPr>
              <w:wordWrap w:val="0"/>
              <w:snapToGrid w:val="0"/>
              <w:spacing w:before="120" w:beforeLines="50" w:after="120" w:afterLines="50"/>
              <w:rPr>
                <w:color w:val="auto"/>
                <w:sz w:val="21"/>
                <w:szCs w:val="21"/>
                <w:highlight w:val="none"/>
              </w:rPr>
            </w:pPr>
            <w:r>
              <w:rPr>
                <w:color w:val="auto"/>
                <w:sz w:val="21"/>
                <w:szCs w:val="21"/>
                <w:highlight w:val="none"/>
              </w:rPr>
              <w:t>资金来源：财政预算资金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采购文件第四部分</w:t>
            </w:r>
            <w:r>
              <w:rPr>
                <w:rFonts w:hint="eastAsia"/>
                <w:color w:val="auto"/>
                <w:sz w:val="21"/>
                <w:szCs w:val="21"/>
                <w:highlight w:val="none"/>
                <w:lang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是</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position w:val="2"/>
                <w:sz w:val="14"/>
                <w:szCs w:val="21"/>
                <w:highlight w:val="none"/>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2024年04月30日09:30</w:t>
            </w:r>
            <w:r>
              <w:rPr>
                <w:color w:val="auto"/>
                <w:sz w:val="21"/>
                <w:szCs w:val="21"/>
                <w:highlight w:val="none"/>
              </w:rPr>
              <w:t>（北京时间）</w:t>
            </w:r>
          </w:p>
          <w:p>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w:t>
            </w:r>
            <w:r>
              <w:rPr>
                <w:rFonts w:hint="eastAsia"/>
                <w:color w:val="auto"/>
                <w:szCs w:val="21"/>
                <w:highlight w:val="none"/>
              </w:rPr>
              <w:t>1</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人民币</w:t>
            </w:r>
            <w:r>
              <w:rPr>
                <w:rFonts w:hint="eastAsia"/>
                <w:color w:val="auto"/>
                <w:sz w:val="21"/>
                <w:szCs w:val="21"/>
                <w:highlight w:val="none"/>
                <w:lang w:val="en-US" w:eastAsia="zh-CN"/>
              </w:rPr>
              <w:t>30.94</w:t>
            </w:r>
            <w:r>
              <w:rPr>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属于</w:t>
            </w:r>
            <w:r>
              <w:rPr>
                <w:rFonts w:hint="eastAsia"/>
                <w:color w:val="auto"/>
                <w:sz w:val="21"/>
                <w:szCs w:val="21"/>
                <w:highlight w:val="none"/>
              </w:rPr>
              <w:t>专门面向中小企业采购。</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注：①根据工信部等部委发布的《关于印发中小企业划型标准规定的通知》（工信部联企业〔2011〕300号），根据具体品目确定相应标准，本次采购标的对应的中小企业划分标准所属行业是：</w:t>
            </w:r>
            <w:r>
              <w:rPr>
                <w:rFonts w:hint="eastAsia"/>
                <w:b/>
                <w:bCs/>
                <w:color w:val="auto"/>
                <w:sz w:val="21"/>
                <w:szCs w:val="21"/>
                <w:highlight w:val="none"/>
                <w:u w:val="single"/>
              </w:rPr>
              <w:t>软件和信息技术服务业</w:t>
            </w:r>
            <w:r>
              <w:rPr>
                <w:rFonts w:hint="eastAsia"/>
                <w:b/>
                <w:bCs/>
                <w:color w:val="auto"/>
                <w:sz w:val="21"/>
                <w:szCs w:val="21"/>
                <w:highlight w:val="none"/>
              </w:rPr>
              <w:t>。（各供应商可自行在工信部联企业〔2011〕300号中查找）符合上述条件的中小微型企业应按照采购文件附件的格式要求提供《中小企业声明函》。</w:t>
            </w:r>
          </w:p>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②小微企业认定须提供《政府采购促进中小企业发展管理办法》规定的《中小企业声明函》（或《监狱企业声明函》或《残疾人福利性单位声明函》）。</w:t>
            </w:r>
          </w:p>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③《中小企业声明函》中从业人员、营业收入、资产总额填报上一年度数据，无上一年度数据的新成立企业可不填报，数据未填写的视为未提供《中小企业声明函》。</w:t>
            </w:r>
          </w:p>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lang w:val="en-US" w:eastAsia="zh-CN"/>
              </w:rPr>
              <w:t>④</w:t>
            </w:r>
            <w:r>
              <w:rPr>
                <w:rFonts w:hint="eastAsia"/>
                <w:b/>
                <w:bCs/>
                <w:color w:val="auto"/>
                <w:sz w:val="21"/>
                <w:szCs w:val="21"/>
                <w:highlight w:val="none"/>
              </w:rPr>
              <w:t>中标人的《中小企业声明函》随中标结果同时公告。</w:t>
            </w:r>
          </w:p>
          <w:p>
            <w:pPr>
              <w:wordWrap w:val="0"/>
              <w:snapToGrid w:val="0"/>
              <w:spacing w:before="120" w:beforeLines="50" w:after="120" w:afterLines="50"/>
              <w:rPr>
                <w:color w:val="auto"/>
                <w:sz w:val="21"/>
                <w:szCs w:val="21"/>
                <w:highlight w:val="none"/>
              </w:rPr>
            </w:pPr>
            <w:r>
              <w:rPr>
                <w:rFonts w:hint="eastAsia"/>
                <w:b/>
                <w:bCs/>
                <w:color w:val="auto"/>
                <w:sz w:val="21"/>
                <w:szCs w:val="21"/>
                <w:highlight w:val="none"/>
                <w:lang w:val="en-US" w:eastAsia="zh-CN"/>
              </w:rPr>
              <w:t>⑤</w:t>
            </w:r>
            <w:r>
              <w:rPr>
                <w:rFonts w:hint="eastAsia"/>
                <w:b/>
                <w:bCs/>
                <w:color w:val="auto"/>
                <w:sz w:val="21"/>
                <w:szCs w:val="21"/>
                <w:highlight w:val="none"/>
              </w:rPr>
              <w:t>以上政策不重复享受。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13</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pPr>
        <w:spacing w:line="360" w:lineRule="auto"/>
        <w:jc w:val="center"/>
        <w:rPr>
          <w:b/>
          <w:bCs/>
          <w:color w:val="auto"/>
          <w:sz w:val="44"/>
          <w:highlight w:val="none"/>
        </w:rPr>
        <w:sectPr>
          <w:footerReference r:id="rId7" w:type="default"/>
          <w:pgSz w:w="11907" w:h="16840"/>
          <w:pgMar w:top="1418" w:right="1417" w:bottom="1418" w:left="1531" w:header="737" w:footer="851" w:gutter="0"/>
          <w:cols w:space="720" w:num="1"/>
          <w:docGrid w:linePitch="326" w:charSpace="0"/>
        </w:sectPr>
      </w:pPr>
    </w:p>
    <w:p>
      <w:pPr>
        <w:spacing w:line="360" w:lineRule="auto"/>
        <w:jc w:val="center"/>
        <w:rPr>
          <w:b/>
          <w:bCs/>
          <w:color w:val="auto"/>
          <w:sz w:val="44"/>
          <w:highlight w:val="none"/>
        </w:rPr>
      </w:pPr>
      <w:r>
        <w:rPr>
          <w:b/>
          <w:bCs/>
          <w:color w:val="auto"/>
          <w:sz w:val="44"/>
          <w:highlight w:val="none"/>
        </w:rPr>
        <w:t>投标供应商须知</w:t>
      </w:r>
    </w:p>
    <w:p>
      <w:pPr>
        <w:pStyle w:val="5"/>
        <w:rPr>
          <w:color w:val="auto"/>
          <w:highlight w:val="none"/>
        </w:rPr>
      </w:pPr>
      <w:bookmarkStart w:id="16" w:name="_Toc10809"/>
      <w:r>
        <w:rPr>
          <w:color w:val="auto"/>
          <w:highlight w:val="none"/>
        </w:rPr>
        <w:t>总则</w:t>
      </w:r>
      <w:bookmarkEnd w:id="16"/>
    </w:p>
    <w:p>
      <w:pPr>
        <w:snapToGrid w:val="0"/>
        <w:spacing w:line="360" w:lineRule="auto"/>
        <w:ind w:firstLine="480" w:firstLineChars="200"/>
        <w:jc w:val="left"/>
        <w:rPr>
          <w:color w:val="auto"/>
          <w:highlight w:val="none"/>
        </w:rPr>
      </w:pPr>
      <w:r>
        <w:rPr>
          <w:color w:val="auto"/>
          <w:highlight w:val="none"/>
        </w:rPr>
        <w:t>本采购文件仅适用于本次采购所叙述的内容。</w:t>
      </w:r>
    </w:p>
    <w:p>
      <w:pPr>
        <w:pStyle w:val="6"/>
        <w:rPr>
          <w:color w:val="auto"/>
          <w:highlight w:val="none"/>
        </w:rPr>
      </w:pPr>
      <w:r>
        <w:rPr>
          <w:color w:val="auto"/>
          <w:highlight w:val="none"/>
        </w:rPr>
        <w:t>概述</w:t>
      </w:r>
    </w:p>
    <w:p>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中心机构改革撤并单位档案整体移交整理及扫描</w:t>
      </w:r>
    </w:p>
    <w:p>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202403001</w:t>
      </w:r>
    </w:p>
    <w:p>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浙江省钱塘江流域中心</w:t>
      </w:r>
    </w:p>
    <w:p>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pPr>
        <w:snapToGrid w:val="0"/>
        <w:spacing w:line="360" w:lineRule="auto"/>
        <w:ind w:firstLine="480" w:firstLineChars="200"/>
        <w:jc w:val="left"/>
        <w:rPr>
          <w:color w:val="auto"/>
          <w:highlight w:val="none"/>
        </w:rPr>
      </w:pPr>
      <w:bookmarkStart w:id="18" w:name="_Toc510948478"/>
      <w:r>
        <w:rPr>
          <w:rFonts w:hint="eastAsia"/>
          <w:color w:val="auto"/>
          <w:highlight w:val="none"/>
        </w:rPr>
        <w:t>（6）“▲”系指实质性要求条款，投标供应商应当做出实质性响应。</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7</w:t>
      </w:r>
      <w:r>
        <w:rPr>
          <w:color w:val="auto"/>
          <w:highlight w:val="none"/>
        </w:rPr>
        <w:t>）资金来源：财政预算资金</w:t>
      </w:r>
      <w:bookmarkEnd w:id="18"/>
    </w:p>
    <w:p>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pPr>
        <w:pStyle w:val="6"/>
        <w:rPr>
          <w:color w:val="auto"/>
          <w:highlight w:val="none"/>
        </w:rPr>
      </w:pPr>
      <w:r>
        <w:rPr>
          <w:color w:val="auto"/>
          <w:highlight w:val="none"/>
        </w:rPr>
        <w:t xml:space="preserve">采购内容 </w:t>
      </w:r>
    </w:p>
    <w:p>
      <w:pPr>
        <w:snapToGrid w:val="0"/>
        <w:spacing w:line="360" w:lineRule="auto"/>
        <w:ind w:firstLine="480" w:firstLineChars="200"/>
        <w:jc w:val="left"/>
        <w:rPr>
          <w:bCs/>
          <w:color w:val="auto"/>
          <w:highlight w:val="none"/>
        </w:rPr>
      </w:pPr>
      <w:r>
        <w:rPr>
          <w:bCs/>
          <w:color w:val="auto"/>
          <w:highlight w:val="none"/>
        </w:rPr>
        <w:t>详见第四部分《</w:t>
      </w:r>
      <w:r>
        <w:rPr>
          <w:rFonts w:hint="eastAsia"/>
          <w:bCs/>
          <w:color w:val="auto"/>
          <w:highlight w:val="none"/>
          <w:lang w:eastAsia="zh-CN"/>
        </w:rPr>
        <w:t>采购需求</w:t>
      </w:r>
      <w:r>
        <w:rPr>
          <w:bCs/>
          <w:color w:val="auto"/>
          <w:highlight w:val="none"/>
        </w:rPr>
        <w:t>》。</w:t>
      </w:r>
    </w:p>
    <w:p>
      <w:pPr>
        <w:pStyle w:val="6"/>
        <w:rPr>
          <w:color w:val="auto"/>
          <w:highlight w:val="none"/>
        </w:rPr>
      </w:pPr>
      <w:r>
        <w:rPr>
          <w:color w:val="auto"/>
          <w:highlight w:val="none"/>
        </w:rPr>
        <w:t xml:space="preserve">投标供应商资格  </w:t>
      </w:r>
    </w:p>
    <w:p>
      <w:pPr>
        <w:snapToGrid w:val="0"/>
        <w:spacing w:line="360" w:lineRule="auto"/>
        <w:ind w:firstLine="480" w:firstLineChars="200"/>
        <w:jc w:val="left"/>
        <w:rPr>
          <w:bCs/>
          <w:color w:val="auto"/>
          <w:highlight w:val="none"/>
        </w:rPr>
      </w:pPr>
      <w:r>
        <w:rPr>
          <w:bCs/>
          <w:color w:val="auto"/>
          <w:highlight w:val="none"/>
        </w:rPr>
        <w:t>按采购公告要求。</w:t>
      </w:r>
    </w:p>
    <w:p>
      <w:pPr>
        <w:pStyle w:val="6"/>
        <w:rPr>
          <w:color w:val="auto"/>
          <w:highlight w:val="none"/>
        </w:rPr>
      </w:pPr>
      <w:r>
        <w:rPr>
          <w:color w:val="auto"/>
          <w:highlight w:val="none"/>
        </w:rPr>
        <w:t>投标费用</w:t>
      </w:r>
    </w:p>
    <w:p>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pPr>
        <w:pStyle w:val="6"/>
        <w:rPr>
          <w:color w:val="auto"/>
          <w:highlight w:val="none"/>
        </w:rPr>
      </w:pPr>
      <w:r>
        <w:rPr>
          <w:color w:val="auto"/>
          <w:highlight w:val="none"/>
        </w:rPr>
        <w:t>投标规则</w:t>
      </w:r>
    </w:p>
    <w:p>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pPr>
        <w:pStyle w:val="6"/>
        <w:rPr>
          <w:color w:val="auto"/>
          <w:highlight w:val="none"/>
        </w:rPr>
      </w:pPr>
      <w:r>
        <w:rPr>
          <w:color w:val="auto"/>
          <w:highlight w:val="none"/>
        </w:rPr>
        <w:t>保密</w:t>
      </w:r>
    </w:p>
    <w:p>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pPr>
        <w:pStyle w:val="6"/>
        <w:rPr>
          <w:color w:val="auto"/>
          <w:highlight w:val="none"/>
        </w:rPr>
      </w:pPr>
      <w:r>
        <w:rPr>
          <w:color w:val="auto"/>
          <w:highlight w:val="none"/>
        </w:rPr>
        <w:t>转包与分包</w:t>
      </w:r>
    </w:p>
    <w:p>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pPr>
        <w:snapToGrid w:val="0"/>
        <w:spacing w:line="360" w:lineRule="auto"/>
        <w:ind w:firstLine="480" w:firstLineChars="200"/>
        <w:jc w:val="left"/>
        <w:rPr>
          <w:color w:val="auto"/>
          <w:highlight w:val="none"/>
        </w:rPr>
      </w:pPr>
      <w:r>
        <w:rPr>
          <w:rFonts w:hint="eastAsia"/>
          <w:color w:val="auto"/>
          <w:highlight w:val="none"/>
        </w:rPr>
        <w:t>（2）本项目</w:t>
      </w:r>
      <w:r>
        <w:rPr>
          <w:color w:val="auto"/>
          <w:highlight w:val="none"/>
        </w:rPr>
        <w:t>不</w:t>
      </w:r>
      <w:r>
        <w:rPr>
          <w:rFonts w:hint="eastAsia"/>
          <w:color w:val="auto"/>
          <w:highlight w:val="none"/>
        </w:rPr>
        <w:t>允许分包。</w:t>
      </w:r>
    </w:p>
    <w:p>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pPr>
        <w:snapToGrid w:val="0"/>
        <w:spacing w:line="360" w:lineRule="auto"/>
        <w:ind w:firstLine="480" w:firstLineChars="200"/>
        <w:jc w:val="left"/>
        <w:rPr>
          <w:color w:val="auto"/>
          <w:highlight w:val="none"/>
        </w:rPr>
      </w:pPr>
      <w:r>
        <w:rPr>
          <w:rFonts w:hint="eastAsia"/>
          <w:color w:val="auto"/>
          <w:highlight w:val="none"/>
        </w:rPr>
        <w:t>1、供应商询问</w:t>
      </w:r>
    </w:p>
    <w:p>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pPr>
        <w:snapToGrid w:val="0"/>
        <w:spacing w:line="360" w:lineRule="auto"/>
        <w:ind w:firstLine="480" w:firstLineChars="200"/>
        <w:jc w:val="left"/>
        <w:rPr>
          <w:color w:val="auto"/>
          <w:highlight w:val="none"/>
        </w:rPr>
      </w:pPr>
      <w:r>
        <w:rPr>
          <w:rFonts w:hint="eastAsia"/>
          <w:color w:val="auto"/>
          <w:highlight w:val="none"/>
        </w:rPr>
        <w:t>2、供应商质疑</w:t>
      </w:r>
    </w:p>
    <w:p>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pPr>
        <w:snapToGrid w:val="0"/>
        <w:spacing w:line="360" w:lineRule="auto"/>
        <w:ind w:firstLine="480" w:firstLineChars="200"/>
        <w:jc w:val="left"/>
        <w:rPr>
          <w:color w:val="auto"/>
          <w:highlight w:val="none"/>
        </w:rPr>
      </w:pPr>
      <w:r>
        <w:rPr>
          <w:rFonts w:hint="eastAsia"/>
          <w:color w:val="auto"/>
          <w:highlight w:val="none"/>
        </w:rPr>
        <w:t>2）质疑项目的名称、编号；</w:t>
      </w:r>
    </w:p>
    <w:p>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pPr>
        <w:snapToGrid w:val="0"/>
        <w:spacing w:line="360" w:lineRule="auto"/>
        <w:ind w:firstLine="480" w:firstLineChars="200"/>
        <w:jc w:val="left"/>
        <w:rPr>
          <w:color w:val="auto"/>
          <w:highlight w:val="none"/>
        </w:rPr>
      </w:pPr>
      <w:r>
        <w:rPr>
          <w:rFonts w:hint="eastAsia"/>
          <w:color w:val="auto"/>
          <w:highlight w:val="none"/>
        </w:rPr>
        <w:t>4）事实依据；</w:t>
      </w:r>
    </w:p>
    <w:p>
      <w:pPr>
        <w:snapToGrid w:val="0"/>
        <w:spacing w:line="360" w:lineRule="auto"/>
        <w:ind w:firstLine="480" w:firstLineChars="200"/>
        <w:jc w:val="left"/>
        <w:rPr>
          <w:color w:val="auto"/>
          <w:highlight w:val="none"/>
        </w:rPr>
      </w:pPr>
      <w:r>
        <w:rPr>
          <w:rFonts w:hint="eastAsia"/>
          <w:color w:val="auto"/>
          <w:highlight w:val="none"/>
        </w:rPr>
        <w:t>5）必要的法律依据；</w:t>
      </w:r>
    </w:p>
    <w:p>
      <w:pPr>
        <w:snapToGrid w:val="0"/>
        <w:spacing w:line="360" w:lineRule="auto"/>
        <w:ind w:firstLine="480" w:firstLineChars="200"/>
        <w:jc w:val="left"/>
        <w:rPr>
          <w:color w:val="auto"/>
          <w:highlight w:val="none"/>
        </w:rPr>
      </w:pPr>
      <w:r>
        <w:rPr>
          <w:rFonts w:hint="eastAsia"/>
          <w:color w:val="auto"/>
          <w:highlight w:val="none"/>
        </w:rPr>
        <w:t>6）提出质疑的日期。</w:t>
      </w:r>
    </w:p>
    <w:p>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pPr>
        <w:snapToGrid w:val="0"/>
        <w:spacing w:line="360" w:lineRule="auto"/>
        <w:ind w:firstLine="480" w:firstLineChars="200"/>
        <w:jc w:val="left"/>
        <w:rPr>
          <w:color w:val="auto"/>
          <w:highlight w:val="none"/>
        </w:rPr>
      </w:pPr>
      <w:r>
        <w:rPr>
          <w:rFonts w:hint="eastAsia"/>
          <w:color w:val="auto"/>
          <w:highlight w:val="none"/>
        </w:rPr>
        <w:t>3、供应商投诉</w:t>
      </w:r>
    </w:p>
    <w:p>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pPr>
        <w:pStyle w:val="5"/>
        <w:rPr>
          <w:color w:val="auto"/>
          <w:highlight w:val="none"/>
        </w:rPr>
      </w:pPr>
      <w:bookmarkStart w:id="20" w:name="_Toc10288"/>
      <w:r>
        <w:rPr>
          <w:color w:val="auto"/>
          <w:highlight w:val="none"/>
        </w:rPr>
        <w:t>采购文件</w:t>
      </w:r>
      <w:bookmarkEnd w:id="20"/>
    </w:p>
    <w:p>
      <w:pPr>
        <w:pStyle w:val="6"/>
        <w:rPr>
          <w:color w:val="auto"/>
          <w:highlight w:val="none"/>
        </w:rPr>
      </w:pPr>
      <w:r>
        <w:rPr>
          <w:color w:val="auto"/>
          <w:highlight w:val="none"/>
        </w:rPr>
        <w:t>采购文件的组成</w:t>
      </w:r>
    </w:p>
    <w:p>
      <w:pPr>
        <w:snapToGrid w:val="0"/>
        <w:spacing w:line="360" w:lineRule="auto"/>
        <w:ind w:firstLine="480" w:firstLineChars="200"/>
        <w:jc w:val="left"/>
        <w:rPr>
          <w:color w:val="auto"/>
          <w:highlight w:val="none"/>
        </w:rPr>
      </w:pPr>
      <w:r>
        <w:rPr>
          <w:color w:val="auto"/>
          <w:highlight w:val="none"/>
        </w:rPr>
        <w:t>采购文件包括下列文件：</w:t>
      </w:r>
    </w:p>
    <w:p>
      <w:pPr>
        <w:snapToGrid w:val="0"/>
        <w:spacing w:line="360" w:lineRule="auto"/>
        <w:ind w:firstLine="480" w:firstLineChars="200"/>
        <w:jc w:val="left"/>
        <w:rPr>
          <w:color w:val="auto"/>
          <w:highlight w:val="none"/>
        </w:rPr>
      </w:pPr>
      <w:r>
        <w:rPr>
          <w:color w:val="auto"/>
          <w:highlight w:val="none"/>
        </w:rPr>
        <w:t>（1）采购公告；</w:t>
      </w:r>
    </w:p>
    <w:p>
      <w:pPr>
        <w:snapToGrid w:val="0"/>
        <w:spacing w:line="360" w:lineRule="auto"/>
        <w:ind w:firstLine="480" w:firstLineChars="200"/>
        <w:jc w:val="left"/>
        <w:rPr>
          <w:color w:val="auto"/>
          <w:highlight w:val="none"/>
        </w:rPr>
      </w:pPr>
      <w:r>
        <w:rPr>
          <w:color w:val="auto"/>
          <w:highlight w:val="none"/>
        </w:rPr>
        <w:t>（2）投标供应商须知；</w:t>
      </w:r>
    </w:p>
    <w:p>
      <w:pPr>
        <w:snapToGrid w:val="0"/>
        <w:spacing w:line="360" w:lineRule="auto"/>
        <w:ind w:firstLine="480" w:firstLineChars="200"/>
        <w:jc w:val="left"/>
        <w:rPr>
          <w:color w:val="auto"/>
          <w:highlight w:val="none"/>
        </w:rPr>
      </w:pPr>
      <w:r>
        <w:rPr>
          <w:color w:val="auto"/>
          <w:highlight w:val="none"/>
        </w:rPr>
        <w:t>（3）评标细则；</w:t>
      </w:r>
    </w:p>
    <w:p>
      <w:pPr>
        <w:snapToGrid w:val="0"/>
        <w:spacing w:line="360" w:lineRule="auto"/>
        <w:ind w:firstLine="480" w:firstLineChars="200"/>
        <w:jc w:val="left"/>
        <w:rPr>
          <w:color w:val="auto"/>
          <w:highlight w:val="none"/>
        </w:rPr>
      </w:pPr>
      <w:r>
        <w:rPr>
          <w:color w:val="auto"/>
          <w:highlight w:val="none"/>
        </w:rPr>
        <w:t>（4）</w:t>
      </w:r>
      <w:r>
        <w:rPr>
          <w:rFonts w:hint="eastAsia"/>
          <w:color w:val="auto"/>
          <w:highlight w:val="none"/>
          <w:lang w:eastAsia="zh-CN"/>
        </w:rPr>
        <w:t>采购需求</w:t>
      </w:r>
      <w:r>
        <w:rPr>
          <w:color w:val="auto"/>
          <w:highlight w:val="none"/>
        </w:rPr>
        <w:t>；</w:t>
      </w:r>
    </w:p>
    <w:p>
      <w:pPr>
        <w:snapToGrid w:val="0"/>
        <w:spacing w:line="360" w:lineRule="auto"/>
        <w:ind w:firstLine="480" w:firstLineChars="200"/>
        <w:jc w:val="left"/>
        <w:rPr>
          <w:color w:val="auto"/>
          <w:highlight w:val="none"/>
        </w:rPr>
      </w:pPr>
      <w:r>
        <w:rPr>
          <w:color w:val="auto"/>
          <w:highlight w:val="none"/>
        </w:rPr>
        <w:t>（5）投标文件格式；</w:t>
      </w:r>
    </w:p>
    <w:p>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pPr>
        <w:pStyle w:val="6"/>
        <w:rPr>
          <w:color w:val="auto"/>
          <w:highlight w:val="none"/>
        </w:rPr>
      </w:pPr>
      <w:r>
        <w:rPr>
          <w:color w:val="auto"/>
          <w:highlight w:val="none"/>
        </w:rPr>
        <w:t>采购文件的澄清和修改</w:t>
      </w:r>
    </w:p>
    <w:p>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pPr>
        <w:pStyle w:val="5"/>
        <w:rPr>
          <w:color w:val="auto"/>
          <w:highlight w:val="none"/>
        </w:rPr>
      </w:pPr>
      <w:bookmarkStart w:id="21" w:name="_Toc7907"/>
      <w:r>
        <w:rPr>
          <w:color w:val="auto"/>
          <w:highlight w:val="none"/>
        </w:rPr>
        <w:t>投标文件</w:t>
      </w:r>
      <w:bookmarkEnd w:id="21"/>
    </w:p>
    <w:p>
      <w:pPr>
        <w:pStyle w:val="6"/>
        <w:rPr>
          <w:color w:val="auto"/>
          <w:highlight w:val="none"/>
        </w:rPr>
      </w:pPr>
      <w:r>
        <w:rPr>
          <w:color w:val="auto"/>
          <w:highlight w:val="none"/>
        </w:rPr>
        <w:t>投标文件的组成</w:t>
      </w:r>
    </w:p>
    <w:p>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pPr>
        <w:pStyle w:val="7"/>
        <w:ind w:left="864" w:hanging="864"/>
        <w:rPr>
          <w:color w:val="auto"/>
          <w:highlight w:val="none"/>
        </w:rPr>
      </w:pPr>
      <w:r>
        <w:rPr>
          <w:rFonts w:hint="eastAsia"/>
          <w:color w:val="auto"/>
          <w:highlight w:val="none"/>
        </w:rPr>
        <w:t>资格文件</w:t>
      </w:r>
    </w:p>
    <w:p>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pPr>
        <w:widowControl/>
        <w:snapToGrid w:val="0"/>
        <w:spacing w:line="360" w:lineRule="auto"/>
        <w:ind w:firstLine="482" w:firstLineChars="200"/>
        <w:jc w:val="left"/>
        <w:rPr>
          <w:b/>
          <w:color w:val="auto"/>
          <w:highlight w:val="none"/>
        </w:rPr>
      </w:pPr>
      <w:r>
        <w:rPr>
          <w:rFonts w:hint="eastAsia"/>
          <w:b/>
          <w:color w:val="auto"/>
          <w:highlight w:val="none"/>
        </w:rPr>
        <w:t>C.授权委托书（格式见附件）</w:t>
      </w:r>
      <w:r>
        <w:rPr>
          <w:rFonts w:hint="eastAsia"/>
          <w:b/>
          <w:color w:val="auto"/>
          <w:highlight w:val="none"/>
          <w:lang w:val="en-US" w:eastAsia="zh-CN"/>
        </w:rPr>
        <w:t>或</w:t>
      </w:r>
      <w:r>
        <w:rPr>
          <w:rFonts w:hint="eastAsia"/>
          <w:b/>
          <w:color w:val="auto"/>
          <w:highlight w:val="none"/>
        </w:rPr>
        <w:t>法定代表人</w:t>
      </w:r>
      <w:r>
        <w:rPr>
          <w:rFonts w:hint="eastAsia"/>
          <w:b/>
          <w:color w:val="auto"/>
          <w:highlight w:val="none"/>
          <w:lang w:eastAsia="zh-CN"/>
        </w:rPr>
        <w:t>（</w:t>
      </w:r>
      <w:r>
        <w:rPr>
          <w:rFonts w:hint="eastAsia"/>
          <w:b/>
          <w:color w:val="auto"/>
          <w:highlight w:val="none"/>
        </w:rPr>
        <w:t>单位负责人</w:t>
      </w:r>
      <w:r>
        <w:rPr>
          <w:rFonts w:hint="eastAsia"/>
          <w:b/>
          <w:color w:val="auto"/>
          <w:highlight w:val="none"/>
          <w:lang w:eastAsia="zh-CN"/>
        </w:rPr>
        <w:t>、</w:t>
      </w:r>
      <w:r>
        <w:rPr>
          <w:rFonts w:hint="eastAsia"/>
          <w:b/>
          <w:color w:val="auto"/>
          <w:highlight w:val="none"/>
        </w:rPr>
        <w:t>自然人本人</w:t>
      </w:r>
      <w:r>
        <w:rPr>
          <w:rFonts w:hint="eastAsia"/>
          <w:b/>
          <w:color w:val="auto"/>
          <w:highlight w:val="none"/>
          <w:lang w:eastAsia="zh-CN"/>
        </w:rPr>
        <w:t>）</w:t>
      </w:r>
      <w:r>
        <w:rPr>
          <w:rFonts w:hint="eastAsia"/>
          <w:b/>
          <w:color w:val="auto"/>
          <w:highlight w:val="none"/>
        </w:rPr>
        <w:t>身份证明（格式见附件）</w:t>
      </w:r>
    </w:p>
    <w:p>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本项目专门面向中小企业采购，供应商应为中小微企业或监狱企业或残疾人福利性单位，须提供中小企业声明函或监狱企业声明函或残疾人福利性单位声明函（格式见附件）。</w:t>
      </w:r>
    </w:p>
    <w:p>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pPr>
        <w:pStyle w:val="7"/>
        <w:rPr>
          <w:color w:val="auto"/>
          <w:highlight w:val="none"/>
        </w:rPr>
      </w:pPr>
      <w:r>
        <w:rPr>
          <w:color w:val="auto"/>
          <w:highlight w:val="none"/>
        </w:rPr>
        <w:t>商务技术文件</w:t>
      </w:r>
    </w:p>
    <w:p>
      <w:pPr>
        <w:snapToGrid w:val="0"/>
        <w:spacing w:line="360" w:lineRule="auto"/>
        <w:ind w:firstLine="480" w:firstLineChars="200"/>
        <w:jc w:val="left"/>
        <w:rPr>
          <w:color w:val="auto"/>
          <w:highlight w:val="none"/>
        </w:rPr>
      </w:pPr>
      <w:r>
        <w:rPr>
          <w:rFonts w:hint="eastAsia"/>
          <w:color w:val="auto"/>
          <w:highlight w:val="none"/>
        </w:rPr>
        <w:t>（1）投标供应商基本情况表（格式见附件）</w:t>
      </w:r>
    </w:p>
    <w:p>
      <w:pPr>
        <w:snapToGrid w:val="0"/>
        <w:spacing w:line="360" w:lineRule="auto"/>
        <w:ind w:firstLine="480" w:firstLineChars="200"/>
        <w:jc w:val="left"/>
        <w:rPr>
          <w:color w:val="auto"/>
          <w:highlight w:val="none"/>
        </w:rPr>
      </w:pPr>
      <w:r>
        <w:rPr>
          <w:rFonts w:hint="eastAsia"/>
          <w:color w:val="auto"/>
          <w:highlight w:val="none"/>
        </w:rPr>
        <w:t>（2）主要类似业绩情况（格式见附件）</w:t>
      </w:r>
    </w:p>
    <w:p>
      <w:pPr>
        <w:snapToGrid w:val="0"/>
        <w:spacing w:line="360" w:lineRule="auto"/>
        <w:ind w:firstLine="480" w:firstLineChars="200"/>
        <w:jc w:val="left"/>
        <w:rPr>
          <w:color w:val="auto"/>
          <w:highlight w:val="none"/>
        </w:rPr>
      </w:pPr>
      <w:r>
        <w:rPr>
          <w:rFonts w:hint="eastAsia"/>
          <w:color w:val="auto"/>
          <w:highlight w:val="none"/>
        </w:rPr>
        <w:t>（3）项目负责人简历表（格式见附件）</w:t>
      </w:r>
    </w:p>
    <w:p>
      <w:pPr>
        <w:snapToGrid w:val="0"/>
        <w:spacing w:line="360" w:lineRule="auto"/>
        <w:ind w:firstLine="480" w:firstLineChars="200"/>
        <w:jc w:val="left"/>
        <w:rPr>
          <w:color w:val="auto"/>
          <w:highlight w:val="none"/>
        </w:rPr>
      </w:pPr>
      <w:r>
        <w:rPr>
          <w:rFonts w:hint="eastAsia"/>
          <w:color w:val="auto"/>
          <w:highlight w:val="none"/>
        </w:rPr>
        <w:t>（4）拟参加本项目实施人员情况（格式见附件）</w:t>
      </w:r>
    </w:p>
    <w:p>
      <w:pPr>
        <w:snapToGrid w:val="0"/>
        <w:spacing w:line="360" w:lineRule="auto"/>
        <w:ind w:firstLine="480" w:firstLineChars="200"/>
        <w:jc w:val="left"/>
        <w:rPr>
          <w:color w:val="auto"/>
          <w:highlight w:val="none"/>
        </w:rPr>
      </w:pPr>
      <w:r>
        <w:rPr>
          <w:rFonts w:hint="eastAsia"/>
          <w:color w:val="auto"/>
          <w:highlight w:val="none"/>
        </w:rPr>
        <w:t>（5）技术方案（根据评分办法及标准结合自身情况编制）</w:t>
      </w:r>
    </w:p>
    <w:p>
      <w:pPr>
        <w:snapToGrid w:val="0"/>
        <w:spacing w:line="360" w:lineRule="auto"/>
        <w:ind w:firstLine="480" w:firstLineChars="200"/>
        <w:jc w:val="left"/>
        <w:rPr>
          <w:color w:val="auto"/>
          <w:highlight w:val="none"/>
        </w:rPr>
      </w:pPr>
      <w:r>
        <w:rPr>
          <w:rFonts w:hint="eastAsia"/>
          <w:color w:val="auto"/>
          <w:highlight w:val="none"/>
        </w:rPr>
        <w:t>（6）技术偏离表（格式见附件）</w:t>
      </w:r>
    </w:p>
    <w:p>
      <w:pPr>
        <w:snapToGrid w:val="0"/>
        <w:spacing w:line="360" w:lineRule="auto"/>
        <w:ind w:firstLine="480" w:firstLineChars="200"/>
        <w:jc w:val="left"/>
        <w:rPr>
          <w:color w:val="auto"/>
          <w:highlight w:val="none"/>
        </w:rPr>
      </w:pPr>
      <w:r>
        <w:rPr>
          <w:rFonts w:hint="eastAsia"/>
          <w:color w:val="auto"/>
          <w:highlight w:val="none"/>
        </w:rPr>
        <w:t>（7）投标供应商认为需要的其他文件和说明</w:t>
      </w:r>
      <w:r>
        <w:rPr>
          <w:color w:val="auto"/>
          <w:highlight w:val="none"/>
        </w:rPr>
        <w:t>（格式自拟）</w:t>
      </w:r>
    </w:p>
    <w:p>
      <w:pPr>
        <w:pStyle w:val="7"/>
        <w:rPr>
          <w:color w:val="auto"/>
          <w:highlight w:val="none"/>
        </w:rPr>
      </w:pPr>
      <w:r>
        <w:rPr>
          <w:color w:val="auto"/>
          <w:highlight w:val="none"/>
        </w:rPr>
        <w:t>报价文件</w:t>
      </w:r>
    </w:p>
    <w:p>
      <w:pPr>
        <w:snapToGrid w:val="0"/>
        <w:spacing w:line="360" w:lineRule="auto"/>
        <w:ind w:firstLine="480" w:firstLineChars="200"/>
        <w:jc w:val="left"/>
        <w:rPr>
          <w:color w:val="auto"/>
          <w:highlight w:val="none"/>
        </w:rPr>
      </w:pPr>
      <w:r>
        <w:rPr>
          <w:rFonts w:hint="eastAsia"/>
          <w:color w:val="auto"/>
          <w:highlight w:val="none"/>
        </w:rPr>
        <w:t>（1）投标函（格式见附件）</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pPr>
        <w:pStyle w:val="6"/>
        <w:rPr>
          <w:color w:val="auto"/>
          <w:highlight w:val="none"/>
        </w:rPr>
      </w:pPr>
      <w:r>
        <w:rPr>
          <w:color w:val="auto"/>
          <w:highlight w:val="none"/>
        </w:rPr>
        <w:t>投标报价</w:t>
      </w:r>
    </w:p>
    <w:p>
      <w:pPr>
        <w:snapToGrid w:val="0"/>
        <w:spacing w:line="360" w:lineRule="auto"/>
        <w:ind w:firstLine="480" w:firstLineChars="200"/>
        <w:jc w:val="left"/>
        <w:rPr>
          <w:color w:val="auto"/>
          <w:highlight w:val="none"/>
        </w:rPr>
      </w:pPr>
      <w:r>
        <w:rPr>
          <w:color w:val="auto"/>
          <w:highlight w:val="none"/>
        </w:rPr>
        <w:t>（1）投标报价以人民币为计算货币。</w:t>
      </w:r>
    </w:p>
    <w:p>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pPr>
        <w:pStyle w:val="6"/>
        <w:rPr>
          <w:color w:val="auto"/>
          <w:highlight w:val="none"/>
        </w:rPr>
      </w:pPr>
      <w:r>
        <w:rPr>
          <w:color w:val="auto"/>
          <w:highlight w:val="none"/>
        </w:rPr>
        <w:t>投标文件有效期</w:t>
      </w:r>
    </w:p>
    <w:p>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pPr>
        <w:pStyle w:val="6"/>
        <w:rPr>
          <w:color w:val="auto"/>
          <w:highlight w:val="none"/>
        </w:rPr>
      </w:pPr>
      <w:r>
        <w:rPr>
          <w:color w:val="auto"/>
          <w:highlight w:val="none"/>
        </w:rPr>
        <w:t>投标文件的编制</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pPr>
        <w:pStyle w:val="5"/>
        <w:rPr>
          <w:color w:val="auto"/>
          <w:highlight w:val="none"/>
        </w:rPr>
      </w:pPr>
      <w:bookmarkStart w:id="22" w:name="_Toc7986"/>
      <w:r>
        <w:rPr>
          <w:color w:val="auto"/>
          <w:highlight w:val="none"/>
        </w:rPr>
        <w:t>投标</w:t>
      </w:r>
      <w:bookmarkEnd w:id="22"/>
    </w:p>
    <w:p>
      <w:pPr>
        <w:pStyle w:val="6"/>
        <w:rPr>
          <w:color w:val="auto"/>
          <w:highlight w:val="none"/>
        </w:rPr>
      </w:pPr>
      <w:r>
        <w:rPr>
          <w:rFonts w:hint="eastAsia"/>
          <w:color w:val="auto"/>
          <w:highlight w:val="none"/>
        </w:rPr>
        <w:t>投标文件的签署及规定</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pPr>
        <w:pStyle w:val="6"/>
        <w:rPr>
          <w:color w:val="auto"/>
          <w:highlight w:val="none"/>
        </w:rPr>
      </w:pPr>
      <w:r>
        <w:rPr>
          <w:rFonts w:hint="eastAsia"/>
          <w:color w:val="auto"/>
          <w:highlight w:val="none"/>
        </w:rPr>
        <w:t>电子投标文件的传输递交</w:t>
      </w:r>
    </w:p>
    <w:p>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2024年04月30日09:30</w:t>
      </w:r>
      <w:r>
        <w:rPr>
          <w:rFonts w:hint="eastAsia"/>
          <w:color w:val="auto"/>
          <w:szCs w:val="22"/>
          <w:highlight w:val="none"/>
        </w:rPr>
        <w:t>（北京时间）</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pPr>
        <w:pStyle w:val="6"/>
        <w:rPr>
          <w:color w:val="auto"/>
          <w:highlight w:val="none"/>
        </w:rPr>
      </w:pPr>
      <w:r>
        <w:rPr>
          <w:color w:val="auto"/>
          <w:highlight w:val="none"/>
        </w:rPr>
        <w:t>投标文件的补充、修改和撤回</w:t>
      </w:r>
    </w:p>
    <w:p>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pPr>
        <w:pStyle w:val="5"/>
        <w:rPr>
          <w:color w:val="auto"/>
          <w:highlight w:val="none"/>
        </w:rPr>
      </w:pPr>
      <w:bookmarkStart w:id="23" w:name="_Toc3709"/>
      <w:r>
        <w:rPr>
          <w:rFonts w:hint="eastAsia"/>
          <w:color w:val="auto"/>
          <w:highlight w:val="none"/>
        </w:rPr>
        <w:t>投标无效的情形</w:t>
      </w:r>
      <w:bookmarkEnd w:id="23"/>
    </w:p>
    <w:p>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pPr>
        <w:pStyle w:val="5"/>
        <w:rPr>
          <w:color w:val="auto"/>
          <w:highlight w:val="none"/>
        </w:rPr>
      </w:pPr>
      <w:bookmarkStart w:id="24" w:name="_Toc22441"/>
      <w:r>
        <w:rPr>
          <w:rFonts w:hint="eastAsia"/>
          <w:color w:val="auto"/>
          <w:highlight w:val="none"/>
        </w:rPr>
        <w:t>中止电子交易活动的情形</w:t>
      </w:r>
      <w:bookmarkEnd w:id="24"/>
    </w:p>
    <w:p>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pPr>
        <w:pStyle w:val="5"/>
        <w:rPr>
          <w:color w:val="auto"/>
          <w:highlight w:val="none"/>
        </w:rPr>
      </w:pPr>
      <w:bookmarkStart w:id="25" w:name="_Toc16364"/>
      <w:r>
        <w:rPr>
          <w:color w:val="auto"/>
          <w:highlight w:val="none"/>
        </w:rPr>
        <w:t>开标与评标</w:t>
      </w:r>
      <w:bookmarkEnd w:id="25"/>
    </w:p>
    <w:p>
      <w:pPr>
        <w:pStyle w:val="6"/>
        <w:rPr>
          <w:color w:val="auto"/>
          <w:highlight w:val="none"/>
        </w:rPr>
      </w:pPr>
      <w:r>
        <w:rPr>
          <w:color w:val="auto"/>
          <w:highlight w:val="none"/>
        </w:rPr>
        <w:t>开标</w:t>
      </w:r>
    </w:p>
    <w:p>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2024年04月30日09:30</w:t>
      </w:r>
      <w:r>
        <w:rPr>
          <w:rFonts w:hint="eastAsia"/>
          <w:color w:val="auto"/>
          <w:highlight w:val="none"/>
        </w:rPr>
        <w:t>（北京时间）</w:t>
      </w:r>
    </w:p>
    <w:p>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pPr>
        <w:snapToGrid w:val="0"/>
        <w:spacing w:line="360" w:lineRule="auto"/>
        <w:ind w:firstLine="480" w:firstLineChars="200"/>
        <w:jc w:val="left"/>
        <w:rPr>
          <w:color w:val="auto"/>
          <w:highlight w:val="none"/>
        </w:rPr>
      </w:pPr>
      <w:r>
        <w:rPr>
          <w:rFonts w:hint="eastAsia"/>
          <w:color w:val="auto"/>
          <w:highlight w:val="none"/>
        </w:rPr>
        <w:t>特别说明：</w:t>
      </w:r>
    </w:p>
    <w:p>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pPr>
        <w:pStyle w:val="6"/>
        <w:rPr>
          <w:color w:val="auto"/>
          <w:highlight w:val="none"/>
        </w:rPr>
      </w:pPr>
      <w:r>
        <w:rPr>
          <w:color w:val="auto"/>
          <w:highlight w:val="none"/>
        </w:rPr>
        <w:t>资格审查方式：资格后审。</w:t>
      </w:r>
    </w:p>
    <w:p>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pPr>
        <w:pStyle w:val="6"/>
        <w:rPr>
          <w:color w:val="auto"/>
          <w:highlight w:val="none"/>
        </w:rPr>
      </w:pPr>
      <w:r>
        <w:rPr>
          <w:color w:val="auto"/>
          <w:highlight w:val="none"/>
        </w:rPr>
        <w:t>评标</w:t>
      </w:r>
    </w:p>
    <w:p>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pPr>
        <w:pStyle w:val="6"/>
        <w:rPr>
          <w:color w:val="auto"/>
          <w:highlight w:val="none"/>
        </w:rPr>
      </w:pPr>
      <w:r>
        <w:rPr>
          <w:color w:val="auto"/>
          <w:highlight w:val="none"/>
        </w:rPr>
        <w:t>开标、评标过程的监控</w:t>
      </w:r>
    </w:p>
    <w:p>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pPr>
        <w:pStyle w:val="6"/>
        <w:rPr>
          <w:color w:val="auto"/>
          <w:highlight w:val="none"/>
        </w:rPr>
      </w:pPr>
      <w:r>
        <w:rPr>
          <w:color w:val="auto"/>
          <w:highlight w:val="none"/>
        </w:rPr>
        <w:t>算术性修正</w:t>
      </w:r>
      <w:bookmarkStart w:id="26" w:name="_Toc233452572"/>
    </w:p>
    <w:bookmarkEnd w:id="26"/>
    <w:p>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pPr>
        <w:pStyle w:val="6"/>
        <w:rPr>
          <w:color w:val="auto"/>
          <w:highlight w:val="none"/>
        </w:rPr>
      </w:pPr>
      <w:r>
        <w:rPr>
          <w:color w:val="auto"/>
          <w:highlight w:val="none"/>
        </w:rPr>
        <w:t>投标文件的澄清、说明或者补正</w:t>
      </w:r>
    </w:p>
    <w:p>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pPr>
        <w:pStyle w:val="5"/>
        <w:rPr>
          <w:color w:val="auto"/>
          <w:highlight w:val="none"/>
        </w:rPr>
      </w:pPr>
      <w:bookmarkStart w:id="28" w:name="_Toc24829"/>
      <w:r>
        <w:rPr>
          <w:color w:val="auto"/>
          <w:highlight w:val="none"/>
        </w:rPr>
        <w:t>中标</w:t>
      </w:r>
      <w:bookmarkEnd w:id="28"/>
    </w:p>
    <w:p>
      <w:pPr>
        <w:pStyle w:val="6"/>
        <w:rPr>
          <w:color w:val="auto"/>
          <w:highlight w:val="none"/>
        </w:rPr>
      </w:pPr>
      <w:r>
        <w:rPr>
          <w:color w:val="auto"/>
          <w:highlight w:val="none"/>
        </w:rPr>
        <w:t>中标供应商的确定</w:t>
      </w:r>
    </w:p>
    <w:p>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pPr>
        <w:pStyle w:val="6"/>
        <w:rPr>
          <w:color w:val="auto"/>
          <w:highlight w:val="none"/>
        </w:rPr>
      </w:pPr>
      <w:r>
        <w:rPr>
          <w:color w:val="auto"/>
          <w:highlight w:val="none"/>
        </w:rPr>
        <w:t>中标通知</w:t>
      </w:r>
    </w:p>
    <w:p>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pPr>
        <w:pStyle w:val="5"/>
        <w:rPr>
          <w:color w:val="auto"/>
          <w:highlight w:val="none"/>
        </w:rPr>
      </w:pPr>
      <w:bookmarkStart w:id="29" w:name="_Toc16556"/>
      <w:r>
        <w:rPr>
          <w:color w:val="auto"/>
          <w:highlight w:val="none"/>
        </w:rPr>
        <w:t>重新采购</w:t>
      </w:r>
      <w:bookmarkEnd w:id="29"/>
    </w:p>
    <w:p>
      <w:pPr>
        <w:snapToGrid w:val="0"/>
        <w:spacing w:line="360" w:lineRule="auto"/>
        <w:ind w:firstLine="480" w:firstLineChars="200"/>
        <w:jc w:val="left"/>
        <w:rPr>
          <w:color w:val="auto"/>
          <w:highlight w:val="none"/>
        </w:rPr>
      </w:pPr>
      <w:r>
        <w:rPr>
          <w:color w:val="auto"/>
          <w:highlight w:val="none"/>
        </w:rPr>
        <w:t>（1）在采购中，出现下列情形之一的，将重新采购：</w:t>
      </w:r>
    </w:p>
    <w:p>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pPr>
        <w:snapToGrid w:val="0"/>
        <w:spacing w:line="360" w:lineRule="auto"/>
        <w:ind w:firstLine="480" w:firstLineChars="200"/>
        <w:jc w:val="left"/>
        <w:rPr>
          <w:color w:val="auto"/>
          <w:highlight w:val="none"/>
        </w:rPr>
      </w:pPr>
      <w:r>
        <w:rPr>
          <w:color w:val="auto"/>
          <w:highlight w:val="none"/>
        </w:rPr>
        <w:t>2）出现影响采购公正的违法、违规行为的；</w:t>
      </w:r>
    </w:p>
    <w:p>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pPr>
        <w:snapToGrid w:val="0"/>
        <w:spacing w:line="360" w:lineRule="auto"/>
        <w:ind w:firstLine="480" w:firstLineChars="200"/>
        <w:jc w:val="left"/>
        <w:rPr>
          <w:color w:val="auto"/>
          <w:highlight w:val="none"/>
        </w:rPr>
      </w:pPr>
      <w:r>
        <w:rPr>
          <w:color w:val="auto"/>
          <w:highlight w:val="none"/>
        </w:rPr>
        <w:t>4）因重大变故，采购任务取消的。</w:t>
      </w:r>
    </w:p>
    <w:p>
      <w:pPr>
        <w:pStyle w:val="5"/>
        <w:rPr>
          <w:color w:val="auto"/>
          <w:highlight w:val="none"/>
        </w:rPr>
      </w:pPr>
      <w:bookmarkStart w:id="30" w:name="_Toc10148"/>
      <w:r>
        <w:rPr>
          <w:color w:val="auto"/>
          <w:highlight w:val="none"/>
        </w:rPr>
        <w:t>签订合同</w:t>
      </w:r>
      <w:bookmarkEnd w:id="30"/>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pPr>
        <w:pStyle w:val="5"/>
        <w:rPr>
          <w:color w:val="auto"/>
          <w:highlight w:val="none"/>
        </w:rPr>
      </w:pPr>
      <w:bookmarkStart w:id="31" w:name="_Toc13472"/>
      <w:r>
        <w:rPr>
          <w:color w:val="auto"/>
          <w:highlight w:val="none"/>
        </w:rPr>
        <w:t>其他</w:t>
      </w:r>
      <w:bookmarkEnd w:id="31"/>
    </w:p>
    <w:p>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b/>
          <w:bCs/>
          <w:color w:val="auto"/>
          <w:highlight w:val="none"/>
        </w:rPr>
        <w:t>为人民币</w:t>
      </w:r>
      <w:r>
        <w:rPr>
          <w:rFonts w:hint="eastAsia"/>
          <w:b/>
          <w:bCs/>
          <w:color w:val="auto"/>
          <w:highlight w:val="none"/>
          <w:u w:val="single"/>
          <w:lang w:val="en-US" w:eastAsia="zh-CN"/>
        </w:rPr>
        <w:t>30.94</w:t>
      </w:r>
      <w:r>
        <w:rPr>
          <w:rFonts w:hint="eastAsia"/>
          <w:b/>
          <w:bCs/>
          <w:color w:val="auto"/>
          <w:highlight w:val="none"/>
        </w:rPr>
        <w:t>万元。</w:t>
      </w:r>
    </w:p>
    <w:p>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eastAsia="zh-CN"/>
        </w:rPr>
        <w:t>。</w:t>
      </w:r>
      <w:r>
        <w:rPr>
          <w:rFonts w:hint="eastAsia"/>
          <w:color w:val="auto"/>
          <w:highlight w:val="none"/>
          <w:lang w:val="en-US" w:eastAsia="zh-CN"/>
        </w:rPr>
        <w:t>以上</w:t>
      </w:r>
      <w:r>
        <w:rPr>
          <w:color w:val="auto"/>
          <w:highlight w:val="none"/>
        </w:rPr>
        <w:t>不足5000元的按5000元计。</w:t>
      </w:r>
    </w:p>
    <w:p>
      <w:pPr>
        <w:snapToGrid w:val="0"/>
        <w:spacing w:line="360" w:lineRule="auto"/>
        <w:ind w:firstLine="564" w:firstLineChars="235"/>
        <w:jc w:val="left"/>
        <w:rPr>
          <w:color w:val="auto"/>
          <w:highlight w:val="none"/>
        </w:rPr>
      </w:pPr>
      <w:r>
        <w:rPr>
          <w:color w:val="auto"/>
          <w:highlight w:val="none"/>
        </w:rPr>
        <w:t>本项目按</w:t>
      </w:r>
      <w:r>
        <w:rPr>
          <w:color w:val="auto"/>
          <w:highlight w:val="none"/>
          <w:u w:val="single"/>
        </w:rPr>
        <w:t>条款</w:t>
      </w:r>
      <w:r>
        <w:rPr>
          <w:rFonts w:hint="eastAsia" w:ascii="宋体" w:hAnsi="宋体" w:cs="宋体"/>
          <w:color w:val="auto"/>
          <w:highlight w:val="none"/>
          <w:u w:val="single"/>
        </w:rPr>
        <w:t>①</w:t>
      </w:r>
      <w:r>
        <w:rPr>
          <w:color w:val="auto"/>
          <w:highlight w:val="none"/>
        </w:rPr>
        <w:t>计取</w:t>
      </w:r>
      <w:r>
        <w:rPr>
          <w:rFonts w:hint="eastAsia"/>
          <w:color w:val="auto"/>
          <w:highlight w:val="none"/>
          <w:lang w:eastAsia="zh-CN"/>
        </w:rPr>
        <w:t>，</w:t>
      </w:r>
      <w:r>
        <w:rPr>
          <w:color w:val="auto"/>
          <w:highlight w:val="none"/>
        </w:rPr>
        <w:t>不足5000元的按5000元计。</w:t>
      </w:r>
    </w:p>
    <w:p>
      <w:pPr>
        <w:numPr>
          <w:ilvl w:val="0"/>
          <w:numId w:val="3"/>
        </w:numPr>
        <w:snapToGrid w:val="0"/>
        <w:spacing w:line="360" w:lineRule="auto"/>
        <w:ind w:firstLine="564" w:firstLineChars="235"/>
        <w:jc w:val="left"/>
        <w:rPr>
          <w:color w:val="auto"/>
          <w:highlight w:val="none"/>
        </w:rPr>
      </w:pPr>
      <w:r>
        <w:rPr>
          <w:color w:val="auto"/>
          <w:highlight w:val="none"/>
        </w:rPr>
        <w:t>中标服务费缴纳时间及方式：</w:t>
      </w:r>
    </w:p>
    <w:p>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pPr>
        <w:snapToGrid w:val="0"/>
        <w:spacing w:line="360" w:lineRule="auto"/>
        <w:ind w:firstLine="482" w:firstLineChars="200"/>
        <w:jc w:val="left"/>
        <w:rPr>
          <w:b/>
          <w:bCs/>
          <w:color w:val="auto"/>
          <w:highlight w:val="none"/>
        </w:rPr>
      </w:pPr>
      <w:r>
        <w:rPr>
          <w:b/>
          <w:bCs/>
          <w:color w:val="auto"/>
          <w:highlight w:val="none"/>
        </w:rPr>
        <w:t>账号：1202009709900000706</w:t>
      </w:r>
    </w:p>
    <w:p>
      <w:pPr>
        <w:spacing w:line="300" w:lineRule="auto"/>
        <w:ind w:firstLine="482" w:firstLineChars="200"/>
        <w:rPr>
          <w:b/>
          <w:bCs/>
          <w:color w:val="auto"/>
          <w:highlight w:val="none"/>
        </w:rPr>
      </w:pPr>
      <w:r>
        <w:rPr>
          <w:b/>
          <w:bCs/>
          <w:color w:val="auto"/>
          <w:highlight w:val="none"/>
        </w:rPr>
        <w:t>开户行：工商银行杭州景芳支行</w:t>
      </w:r>
    </w:p>
    <w:p>
      <w:pPr>
        <w:spacing w:line="300" w:lineRule="auto"/>
        <w:rPr>
          <w:b/>
          <w:bCs/>
          <w:color w:val="auto"/>
          <w:highlight w:val="none"/>
        </w:rPr>
        <w:sectPr>
          <w:pgSz w:w="11907" w:h="16840"/>
          <w:pgMar w:top="1418" w:right="1417" w:bottom="1418" w:left="1531" w:header="737" w:footer="851" w:gutter="0"/>
          <w:cols w:space="720" w:num="1"/>
          <w:docGrid w:linePitch="326" w:charSpace="0"/>
        </w:sectPr>
      </w:pPr>
    </w:p>
    <w:p>
      <w:pPr>
        <w:pStyle w:val="4"/>
        <w:rPr>
          <w:color w:val="auto"/>
          <w:highlight w:val="none"/>
        </w:rPr>
      </w:pPr>
      <w:bookmarkStart w:id="32" w:name="_Toc3121"/>
      <w:r>
        <w:rPr>
          <w:color w:val="auto"/>
          <w:highlight w:val="none"/>
        </w:rPr>
        <w:t>评标细则</w:t>
      </w:r>
      <w:bookmarkEnd w:id="32"/>
    </w:p>
    <w:p>
      <w:pPr>
        <w:pStyle w:val="5"/>
        <w:rPr>
          <w:color w:val="auto"/>
          <w:highlight w:val="none"/>
        </w:rPr>
      </w:pPr>
      <w:bookmarkStart w:id="33" w:name="_Toc32092"/>
      <w:r>
        <w:rPr>
          <w:color w:val="auto"/>
          <w:highlight w:val="none"/>
        </w:rPr>
        <w:t>评标组织</w:t>
      </w:r>
      <w:bookmarkEnd w:id="33"/>
    </w:p>
    <w:p>
      <w:pPr>
        <w:spacing w:line="360" w:lineRule="auto"/>
        <w:ind w:firstLine="480" w:firstLineChars="200"/>
        <w:rPr>
          <w:color w:val="auto"/>
          <w:highlight w:val="none"/>
        </w:rPr>
      </w:pPr>
      <w:r>
        <w:rPr>
          <w:color w:val="auto"/>
          <w:highlight w:val="none"/>
        </w:rPr>
        <w:t>评标工作由采购人依法组建的评标委员会负责。</w:t>
      </w:r>
    </w:p>
    <w:p>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pPr>
        <w:pStyle w:val="5"/>
        <w:rPr>
          <w:color w:val="auto"/>
          <w:highlight w:val="none"/>
        </w:rPr>
      </w:pPr>
      <w:bookmarkStart w:id="34" w:name="_Toc10228"/>
      <w:r>
        <w:rPr>
          <w:color w:val="auto"/>
          <w:highlight w:val="none"/>
        </w:rPr>
        <w:t>评标原则与方法</w:t>
      </w:r>
      <w:bookmarkEnd w:id="34"/>
    </w:p>
    <w:p>
      <w:pPr>
        <w:spacing w:line="360" w:lineRule="auto"/>
        <w:ind w:firstLine="470" w:firstLineChars="196"/>
        <w:rPr>
          <w:color w:val="auto"/>
          <w:highlight w:val="none"/>
        </w:rPr>
      </w:pPr>
      <w:r>
        <w:rPr>
          <w:color w:val="auto"/>
          <w:highlight w:val="none"/>
        </w:rPr>
        <w:t>（1）评标办法：综合评分法。</w:t>
      </w:r>
    </w:p>
    <w:p>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pPr>
        <w:pStyle w:val="5"/>
        <w:rPr>
          <w:color w:val="auto"/>
          <w:highlight w:val="none"/>
        </w:rPr>
      </w:pPr>
      <w:bookmarkStart w:id="35" w:name="_Toc15574"/>
      <w:r>
        <w:rPr>
          <w:color w:val="auto"/>
          <w:highlight w:val="none"/>
        </w:rPr>
        <w:t>评标程序和内容</w:t>
      </w:r>
      <w:bookmarkEnd w:id="35"/>
    </w:p>
    <w:p>
      <w:pPr>
        <w:spacing w:line="360" w:lineRule="auto"/>
        <w:ind w:firstLine="480" w:firstLineChars="200"/>
        <w:rPr>
          <w:color w:val="auto"/>
          <w:highlight w:val="none"/>
        </w:rPr>
      </w:pPr>
      <w:r>
        <w:rPr>
          <w:color w:val="auto"/>
          <w:highlight w:val="none"/>
        </w:rPr>
        <w:t>评标的一般程序为：</w:t>
      </w:r>
    </w:p>
    <w:p>
      <w:pPr>
        <w:spacing w:line="360" w:lineRule="auto"/>
        <w:ind w:firstLine="480" w:firstLineChars="200"/>
        <w:rPr>
          <w:color w:val="auto"/>
          <w:highlight w:val="none"/>
        </w:rPr>
      </w:pPr>
      <w:r>
        <w:rPr>
          <w:color w:val="auto"/>
          <w:highlight w:val="none"/>
        </w:rPr>
        <w:t>（1）熟悉采购文件和评标办法；</w:t>
      </w:r>
    </w:p>
    <w:p>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pPr>
        <w:spacing w:line="360" w:lineRule="auto"/>
        <w:ind w:firstLine="480" w:firstLineChars="200"/>
        <w:rPr>
          <w:color w:val="auto"/>
          <w:highlight w:val="none"/>
        </w:rPr>
      </w:pPr>
      <w:r>
        <w:rPr>
          <w:color w:val="auto"/>
          <w:highlight w:val="none"/>
        </w:rPr>
        <w:t>（3）投标文件详细评审；</w:t>
      </w:r>
    </w:p>
    <w:p>
      <w:pPr>
        <w:spacing w:line="360" w:lineRule="auto"/>
        <w:ind w:firstLine="480" w:firstLineChars="200"/>
        <w:rPr>
          <w:color w:val="auto"/>
          <w:highlight w:val="none"/>
        </w:rPr>
      </w:pPr>
      <w:r>
        <w:rPr>
          <w:color w:val="auto"/>
          <w:highlight w:val="none"/>
        </w:rPr>
        <w:t>（4）投标文件的澄清和补正；</w:t>
      </w:r>
    </w:p>
    <w:p>
      <w:pPr>
        <w:spacing w:line="360" w:lineRule="auto"/>
        <w:ind w:firstLine="480" w:firstLineChars="200"/>
        <w:rPr>
          <w:color w:val="auto"/>
          <w:highlight w:val="none"/>
        </w:rPr>
      </w:pPr>
      <w:r>
        <w:rPr>
          <w:color w:val="auto"/>
          <w:highlight w:val="none"/>
        </w:rPr>
        <w:t>（5）评审评分，推荐中标候选供应商；</w:t>
      </w:r>
    </w:p>
    <w:p>
      <w:pPr>
        <w:spacing w:line="360" w:lineRule="auto"/>
        <w:ind w:firstLine="480" w:firstLineChars="200"/>
        <w:rPr>
          <w:color w:val="auto"/>
          <w:highlight w:val="none"/>
        </w:rPr>
      </w:pPr>
      <w:r>
        <w:rPr>
          <w:color w:val="auto"/>
          <w:highlight w:val="none"/>
        </w:rPr>
        <w:t>（6）提交评标报告。</w:t>
      </w:r>
    </w:p>
    <w:p>
      <w:pPr>
        <w:pStyle w:val="5"/>
        <w:rPr>
          <w:color w:val="auto"/>
          <w:highlight w:val="none"/>
        </w:rPr>
      </w:pPr>
      <w:bookmarkStart w:id="36" w:name="_Toc21342"/>
      <w:bookmarkStart w:id="37" w:name="_Toc320543194"/>
      <w:bookmarkStart w:id="38" w:name="_Toc295337118"/>
      <w:r>
        <w:rPr>
          <w:color w:val="auto"/>
          <w:highlight w:val="none"/>
        </w:rPr>
        <w:t>投标文件的</w:t>
      </w:r>
      <w:r>
        <w:rPr>
          <w:rFonts w:hint="eastAsia"/>
          <w:color w:val="auto"/>
          <w:highlight w:val="none"/>
        </w:rPr>
        <w:t>符合性评审</w:t>
      </w:r>
      <w:bookmarkEnd w:id="36"/>
    </w:p>
    <w:p>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pPr>
        <w:pStyle w:val="5"/>
        <w:rPr>
          <w:color w:val="auto"/>
          <w:highlight w:val="none"/>
        </w:rPr>
      </w:pPr>
      <w:bookmarkStart w:id="39" w:name="_Toc5802"/>
      <w:r>
        <w:rPr>
          <w:rFonts w:hint="eastAsia"/>
          <w:color w:val="auto"/>
          <w:highlight w:val="none"/>
        </w:rPr>
        <w:t>投标</w:t>
      </w:r>
      <w:r>
        <w:rPr>
          <w:color w:val="auto"/>
          <w:highlight w:val="none"/>
        </w:rPr>
        <w:t>文件的详细评审</w:t>
      </w:r>
      <w:bookmarkEnd w:id="39"/>
    </w:p>
    <w:p>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pPr>
        <w:spacing w:line="360" w:lineRule="auto"/>
        <w:ind w:firstLine="480" w:firstLineChars="200"/>
        <w:rPr>
          <w:color w:val="auto"/>
          <w:highlight w:val="none"/>
        </w:rPr>
      </w:pPr>
      <w:r>
        <w:rPr>
          <w:rFonts w:hint="eastAsia"/>
          <w:color w:val="auto"/>
          <w:highlight w:val="none"/>
        </w:rPr>
        <w:t>（1）商务技术文件部分：</w:t>
      </w:r>
    </w:p>
    <w:p>
      <w:pPr>
        <w:spacing w:line="360" w:lineRule="auto"/>
        <w:ind w:firstLine="480" w:firstLineChars="200"/>
        <w:rPr>
          <w:color w:val="auto"/>
          <w:highlight w:val="none"/>
        </w:rPr>
      </w:pPr>
      <w:r>
        <w:rPr>
          <w:color w:val="auto"/>
          <w:highlight w:val="none"/>
        </w:rPr>
        <w:t>商务评分：评标委员会按照商务评分标准对</w:t>
      </w:r>
      <w:r>
        <w:rPr>
          <w:rFonts w:hint="eastAsia"/>
          <w:color w:val="auto"/>
          <w:highlight w:val="none"/>
        </w:rPr>
        <w:t>类似项目、体系认证、技术人员组成</w:t>
      </w:r>
      <w:r>
        <w:rPr>
          <w:color w:val="auto"/>
          <w:highlight w:val="none"/>
        </w:rPr>
        <w:t>等方面进行评审，采用集体评议的方法进行；</w:t>
      </w:r>
    </w:p>
    <w:p>
      <w:pPr>
        <w:spacing w:line="360" w:lineRule="auto"/>
        <w:ind w:firstLine="480" w:firstLineChars="200"/>
        <w:rPr>
          <w:color w:val="auto"/>
          <w:highlight w:val="none"/>
        </w:rPr>
      </w:pPr>
      <w:r>
        <w:rPr>
          <w:color w:val="auto"/>
          <w:highlight w:val="none"/>
        </w:rPr>
        <w:t>技术评分：评标委员会按照技术评分标准</w:t>
      </w:r>
      <w:r>
        <w:rPr>
          <w:rFonts w:hint="eastAsia"/>
          <w:color w:val="auto"/>
          <w:highlight w:val="none"/>
        </w:rPr>
        <w:t>对风险及诚信管理体系、档案加工方案设计、档案加工专业性、保密安全保障措施、项目进度安排、软件配置先进性（加工工具）、硬件配置先进性（加工工具）、售后服务方案</w:t>
      </w:r>
      <w:r>
        <w:rPr>
          <w:color w:val="auto"/>
          <w:highlight w:val="none"/>
        </w:rPr>
        <w:t>等方面进行评审，采用记名方式各自评分。如评分超过评分标准所规定的分值范围，则该评分表无效。投标单位技术得分为评标委员会全体成员的有效评分的算术平均值，评分及计分时保留小数2位，第三位四舍五入。</w:t>
      </w:r>
    </w:p>
    <w:p>
      <w:pPr>
        <w:spacing w:line="360" w:lineRule="auto"/>
        <w:ind w:firstLine="480" w:firstLineChars="200"/>
        <w:rPr>
          <w:color w:val="auto"/>
          <w:highlight w:val="none"/>
        </w:rPr>
      </w:pPr>
      <w:r>
        <w:rPr>
          <w:rFonts w:hint="eastAsia"/>
          <w:color w:val="auto"/>
          <w:highlight w:val="none"/>
        </w:rPr>
        <w:t>（2）报价文件部分：</w:t>
      </w:r>
    </w:p>
    <w:p>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）投标报价超过采购预算金额或投标分项报价超出单项控制价的，项目预算金额为</w:t>
      </w:r>
      <w:r>
        <w:rPr>
          <w:rFonts w:hint="eastAsia"/>
          <w:b/>
          <w:bCs/>
          <w:color w:val="auto"/>
          <w:highlight w:val="none"/>
          <w:u w:val="single"/>
        </w:rPr>
        <w:t>人民币</w:t>
      </w:r>
      <w:r>
        <w:rPr>
          <w:rFonts w:hint="eastAsia"/>
          <w:b/>
          <w:bCs/>
          <w:color w:val="auto"/>
          <w:highlight w:val="none"/>
          <w:u w:val="single"/>
          <w:lang w:val="en-US" w:eastAsia="zh-CN"/>
        </w:rPr>
        <w:t>30.94</w:t>
      </w:r>
      <w:r>
        <w:rPr>
          <w:rFonts w:hint="eastAsia"/>
          <w:b/>
          <w:bCs/>
          <w:color w:val="auto"/>
          <w:highlight w:val="none"/>
          <w:u w:val="single"/>
        </w:rPr>
        <w:t>万元</w:t>
      </w:r>
      <w:r>
        <w:rPr>
          <w:rFonts w:hint="eastAsia"/>
          <w:b/>
          <w:bCs/>
          <w:color w:val="auto"/>
          <w:highlight w:val="none"/>
        </w:rPr>
        <w:t>；</w:t>
      </w:r>
    </w:p>
    <w:p>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pPr>
        <w:spacing w:line="360" w:lineRule="auto"/>
        <w:ind w:firstLine="482" w:firstLineChars="200"/>
        <w:rPr>
          <w:b/>
          <w:bCs/>
          <w:color w:val="auto"/>
          <w:highlight w:val="none"/>
        </w:rPr>
      </w:pPr>
      <w:r>
        <w:rPr>
          <w:rFonts w:hint="eastAsia"/>
          <w:b/>
          <w:bCs/>
          <w:color w:val="auto"/>
          <w:highlight w:val="none"/>
        </w:rPr>
        <w:t>7）投标供应商不能证明其报价合理性。</w:t>
      </w:r>
    </w:p>
    <w:p>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rPr>
        <w:t>1</w:t>
      </w:r>
      <w:r>
        <w:rPr>
          <w:rFonts w:hint="eastAsia"/>
          <w:color w:val="auto"/>
          <w:highlight w:val="none"/>
          <w:lang w:val="en-US" w:eastAsia="zh-CN"/>
        </w:rPr>
        <w:t>5</w:t>
      </w:r>
      <w:r>
        <w:rPr>
          <w:color w:val="auto"/>
          <w:highlight w:val="none"/>
        </w:rPr>
        <w:t>分。</w:t>
      </w:r>
    </w:p>
    <w:p>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rPr>
        <w:t>1</w:t>
      </w:r>
      <w:r>
        <w:rPr>
          <w:rFonts w:hint="eastAsia"/>
          <w:color w:val="auto"/>
          <w:highlight w:val="none"/>
          <w:lang w:val="en-US" w:eastAsia="zh-CN"/>
        </w:rPr>
        <w:t>5</w:t>
      </w:r>
      <w:r>
        <w:rPr>
          <w:color w:val="auto"/>
          <w:highlight w:val="none"/>
        </w:rPr>
        <w:t>分，其他的报价得分为：（评标基准价/投标报价）×</w:t>
      </w:r>
      <w:r>
        <w:rPr>
          <w:rFonts w:hint="eastAsia"/>
          <w:color w:val="auto"/>
          <w:highlight w:val="none"/>
          <w:lang w:val="en-US" w:eastAsia="zh-CN"/>
        </w:rPr>
        <w:t>15</w:t>
      </w:r>
      <w:r>
        <w:rPr>
          <w:color w:val="auto"/>
          <w:highlight w:val="none"/>
        </w:rPr>
        <w:t>。报价得分计算保留小数2位，第三位四舍五入。</w:t>
      </w:r>
    </w:p>
    <w:p>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37"/>
    <w:bookmarkEnd w:id="38"/>
    <w:p>
      <w:pPr>
        <w:pStyle w:val="5"/>
        <w:rPr>
          <w:color w:val="auto"/>
          <w:highlight w:val="none"/>
        </w:rPr>
      </w:pPr>
      <w:bookmarkStart w:id="40" w:name="_Toc25803"/>
      <w:r>
        <w:rPr>
          <w:color w:val="auto"/>
          <w:highlight w:val="none"/>
        </w:rPr>
        <w:t>澄清和补正</w:t>
      </w:r>
      <w:bookmarkEnd w:id="40"/>
      <w:r>
        <w:rPr>
          <w:color w:val="auto"/>
          <w:highlight w:val="none"/>
        </w:rPr>
        <w:t xml:space="preserve"> </w:t>
      </w:r>
    </w:p>
    <w:p>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pPr>
        <w:pStyle w:val="5"/>
        <w:rPr>
          <w:color w:val="auto"/>
          <w:highlight w:val="none"/>
        </w:rPr>
      </w:pPr>
      <w:bookmarkStart w:id="41" w:name="_Toc27720"/>
      <w:r>
        <w:rPr>
          <w:color w:val="auto"/>
          <w:highlight w:val="none"/>
        </w:rPr>
        <w:t>评审计分内容和分值范围</w:t>
      </w:r>
      <w:bookmarkEnd w:id="41"/>
    </w:p>
    <w:p>
      <w:pPr>
        <w:spacing w:line="360" w:lineRule="auto"/>
        <w:ind w:firstLine="360" w:firstLineChars="150"/>
        <w:rPr>
          <w:color w:val="auto"/>
          <w:highlight w:val="none"/>
        </w:rPr>
      </w:pPr>
      <w:r>
        <w:rPr>
          <w:color w:val="auto"/>
          <w:highlight w:val="none"/>
        </w:rPr>
        <w:t>（1）综合评分满分100分。</w:t>
      </w:r>
    </w:p>
    <w:p>
      <w:pPr>
        <w:spacing w:line="360" w:lineRule="auto"/>
        <w:ind w:firstLine="360" w:firstLineChars="150"/>
        <w:rPr>
          <w:color w:val="auto"/>
          <w:highlight w:val="none"/>
        </w:rPr>
      </w:pPr>
      <w:r>
        <w:rPr>
          <w:color w:val="auto"/>
          <w:highlight w:val="none"/>
        </w:rPr>
        <w:t>（2）评分标准：</w:t>
      </w:r>
    </w:p>
    <w:p>
      <w:pPr>
        <w:pStyle w:val="26"/>
        <w:rPr>
          <w:rFonts w:ascii="Times New Roman" w:hAnsi="Times New Roman"/>
          <w:color w:val="auto"/>
          <w:highlight w:val="none"/>
        </w:rPr>
      </w:pPr>
      <w:bookmarkStart w:id="42" w:name="_Toc26568"/>
      <w:bookmarkStart w:id="43" w:name="_Toc14733"/>
      <w:bookmarkStart w:id="44" w:name="_Toc117"/>
      <w:bookmarkStart w:id="45" w:name="_Toc30376"/>
      <w:bookmarkStart w:id="46" w:name="_Toc5354"/>
      <w:bookmarkStart w:id="47" w:name="_Toc29834"/>
      <w:bookmarkStart w:id="48" w:name="_Toc18284"/>
      <w:bookmarkStart w:id="49" w:name="_Toc2178"/>
      <w:bookmarkStart w:id="50" w:name="_Toc21536"/>
      <w:bookmarkStart w:id="51" w:name="_Toc26364"/>
      <w:bookmarkStart w:id="52" w:name="_Toc17361"/>
      <w:bookmarkStart w:id="53" w:name="_Toc12156"/>
      <w:bookmarkStart w:id="54" w:name="_Toc26607"/>
      <w:bookmarkStart w:id="55" w:name="_Toc15313"/>
      <w:bookmarkStart w:id="56" w:name="_Toc12935"/>
      <w:bookmarkStart w:id="57" w:name="_Toc61532607"/>
      <w:bookmarkStart w:id="58" w:name="_Toc26962"/>
      <w:bookmarkStart w:id="59" w:name="_Toc28562"/>
      <w:bookmarkStart w:id="60" w:name="_Toc23792"/>
      <w:bookmarkStart w:id="61" w:name="_Toc19171"/>
      <w:bookmarkStart w:id="62" w:name="_Toc15658"/>
      <w:bookmarkStart w:id="63" w:name="_Toc16969"/>
      <w:bookmarkStart w:id="64" w:name="_Toc9075"/>
      <w:bookmarkStart w:id="65" w:name="_Toc830"/>
      <w:bookmarkStart w:id="66" w:name="_Toc3082"/>
      <w:bookmarkStart w:id="67" w:name="_Toc26426"/>
      <w:bookmarkStart w:id="68" w:name="_Toc13608"/>
      <w:bookmarkStart w:id="69" w:name="_Toc19472"/>
      <w:bookmarkStart w:id="70" w:name="_Toc15217"/>
      <w:bookmarkStart w:id="71" w:name="_Toc23948"/>
      <w:bookmarkStart w:id="72" w:name="_Toc1862"/>
      <w:bookmarkStart w:id="73" w:name="_Toc15856"/>
      <w:bookmarkStart w:id="74" w:name="_Toc29105"/>
      <w:bookmarkStart w:id="75" w:name="_Toc31278"/>
      <w:bookmarkStart w:id="76" w:name="_Toc29308"/>
      <w:bookmarkStart w:id="77" w:name="_Toc1078"/>
      <w:bookmarkStart w:id="78" w:name="_Toc30811"/>
      <w:bookmarkStart w:id="79" w:name="_Toc23228"/>
      <w:bookmarkStart w:id="80" w:name="_Toc26672"/>
      <w:bookmarkStart w:id="81" w:name="_Toc12254"/>
      <w:bookmarkStart w:id="82" w:name="_Toc20212"/>
      <w:bookmarkStart w:id="83" w:name="_Toc7900"/>
      <w:bookmarkStart w:id="84" w:name="_Toc22283"/>
      <w:bookmarkStart w:id="85" w:name="_Toc23330"/>
      <w:bookmarkStart w:id="86" w:name="_Toc17646"/>
      <w:bookmarkStart w:id="87" w:name="_Toc4479"/>
      <w:bookmarkStart w:id="88" w:name="_Toc15384"/>
      <w:bookmarkStart w:id="89" w:name="_Toc25907"/>
      <w:bookmarkStart w:id="90" w:name="_Toc11179"/>
      <w:bookmarkStart w:id="91" w:name="_Toc3254"/>
      <w:bookmarkStart w:id="92" w:name="_Toc71305522"/>
      <w:bookmarkStart w:id="93" w:name="_Toc4708"/>
      <w:bookmarkStart w:id="94" w:name="_Toc24163"/>
      <w:bookmarkStart w:id="95" w:name="_Toc30379"/>
      <w:bookmarkStart w:id="96" w:name="_Toc12265"/>
      <w:r>
        <w:rPr>
          <w:rFonts w:ascii="Times New Roman" w:hAnsi="Times New Roman"/>
          <w:color w:val="auto"/>
          <w:highlight w:val="none"/>
        </w:rPr>
        <w:t>商务</w:t>
      </w:r>
      <w:r>
        <w:rPr>
          <w:rFonts w:hint="eastAsia" w:ascii="Times New Roman" w:hAnsi="Times New Roman"/>
          <w:color w:val="auto"/>
          <w:highlight w:val="none"/>
        </w:rPr>
        <w:t>及技术</w:t>
      </w:r>
      <w:r>
        <w:rPr>
          <w:rFonts w:ascii="Times New Roman" w:hAnsi="Times New Roman"/>
          <w:color w:val="auto"/>
          <w:highlight w:val="none"/>
        </w:rPr>
        <w:t>评分标准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bl>
      <w:tblPr>
        <w:tblStyle w:val="35"/>
        <w:tblW w:w="9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975"/>
        <w:gridCol w:w="1380"/>
        <w:gridCol w:w="4650"/>
        <w:gridCol w:w="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1272" w:type="dxa"/>
            <w:vAlign w:val="center"/>
          </w:tcPr>
          <w:p>
            <w:pPr>
              <w:spacing w:line="276" w:lineRule="auto"/>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评分类型</w:t>
            </w:r>
          </w:p>
        </w:tc>
        <w:tc>
          <w:tcPr>
            <w:tcW w:w="975" w:type="dxa"/>
            <w:vAlign w:val="center"/>
          </w:tcPr>
          <w:p>
            <w:pPr>
              <w:spacing w:line="276" w:lineRule="auto"/>
              <w:jc w:val="center"/>
              <w:rPr>
                <w:rFonts w:ascii="Times New Roman" w:hAnsi="Times New Roman" w:eastAsia="宋体" w:cs="Times New Roman"/>
                <w:b/>
                <w:color w:val="auto"/>
                <w:highlight w:val="none"/>
              </w:rPr>
            </w:pPr>
            <w:r>
              <w:rPr>
                <w:rFonts w:ascii="Times New Roman" w:hAnsi="Times New Roman" w:eastAsia="宋体" w:cs="Times New Roman"/>
                <w:b/>
                <w:bCs/>
                <w:color w:val="auto"/>
                <w:highlight w:val="none"/>
              </w:rPr>
              <w:t>序号</w:t>
            </w:r>
          </w:p>
        </w:tc>
        <w:tc>
          <w:tcPr>
            <w:tcW w:w="1380" w:type="dxa"/>
            <w:vAlign w:val="center"/>
          </w:tcPr>
          <w:p>
            <w:pPr>
              <w:spacing w:line="276" w:lineRule="auto"/>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评议内容</w:t>
            </w:r>
          </w:p>
        </w:tc>
        <w:tc>
          <w:tcPr>
            <w:tcW w:w="5614" w:type="dxa"/>
            <w:gridSpan w:val="2"/>
            <w:vAlign w:val="center"/>
          </w:tcPr>
          <w:p>
            <w:pPr>
              <w:spacing w:line="276" w:lineRule="auto"/>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评议标准和分值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72" w:type="dxa"/>
            <w:vMerge w:val="restart"/>
            <w:vAlign w:val="center"/>
          </w:tcPr>
          <w:p>
            <w:pPr>
              <w:spacing w:line="27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商务部分</w:t>
            </w:r>
          </w:p>
          <w:p>
            <w:pPr>
              <w:widowControl w:val="0"/>
              <w:autoSpaceDE w:val="0"/>
              <w:autoSpaceDN w:val="0"/>
              <w:adjustRightInd w:val="0"/>
              <w:spacing w:after="0" w:line="276" w:lineRule="auto"/>
              <w:jc w:val="center"/>
              <w:textAlignment w:val="baseline"/>
              <w:rPr>
                <w:rFonts w:ascii="Times New Roman" w:hAnsi="Times New Roman" w:eastAsia="宋体" w:cs="Times New Roman"/>
                <w:color w:val="auto"/>
                <w:sz w:val="24"/>
                <w:highlight w:val="none"/>
                <w:lang w:val="en-US" w:eastAsia="zh-CN" w:bidi="ar-SA"/>
              </w:rPr>
            </w:pPr>
            <w:r>
              <w:rPr>
                <w:rFonts w:ascii="Times New Roman" w:hAnsi="Times New Roman" w:eastAsia="宋体" w:cs="Times New Roman"/>
                <w:color w:val="auto"/>
                <w:sz w:val="21"/>
                <w:szCs w:val="21"/>
                <w:highlight w:val="none"/>
                <w:lang w:val="en-US" w:eastAsia="zh-CN" w:bidi="ar-SA"/>
              </w:rPr>
              <w:t>（</w:t>
            </w:r>
            <w:r>
              <w:rPr>
                <w:rFonts w:hint="eastAsia" w:cs="Times New Roman"/>
                <w:color w:val="auto"/>
                <w:sz w:val="21"/>
                <w:szCs w:val="21"/>
                <w:highlight w:val="none"/>
                <w:lang w:val="en-US" w:eastAsia="zh-CN" w:bidi="ar-SA"/>
              </w:rPr>
              <w:t>21</w:t>
            </w:r>
            <w:r>
              <w:rPr>
                <w:rFonts w:ascii="Times New Roman" w:hAnsi="Times New Roman" w:eastAsia="宋体" w:cs="Times New Roman"/>
                <w:color w:val="auto"/>
                <w:sz w:val="21"/>
                <w:szCs w:val="21"/>
                <w:highlight w:val="none"/>
                <w:lang w:val="en-US" w:eastAsia="zh-CN" w:bidi="ar-SA"/>
              </w:rPr>
              <w:t>分）</w:t>
            </w:r>
          </w:p>
        </w:tc>
        <w:tc>
          <w:tcPr>
            <w:tcW w:w="97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eastAsia"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rPr>
              <w:t>类似项目</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自201</w:t>
            </w:r>
            <w:r>
              <w:rPr>
                <w:rFonts w:hint="eastAsia" w:ascii="Times New Roman" w:hAnsi="Times New Roman" w:cs="Times New Roman"/>
                <w:color w:val="auto"/>
                <w:sz w:val="21"/>
                <w:szCs w:val="21"/>
                <w:highlight w:val="none"/>
                <w:lang w:val="en-US" w:eastAsia="zh-CN"/>
              </w:rPr>
              <w:t>8</w:t>
            </w:r>
            <w:r>
              <w:rPr>
                <w:rFonts w:hint="eastAsia" w:ascii="Times New Roman" w:hAnsi="Times New Roman" w:cs="Times New Roman"/>
                <w:color w:val="auto"/>
                <w:sz w:val="21"/>
                <w:szCs w:val="21"/>
                <w:highlight w:val="none"/>
              </w:rPr>
              <w:t>年1月1日以来（以合同签订时间为准），</w:t>
            </w:r>
            <w:r>
              <w:rPr>
                <w:rFonts w:hint="eastAsia" w:ascii="Times New Roman" w:hAnsi="Times New Roman" w:cs="Times New Roman"/>
                <w:color w:val="auto"/>
                <w:sz w:val="21"/>
                <w:szCs w:val="21"/>
                <w:highlight w:val="none"/>
                <w:lang w:val="en-US" w:eastAsia="zh-CN"/>
              </w:rPr>
              <w:t>承担过</w:t>
            </w:r>
            <w:r>
              <w:rPr>
                <w:rFonts w:hint="eastAsia" w:ascii="Times New Roman" w:hAnsi="Times New Roman" w:cs="Times New Roman"/>
                <w:color w:val="auto"/>
                <w:sz w:val="21"/>
                <w:szCs w:val="21"/>
                <w:highlight w:val="none"/>
              </w:rPr>
              <w:t>档案整理及数字化加工服务项目</w:t>
            </w:r>
            <w:r>
              <w:rPr>
                <w:rFonts w:hint="eastAsia" w:ascii="Times New Roman" w:hAnsi="Times New Roman"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每个得0.5分，</w:t>
            </w:r>
            <w:r>
              <w:rPr>
                <w:rFonts w:hint="eastAsia" w:ascii="Times New Roman" w:hAnsi="Times New Roman" w:cs="Times New Roman"/>
                <w:color w:val="auto"/>
                <w:sz w:val="21"/>
                <w:szCs w:val="21"/>
                <w:highlight w:val="none"/>
              </w:rPr>
              <w:t>最高得</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【证明材料：合同】</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ascii="Times New Roman" w:hAnsi="Times New Roman" w:cs="Times New Roman"/>
                <w:color w:val="auto"/>
                <w:sz w:val="21"/>
                <w:szCs w:val="21"/>
                <w:highlight w:val="none"/>
              </w:rPr>
              <w:t>0-</w:t>
            </w:r>
            <w:r>
              <w:rPr>
                <w:rFonts w:hint="eastAsia" w:ascii="Times New Roman" w:hAnsi="Times New Roman" w:cs="Times New Roman"/>
                <w:color w:val="auto"/>
                <w:sz w:val="21"/>
                <w:szCs w:val="21"/>
                <w:highlight w:val="none"/>
                <w:lang w:val="en-US" w:eastAsia="zh-CN"/>
              </w:rPr>
              <w:t>1</w:t>
            </w:r>
            <w:r>
              <w:rPr>
                <w:rFonts w:ascii="Times New Roman" w:hAnsi="Times New Roman"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72" w:type="dxa"/>
            <w:vMerge w:val="continue"/>
            <w:vAlign w:val="center"/>
          </w:tcPr>
          <w:p>
            <w:pPr>
              <w:spacing w:line="276" w:lineRule="auto"/>
              <w:ind w:firstLine="280" w:firstLineChars="100"/>
              <w:jc w:val="center"/>
              <w:rPr>
                <w:rFonts w:ascii="Times New Roman" w:hAnsi="Times New Roman" w:eastAsia="宋体" w:cs="Times New Roman"/>
                <w:color w:val="auto"/>
                <w:sz w:val="28"/>
                <w:szCs w:val="21"/>
                <w:highlight w:val="none"/>
              </w:rPr>
            </w:pPr>
          </w:p>
        </w:tc>
        <w:tc>
          <w:tcPr>
            <w:tcW w:w="97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体系认证</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具有质量管理体系认证、信息安全管理体系认证且在有效期内的每个得1分，最高得2分。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【证明材料：证书】</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continue"/>
            <w:vAlign w:val="center"/>
          </w:tcPr>
          <w:p>
            <w:pPr>
              <w:spacing w:line="276" w:lineRule="auto"/>
              <w:jc w:val="center"/>
              <w:rPr>
                <w:rFonts w:ascii="Times New Roman" w:hAnsi="Times New Roman" w:eastAsia="宋体" w:cs="Times New Roman"/>
                <w:color w:val="auto"/>
                <w:sz w:val="28"/>
                <w:szCs w:val="21"/>
                <w:highlight w:val="none"/>
              </w:rPr>
            </w:pPr>
          </w:p>
        </w:tc>
        <w:tc>
          <w:tcPr>
            <w:tcW w:w="9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p>
        </w:tc>
        <w:tc>
          <w:tcPr>
            <w:tcW w:w="138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技术人员组成</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w:t>
            </w:r>
            <w:r>
              <w:rPr>
                <w:rFonts w:hint="eastAsia" w:ascii="Times New Roman" w:hAnsi="Times New Roman" w:cs="Times New Roman"/>
                <w:color w:val="auto"/>
                <w:sz w:val="21"/>
                <w:szCs w:val="21"/>
                <w:highlight w:val="none"/>
                <w:lang w:val="en-US" w:eastAsia="zh-CN"/>
              </w:rPr>
              <w:t>负责人</w:t>
            </w:r>
            <w:r>
              <w:rPr>
                <w:rFonts w:hint="eastAsia" w:ascii="Times New Roman" w:hAnsi="Times New Roman" w:cs="Times New Roman"/>
                <w:color w:val="auto"/>
                <w:sz w:val="21"/>
                <w:szCs w:val="21"/>
                <w:highlight w:val="none"/>
              </w:rPr>
              <w:t>情况：投标单位拟委派项目</w:t>
            </w:r>
            <w:r>
              <w:rPr>
                <w:rFonts w:hint="eastAsia" w:ascii="Times New Roman" w:hAnsi="Times New Roman" w:cs="Times New Roman"/>
                <w:color w:val="auto"/>
                <w:sz w:val="21"/>
                <w:szCs w:val="21"/>
                <w:highlight w:val="none"/>
                <w:lang w:val="en-US" w:eastAsia="zh-CN"/>
              </w:rPr>
              <w:t>负责人</w:t>
            </w:r>
            <w:r>
              <w:rPr>
                <w:rFonts w:hint="eastAsia" w:ascii="Times New Roman" w:hAnsi="Times New Roman" w:cs="Times New Roman"/>
                <w:color w:val="auto"/>
                <w:sz w:val="21"/>
                <w:szCs w:val="21"/>
                <w:highlight w:val="none"/>
              </w:rPr>
              <w:t>同时具有档案中级及以上职称、本科及以上学历的得</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rPr>
              <w:t>分，</w:t>
            </w:r>
            <w:r>
              <w:rPr>
                <w:rFonts w:hint="eastAsia" w:cs="Times New Roman"/>
                <w:color w:val="auto"/>
                <w:sz w:val="21"/>
                <w:szCs w:val="21"/>
                <w:highlight w:val="none"/>
                <w:lang w:val="en-US" w:eastAsia="zh-CN"/>
              </w:rPr>
              <w:t>只满足一项的不得分</w:t>
            </w:r>
            <w:r>
              <w:rPr>
                <w:rFonts w:hint="eastAsia" w:ascii="Times New Roman" w:hAnsi="Times New Roman" w:cs="Times New Roman"/>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【证明材料：人员</w:t>
            </w:r>
            <w:r>
              <w:rPr>
                <w:rFonts w:hint="eastAsia" w:ascii="Times New Roman" w:hAnsi="Times New Roman" w:cs="Times New Roman"/>
                <w:color w:val="auto"/>
                <w:sz w:val="21"/>
                <w:szCs w:val="21"/>
                <w:highlight w:val="none"/>
                <w:lang w:val="en-US" w:eastAsia="zh-CN"/>
              </w:rPr>
              <w:t>相关</w:t>
            </w:r>
            <w:r>
              <w:rPr>
                <w:rFonts w:hint="eastAsia" w:ascii="Times New Roman" w:hAnsi="Times New Roman" w:cs="Times New Roman"/>
                <w:color w:val="auto"/>
                <w:sz w:val="21"/>
                <w:szCs w:val="21"/>
                <w:highlight w:val="none"/>
              </w:rPr>
              <w:t>证书</w:t>
            </w:r>
            <w:r>
              <w:rPr>
                <w:rFonts w:hint="eastAsia" w:ascii="Times New Roman" w:hAnsi="Times New Roman" w:cs="Times New Roman"/>
                <w:color w:val="auto"/>
                <w:sz w:val="21"/>
                <w:szCs w:val="21"/>
                <w:highlight w:val="none"/>
                <w:lang w:val="en-US" w:eastAsia="zh-CN"/>
              </w:rPr>
              <w:t>及及投标人为其缴纳的近3个月内（任意1个月）社保证明</w:t>
            </w:r>
            <w:r>
              <w:rPr>
                <w:rFonts w:hint="eastAsia" w:ascii="Times New Roman" w:hAnsi="Times New Roman" w:cs="Times New Roman"/>
                <w:color w:val="auto"/>
                <w:sz w:val="21"/>
                <w:szCs w:val="21"/>
                <w:highlight w:val="none"/>
              </w:rPr>
              <w:t>】</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ascii="Times New Roman" w:hAnsi="Times New Roman" w:cs="Times New Roman"/>
                <w:color w:val="auto"/>
                <w:sz w:val="21"/>
                <w:szCs w:val="21"/>
                <w:highlight w:val="none"/>
              </w:rPr>
              <w:t>0-</w:t>
            </w:r>
            <w:r>
              <w:rPr>
                <w:rFonts w:hint="eastAsia" w:cs="Times New Roman"/>
                <w:color w:val="auto"/>
                <w:sz w:val="21"/>
                <w:szCs w:val="21"/>
                <w:highlight w:val="none"/>
                <w:lang w:val="en-US" w:eastAsia="zh-CN"/>
              </w:rPr>
              <w:t>3</w:t>
            </w:r>
            <w:r>
              <w:rPr>
                <w:rFonts w:ascii="Times New Roman" w:hAnsi="Times New Roman"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continue"/>
            <w:vAlign w:val="center"/>
          </w:tcPr>
          <w:p>
            <w:pPr>
              <w:spacing w:line="276" w:lineRule="auto"/>
              <w:jc w:val="center"/>
              <w:rPr>
                <w:rFonts w:ascii="Times New Roman" w:hAnsi="Times New Roman" w:eastAsia="宋体" w:cs="Times New Roman"/>
                <w:color w:val="auto"/>
                <w:sz w:val="28"/>
                <w:szCs w:val="21"/>
                <w:highlight w:val="none"/>
              </w:rPr>
            </w:pPr>
          </w:p>
        </w:tc>
        <w:tc>
          <w:tcPr>
            <w:tcW w:w="9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Autospacing="0" w:line="240" w:lineRule="auto"/>
              <w:textAlignment w:val="baseline"/>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rPr>
              <w:t>拟派本项目其他管理人员（项目负责人除外）的相关资质、专业素质、技术能力等情况：具有档案初级职称证书</w:t>
            </w:r>
            <w:r>
              <w:rPr>
                <w:rFonts w:hint="eastAsia" w:ascii="Times New Roman" w:hAnsi="Times New Roman" w:cs="Times New Roman"/>
                <w:color w:val="auto"/>
                <w:sz w:val="21"/>
                <w:szCs w:val="21"/>
                <w:highlight w:val="none"/>
                <w:lang w:val="en-US" w:eastAsia="zh-CN"/>
              </w:rPr>
              <w:t>的</w:t>
            </w:r>
            <w:r>
              <w:rPr>
                <w:rFonts w:hint="eastAsia" w:ascii="Times New Roman" w:hAnsi="Times New Roman" w:cs="Times New Roman"/>
                <w:color w:val="auto"/>
                <w:sz w:val="21"/>
                <w:szCs w:val="21"/>
                <w:highlight w:val="none"/>
              </w:rPr>
              <w:t>，每人得</w:t>
            </w:r>
            <w:r>
              <w:rPr>
                <w:rFonts w:hint="eastAsia" w:ascii="Times New Roman" w:hAnsi="Times New Roman" w:cs="Times New Roman"/>
                <w:color w:val="auto"/>
                <w:sz w:val="21"/>
                <w:szCs w:val="21"/>
                <w:highlight w:val="none"/>
                <w:lang w:val="en-US" w:eastAsia="zh-CN"/>
              </w:rPr>
              <w:t>0.5</w:t>
            </w:r>
            <w:r>
              <w:rPr>
                <w:rFonts w:hint="eastAsia" w:ascii="Times New Roman" w:hAnsi="Times New Roman" w:cs="Times New Roman"/>
                <w:color w:val="auto"/>
                <w:sz w:val="21"/>
                <w:szCs w:val="21"/>
                <w:highlight w:val="none"/>
              </w:rPr>
              <w:t>分，最高得</w:t>
            </w: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rPr>
              <w:t>分；具有档案中级职称证书</w:t>
            </w:r>
            <w:r>
              <w:rPr>
                <w:rFonts w:hint="eastAsia" w:ascii="Times New Roman" w:hAnsi="Times New Roman" w:cs="Times New Roman"/>
                <w:color w:val="auto"/>
                <w:sz w:val="21"/>
                <w:szCs w:val="21"/>
                <w:highlight w:val="none"/>
                <w:lang w:val="en-US" w:eastAsia="zh-CN"/>
              </w:rPr>
              <w:t>的</w:t>
            </w:r>
            <w:r>
              <w:rPr>
                <w:rFonts w:hint="eastAsia" w:ascii="Times New Roman" w:hAnsi="Times New Roman" w:cs="Times New Roman"/>
                <w:color w:val="auto"/>
                <w:sz w:val="21"/>
                <w:szCs w:val="21"/>
                <w:highlight w:val="none"/>
              </w:rPr>
              <w:t>，每人得1分，最高得</w:t>
            </w:r>
            <w:r>
              <w:rPr>
                <w:rFonts w:hint="eastAsia" w:ascii="Times New Roman" w:hAnsi="Times New Roman" w:cs="Times New Roman"/>
                <w:color w:val="auto"/>
                <w:sz w:val="21"/>
                <w:szCs w:val="21"/>
                <w:highlight w:val="none"/>
                <w:lang w:val="en-US" w:eastAsia="zh-CN"/>
              </w:rPr>
              <w:t>9</w:t>
            </w:r>
            <w:r>
              <w:rPr>
                <w:rFonts w:hint="eastAsia"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rPr>
              <w:t>具有档案副高级及以上职称证书</w:t>
            </w:r>
            <w:r>
              <w:rPr>
                <w:rFonts w:hint="eastAsia" w:ascii="Times New Roman" w:hAnsi="Times New Roman" w:cs="Times New Roman"/>
                <w:color w:val="auto"/>
                <w:sz w:val="21"/>
                <w:szCs w:val="21"/>
                <w:highlight w:val="none"/>
                <w:lang w:val="en-US" w:eastAsia="zh-CN"/>
              </w:rPr>
              <w:t>的</w:t>
            </w:r>
            <w:r>
              <w:rPr>
                <w:rFonts w:hint="eastAsia" w:ascii="Times New Roman" w:hAnsi="Times New Roman" w:cs="Times New Roman"/>
                <w:color w:val="auto"/>
                <w:sz w:val="21"/>
                <w:szCs w:val="21"/>
                <w:highlight w:val="none"/>
              </w:rPr>
              <w:t>，每人得2分，最高得4分</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baseline"/>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rPr>
              <w:t>本项最高得1</w:t>
            </w: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同一人以最高职称计分</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Autospacing="0" w:after="164" w:afterLines="50" w:line="240" w:lineRule="auto"/>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【证明材料：人员</w:t>
            </w:r>
            <w:r>
              <w:rPr>
                <w:rFonts w:hint="eastAsia" w:ascii="Times New Roman" w:hAnsi="Times New Roman" w:cs="Times New Roman"/>
                <w:color w:val="auto"/>
                <w:sz w:val="21"/>
                <w:szCs w:val="21"/>
                <w:highlight w:val="none"/>
                <w:lang w:val="en-US" w:eastAsia="zh-CN"/>
              </w:rPr>
              <w:t>相关</w:t>
            </w:r>
            <w:r>
              <w:rPr>
                <w:rFonts w:hint="eastAsia" w:ascii="Times New Roman" w:hAnsi="Times New Roman" w:cs="Times New Roman"/>
                <w:color w:val="auto"/>
                <w:sz w:val="21"/>
                <w:szCs w:val="21"/>
                <w:highlight w:val="none"/>
              </w:rPr>
              <w:t>证书</w:t>
            </w:r>
            <w:r>
              <w:rPr>
                <w:rFonts w:hint="eastAsia" w:ascii="Times New Roman" w:hAnsi="Times New Roman" w:cs="Times New Roman"/>
                <w:color w:val="auto"/>
                <w:sz w:val="21"/>
                <w:szCs w:val="21"/>
                <w:highlight w:val="none"/>
                <w:lang w:val="en-US" w:eastAsia="zh-CN"/>
              </w:rPr>
              <w:t>及及投标人为其缴纳的近3个月内（任意1个月）社保证明</w:t>
            </w:r>
            <w:r>
              <w:rPr>
                <w:rFonts w:hint="eastAsia" w:ascii="Times New Roman" w:hAnsi="Times New Roman" w:cs="Times New Roman"/>
                <w:color w:val="auto"/>
                <w:sz w:val="21"/>
                <w:szCs w:val="21"/>
                <w:highlight w:val="none"/>
              </w:rPr>
              <w:t>】</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0-15分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技术部分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64</w:t>
            </w:r>
            <w:r>
              <w:rPr>
                <w:rFonts w:ascii="Times New Roman" w:hAnsi="Times New Roman" w:cs="Times New Roman"/>
                <w:color w:val="auto"/>
                <w:sz w:val="21"/>
                <w:szCs w:val="21"/>
                <w:highlight w:val="none"/>
              </w:rPr>
              <w:t>分）</w:t>
            </w:r>
          </w:p>
        </w:tc>
        <w:tc>
          <w:tcPr>
            <w:tcW w:w="97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bidi="ar"/>
              </w:rPr>
              <w:t>4</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highlight w:val="none"/>
              </w:rPr>
            </w:pPr>
            <w:r>
              <w:rPr>
                <w:rFonts w:hint="eastAsia"/>
                <w:color w:val="auto"/>
                <w:sz w:val="21"/>
                <w:szCs w:val="21"/>
                <w:highlight w:val="none"/>
              </w:rPr>
              <w:t>风险及诚信管理体系</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投标人建立的风险及诚信管理体系全面，符合</w:t>
            </w:r>
            <w:r>
              <w:rPr>
                <w:rFonts w:hint="eastAsia" w:cs="Times New Roman"/>
                <w:color w:val="auto"/>
                <w:sz w:val="21"/>
                <w:szCs w:val="21"/>
                <w:highlight w:val="none"/>
                <w:lang w:val="en-US" w:eastAsia="zh-CN"/>
              </w:rPr>
              <w:t>采购</w:t>
            </w:r>
            <w:r>
              <w:rPr>
                <w:rFonts w:hint="eastAsia" w:ascii="Times New Roman" w:hAnsi="Times New Roman" w:cs="Times New Roman"/>
                <w:color w:val="auto"/>
                <w:sz w:val="21"/>
                <w:szCs w:val="21"/>
                <w:highlight w:val="none"/>
                <w:lang w:val="en-US" w:eastAsia="zh-CN"/>
              </w:rPr>
              <w:t>文件要求。</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97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bidi="ar"/>
              </w:rPr>
              <w:t>5</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档案加工方案设计</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根据投标</w:t>
            </w:r>
            <w:r>
              <w:rPr>
                <w:rFonts w:hint="eastAsia" w:ascii="Times New Roman" w:hAnsi="Times New Roman" w:cs="Times New Roman"/>
                <w:color w:val="auto"/>
                <w:sz w:val="21"/>
                <w:szCs w:val="21"/>
                <w:highlight w:val="none"/>
                <w:lang w:val="en-US" w:eastAsia="zh-CN"/>
              </w:rPr>
              <w:t>人</w:t>
            </w:r>
            <w:r>
              <w:rPr>
                <w:rFonts w:hint="eastAsia" w:ascii="Times New Roman" w:hAnsi="Times New Roman" w:cs="Times New Roman"/>
                <w:color w:val="auto"/>
                <w:sz w:val="21"/>
                <w:szCs w:val="21"/>
                <w:highlight w:val="none"/>
              </w:rPr>
              <w:t>对本项目数字化加工流程设计方案（档案出库交接、数字化前处理、目录数据库建立、档案扫描、图像处理、数据挂接、数字化成果验收与移交、档案归还入库）等情况打分。每项0-</w:t>
            </w:r>
            <w:r>
              <w:rPr>
                <w:rFonts w:hint="eastAsia" w:ascii="Times New Roman" w:hAnsi="Times New Roman" w:cs="Times New Roman"/>
                <w:color w:val="auto"/>
                <w:sz w:val="21"/>
                <w:szCs w:val="21"/>
                <w:highlight w:val="none"/>
                <w:lang w:val="en-US" w:eastAsia="zh-CN"/>
              </w:rPr>
              <w:t>1.5</w:t>
            </w:r>
            <w:r>
              <w:rPr>
                <w:rFonts w:hint="eastAsia" w:ascii="Times New Roman" w:hAnsi="Times New Roman" w:cs="Times New Roman"/>
                <w:color w:val="auto"/>
                <w:sz w:val="21"/>
                <w:szCs w:val="21"/>
                <w:highlight w:val="none"/>
              </w:rPr>
              <w:t>分，共</w:t>
            </w:r>
            <w:r>
              <w:rPr>
                <w:rFonts w:hint="eastAsia" w:ascii="Times New Roman" w:hAnsi="Times New Roman" w:cs="Times New Roman"/>
                <w:color w:val="auto"/>
                <w:sz w:val="21"/>
                <w:szCs w:val="21"/>
                <w:highlight w:val="none"/>
                <w:lang w:val="en-US" w:eastAsia="zh-CN"/>
              </w:rPr>
              <w:t>12</w:t>
            </w:r>
            <w:r>
              <w:rPr>
                <w:rFonts w:hint="eastAsia" w:ascii="Times New Roman" w:hAnsi="Times New Roman" w:cs="Times New Roman"/>
                <w:color w:val="auto"/>
                <w:sz w:val="21"/>
                <w:szCs w:val="21"/>
                <w:highlight w:val="none"/>
              </w:rPr>
              <w:t>分。</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ascii="Times New Roman" w:hAnsi="Times New Roman" w:cs="Times New Roman"/>
                <w:color w:val="auto"/>
                <w:sz w:val="21"/>
                <w:szCs w:val="21"/>
                <w:highlight w:val="none"/>
              </w:rPr>
              <w:t>0-</w:t>
            </w:r>
            <w:r>
              <w:rPr>
                <w:rFonts w:hint="eastAsia" w:cs="Times New Roman"/>
                <w:color w:val="auto"/>
                <w:sz w:val="21"/>
                <w:szCs w:val="21"/>
                <w:highlight w:val="none"/>
                <w:lang w:val="en-US" w:eastAsia="zh-CN"/>
              </w:rPr>
              <w:t>12</w:t>
            </w:r>
            <w:r>
              <w:rPr>
                <w:rFonts w:ascii="Times New Roman" w:hAnsi="Times New Roman"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97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bidi="ar"/>
              </w:rPr>
              <w:t>6</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rPr>
              <w:t>档案加工专业性</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rPr>
              <w:t>根据投标</w:t>
            </w:r>
            <w:r>
              <w:rPr>
                <w:rFonts w:hint="eastAsia" w:cs="Times New Roman"/>
                <w:color w:val="auto"/>
                <w:sz w:val="21"/>
                <w:szCs w:val="21"/>
                <w:highlight w:val="none"/>
                <w:lang w:val="en-US" w:eastAsia="zh-CN"/>
              </w:rPr>
              <w:t>人</w:t>
            </w:r>
            <w:r>
              <w:rPr>
                <w:rFonts w:hint="eastAsia" w:ascii="Times New Roman" w:hAnsi="Times New Roman" w:cs="Times New Roman"/>
                <w:color w:val="auto"/>
                <w:sz w:val="21"/>
                <w:szCs w:val="21"/>
                <w:highlight w:val="none"/>
              </w:rPr>
              <w:t>对本项目实施的专业性，包括项目管理组织和技术能力、项目实施规范和管理制度、加工过程和数字化成果质量控制、电子数据安全防范管理等情况打分。每项0-2</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rPr>
              <w:t>分，共</w:t>
            </w:r>
            <w:r>
              <w:rPr>
                <w:rFonts w:hint="eastAsia" w:cs="Times New Roman"/>
                <w:color w:val="auto"/>
                <w:sz w:val="21"/>
                <w:szCs w:val="21"/>
                <w:highlight w:val="none"/>
                <w:lang w:val="en-US" w:eastAsia="zh-CN"/>
              </w:rPr>
              <w:t>10</w:t>
            </w:r>
            <w:r>
              <w:rPr>
                <w:rFonts w:hint="eastAsia" w:ascii="Times New Roman" w:hAnsi="Times New Roman" w:cs="Times New Roman"/>
                <w:color w:val="auto"/>
                <w:sz w:val="21"/>
                <w:szCs w:val="21"/>
                <w:highlight w:val="none"/>
              </w:rPr>
              <w:t>分。</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9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bidi="ar"/>
              </w:rPr>
              <w:t>7</w:t>
            </w:r>
          </w:p>
        </w:tc>
        <w:tc>
          <w:tcPr>
            <w:tcW w:w="138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保密</w:t>
            </w:r>
            <w:r>
              <w:rPr>
                <w:rFonts w:hint="eastAsia" w:ascii="Times New Roman" w:hAnsi="Times New Roman" w:cs="Times New Roman"/>
                <w:color w:val="auto"/>
                <w:sz w:val="21"/>
                <w:szCs w:val="21"/>
                <w:highlight w:val="none"/>
              </w:rPr>
              <w:t>安全保障措施</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根据投标人提供的项目实施</w:t>
            </w:r>
            <w:r>
              <w:rPr>
                <w:rFonts w:hint="eastAsia" w:ascii="Times New Roman" w:hAnsi="Times New Roman" w:cs="Times New Roman"/>
                <w:color w:val="auto"/>
                <w:sz w:val="21"/>
                <w:szCs w:val="21"/>
                <w:highlight w:val="none"/>
              </w:rPr>
              <w:t>流程</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包括加强</w:t>
            </w:r>
            <w:r>
              <w:rPr>
                <w:rFonts w:hint="eastAsia" w:ascii="Times New Roman" w:hAnsi="Times New Roman" w:cs="Times New Roman"/>
                <w:color w:val="auto"/>
                <w:sz w:val="21"/>
                <w:szCs w:val="21"/>
                <w:highlight w:val="none"/>
              </w:rPr>
              <w:t>对档案</w:t>
            </w:r>
            <w:r>
              <w:rPr>
                <w:rFonts w:hint="eastAsia" w:cs="Times New Roman"/>
                <w:color w:val="auto"/>
                <w:sz w:val="21"/>
                <w:szCs w:val="21"/>
                <w:highlight w:val="none"/>
                <w:lang w:val="en-US" w:eastAsia="zh-CN"/>
              </w:rPr>
              <w:t>整理</w:t>
            </w:r>
            <w:r>
              <w:rPr>
                <w:rFonts w:hint="eastAsia" w:ascii="Times New Roman" w:hAnsi="Times New Roman" w:cs="Times New Roman"/>
                <w:color w:val="auto"/>
                <w:sz w:val="21"/>
                <w:szCs w:val="21"/>
                <w:highlight w:val="none"/>
              </w:rPr>
              <w:t>过程的控制，</w:t>
            </w:r>
            <w:r>
              <w:rPr>
                <w:rFonts w:hint="eastAsia" w:cs="Times New Roman"/>
                <w:color w:val="auto"/>
                <w:sz w:val="21"/>
                <w:szCs w:val="21"/>
                <w:highlight w:val="none"/>
                <w:lang w:val="en-US" w:eastAsia="zh-CN"/>
              </w:rPr>
              <w:t>以</w:t>
            </w:r>
            <w:r>
              <w:rPr>
                <w:rFonts w:hint="eastAsia" w:ascii="Times New Roman" w:hAnsi="Times New Roman" w:cs="Times New Roman"/>
                <w:color w:val="auto"/>
                <w:sz w:val="21"/>
                <w:szCs w:val="21"/>
                <w:highlight w:val="none"/>
              </w:rPr>
              <w:t>保证电子数据的安全</w:t>
            </w:r>
            <w:r>
              <w:rPr>
                <w:rFonts w:hint="eastAsia" w:cs="Times New Roman"/>
                <w:color w:val="auto"/>
                <w:sz w:val="21"/>
                <w:szCs w:val="21"/>
                <w:highlight w:val="none"/>
                <w:lang w:eastAsia="zh-CN"/>
              </w:rPr>
              <w:t>。</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9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根据投标人</w:t>
            </w:r>
            <w:r>
              <w:rPr>
                <w:rFonts w:hint="eastAsia" w:ascii="Times New Roman" w:hAnsi="Times New Roman" w:cs="Times New Roman"/>
                <w:color w:val="auto"/>
                <w:sz w:val="21"/>
                <w:szCs w:val="21"/>
                <w:highlight w:val="none"/>
              </w:rPr>
              <w:t>提出</w:t>
            </w:r>
            <w:r>
              <w:rPr>
                <w:rFonts w:hint="eastAsia" w:cs="Times New Roman"/>
                <w:color w:val="auto"/>
                <w:sz w:val="21"/>
                <w:szCs w:val="21"/>
                <w:highlight w:val="none"/>
                <w:lang w:val="en-US" w:eastAsia="zh-CN"/>
              </w:rPr>
              <w:t>的</w:t>
            </w:r>
            <w:r>
              <w:rPr>
                <w:rFonts w:hint="eastAsia" w:ascii="Times New Roman" w:hAnsi="Times New Roman" w:cs="Times New Roman"/>
                <w:color w:val="auto"/>
                <w:sz w:val="21"/>
                <w:szCs w:val="21"/>
                <w:highlight w:val="none"/>
              </w:rPr>
              <w:t>针对本项目的保密管理制度，内容</w:t>
            </w:r>
            <w:r>
              <w:rPr>
                <w:rFonts w:hint="eastAsia" w:cs="Times New Roman"/>
                <w:color w:val="auto"/>
                <w:sz w:val="21"/>
                <w:szCs w:val="21"/>
                <w:highlight w:val="none"/>
                <w:lang w:val="en-US" w:eastAsia="zh-CN"/>
              </w:rPr>
              <w:t>是否</w:t>
            </w:r>
            <w:r>
              <w:rPr>
                <w:rFonts w:hint="eastAsia" w:ascii="Times New Roman" w:hAnsi="Times New Roman" w:cs="Times New Roman"/>
                <w:color w:val="auto"/>
                <w:sz w:val="21"/>
                <w:szCs w:val="21"/>
                <w:highlight w:val="none"/>
              </w:rPr>
              <w:t>完整可靠，保密管理措施</w:t>
            </w:r>
            <w:r>
              <w:rPr>
                <w:rFonts w:hint="eastAsia" w:cs="Times New Roman"/>
                <w:color w:val="auto"/>
                <w:sz w:val="21"/>
                <w:szCs w:val="21"/>
                <w:highlight w:val="none"/>
                <w:lang w:val="en-US" w:eastAsia="zh-CN"/>
              </w:rPr>
              <w:t>的严格性、安全性</w:t>
            </w:r>
            <w:r>
              <w:rPr>
                <w:rFonts w:hint="eastAsia" w:ascii="Times New Roman" w:hAnsi="Times New Roman" w:cs="Times New Roman"/>
                <w:color w:val="auto"/>
                <w:sz w:val="21"/>
                <w:szCs w:val="21"/>
                <w:highlight w:val="none"/>
              </w:rPr>
              <w:t>等情况进行打分</w:t>
            </w:r>
            <w:r>
              <w:rPr>
                <w:rFonts w:hint="eastAsia" w:cs="Times New Roman"/>
                <w:color w:val="auto"/>
                <w:sz w:val="21"/>
                <w:szCs w:val="21"/>
                <w:highlight w:val="none"/>
                <w:lang w:eastAsia="zh-CN"/>
              </w:rPr>
              <w:t>。</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97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bidi="ar"/>
              </w:rPr>
              <w:t>8</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rPr>
              <w:t>项目进度安排</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eastAsia"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rPr>
              <w:t>根据投标人提供针对本项目进度、计划安排、表单管理、工期承诺等情况打分。每项0-2</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rPr>
              <w:t>分，共</w:t>
            </w:r>
            <w:r>
              <w:rPr>
                <w:rFonts w:hint="eastAsia" w:cs="Times New Roman"/>
                <w:color w:val="auto"/>
                <w:sz w:val="21"/>
                <w:szCs w:val="21"/>
                <w:highlight w:val="none"/>
                <w:lang w:val="en-US" w:eastAsia="zh-CN"/>
              </w:rPr>
              <w:t>10</w:t>
            </w:r>
            <w:r>
              <w:rPr>
                <w:rFonts w:hint="eastAsia" w:ascii="Times New Roman" w:hAnsi="Times New Roman" w:cs="Times New Roman"/>
                <w:color w:val="auto"/>
                <w:sz w:val="21"/>
                <w:szCs w:val="21"/>
                <w:highlight w:val="none"/>
              </w:rPr>
              <w:t>分。</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p>
        </w:tc>
        <w:tc>
          <w:tcPr>
            <w:tcW w:w="97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bidi="ar"/>
              </w:rPr>
              <w:t>9</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软件配置先进性</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rPr>
              <w:t>（加工工具）</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rPr>
              <w:t>软件配置情况：主要从应用于本项目的数字化加工及其配套软件的功能（具有扫描及图像处理、数字化成果质量检测、电子数据安全保管、数据异常检测、问题数据自动恢复、数据移交保真、对问题数据的追溯管理、条目录入双机校对等功能）齐全完整情况打分。每项0-</w:t>
            </w:r>
            <w:r>
              <w:rPr>
                <w:rFonts w:hint="eastAsia" w:cs="Times New Roman"/>
                <w:color w:val="auto"/>
                <w:sz w:val="21"/>
                <w:szCs w:val="21"/>
                <w:highlight w:val="none"/>
                <w:lang w:val="en-US" w:eastAsia="zh-CN"/>
              </w:rPr>
              <w:t>1.5</w:t>
            </w:r>
            <w:r>
              <w:rPr>
                <w:rFonts w:hint="eastAsia" w:ascii="Times New Roman" w:hAnsi="Times New Roman" w:cs="Times New Roman"/>
                <w:color w:val="auto"/>
                <w:sz w:val="21"/>
                <w:szCs w:val="21"/>
                <w:highlight w:val="none"/>
              </w:rPr>
              <w:t>分，共</w:t>
            </w:r>
            <w:r>
              <w:rPr>
                <w:rFonts w:hint="eastAsia" w:cs="Times New Roman"/>
                <w:color w:val="auto"/>
                <w:sz w:val="21"/>
                <w:szCs w:val="21"/>
                <w:highlight w:val="none"/>
                <w:lang w:val="en-US" w:eastAsia="zh-CN"/>
              </w:rPr>
              <w:t>12</w:t>
            </w:r>
            <w:r>
              <w:rPr>
                <w:rFonts w:hint="eastAsia" w:ascii="Times New Roman" w:hAnsi="Times New Roman" w:cs="Times New Roman"/>
                <w:color w:val="auto"/>
                <w:sz w:val="21"/>
                <w:szCs w:val="21"/>
                <w:highlight w:val="none"/>
              </w:rPr>
              <w:t>分。</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0-12分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0"/>
                <w:highlight w:val="none"/>
              </w:rPr>
            </w:pPr>
          </w:p>
        </w:tc>
        <w:tc>
          <w:tcPr>
            <w:tcW w:w="97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0"/>
                <w:highlight w:val="none"/>
              </w:rPr>
            </w:pPr>
            <w:r>
              <w:rPr>
                <w:rFonts w:hint="eastAsia" w:cs="Times New Roman"/>
                <w:color w:val="auto"/>
                <w:sz w:val="21"/>
                <w:szCs w:val="21"/>
                <w:highlight w:val="none"/>
                <w:lang w:val="en-US" w:eastAsia="zh-CN" w:bidi="ar"/>
              </w:rPr>
              <w:t>10</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硬件配置先进性</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0"/>
                <w:highlight w:val="none"/>
              </w:rPr>
            </w:pPr>
            <w:r>
              <w:rPr>
                <w:rFonts w:hint="eastAsia" w:ascii="Times New Roman" w:hAnsi="Times New Roman" w:cs="Times New Roman"/>
                <w:color w:val="auto"/>
                <w:sz w:val="21"/>
                <w:szCs w:val="21"/>
                <w:highlight w:val="none"/>
              </w:rPr>
              <w:t>（加工工具）</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rPr>
              <w:t>硬件配置情况：根据拟投入本项目的硬件设备的综合水平情况是否先进、合理、完整、可行性等情况打分。</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0"/>
                <w:highlight w:val="none"/>
              </w:rPr>
            </w:pPr>
          </w:p>
        </w:tc>
        <w:tc>
          <w:tcPr>
            <w:tcW w:w="975"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0"/>
                <w:highlight w:val="none"/>
              </w:rPr>
            </w:pPr>
            <w:r>
              <w:rPr>
                <w:rFonts w:hint="eastAsia" w:cs="Times New Roman"/>
                <w:color w:val="auto"/>
                <w:sz w:val="21"/>
                <w:szCs w:val="21"/>
                <w:highlight w:val="none"/>
                <w:lang w:val="en-US" w:eastAsia="zh-CN" w:bidi="ar"/>
              </w:rPr>
              <w:t>11</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0"/>
                <w:highlight w:val="none"/>
              </w:rPr>
            </w:pPr>
            <w:r>
              <w:rPr>
                <w:rFonts w:hint="eastAsia" w:ascii="Times New Roman" w:hAnsi="Times New Roman" w:cs="Times New Roman"/>
                <w:color w:val="auto"/>
                <w:sz w:val="21"/>
                <w:szCs w:val="21"/>
                <w:highlight w:val="none"/>
              </w:rPr>
              <w:t>售后服务方案</w:t>
            </w:r>
          </w:p>
        </w:tc>
        <w:tc>
          <w:tcPr>
            <w:tcW w:w="4650"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rPr>
              <w:t>根据投标</w:t>
            </w:r>
            <w:r>
              <w:rPr>
                <w:rFonts w:hint="eastAsia" w:cs="Times New Roman"/>
                <w:color w:val="auto"/>
                <w:sz w:val="21"/>
                <w:szCs w:val="21"/>
                <w:highlight w:val="none"/>
                <w:lang w:val="en-US" w:eastAsia="zh-CN"/>
              </w:rPr>
              <w:t>人</w:t>
            </w:r>
            <w:r>
              <w:rPr>
                <w:rFonts w:hint="eastAsia" w:ascii="Times New Roman" w:hAnsi="Times New Roman" w:cs="Times New Roman"/>
                <w:color w:val="auto"/>
                <w:sz w:val="21"/>
                <w:szCs w:val="21"/>
                <w:highlight w:val="none"/>
              </w:rPr>
              <w:t>操作培训承诺、响应时间承诺等情况打分。</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77" w:type="dxa"/>
            <w:gridSpan w:val="4"/>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ascii="Times New Roman" w:hAnsi="Times New Roman" w:eastAsia="宋体" w:cs="Times New Roman"/>
                <w:b/>
                <w:bCs/>
                <w:color w:val="auto"/>
                <w:sz w:val="21"/>
                <w:szCs w:val="21"/>
                <w:highlight w:val="none"/>
              </w:rPr>
              <w:t>合计</w:t>
            </w:r>
          </w:p>
        </w:tc>
        <w:tc>
          <w:tcPr>
            <w:tcW w:w="964" w:type="dxa"/>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1"/>
                <w:szCs w:val="21"/>
                <w:highlight w:val="none"/>
              </w:rPr>
            </w:pPr>
            <w:r>
              <w:rPr>
                <w:rFonts w:ascii="Times New Roman" w:hAnsi="Times New Roman" w:eastAsia="宋体" w:cs="Times New Roman"/>
                <w:b/>
                <w:bCs/>
                <w:color w:val="auto"/>
                <w:sz w:val="21"/>
                <w:szCs w:val="21"/>
                <w:highlight w:val="none"/>
              </w:rPr>
              <w:t>0-</w:t>
            </w:r>
            <w:r>
              <w:rPr>
                <w:rFonts w:hint="eastAsia" w:ascii="Times New Roman" w:hAnsi="Times New Roman" w:eastAsia="宋体" w:cs="Times New Roman"/>
                <w:b/>
                <w:bCs/>
                <w:color w:val="auto"/>
                <w:sz w:val="21"/>
                <w:szCs w:val="21"/>
                <w:highlight w:val="none"/>
                <w:lang w:val="en-US" w:eastAsia="zh-CN"/>
              </w:rPr>
              <w:t>8</w:t>
            </w:r>
            <w:r>
              <w:rPr>
                <w:rFonts w:hint="eastAsia" w:cs="Times New Roman"/>
                <w:b/>
                <w:bCs/>
                <w:color w:val="auto"/>
                <w:sz w:val="21"/>
                <w:szCs w:val="21"/>
                <w:highlight w:val="none"/>
                <w:lang w:val="en-US" w:eastAsia="zh-CN"/>
              </w:rPr>
              <w:t>5</w:t>
            </w:r>
            <w:r>
              <w:rPr>
                <w:rFonts w:ascii="Times New Roman" w:hAnsi="Times New Roman" w:eastAsia="宋体" w:cs="Times New Roman"/>
                <w:b/>
                <w:bCs/>
                <w:color w:val="auto"/>
                <w:sz w:val="21"/>
                <w:szCs w:val="21"/>
                <w:highlight w:val="none"/>
              </w:rPr>
              <w:t>分</w:t>
            </w:r>
          </w:p>
        </w:tc>
      </w:tr>
    </w:tbl>
    <w:p>
      <w:pPr>
        <w:rPr>
          <w:color w:val="auto"/>
          <w:highlight w:val="none"/>
        </w:rPr>
      </w:pPr>
    </w:p>
    <w:p>
      <w:pPr>
        <w:rPr>
          <w:rFonts w:ascii="Times New Roman" w:hAnsi="Times New Roman"/>
          <w:color w:val="auto"/>
          <w:highlight w:val="none"/>
        </w:rPr>
      </w:pPr>
      <w:bookmarkStart w:id="97" w:name="_Toc18795"/>
      <w:bookmarkStart w:id="98" w:name="_Toc27019"/>
      <w:bookmarkStart w:id="99" w:name="_Toc22662"/>
      <w:bookmarkStart w:id="100" w:name="_Toc7465"/>
      <w:bookmarkStart w:id="101" w:name="_Toc23238"/>
      <w:bookmarkStart w:id="102" w:name="_Toc9625"/>
      <w:bookmarkStart w:id="103" w:name="_Toc14943"/>
      <w:bookmarkStart w:id="104" w:name="_Toc21165"/>
      <w:bookmarkStart w:id="105" w:name="_Toc28782"/>
      <w:bookmarkStart w:id="106" w:name="_Toc2619"/>
      <w:bookmarkStart w:id="107" w:name="_Toc24289"/>
      <w:bookmarkStart w:id="108" w:name="_Toc3666"/>
      <w:bookmarkStart w:id="109" w:name="_Toc4823"/>
      <w:bookmarkStart w:id="110" w:name="_Toc27091"/>
      <w:bookmarkStart w:id="111" w:name="_Toc7210"/>
      <w:bookmarkStart w:id="112" w:name="_Toc11310"/>
      <w:bookmarkStart w:id="113" w:name="_Toc21510"/>
      <w:bookmarkStart w:id="114" w:name="_Toc16151"/>
      <w:bookmarkStart w:id="115" w:name="_Toc7556"/>
      <w:bookmarkStart w:id="116" w:name="_Toc28011"/>
      <w:bookmarkStart w:id="117" w:name="_Toc6854"/>
      <w:bookmarkStart w:id="118" w:name="_Toc19545"/>
      <w:bookmarkStart w:id="119" w:name="_Toc30333"/>
      <w:bookmarkStart w:id="120" w:name="_Toc10945"/>
      <w:bookmarkStart w:id="121" w:name="_Toc30633"/>
      <w:bookmarkStart w:id="122" w:name="_Toc2099"/>
      <w:bookmarkStart w:id="123" w:name="_Toc6405"/>
      <w:bookmarkStart w:id="124" w:name="_Toc4209"/>
      <w:bookmarkStart w:id="125" w:name="_Toc16264"/>
      <w:bookmarkStart w:id="126" w:name="_Toc6548"/>
      <w:bookmarkStart w:id="127" w:name="_Toc32451"/>
      <w:bookmarkStart w:id="128" w:name="_Toc4788"/>
      <w:bookmarkStart w:id="129" w:name="_Toc3265"/>
      <w:bookmarkStart w:id="130" w:name="_Toc12848"/>
      <w:bookmarkStart w:id="131" w:name="_Toc24679"/>
      <w:bookmarkStart w:id="132" w:name="_Toc14410"/>
      <w:bookmarkStart w:id="133" w:name="_Toc6247"/>
      <w:bookmarkStart w:id="134" w:name="_Toc71305523"/>
      <w:bookmarkStart w:id="135" w:name="_Toc14826"/>
      <w:bookmarkStart w:id="136" w:name="_Toc13228"/>
      <w:bookmarkStart w:id="137" w:name="_Toc32593"/>
      <w:bookmarkStart w:id="138" w:name="_Toc29460"/>
      <w:bookmarkStart w:id="139" w:name="_Toc29639"/>
      <w:bookmarkStart w:id="140" w:name="_Toc1129"/>
      <w:bookmarkStart w:id="141" w:name="_Toc26233"/>
      <w:bookmarkStart w:id="142" w:name="_Toc5218"/>
      <w:bookmarkStart w:id="143" w:name="_Toc15062"/>
      <w:bookmarkStart w:id="144" w:name="_Toc61532608"/>
      <w:bookmarkStart w:id="145" w:name="_Toc12834"/>
      <w:bookmarkStart w:id="146" w:name="_Toc27394"/>
      <w:bookmarkStart w:id="147" w:name="_Toc14722"/>
      <w:bookmarkStart w:id="148" w:name="_Toc15813"/>
      <w:bookmarkStart w:id="149" w:name="_Toc3065"/>
      <w:bookmarkStart w:id="150" w:name="_Toc19539"/>
      <w:bookmarkStart w:id="151" w:name="_Toc13236"/>
      <w:r>
        <w:rPr>
          <w:rFonts w:ascii="Times New Roman" w:hAnsi="Times New Roman"/>
          <w:color w:val="auto"/>
          <w:highlight w:val="none"/>
        </w:rPr>
        <w:br w:type="page"/>
      </w:r>
    </w:p>
    <w:p>
      <w:pPr>
        <w:pStyle w:val="26"/>
        <w:rPr>
          <w:rFonts w:ascii="Times New Roman" w:hAnsi="Times New Roman"/>
          <w:color w:val="auto"/>
          <w:highlight w:val="none"/>
        </w:rPr>
      </w:pPr>
      <w:r>
        <w:rPr>
          <w:rFonts w:ascii="Times New Roman" w:hAnsi="Times New Roman"/>
          <w:color w:val="auto"/>
          <w:highlight w:val="none"/>
        </w:rPr>
        <w:t>报价部分评分标准</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bl>
      <w:tblPr>
        <w:tblStyle w:val="35"/>
        <w:tblW w:w="9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988"/>
        <w:gridCol w:w="5418"/>
        <w:gridCol w:w="18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75" w:hRule="atLeast"/>
          <w:jc w:val="center"/>
        </w:trPr>
        <w:tc>
          <w:tcPr>
            <w:tcW w:w="1988"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报价得分</w:t>
            </w:r>
          </w:p>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w:t>
            </w:r>
            <w:r>
              <w:rPr>
                <w:rFonts w:hint="eastAsia"/>
                <w:color w:val="auto"/>
                <w:sz w:val="21"/>
                <w:szCs w:val="21"/>
                <w:highlight w:val="none"/>
              </w:rPr>
              <w:t>1</w:t>
            </w:r>
            <w:r>
              <w:rPr>
                <w:rFonts w:hint="eastAsia"/>
                <w:color w:val="auto"/>
                <w:sz w:val="21"/>
                <w:szCs w:val="21"/>
                <w:highlight w:val="none"/>
                <w:lang w:val="en-US" w:eastAsia="zh-CN"/>
              </w:rPr>
              <w:t>5</w:t>
            </w:r>
            <w:r>
              <w:rPr>
                <w:color w:val="auto"/>
                <w:sz w:val="21"/>
                <w:szCs w:val="21"/>
                <w:highlight w:val="none"/>
              </w:rPr>
              <w:t>分）</w:t>
            </w:r>
          </w:p>
        </w:tc>
        <w:tc>
          <w:tcPr>
            <w:tcW w:w="5418" w:type="dxa"/>
            <w:vAlign w:val="center"/>
          </w:tcPr>
          <w:p>
            <w:pPr>
              <w:snapToGrid w:val="0"/>
              <w:spacing w:before="120" w:beforeLines="50" w:after="120" w:afterLines="50" w:line="276" w:lineRule="auto"/>
              <w:ind w:left="72" w:leftChars="30" w:right="72" w:rightChars="30"/>
              <w:rPr>
                <w:color w:val="auto"/>
                <w:sz w:val="21"/>
                <w:szCs w:val="21"/>
                <w:highlight w:val="none"/>
              </w:rPr>
            </w:pPr>
            <w:r>
              <w:rPr>
                <w:color w:val="auto"/>
                <w:sz w:val="21"/>
                <w:szCs w:val="21"/>
                <w:highlight w:val="none"/>
              </w:rPr>
              <w:t>所有有效投标报价中的最低价为评标基准价，得满分</w:t>
            </w:r>
            <w:r>
              <w:rPr>
                <w:rFonts w:hint="eastAsia"/>
                <w:color w:val="auto"/>
                <w:sz w:val="21"/>
                <w:szCs w:val="21"/>
                <w:highlight w:val="none"/>
              </w:rPr>
              <w:t>1</w:t>
            </w:r>
            <w:r>
              <w:rPr>
                <w:rFonts w:hint="eastAsia"/>
                <w:color w:val="auto"/>
                <w:sz w:val="21"/>
                <w:szCs w:val="21"/>
                <w:highlight w:val="none"/>
                <w:lang w:val="en-US" w:eastAsia="zh-CN"/>
              </w:rPr>
              <w:t>5</w:t>
            </w:r>
            <w:r>
              <w:rPr>
                <w:color w:val="auto"/>
                <w:sz w:val="21"/>
                <w:szCs w:val="21"/>
                <w:highlight w:val="none"/>
              </w:rPr>
              <w:t>分，其他的报价得分为：（评标基准价/投标报价）×</w:t>
            </w:r>
            <w:r>
              <w:rPr>
                <w:rFonts w:hint="eastAsia"/>
                <w:color w:val="auto"/>
                <w:sz w:val="21"/>
                <w:szCs w:val="21"/>
                <w:highlight w:val="none"/>
                <w:lang w:val="en-US" w:eastAsia="zh-CN"/>
              </w:rPr>
              <w:t>15</w:t>
            </w:r>
            <w:r>
              <w:rPr>
                <w:color w:val="auto"/>
                <w:sz w:val="21"/>
                <w:szCs w:val="21"/>
                <w:highlight w:val="none"/>
              </w:rPr>
              <w:t>。报价得分计算保留小数2位，第三位四舍五入。</w:t>
            </w:r>
          </w:p>
        </w:tc>
        <w:tc>
          <w:tcPr>
            <w:tcW w:w="1809" w:type="dxa"/>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rPr>
              <w:t>1</w:t>
            </w:r>
            <w:r>
              <w:rPr>
                <w:rFonts w:hint="eastAsia"/>
                <w:color w:val="auto"/>
                <w:sz w:val="21"/>
                <w:szCs w:val="21"/>
                <w:highlight w:val="none"/>
                <w:lang w:val="en-US" w:eastAsia="zh-CN"/>
              </w:rPr>
              <w:t>5</w:t>
            </w:r>
            <w:r>
              <w:rPr>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7" w:hRule="atLeast"/>
          <w:jc w:val="center"/>
        </w:trPr>
        <w:tc>
          <w:tcPr>
            <w:tcW w:w="7406" w:type="dxa"/>
            <w:gridSpan w:val="2"/>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小计</w:t>
            </w:r>
          </w:p>
        </w:tc>
        <w:tc>
          <w:tcPr>
            <w:tcW w:w="1809"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rPr>
              <w:t>1</w:t>
            </w:r>
            <w:r>
              <w:rPr>
                <w:rFonts w:hint="eastAsia"/>
                <w:color w:val="auto"/>
                <w:sz w:val="21"/>
                <w:szCs w:val="21"/>
                <w:highlight w:val="none"/>
                <w:lang w:val="en-US" w:eastAsia="zh-CN"/>
              </w:rPr>
              <w:t>5</w:t>
            </w:r>
            <w:r>
              <w:rPr>
                <w:color w:val="auto"/>
                <w:sz w:val="21"/>
                <w:szCs w:val="21"/>
                <w:highlight w:val="none"/>
              </w:rPr>
              <w:t>分</w:t>
            </w:r>
          </w:p>
        </w:tc>
      </w:tr>
    </w:tbl>
    <w:p>
      <w:pPr>
        <w:rPr>
          <w:color w:val="auto"/>
          <w:highlight w:val="none"/>
        </w:rPr>
      </w:pPr>
      <w:bookmarkStart w:id="152" w:name="_Toc10035"/>
      <w:bookmarkStart w:id="153" w:name="_Toc3607"/>
      <w:bookmarkStart w:id="154" w:name="_Toc5009"/>
      <w:bookmarkStart w:id="155" w:name="_Toc25203"/>
      <w:bookmarkStart w:id="156" w:name="_Toc18911"/>
      <w:bookmarkStart w:id="157" w:name="_Toc7941"/>
      <w:bookmarkStart w:id="158" w:name="_Toc31115"/>
      <w:bookmarkStart w:id="159" w:name="_Toc28141"/>
      <w:bookmarkStart w:id="160" w:name="_Toc13485"/>
      <w:bookmarkStart w:id="161" w:name="_Toc2301"/>
      <w:bookmarkStart w:id="162" w:name="_Toc16868"/>
      <w:bookmarkStart w:id="163" w:name="_Toc6199"/>
      <w:bookmarkStart w:id="164" w:name="_Toc10660"/>
      <w:bookmarkStart w:id="165" w:name="_Toc700"/>
      <w:bookmarkStart w:id="166" w:name="_Toc22739"/>
      <w:bookmarkStart w:id="167" w:name="_Toc23394"/>
      <w:bookmarkStart w:id="168" w:name="_Toc25010"/>
      <w:bookmarkStart w:id="169" w:name="_Toc29378"/>
      <w:bookmarkStart w:id="170" w:name="_Toc29695"/>
      <w:bookmarkStart w:id="171" w:name="_Toc14416"/>
    </w:p>
    <w:p>
      <w:pPr>
        <w:pStyle w:val="26"/>
        <w:rPr>
          <w:rFonts w:ascii="Times New Roman" w:hAnsi="Times New Roman"/>
          <w:color w:val="auto"/>
          <w:highlight w:val="none"/>
        </w:rPr>
      </w:pPr>
      <w:bookmarkStart w:id="172" w:name="_Toc30765"/>
      <w:r>
        <w:rPr>
          <w:rFonts w:ascii="Times New Roman" w:hAnsi="Times New Roman"/>
          <w:color w:val="auto"/>
          <w:highlight w:val="none"/>
        </w:rPr>
        <w:t>综合评分表</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bl>
      <w:tblPr>
        <w:tblStyle w:val="35"/>
        <w:tblW w:w="904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08"/>
        <w:gridCol w:w="3986"/>
        <w:gridCol w:w="4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08"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序号</w:t>
            </w:r>
          </w:p>
        </w:tc>
        <w:tc>
          <w:tcPr>
            <w:tcW w:w="398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评分项</w:t>
            </w:r>
          </w:p>
        </w:tc>
        <w:tc>
          <w:tcPr>
            <w:tcW w:w="404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评议得分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08" w:type="dxa"/>
            <w:tcBorders>
              <w:tl2br w:val="nil"/>
              <w:tr2bl w:val="nil"/>
            </w:tcBorders>
            <w:vAlign w:val="center"/>
          </w:tcPr>
          <w:p>
            <w:pPr>
              <w:snapToGrid w:val="0"/>
              <w:spacing w:before="120" w:beforeLines="50" w:after="120" w:afterLines="50"/>
              <w:jc w:val="center"/>
              <w:rPr>
                <w:color w:val="auto"/>
                <w:szCs w:val="24"/>
                <w:highlight w:val="none"/>
              </w:rPr>
            </w:pPr>
            <w:r>
              <w:rPr>
                <w:color w:val="auto"/>
                <w:szCs w:val="24"/>
                <w:highlight w:val="none"/>
              </w:rPr>
              <w:t>1</w:t>
            </w:r>
          </w:p>
        </w:tc>
        <w:tc>
          <w:tcPr>
            <w:tcW w:w="3986" w:type="dxa"/>
            <w:tcBorders>
              <w:tl2br w:val="nil"/>
              <w:tr2bl w:val="nil"/>
            </w:tcBorders>
            <w:vAlign w:val="center"/>
          </w:tcPr>
          <w:p>
            <w:pPr>
              <w:snapToGrid w:val="0"/>
              <w:spacing w:before="120" w:beforeLines="50" w:after="120" w:afterLines="50"/>
              <w:jc w:val="center"/>
              <w:rPr>
                <w:color w:val="auto"/>
                <w:szCs w:val="24"/>
                <w:highlight w:val="none"/>
              </w:rPr>
            </w:pPr>
            <w:r>
              <w:rPr>
                <w:color w:val="auto"/>
                <w:szCs w:val="24"/>
                <w:highlight w:val="none"/>
              </w:rPr>
              <w:t>商务</w:t>
            </w:r>
            <w:r>
              <w:rPr>
                <w:rFonts w:hint="eastAsia"/>
                <w:color w:val="auto"/>
                <w:szCs w:val="24"/>
                <w:highlight w:val="none"/>
              </w:rPr>
              <w:t>技术</w:t>
            </w:r>
            <w:r>
              <w:rPr>
                <w:color w:val="auto"/>
                <w:szCs w:val="24"/>
                <w:highlight w:val="none"/>
              </w:rPr>
              <w:t>部分得分</w:t>
            </w:r>
          </w:p>
        </w:tc>
        <w:tc>
          <w:tcPr>
            <w:tcW w:w="4046" w:type="dxa"/>
            <w:tcBorders>
              <w:tl2br w:val="nil"/>
              <w:tr2bl w:val="nil"/>
            </w:tcBorders>
            <w:vAlign w:val="center"/>
          </w:tcPr>
          <w:p>
            <w:pPr>
              <w:snapToGrid w:val="0"/>
              <w:spacing w:before="120" w:beforeLines="50" w:after="120" w:afterLines="50"/>
              <w:ind w:firstLine="480"/>
              <w:jc w:val="center"/>
              <w:rPr>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08" w:type="dxa"/>
            <w:tcBorders>
              <w:tl2br w:val="nil"/>
              <w:tr2bl w:val="nil"/>
            </w:tcBorders>
            <w:vAlign w:val="center"/>
          </w:tcPr>
          <w:p>
            <w:pPr>
              <w:snapToGrid w:val="0"/>
              <w:spacing w:before="120" w:beforeLines="50" w:after="120" w:afterLines="50"/>
              <w:jc w:val="center"/>
              <w:rPr>
                <w:color w:val="auto"/>
                <w:szCs w:val="24"/>
                <w:highlight w:val="none"/>
              </w:rPr>
            </w:pPr>
            <w:r>
              <w:rPr>
                <w:color w:val="auto"/>
                <w:szCs w:val="24"/>
                <w:highlight w:val="none"/>
              </w:rPr>
              <w:t>2</w:t>
            </w:r>
          </w:p>
        </w:tc>
        <w:tc>
          <w:tcPr>
            <w:tcW w:w="3986" w:type="dxa"/>
            <w:tcBorders>
              <w:tl2br w:val="nil"/>
              <w:tr2bl w:val="nil"/>
            </w:tcBorders>
            <w:vAlign w:val="center"/>
          </w:tcPr>
          <w:p>
            <w:pPr>
              <w:snapToGrid w:val="0"/>
              <w:spacing w:before="120" w:beforeLines="50" w:after="120" w:afterLines="50"/>
              <w:jc w:val="center"/>
              <w:rPr>
                <w:color w:val="auto"/>
                <w:szCs w:val="24"/>
                <w:highlight w:val="none"/>
              </w:rPr>
            </w:pPr>
            <w:r>
              <w:rPr>
                <w:color w:val="auto"/>
                <w:szCs w:val="24"/>
                <w:highlight w:val="none"/>
              </w:rPr>
              <w:t>报价部分得分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4994" w:type="dxa"/>
            <w:gridSpan w:val="2"/>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4"/>
                <w:highlight w:val="none"/>
              </w:rPr>
            </w:pPr>
            <w:r>
              <w:rPr>
                <w:color w:val="auto"/>
                <w:szCs w:val="24"/>
                <w:highlight w:val="none"/>
              </w:rPr>
              <w:t>综合评分合计</w:t>
            </w:r>
          </w:p>
          <w:p>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4"/>
                <w:highlight w:val="none"/>
              </w:rPr>
            </w:pPr>
            <w:r>
              <w:rPr>
                <w:color w:val="auto"/>
                <w:szCs w:val="24"/>
                <w:highlight w:val="none"/>
              </w:rPr>
              <w:t>（满分100分）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bl>
    <w:p>
      <w:pPr>
        <w:pStyle w:val="5"/>
        <w:rPr>
          <w:color w:val="auto"/>
          <w:highlight w:val="none"/>
        </w:rPr>
      </w:pPr>
      <w:bookmarkStart w:id="173" w:name="_Toc17978"/>
      <w:r>
        <w:rPr>
          <w:color w:val="auto"/>
          <w:highlight w:val="none"/>
        </w:rPr>
        <w:t>推荐中标候选人</w:t>
      </w:r>
      <w:bookmarkEnd w:id="173"/>
    </w:p>
    <w:p>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pPr>
        <w:pStyle w:val="5"/>
        <w:rPr>
          <w:color w:val="auto"/>
          <w:highlight w:val="none"/>
        </w:rPr>
      </w:pPr>
      <w:bookmarkStart w:id="174" w:name="_Toc2951"/>
      <w:r>
        <w:rPr>
          <w:color w:val="auto"/>
          <w:highlight w:val="none"/>
        </w:rPr>
        <w:t>评标报告</w:t>
      </w:r>
      <w:bookmarkEnd w:id="174"/>
    </w:p>
    <w:p>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pPr>
        <w:spacing w:line="360" w:lineRule="auto"/>
        <w:ind w:firstLine="480" w:firstLineChars="200"/>
        <w:rPr>
          <w:color w:val="auto"/>
          <w:highlight w:val="none"/>
        </w:rPr>
      </w:pPr>
      <w:r>
        <w:rPr>
          <w:color w:val="auto"/>
          <w:highlight w:val="none"/>
        </w:rPr>
        <w:t>评标报告内容至少应包括：</w:t>
      </w:r>
    </w:p>
    <w:p>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pPr>
        <w:pStyle w:val="17"/>
        <w:spacing w:line="360" w:lineRule="auto"/>
        <w:ind w:firstLine="0"/>
        <w:jc w:val="center"/>
        <w:rPr>
          <w:b/>
          <w:color w:val="auto"/>
          <w:sz w:val="44"/>
          <w:szCs w:val="44"/>
          <w:highlight w:val="none"/>
        </w:rPr>
      </w:pPr>
      <w:r>
        <w:rPr>
          <w:b/>
          <w:color w:val="auto"/>
          <w:sz w:val="44"/>
          <w:szCs w:val="44"/>
          <w:highlight w:val="none"/>
        </w:rPr>
        <w:br w:type="page"/>
      </w:r>
    </w:p>
    <w:p>
      <w:pPr>
        <w:pStyle w:val="4"/>
        <w:rPr>
          <w:color w:val="auto"/>
          <w:highlight w:val="none"/>
        </w:rPr>
      </w:pPr>
      <w:bookmarkStart w:id="175" w:name="_Toc10676"/>
      <w:r>
        <w:rPr>
          <w:rFonts w:hint="eastAsia"/>
          <w:color w:val="auto"/>
          <w:highlight w:val="none"/>
          <w:lang w:eastAsia="zh-CN"/>
        </w:rPr>
        <w:t>采购需求</w:t>
      </w:r>
      <w:bookmarkEnd w:id="175"/>
    </w:p>
    <w:p>
      <w:pPr>
        <w:pStyle w:val="5"/>
        <w:bidi w:val="0"/>
        <w:rPr>
          <w:rFonts w:hint="default"/>
          <w:color w:val="auto"/>
          <w:highlight w:val="none"/>
          <w:lang w:val="en-US" w:eastAsia="zh-CN"/>
        </w:rPr>
      </w:pPr>
      <w:bookmarkStart w:id="176" w:name="_Toc2062"/>
      <w:bookmarkStart w:id="177" w:name="_Toc535"/>
      <w:bookmarkStart w:id="178" w:name="_Toc20388"/>
      <w:r>
        <w:rPr>
          <w:rFonts w:hint="eastAsia"/>
          <w:color w:val="auto"/>
          <w:highlight w:val="none"/>
          <w:lang w:val="en-US" w:eastAsia="zh-CN"/>
        </w:rPr>
        <w:t>服务范围</w:t>
      </w:r>
      <w:bookmarkEnd w:id="176"/>
      <w:bookmarkEnd w:id="177"/>
      <w:bookmarkEnd w:id="178"/>
    </w:p>
    <w:p>
      <w:pPr>
        <w:tabs>
          <w:tab w:val="left" w:pos="709"/>
        </w:tabs>
        <w:spacing w:line="360" w:lineRule="auto"/>
        <w:ind w:firstLine="480" w:firstLineChars="200"/>
        <w:rPr>
          <w:rFonts w:ascii="宋体" w:hAnsi="宋体" w:cs="Arial"/>
          <w:color w:val="auto"/>
          <w:szCs w:val="24"/>
          <w:highlight w:val="none"/>
        </w:rPr>
      </w:pPr>
      <w:r>
        <w:rPr>
          <w:rFonts w:hint="eastAsia" w:ascii="宋体" w:hAnsi="宋体" w:eastAsia="宋体" w:cs="宋体"/>
          <w:color w:val="auto"/>
          <w:sz w:val="24"/>
          <w:szCs w:val="24"/>
          <w:highlight w:val="none"/>
        </w:rPr>
        <w:t>按照省档案馆进馆要求，通过档案数字化整理，</w:t>
      </w:r>
      <w:r>
        <w:rPr>
          <w:rFonts w:hint="eastAsia" w:ascii="宋体" w:hAnsi="宋体" w:eastAsia="宋体" w:cs="宋体"/>
          <w:i w:val="0"/>
          <w:iCs w:val="0"/>
          <w:caps w:val="0"/>
          <w:color w:val="auto"/>
          <w:spacing w:val="0"/>
          <w:sz w:val="24"/>
          <w:szCs w:val="24"/>
          <w:highlight w:val="none"/>
        </w:rPr>
        <w:t>完成原浙江省钱塘江管理中心、浙东引水管理中心、浙江省钱塘江管理局杭州管理处、浙江省钱塘江管理局嘉兴管理处、浙江省钱塘江管理局宁绍管理处、浙江省钱塘江河务技术中心</w:t>
      </w:r>
      <w:r>
        <w:rPr>
          <w:rFonts w:hint="eastAsia" w:ascii="宋体" w:hAnsi="宋体" w:cs="宋体"/>
          <w:i w:val="0"/>
          <w:iCs w:val="0"/>
          <w:caps w:val="0"/>
          <w:color w:val="auto"/>
          <w:spacing w:val="0"/>
          <w:sz w:val="24"/>
          <w:szCs w:val="24"/>
          <w:highlight w:val="none"/>
          <w:lang w:eastAsia="zh-CN"/>
        </w:rPr>
        <w:t>档案数字化扫描及进馆工作，</w:t>
      </w:r>
      <w:r>
        <w:rPr>
          <w:rFonts w:hint="eastAsia" w:ascii="宋体" w:hAnsi="宋体" w:cs="Arial"/>
          <w:color w:val="auto"/>
          <w:szCs w:val="24"/>
          <w:highlight w:val="none"/>
        </w:rPr>
        <w:t>确保国家档案资源齐全完整</w:t>
      </w:r>
      <w:r>
        <w:rPr>
          <w:rFonts w:hint="eastAsia" w:ascii="宋体" w:hAnsi="宋体" w:cs="Arial"/>
          <w:color w:val="auto"/>
          <w:szCs w:val="24"/>
          <w:highlight w:val="none"/>
          <w:lang w:eastAsia="zh-CN"/>
        </w:rPr>
        <w:t>。</w:t>
      </w:r>
      <w:r>
        <w:rPr>
          <w:rFonts w:hint="eastAsia" w:ascii="宋体" w:hAnsi="宋体" w:cs="宋体"/>
          <w:i w:val="0"/>
          <w:iCs w:val="0"/>
          <w:caps w:val="0"/>
          <w:color w:val="auto"/>
          <w:spacing w:val="0"/>
          <w:sz w:val="24"/>
          <w:szCs w:val="24"/>
          <w:highlight w:val="none"/>
          <w:lang w:val="en-US" w:eastAsia="zh-CN"/>
        </w:rPr>
        <w:t>2024年仍需</w:t>
      </w:r>
      <w:r>
        <w:rPr>
          <w:rFonts w:hint="eastAsia" w:ascii="宋体" w:hAnsi="宋体" w:eastAsia="宋体" w:cs="宋体"/>
          <w:color w:val="auto"/>
          <w:sz w:val="24"/>
          <w:szCs w:val="24"/>
          <w:highlight w:val="none"/>
        </w:rPr>
        <w:t>数字化扫描</w:t>
      </w:r>
      <w:r>
        <w:rPr>
          <w:rFonts w:hint="eastAsia" w:ascii="宋体" w:hAnsi="宋体" w:cs="宋体"/>
          <w:color w:val="auto"/>
          <w:sz w:val="24"/>
          <w:szCs w:val="24"/>
          <w:highlight w:val="none"/>
          <w:lang w:eastAsia="zh-CN"/>
        </w:rPr>
        <w:t>的档案数量约为</w:t>
      </w:r>
      <w:r>
        <w:rPr>
          <w:rFonts w:hint="eastAsia" w:ascii="宋体" w:hAnsi="宋体" w:eastAsia="宋体" w:cs="宋体"/>
          <w:color w:val="auto"/>
          <w:sz w:val="24"/>
          <w:szCs w:val="24"/>
          <w:highlight w:val="none"/>
        </w:rPr>
        <w:t>A4纸</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万页、</w:t>
      </w:r>
      <w:r>
        <w:rPr>
          <w:rFonts w:hint="eastAsia" w:ascii="宋体" w:hAnsi="宋体" w:cs="宋体"/>
          <w:color w:val="auto"/>
          <w:sz w:val="24"/>
          <w:szCs w:val="24"/>
          <w:highlight w:val="none"/>
          <w:lang w:eastAsia="zh-CN"/>
        </w:rPr>
        <w:t>档案整理</w:t>
      </w:r>
      <w:r>
        <w:rPr>
          <w:rFonts w:hint="eastAsia" w:ascii="宋体" w:hAnsi="宋体" w:cs="宋体"/>
          <w:color w:val="auto"/>
          <w:sz w:val="24"/>
          <w:szCs w:val="24"/>
          <w:highlight w:val="none"/>
          <w:lang w:val="en-US" w:eastAsia="zh-CN"/>
        </w:rPr>
        <w:t>6812卷（件）、</w:t>
      </w:r>
      <w:r>
        <w:rPr>
          <w:rFonts w:hint="eastAsia" w:ascii="宋体" w:hAnsi="宋体" w:eastAsia="宋体" w:cs="宋体"/>
          <w:color w:val="auto"/>
          <w:sz w:val="24"/>
          <w:szCs w:val="24"/>
          <w:highlight w:val="none"/>
        </w:rPr>
        <w:t>图纸</w:t>
      </w:r>
      <w:r>
        <w:rPr>
          <w:rFonts w:hint="eastAsia" w:ascii="宋体" w:hAnsi="宋体" w:cs="宋体"/>
          <w:color w:val="auto"/>
          <w:sz w:val="24"/>
          <w:szCs w:val="24"/>
          <w:highlight w:val="none"/>
          <w:lang w:eastAsia="zh-CN"/>
        </w:rPr>
        <w:t>扫描</w:t>
      </w:r>
      <w:r>
        <w:rPr>
          <w:rFonts w:hint="eastAsia" w:ascii="宋体" w:hAnsi="宋体" w:cs="宋体"/>
          <w:color w:val="auto"/>
          <w:sz w:val="24"/>
          <w:szCs w:val="24"/>
          <w:highlight w:val="none"/>
          <w:lang w:val="en-US" w:eastAsia="zh-CN"/>
        </w:rPr>
        <w:t>0.25</w:t>
      </w:r>
      <w:r>
        <w:rPr>
          <w:rFonts w:hint="eastAsia" w:ascii="宋体" w:hAnsi="宋体" w:eastAsia="宋体" w:cs="宋体"/>
          <w:color w:val="auto"/>
          <w:sz w:val="24"/>
          <w:szCs w:val="24"/>
          <w:highlight w:val="none"/>
        </w:rPr>
        <w:t>万页</w:t>
      </w:r>
      <w:r>
        <w:rPr>
          <w:rFonts w:hint="eastAsia" w:ascii="宋体" w:hAnsi="宋体" w:cs="Arial"/>
          <w:color w:val="auto"/>
          <w:szCs w:val="24"/>
          <w:highlight w:val="none"/>
        </w:rPr>
        <w:t>。项目主要工作包括档案移交、标准化整理、著录、档案数字化扫描、图像处理、档案质检、装订编目、系统挂接、数据备份等流程。</w:t>
      </w:r>
    </w:p>
    <w:p>
      <w:pPr>
        <w:pStyle w:val="5"/>
        <w:bidi w:val="0"/>
        <w:ind w:left="0" w:leftChars="0" w:firstLine="0" w:firstLineChars="0"/>
        <w:rPr>
          <w:rFonts w:hint="default"/>
          <w:color w:val="auto"/>
          <w:highlight w:val="none"/>
          <w:lang w:val="en-US" w:eastAsia="zh-CN"/>
        </w:rPr>
      </w:pPr>
      <w:bookmarkStart w:id="179" w:name="_Toc24428"/>
      <w:bookmarkStart w:id="180" w:name="_Toc15453"/>
      <w:bookmarkStart w:id="181" w:name="_Toc1293"/>
      <w:r>
        <w:rPr>
          <w:rFonts w:hint="eastAsia"/>
          <w:color w:val="auto"/>
          <w:highlight w:val="none"/>
          <w:lang w:val="en-US" w:eastAsia="zh-CN"/>
        </w:rPr>
        <w:t>质量要求</w:t>
      </w:r>
      <w:bookmarkEnd w:id="179"/>
      <w:bookmarkEnd w:id="180"/>
      <w:bookmarkEnd w:id="181"/>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中标单位须严格管理、明确责任，落实安全保密管理机制和质量管理机制，确保档案原件和数字化档案信息的安全，确保各环节工作符合质量要求，建立完整、规范的工作记录。</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档案整理：1）前处理：按采购人要求对扫描档案进行前处理，根据档案的实际情况，按下述步骤对档案进行适当处理，并视需要作出标识，确保档案数字化质量；2）档案拆卷：扫描之前，应在保证档案不受损的情况下，拆除装订物，如有缺页、倒页、漏号、重号、错号等整理不规范现象，必须作出标识，同时将结果报采购人，并根据采购人要求进行修改；3）档案组卷：在数据验收合格后，将拆除过装订物的档案按原档案保管单位重新装订，并保持档案原有排列顺序不变（个别需调整页码的除外），案卷不掉页、漏页、右边和底边整齐。</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档案扫描：1）扫描图像用不低于300dpi彩色标准采集。按具体挂接系统要求以tif、PDF格式分别保存</w:t>
      </w:r>
      <w:r>
        <w:rPr>
          <w:rFonts w:hint="eastAsia" w:cs="Times New Roman"/>
          <w:color w:val="auto"/>
          <w:szCs w:val="22"/>
          <w:highlight w:val="none"/>
          <w:lang w:eastAsia="zh-CN"/>
        </w:rPr>
        <w:t>；</w:t>
      </w:r>
      <w:r>
        <w:rPr>
          <w:rFonts w:hint="eastAsia" w:ascii="Times New Roman" w:hAnsi="Times New Roman" w:cs="Times New Roman"/>
          <w:color w:val="auto"/>
          <w:szCs w:val="22"/>
          <w:highlight w:val="none"/>
        </w:rPr>
        <w:t>2）扫描时必须绝对保证档案载体的安全，要求使用平板扫描仪进行扫描。</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图像处理：1）对扫描图像中的黑点、黑边、黑线、黑框等进行去污处理；进行逐页纠偏，图像纠偏以视觉上不感觉偏斜为标准；对扫描图像进行裁边处理，去除多余白边，处理后的扫描图像大小应基本保持一致</w:t>
      </w:r>
      <w:r>
        <w:rPr>
          <w:rFonts w:hint="eastAsia" w:cs="Times New Roman"/>
          <w:color w:val="auto"/>
          <w:szCs w:val="22"/>
          <w:highlight w:val="none"/>
          <w:lang w:eastAsia="zh-CN"/>
        </w:rPr>
        <w:t>；</w:t>
      </w:r>
      <w:r>
        <w:rPr>
          <w:rFonts w:hint="eastAsia" w:ascii="Times New Roman" w:hAnsi="Times New Roman" w:cs="Times New Roman"/>
          <w:color w:val="auto"/>
          <w:szCs w:val="22"/>
          <w:highlight w:val="none"/>
        </w:rPr>
        <w:t>2）图像拼接处信息要完整，不能缺少任何信息；对方向不正确的图像进行旋转还原，以符合阅读习惯</w:t>
      </w:r>
      <w:r>
        <w:rPr>
          <w:rFonts w:hint="eastAsia" w:cs="Times New Roman"/>
          <w:color w:val="auto"/>
          <w:szCs w:val="22"/>
          <w:highlight w:val="none"/>
          <w:lang w:eastAsia="zh-CN"/>
        </w:rPr>
        <w:t>；</w:t>
      </w:r>
      <w:r>
        <w:rPr>
          <w:rFonts w:hint="eastAsia" w:ascii="Times New Roman" w:hAnsi="Times New Roman" w:cs="Times New Roman"/>
          <w:color w:val="auto"/>
          <w:szCs w:val="22"/>
          <w:highlight w:val="none"/>
        </w:rPr>
        <w:t>3）档案原件存在斑迹变质、颜色过浅、过深或深浅不一致时，应做到档案原件能辨认的，扫描图像必须可以辨认；文字上的污点无法去污时，保证正文文字能看清楚。</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注：采购方将有专业档案管理员对档案数字化的数量和质量进行检查。中标单位积极配合抽查工作，对抽查中指出的问题认真整改，以满足我单位档案管理需要。</w:t>
      </w:r>
    </w:p>
    <w:p>
      <w:pPr>
        <w:pStyle w:val="5"/>
        <w:bidi w:val="0"/>
        <w:rPr>
          <w:rFonts w:hint="eastAsia"/>
          <w:color w:val="auto"/>
          <w:highlight w:val="none"/>
        </w:rPr>
      </w:pPr>
      <w:bookmarkStart w:id="182" w:name="_Toc21059"/>
      <w:bookmarkStart w:id="183" w:name="_Toc23712"/>
      <w:bookmarkStart w:id="184" w:name="_Toc31429"/>
      <w:r>
        <w:rPr>
          <w:rFonts w:hint="eastAsia" w:ascii="Times New Roman" w:hAnsi="Times New Roman"/>
          <w:b/>
          <w:color w:val="auto"/>
          <w:kern w:val="0"/>
          <w:sz w:val="24"/>
          <w:highlight w:val="none"/>
        </w:rPr>
        <w:t>▲</w:t>
      </w:r>
      <w:r>
        <w:rPr>
          <w:rFonts w:hint="eastAsia"/>
          <w:color w:val="auto"/>
          <w:highlight w:val="none"/>
        </w:rPr>
        <w:t>总体要求</w:t>
      </w:r>
      <w:bookmarkEnd w:id="182"/>
      <w:bookmarkEnd w:id="183"/>
      <w:bookmarkEnd w:id="184"/>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cs="Times New Roman"/>
          <w:color w:val="auto"/>
          <w:szCs w:val="22"/>
          <w:highlight w:val="none"/>
          <w:lang w:eastAsia="zh-CN"/>
        </w:rPr>
        <w:t>（</w:t>
      </w:r>
      <w:r>
        <w:rPr>
          <w:rFonts w:hint="eastAsia" w:cs="Times New Roman"/>
          <w:color w:val="auto"/>
          <w:szCs w:val="22"/>
          <w:highlight w:val="none"/>
          <w:lang w:val="en-US" w:eastAsia="zh-CN"/>
        </w:rPr>
        <w:t>1</w:t>
      </w:r>
      <w:r>
        <w:rPr>
          <w:rFonts w:hint="eastAsia" w:cs="Times New Roman"/>
          <w:color w:val="auto"/>
          <w:szCs w:val="22"/>
          <w:highlight w:val="none"/>
          <w:lang w:eastAsia="zh-CN"/>
        </w:rPr>
        <w:t>）</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rPr>
        <w:t>中标单位进场前经采购方联系后，需先接受省档案馆相关部门的业务指导。</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cs="Times New Roman"/>
          <w:color w:val="auto"/>
          <w:szCs w:val="22"/>
          <w:highlight w:val="none"/>
          <w:lang w:eastAsia="zh-CN"/>
        </w:rPr>
        <w:t>（</w:t>
      </w:r>
      <w:r>
        <w:rPr>
          <w:rFonts w:hint="eastAsia" w:cs="Times New Roman"/>
          <w:color w:val="auto"/>
          <w:szCs w:val="22"/>
          <w:highlight w:val="none"/>
          <w:lang w:val="en-US" w:eastAsia="zh-CN"/>
        </w:rPr>
        <w:t>2</w:t>
      </w:r>
      <w:r>
        <w:rPr>
          <w:rFonts w:hint="eastAsia" w:cs="Times New Roman"/>
          <w:color w:val="auto"/>
          <w:szCs w:val="22"/>
          <w:highlight w:val="none"/>
          <w:lang w:eastAsia="zh-CN"/>
        </w:rPr>
        <w:t>）</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rPr>
        <w:t>采购方不提供档案扫描所需的任何相应设备，所有扫描加工打印的设备均由中标供应商提供。</w:t>
      </w:r>
    </w:p>
    <w:p>
      <w:pPr>
        <w:tabs>
          <w:tab w:val="left" w:pos="709"/>
        </w:tabs>
        <w:spacing w:line="360" w:lineRule="auto"/>
        <w:ind w:firstLine="480" w:firstLineChars="200"/>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（3）.</w:t>
      </w:r>
      <w:r>
        <w:rPr>
          <w:rFonts w:hint="eastAsia" w:ascii="Times New Roman" w:hAnsi="Times New Roman" w:cs="Times New Roman"/>
          <w:color w:val="auto"/>
          <w:szCs w:val="22"/>
          <w:highlight w:val="none"/>
          <w:lang w:val="en-US" w:eastAsia="zh-CN"/>
        </w:rPr>
        <w:t>中标单位需</w:t>
      </w:r>
      <w:r>
        <w:rPr>
          <w:rFonts w:hint="eastAsia" w:cs="Times New Roman"/>
          <w:color w:val="auto"/>
          <w:szCs w:val="22"/>
          <w:highlight w:val="none"/>
          <w:lang w:val="en-US" w:eastAsia="zh-CN"/>
        </w:rPr>
        <w:t>分时期在杭州、绍兴</w:t>
      </w:r>
      <w:r>
        <w:rPr>
          <w:rFonts w:hint="eastAsia" w:ascii="Times New Roman" w:hAnsi="Times New Roman" w:cs="Times New Roman"/>
          <w:color w:val="auto"/>
          <w:szCs w:val="22"/>
          <w:highlight w:val="none"/>
          <w:lang w:val="en-US" w:eastAsia="zh-CN"/>
        </w:rPr>
        <w:t>驻点办公完成原</w:t>
      </w:r>
      <w:r>
        <w:rPr>
          <w:rFonts w:hint="eastAsia" w:cs="Times New Roman"/>
          <w:color w:val="auto"/>
          <w:szCs w:val="22"/>
          <w:highlight w:val="none"/>
          <w:lang w:val="en-US" w:eastAsia="zh-CN"/>
        </w:rPr>
        <w:t>浙江省钱塘江管理中心、钱塘江管理局宁绍管理</w:t>
      </w:r>
      <w:r>
        <w:rPr>
          <w:rFonts w:hint="eastAsia" w:ascii="Times New Roman" w:hAnsi="Times New Roman" w:cs="Times New Roman"/>
          <w:color w:val="auto"/>
          <w:szCs w:val="22"/>
          <w:highlight w:val="none"/>
          <w:lang w:val="en-US" w:eastAsia="zh-CN"/>
        </w:rPr>
        <w:t>处的档案整理及扫描工作。</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cs="Times New Roman"/>
          <w:color w:val="auto"/>
          <w:szCs w:val="22"/>
          <w:highlight w:val="none"/>
          <w:lang w:eastAsia="zh-CN"/>
        </w:rPr>
        <w:t>（</w:t>
      </w:r>
      <w:r>
        <w:rPr>
          <w:rFonts w:hint="eastAsia" w:cs="Times New Roman"/>
          <w:color w:val="auto"/>
          <w:szCs w:val="22"/>
          <w:highlight w:val="none"/>
          <w:lang w:val="en-US" w:eastAsia="zh-CN"/>
        </w:rPr>
        <w:t>4</w:t>
      </w:r>
      <w:r>
        <w:rPr>
          <w:rFonts w:hint="eastAsia" w:cs="Times New Roman"/>
          <w:color w:val="auto"/>
          <w:szCs w:val="22"/>
          <w:highlight w:val="none"/>
          <w:lang w:eastAsia="zh-CN"/>
        </w:rPr>
        <w:t>）</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rPr>
        <w:t>要求中标人配有档案扫描工作流程电子管理系统，加强全过程管理。</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cs="Times New Roman"/>
          <w:color w:val="auto"/>
          <w:szCs w:val="22"/>
          <w:highlight w:val="none"/>
          <w:lang w:eastAsia="zh-CN"/>
        </w:rPr>
        <w:t>（</w:t>
      </w:r>
      <w:r>
        <w:rPr>
          <w:rFonts w:hint="eastAsia" w:cs="Times New Roman"/>
          <w:color w:val="auto"/>
          <w:szCs w:val="22"/>
          <w:highlight w:val="none"/>
          <w:lang w:val="en-US" w:eastAsia="zh-CN"/>
        </w:rPr>
        <w:t>5</w:t>
      </w:r>
      <w:r>
        <w:rPr>
          <w:rFonts w:hint="eastAsia" w:cs="Times New Roman"/>
          <w:color w:val="auto"/>
          <w:szCs w:val="22"/>
          <w:highlight w:val="none"/>
          <w:lang w:eastAsia="zh-CN"/>
        </w:rPr>
        <w:t>）</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rPr>
        <w:t>严格遵守《保密守则》及采购方的有关规定，中标人应与采购方签订保密协议。档案扫描工作必须在采购人指定的场所内进行，确保场所正常秩序和安全。不得遗失、损坏档案，如有违法者，将追究法律责任。中标人应做到：</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a、中标人在签订合同前成立项目组，指定专人负责该项目，并制定出具体的项目操作标准及流程、项目实施计划、人员配置及保证措施，并报请采购人同意。</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b、项目工作人员必须具备一定的档案业务知识、档案整理操作能力及档案数字化加工的实际操作经验。</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c、中标人应与项目工作人员签订保密协议，加强对工作人员的保密教育。</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d、建立严格的保密制度，加强管理，并制订相关保密措施，保证档案原件、扫描数据的安全和保密。不得在数字化加工场所使用与工作无关的任何电器设备和外接移动存储、影像摄录设备等。</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4.参考文件及规范、标准</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在整体档案数字化加工过程中应严格执行以下规范和标准：</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档案管理主要法规：《中华人民共和国档案法》、《中华人民共和国档案法实施办法》、《浙江省实施〈中华人民共和国档案法〉办法》、《浙江省档案馆管理规定》、《浙江省国家档案馆管理办法》；</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业务标准与规范：《电子文件归档与电子档案管理规范》（GB/T18894-2016）、《纸质档案数字化规范》DA/T31-2017、《电子文件归档光盘技术要求和应用规范》（DA/T38-2008）、《档案著录规则》DA/T18-1999、《浙江省综合档案馆电子目录数据库结构与交换格式》、《保密协议》等。</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5.数据备份</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1）以实体档案文件档号建立扫描图像文件夹。</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2）文件电子影像存储为tif、PDF格式，扫描后的电子文件需分别备份至移动硬盘中向采购人移交，其具体要求如下：</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●所有备份介质中均需备份电子文件的目录。</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●数据备份后应在相应的备份介质上做好标签，以便查找和管理。</w:t>
      </w:r>
    </w:p>
    <w:p>
      <w:pPr>
        <w:tabs>
          <w:tab w:val="left" w:pos="709"/>
        </w:tabs>
        <w:spacing w:line="360" w:lineRule="auto"/>
        <w:ind w:firstLine="48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●数据备份后，进行数据校对，以确保档案资料无遗漏及正确性、可读性。</w:t>
      </w:r>
    </w:p>
    <w:p>
      <w:pPr>
        <w:pStyle w:val="5"/>
        <w:bidi w:val="0"/>
        <w:rPr>
          <w:rFonts w:hint="default"/>
          <w:color w:val="auto"/>
          <w:highlight w:val="none"/>
          <w:lang w:val="en-US" w:eastAsia="zh-CN"/>
        </w:rPr>
      </w:pPr>
      <w:bookmarkStart w:id="185" w:name="_Toc9207"/>
      <w:bookmarkStart w:id="186" w:name="_Toc6170"/>
      <w:bookmarkStart w:id="187" w:name="_Toc4425"/>
      <w:r>
        <w:rPr>
          <w:rFonts w:hint="eastAsia"/>
          <w:color w:val="auto"/>
          <w:highlight w:val="none"/>
          <w:lang w:val="en-US" w:eastAsia="zh-CN"/>
        </w:rPr>
        <w:t>项目进度要求</w:t>
      </w:r>
      <w:bookmarkEnd w:id="185"/>
      <w:bookmarkEnd w:id="186"/>
      <w:bookmarkEnd w:id="187"/>
    </w:p>
    <w:p>
      <w:pPr>
        <w:tabs>
          <w:tab w:val="left" w:pos="709"/>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按进度及时将已扫描档案移交省档案馆，</w:t>
      </w:r>
      <w:r>
        <w:rPr>
          <w:rFonts w:hint="eastAsia" w:ascii="宋体" w:hAnsi="宋体" w:eastAsia="宋体" w:cs="宋体"/>
          <w:color w:val="auto"/>
          <w:sz w:val="24"/>
          <w:szCs w:val="24"/>
          <w:highlight w:val="none"/>
          <w:lang w:val="en-US" w:eastAsia="zh-CN"/>
        </w:rPr>
        <w:t>2024年11月底前完成所有服务内容并完成项目验收。</w:t>
      </w:r>
    </w:p>
    <w:p>
      <w:pPr>
        <w:pStyle w:val="5"/>
        <w:bidi w:val="0"/>
        <w:rPr>
          <w:rFonts w:hint="default"/>
          <w:color w:val="auto"/>
          <w:highlight w:val="none"/>
          <w:lang w:val="en-US" w:eastAsia="zh-CN"/>
        </w:rPr>
      </w:pPr>
      <w:bookmarkStart w:id="188" w:name="_Toc4075"/>
      <w:bookmarkStart w:id="189" w:name="_Toc31286"/>
      <w:bookmarkStart w:id="190" w:name="_Toc21871"/>
      <w:r>
        <w:rPr>
          <w:rFonts w:hint="eastAsia"/>
          <w:color w:val="auto"/>
          <w:highlight w:val="none"/>
          <w:lang w:val="en-US" w:eastAsia="zh-CN"/>
        </w:rPr>
        <w:t>验收方式</w:t>
      </w:r>
      <w:bookmarkEnd w:id="188"/>
      <w:bookmarkEnd w:id="189"/>
      <w:bookmarkEnd w:id="190"/>
    </w:p>
    <w:p>
      <w:pPr>
        <w:tabs>
          <w:tab w:val="left" w:pos="709"/>
        </w:tabs>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成立验收小组，对项目实施过程中的安全保密、图像扫描、图像处理、图像存储、目录建库、数据挂接、档案整理及数据备份进行验收。</w:t>
      </w:r>
    </w:p>
    <w:p>
      <w:pPr>
        <w:pStyle w:val="5"/>
        <w:bidi w:val="0"/>
        <w:rPr>
          <w:rFonts w:hint="default"/>
          <w:color w:val="auto"/>
          <w:highlight w:val="none"/>
          <w:lang w:val="en-US" w:eastAsia="zh-CN"/>
        </w:rPr>
      </w:pPr>
      <w:bookmarkStart w:id="191" w:name="_Toc5502"/>
      <w:bookmarkStart w:id="192" w:name="_Toc5362"/>
      <w:bookmarkStart w:id="193" w:name="_Toc7977"/>
      <w:r>
        <w:rPr>
          <w:rFonts w:hint="eastAsia"/>
          <w:color w:val="auto"/>
          <w:highlight w:val="none"/>
          <w:lang w:val="en-US" w:eastAsia="zh-CN"/>
        </w:rPr>
        <w:t>付款方式</w:t>
      </w:r>
      <w:bookmarkEnd w:id="191"/>
      <w:bookmarkEnd w:id="192"/>
      <w:bookmarkEnd w:id="193"/>
    </w:p>
    <w:p>
      <w:pPr>
        <w:tabs>
          <w:tab w:val="left" w:pos="709"/>
        </w:tabs>
        <w:spacing w:line="360" w:lineRule="auto"/>
        <w:ind w:firstLine="480" w:firstLineChars="200"/>
        <w:rPr>
          <w:rFonts w:hint="eastAsia" w:ascii="宋体" w:hAnsi="宋体" w:cs="Arial"/>
          <w:color w:val="auto"/>
          <w:szCs w:val="24"/>
          <w:highlight w:val="none"/>
          <w:lang w:eastAsia="zh-CN"/>
        </w:rPr>
      </w:pPr>
      <w:r>
        <w:rPr>
          <w:rFonts w:hint="eastAsia" w:ascii="宋体" w:hAnsi="宋体" w:cs="Arial"/>
          <w:color w:val="auto"/>
          <w:szCs w:val="24"/>
          <w:highlight w:val="none"/>
          <w:lang w:eastAsia="zh-CN"/>
        </w:rPr>
        <w:t>（</w:t>
      </w:r>
      <w:r>
        <w:rPr>
          <w:rFonts w:hint="eastAsia" w:ascii="宋体" w:hAnsi="宋体" w:cs="Arial"/>
          <w:color w:val="auto"/>
          <w:szCs w:val="24"/>
          <w:highlight w:val="none"/>
          <w:lang w:val="en-US" w:eastAsia="zh-CN"/>
        </w:rPr>
        <w:t>1</w:t>
      </w:r>
      <w:r>
        <w:rPr>
          <w:rFonts w:hint="eastAsia" w:ascii="宋体" w:hAnsi="宋体" w:cs="Arial"/>
          <w:color w:val="auto"/>
          <w:szCs w:val="24"/>
          <w:highlight w:val="none"/>
          <w:lang w:eastAsia="zh-CN"/>
        </w:rPr>
        <w:t>）合同签订</w:t>
      </w:r>
      <w:r>
        <w:rPr>
          <w:rFonts w:hint="eastAsia" w:ascii="宋体" w:hAnsi="宋体" w:cs="Arial"/>
          <w:color w:val="auto"/>
          <w:szCs w:val="24"/>
          <w:highlight w:val="none"/>
          <w:lang w:val="en-US" w:eastAsia="zh-CN"/>
        </w:rPr>
        <w:t>并且具备实施条件后</w:t>
      </w:r>
      <w:r>
        <w:rPr>
          <w:rFonts w:hint="eastAsia" w:ascii="宋体" w:hAnsi="宋体" w:cs="Arial"/>
          <w:color w:val="auto"/>
          <w:szCs w:val="24"/>
          <w:highlight w:val="none"/>
          <w:lang w:eastAsia="zh-CN"/>
        </w:rPr>
        <w:t>，</w:t>
      </w:r>
      <w:r>
        <w:rPr>
          <w:rFonts w:hint="eastAsia" w:ascii="宋体" w:hAnsi="宋体" w:cs="Arial"/>
          <w:color w:val="auto"/>
          <w:szCs w:val="24"/>
          <w:highlight w:val="none"/>
          <w:lang w:val="en-US" w:eastAsia="zh-CN"/>
        </w:rPr>
        <w:t>支付合同额</w:t>
      </w:r>
      <w:r>
        <w:rPr>
          <w:rFonts w:hint="eastAsia" w:ascii="宋体" w:hAnsi="宋体" w:cs="Arial"/>
          <w:color w:val="auto"/>
          <w:szCs w:val="24"/>
          <w:highlight w:val="none"/>
          <w:lang w:eastAsia="zh-CN"/>
        </w:rPr>
        <w:t>的40%；</w:t>
      </w:r>
    </w:p>
    <w:p>
      <w:pPr>
        <w:tabs>
          <w:tab w:val="left" w:pos="709"/>
        </w:tabs>
        <w:spacing w:line="360" w:lineRule="auto"/>
        <w:ind w:firstLine="480" w:firstLineChars="200"/>
        <w:rPr>
          <w:rFonts w:hint="eastAsia" w:ascii="宋体" w:hAnsi="宋体" w:cs="Arial"/>
          <w:color w:val="auto"/>
          <w:szCs w:val="24"/>
          <w:highlight w:val="none"/>
          <w:lang w:eastAsia="zh-CN"/>
        </w:rPr>
      </w:pPr>
      <w:r>
        <w:rPr>
          <w:rFonts w:hint="eastAsia" w:ascii="宋体" w:hAnsi="宋体" w:cs="Arial"/>
          <w:color w:val="auto"/>
          <w:szCs w:val="24"/>
          <w:highlight w:val="none"/>
          <w:lang w:eastAsia="zh-CN"/>
        </w:rPr>
        <w:t>（</w:t>
      </w:r>
      <w:r>
        <w:rPr>
          <w:rFonts w:hint="eastAsia" w:ascii="宋体" w:hAnsi="宋体" w:cs="Arial"/>
          <w:color w:val="auto"/>
          <w:szCs w:val="24"/>
          <w:highlight w:val="none"/>
          <w:lang w:val="en-US" w:eastAsia="zh-CN"/>
        </w:rPr>
        <w:t>2</w:t>
      </w:r>
      <w:r>
        <w:rPr>
          <w:rFonts w:hint="eastAsia" w:ascii="宋体" w:hAnsi="宋体" w:cs="Arial"/>
          <w:color w:val="auto"/>
          <w:szCs w:val="24"/>
          <w:highlight w:val="none"/>
          <w:lang w:eastAsia="zh-CN"/>
        </w:rPr>
        <w:t>）完成档案整体移交扫描工作后，支付</w:t>
      </w:r>
      <w:r>
        <w:rPr>
          <w:rFonts w:hint="eastAsia" w:ascii="宋体" w:hAnsi="宋体" w:cs="Arial"/>
          <w:color w:val="auto"/>
          <w:szCs w:val="24"/>
          <w:highlight w:val="none"/>
          <w:lang w:val="en-US" w:eastAsia="zh-CN"/>
        </w:rPr>
        <w:t>合同额的</w:t>
      </w:r>
      <w:r>
        <w:rPr>
          <w:rFonts w:hint="eastAsia" w:ascii="宋体" w:hAnsi="宋体" w:cs="Arial"/>
          <w:color w:val="auto"/>
          <w:szCs w:val="24"/>
          <w:highlight w:val="none"/>
          <w:lang w:eastAsia="zh-CN"/>
        </w:rPr>
        <w:t>40%；</w:t>
      </w:r>
    </w:p>
    <w:p>
      <w:pPr>
        <w:tabs>
          <w:tab w:val="left" w:pos="709"/>
        </w:tabs>
        <w:spacing w:line="360" w:lineRule="auto"/>
        <w:ind w:firstLine="480" w:firstLineChars="200"/>
        <w:rPr>
          <w:rFonts w:hint="eastAsia" w:ascii="宋体" w:hAnsi="宋体" w:cs="Arial"/>
          <w:color w:val="auto"/>
          <w:szCs w:val="24"/>
          <w:highlight w:val="none"/>
          <w:lang w:eastAsia="zh-CN"/>
        </w:rPr>
      </w:pPr>
      <w:r>
        <w:rPr>
          <w:rFonts w:hint="eastAsia" w:ascii="宋体" w:hAnsi="宋体" w:cs="Arial"/>
          <w:color w:val="auto"/>
          <w:szCs w:val="24"/>
          <w:highlight w:val="none"/>
          <w:lang w:eastAsia="zh-CN"/>
        </w:rPr>
        <w:t>（</w:t>
      </w:r>
      <w:r>
        <w:rPr>
          <w:rFonts w:hint="eastAsia" w:ascii="宋体" w:hAnsi="宋体" w:cs="Arial"/>
          <w:color w:val="auto"/>
          <w:szCs w:val="24"/>
          <w:highlight w:val="none"/>
          <w:lang w:val="en-US" w:eastAsia="zh-CN"/>
        </w:rPr>
        <w:t>3</w:t>
      </w:r>
      <w:r>
        <w:rPr>
          <w:rFonts w:hint="eastAsia" w:ascii="宋体" w:hAnsi="宋体" w:cs="Arial"/>
          <w:color w:val="auto"/>
          <w:szCs w:val="24"/>
          <w:highlight w:val="none"/>
          <w:lang w:eastAsia="zh-CN"/>
        </w:rPr>
        <w:t>）</w:t>
      </w:r>
      <w:r>
        <w:rPr>
          <w:rFonts w:hint="default" w:ascii="宋体" w:hAnsi="宋体" w:cs="Arial"/>
          <w:color w:val="auto"/>
          <w:szCs w:val="24"/>
          <w:highlight w:val="none"/>
          <w:lang w:eastAsia="zh-CN"/>
        </w:rPr>
        <w:t>验收通过并完成档案整体移交省档案馆</w:t>
      </w:r>
      <w:r>
        <w:rPr>
          <w:rFonts w:hint="eastAsia" w:ascii="宋体" w:hAnsi="宋体" w:cs="Arial"/>
          <w:color w:val="auto"/>
          <w:szCs w:val="24"/>
          <w:highlight w:val="none"/>
          <w:lang w:eastAsia="zh-CN"/>
        </w:rPr>
        <w:t>后，支付</w:t>
      </w:r>
      <w:r>
        <w:rPr>
          <w:rFonts w:hint="eastAsia" w:ascii="宋体" w:hAnsi="宋体" w:cs="Arial"/>
          <w:color w:val="auto"/>
          <w:szCs w:val="24"/>
          <w:highlight w:val="none"/>
          <w:lang w:val="en-US" w:eastAsia="zh-CN"/>
        </w:rPr>
        <w:t>尾款</w:t>
      </w:r>
      <w:r>
        <w:rPr>
          <w:rFonts w:hint="eastAsia" w:ascii="宋体" w:hAnsi="宋体" w:cs="Arial"/>
          <w:color w:val="auto"/>
          <w:szCs w:val="24"/>
          <w:highlight w:val="none"/>
          <w:lang w:eastAsia="zh-CN"/>
        </w:rPr>
        <w:t>。</w:t>
      </w:r>
    </w:p>
    <w:p>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p>
    <w:p>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p>
    <w:p>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p>
    <w:p>
      <w:pPr>
        <w:spacing w:line="360" w:lineRule="auto"/>
        <w:ind w:firstLine="480" w:firstLineChars="200"/>
        <w:rPr>
          <w:color w:val="auto"/>
          <w:highlight w:val="none"/>
        </w:rPr>
      </w:pPr>
    </w:p>
    <w:p>
      <w:pPr>
        <w:spacing w:line="360" w:lineRule="auto"/>
        <w:ind w:firstLine="480" w:firstLineChars="200"/>
        <w:rPr>
          <w:color w:val="auto"/>
          <w:highlight w:val="none"/>
        </w:rPr>
      </w:pPr>
    </w:p>
    <w:p>
      <w:pPr>
        <w:pStyle w:val="4"/>
        <w:rPr>
          <w:color w:val="auto"/>
          <w:highlight w:val="none"/>
        </w:rPr>
      </w:pPr>
      <w:bookmarkStart w:id="194" w:name="_Toc29542"/>
      <w:r>
        <w:rPr>
          <w:rFonts w:hint="eastAsia"/>
          <w:color w:val="auto"/>
          <w:highlight w:val="none"/>
        </w:rPr>
        <w:t>投标文件格式</w:t>
      </w:r>
      <w:bookmarkEnd w:id="194"/>
    </w:p>
    <w:p>
      <w:pPr>
        <w:pStyle w:val="17"/>
        <w:spacing w:line="240" w:lineRule="auto"/>
        <w:ind w:firstLine="0"/>
        <w:jc w:val="left"/>
        <w:rPr>
          <w:b/>
          <w:bCs/>
          <w:color w:val="auto"/>
          <w:highlight w:val="none"/>
        </w:rPr>
      </w:pPr>
      <w:r>
        <w:rPr>
          <w:b/>
          <w:bCs/>
          <w:color w:val="auto"/>
          <w:highlight w:val="none"/>
        </w:rPr>
        <w:t>投标文件封面1：</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中心机构改革撤并单位档案整体移交整理及扫描</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202403001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（1）营业执照（或其他工商登记证明材料）.............................................................页码</w:t>
      </w:r>
    </w:p>
    <w:p>
      <w:pPr>
        <w:tabs>
          <w:tab w:val="left" w:pos="3720"/>
        </w:tabs>
        <w:spacing w:line="360" w:lineRule="auto"/>
        <w:jc w:val="left"/>
        <w:rPr>
          <w:color w:val="auto"/>
          <w:highlight w:val="none"/>
        </w:rPr>
      </w:pPr>
      <w:r>
        <w:rPr>
          <w:rFonts w:hint="eastAsia"/>
          <w:color w:val="auto"/>
          <w:highlight w:val="none"/>
        </w:rPr>
        <w:t>（2）投标承诺函.............................................................................................................页码</w:t>
      </w:r>
    </w:p>
    <w:p>
      <w:pPr>
        <w:tabs>
          <w:tab w:val="left" w:pos="3720"/>
        </w:tabs>
        <w:spacing w:line="360" w:lineRule="auto"/>
        <w:jc w:val="left"/>
        <w:rPr>
          <w:color w:val="auto"/>
          <w:highlight w:val="none"/>
        </w:rPr>
      </w:pPr>
      <w:r>
        <w:rPr>
          <w:rFonts w:hint="eastAsia"/>
          <w:color w:val="auto"/>
          <w:highlight w:val="none"/>
        </w:rPr>
        <w:t>（3）</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pPr>
        <w:pStyle w:val="33"/>
        <w:ind w:firstLine="0" w:firstLineChars="0"/>
        <w:rPr>
          <w:color w:val="auto"/>
          <w:highlight w:val="none"/>
        </w:rPr>
      </w:pPr>
    </w:p>
    <w:p>
      <w:pPr>
        <w:jc w:val="left"/>
        <w:rPr>
          <w:b/>
          <w:color w:val="auto"/>
          <w:sz w:val="30"/>
          <w:szCs w:val="30"/>
          <w:highlight w:val="none"/>
        </w:rPr>
      </w:pPr>
    </w:p>
    <w:p>
      <w:pPr>
        <w:rPr>
          <w:b/>
          <w:color w:val="auto"/>
          <w:sz w:val="30"/>
          <w:szCs w:val="30"/>
          <w:highlight w:val="none"/>
        </w:rPr>
      </w:pPr>
      <w:r>
        <w:rPr>
          <w:b/>
          <w:color w:val="auto"/>
          <w:sz w:val="30"/>
          <w:szCs w:val="30"/>
          <w:highlight w:val="none"/>
        </w:rPr>
        <w:br w:type="page"/>
      </w:r>
      <w:r>
        <w:rPr>
          <w:b/>
          <w:color w:val="auto"/>
          <w:sz w:val="30"/>
          <w:szCs w:val="30"/>
          <w:highlight w:val="none"/>
        </w:rPr>
        <w:t>附件1</w:t>
      </w:r>
    </w:p>
    <w:p>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pPr>
        <w:ind w:left="540" w:firstLine="30"/>
        <w:rPr>
          <w:color w:val="auto"/>
          <w:sz w:val="28"/>
          <w:highlight w:val="none"/>
        </w:rPr>
      </w:pPr>
    </w:p>
    <w:p>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pPr>
        <w:spacing w:line="360" w:lineRule="auto"/>
        <w:ind w:firstLine="480" w:firstLineChars="200"/>
        <w:rPr>
          <w:color w:val="auto"/>
          <w:szCs w:val="24"/>
          <w:highlight w:val="none"/>
          <w:lang w:bidi="ar"/>
        </w:rPr>
      </w:pPr>
    </w:p>
    <w:p>
      <w:pPr>
        <w:spacing w:line="360" w:lineRule="auto"/>
        <w:rPr>
          <w:color w:val="auto"/>
          <w:szCs w:val="24"/>
          <w:highlight w:val="none"/>
        </w:rPr>
      </w:pPr>
    </w:p>
    <w:p>
      <w:pPr>
        <w:pStyle w:val="30"/>
        <w:spacing w:before="0" w:beforeAutospacing="0" w:after="0" w:afterAutospacing="0" w:line="360" w:lineRule="auto"/>
        <w:jc w:val="both"/>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spacing w:line="360" w:lineRule="auto"/>
        <w:jc w:val="left"/>
        <w:rPr>
          <w:b/>
          <w:color w:val="auto"/>
          <w:sz w:val="30"/>
          <w:szCs w:val="30"/>
          <w:highlight w:val="none"/>
        </w:rPr>
      </w:pPr>
    </w:p>
    <w:p>
      <w:pPr>
        <w:jc w:val="left"/>
        <w:rPr>
          <w:rFonts w:hint="eastAsia" w:eastAsia="宋体"/>
          <w:b/>
          <w:color w:val="auto"/>
          <w:sz w:val="30"/>
          <w:szCs w:val="30"/>
          <w:highlight w:val="none"/>
          <w:lang w:val="en-US" w:eastAsia="zh-CN"/>
        </w:rPr>
      </w:pPr>
      <w:r>
        <w:rPr>
          <w:b/>
          <w:color w:val="auto"/>
          <w:sz w:val="30"/>
          <w:szCs w:val="30"/>
          <w:highlight w:val="none"/>
        </w:rPr>
        <w:br w:type="page"/>
      </w:r>
      <w:r>
        <w:rPr>
          <w:b/>
          <w:color w:val="auto"/>
          <w:sz w:val="30"/>
          <w:szCs w:val="30"/>
          <w:highlight w:val="none"/>
        </w:rPr>
        <w:t>附件</w:t>
      </w:r>
      <w:r>
        <w:rPr>
          <w:rFonts w:hint="eastAsia"/>
          <w:b/>
          <w:bCs/>
          <w:color w:val="auto"/>
          <w:sz w:val="32"/>
          <w:szCs w:val="32"/>
          <w:highlight w:val="none"/>
        </w:rPr>
        <w:t>2</w:t>
      </w:r>
      <w:r>
        <w:rPr>
          <w:rFonts w:hint="eastAsia"/>
          <w:b/>
          <w:bCs/>
          <w:color w:val="auto"/>
          <w:sz w:val="32"/>
          <w:szCs w:val="32"/>
          <w:highlight w:val="none"/>
          <w:lang w:val="en-US" w:eastAsia="zh-CN"/>
        </w:rPr>
        <w:t xml:space="preserve"> 授权委托书或法定代表人（单位负责人、自然人本人）身份证明</w:t>
      </w:r>
    </w:p>
    <w:p>
      <w:pPr>
        <w:jc w:val="center"/>
        <w:rPr>
          <w:b/>
          <w:bCs/>
          <w:color w:val="auto"/>
          <w:sz w:val="44"/>
          <w:highlight w:val="none"/>
        </w:rPr>
      </w:pPr>
    </w:p>
    <w:p>
      <w:pPr>
        <w:jc w:val="center"/>
        <w:rPr>
          <w:b/>
          <w:bCs/>
          <w:color w:val="auto"/>
          <w:sz w:val="44"/>
          <w:highlight w:val="none"/>
        </w:rPr>
      </w:pPr>
      <w:r>
        <w:rPr>
          <w:b/>
          <w:bCs/>
          <w:color w:val="auto"/>
          <w:sz w:val="44"/>
          <w:highlight w:val="none"/>
        </w:rPr>
        <w:t>授权委托书</w:t>
      </w:r>
    </w:p>
    <w:p>
      <w:pPr>
        <w:jc w:val="left"/>
        <w:rPr>
          <w:color w:val="auto"/>
          <w:sz w:val="28"/>
          <w:highlight w:val="none"/>
        </w:rPr>
      </w:pPr>
    </w:p>
    <w:p>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rPr>
        <w:t>浙江省钱塘江流域中心</w:t>
      </w:r>
      <w:r>
        <w:rPr>
          <w:color w:val="auto"/>
          <w:szCs w:val="24"/>
          <w:highlight w:val="none"/>
          <w:u w:val="single"/>
        </w:rPr>
        <w:t xml:space="preserve">    </w:t>
      </w:r>
      <w:r>
        <w:rPr>
          <w:color w:val="auto"/>
          <w:szCs w:val="24"/>
          <w:highlight w:val="none"/>
        </w:rPr>
        <w:t>：</w:t>
      </w:r>
    </w:p>
    <w:p>
      <w:pPr>
        <w:spacing w:line="360" w:lineRule="auto"/>
        <w:jc w:val="left"/>
        <w:rPr>
          <w:color w:val="auto"/>
          <w:szCs w:val="24"/>
          <w:highlight w:val="none"/>
        </w:rPr>
      </w:pPr>
    </w:p>
    <w:p>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中心机构改革撤并单位档案整体移交整理及扫描</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rPr>
        <w:t>ZSSJCG-</w:t>
      </w:r>
      <w:r>
        <w:rPr>
          <w:rFonts w:hint="eastAsia"/>
          <w:color w:val="auto"/>
          <w:szCs w:val="24"/>
          <w:highlight w:val="none"/>
          <w:u w:val="single"/>
          <w:lang w:eastAsia="zh-CN"/>
        </w:rPr>
        <w:t>202</w:t>
      </w:r>
      <w:r>
        <w:rPr>
          <w:rFonts w:hint="eastAsia"/>
          <w:color w:val="auto"/>
          <w:szCs w:val="24"/>
          <w:highlight w:val="none"/>
          <w:u w:val="single"/>
          <w:lang w:val="en-US" w:eastAsia="zh-CN"/>
        </w:rPr>
        <w:t>403001</w:t>
      </w:r>
      <w:r>
        <w:rPr>
          <w:color w:val="auto"/>
          <w:szCs w:val="24"/>
          <w:highlight w:val="none"/>
        </w:rPr>
        <w:t>，其在投标中的一切活动本单位均予承认。</w:t>
      </w:r>
    </w:p>
    <w:p>
      <w:pPr>
        <w:spacing w:line="360" w:lineRule="auto"/>
        <w:jc w:val="left"/>
        <w:rPr>
          <w:color w:val="auto"/>
          <w:szCs w:val="24"/>
          <w:highlight w:val="none"/>
        </w:rPr>
      </w:pPr>
    </w:p>
    <w:p>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投标供应商（盖章或电子签章）：</w:t>
      </w:r>
    </w:p>
    <w:p>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pPr>
        <w:spacing w:line="360" w:lineRule="auto"/>
        <w:jc w:val="left"/>
        <w:rPr>
          <w:color w:val="auto"/>
          <w:szCs w:val="24"/>
          <w:highlight w:val="none"/>
        </w:rPr>
      </w:pPr>
    </w:p>
    <w:p>
      <w:pPr>
        <w:spacing w:line="480" w:lineRule="auto"/>
        <w:jc w:val="left"/>
        <w:rPr>
          <w:color w:val="auto"/>
          <w:szCs w:val="24"/>
          <w:highlight w:val="none"/>
        </w:rPr>
      </w:pPr>
      <w:r>
        <w:rPr>
          <w:color w:val="auto"/>
          <w:szCs w:val="24"/>
          <w:highlight w:val="none"/>
        </w:rPr>
        <w:t>附：</w:t>
      </w:r>
    </w:p>
    <w:p>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pPr>
        <w:spacing w:line="360" w:lineRule="auto"/>
        <w:ind w:firstLine="480" w:firstLineChars="200"/>
        <w:jc w:val="left"/>
        <w:rPr>
          <w:color w:val="auto"/>
          <w:szCs w:val="24"/>
          <w:highlight w:val="none"/>
        </w:rPr>
      </w:pPr>
      <w:r>
        <w:rPr>
          <w:color w:val="auto"/>
          <w:szCs w:val="24"/>
          <w:highlight w:val="none"/>
        </w:rPr>
        <w:t>法定代表身份证复印件（正、反面）</w:t>
      </w:r>
    </w:p>
    <w:p>
      <w:pPr>
        <w:ind w:firstLine="480" w:firstLineChars="200"/>
        <w:rPr>
          <w:color w:val="auto"/>
          <w:szCs w:val="24"/>
          <w:highlight w:val="none"/>
        </w:rPr>
      </w:pPr>
      <w:r>
        <w:rPr>
          <w:color w:val="auto"/>
          <w:szCs w:val="24"/>
          <w:highlight w:val="none"/>
        </w:rPr>
        <w:t>授权代表身份证复印件（正、反面）</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p>
    <w:p>
      <w:pPr>
        <w:ind w:firstLine="480" w:firstLineChars="200"/>
        <w:rPr>
          <w:color w:val="auto"/>
          <w:szCs w:val="24"/>
          <w:highlight w:val="none"/>
        </w:rPr>
      </w:pPr>
    </w:p>
    <w:p>
      <w:pPr>
        <w:ind w:firstLine="560" w:firstLineChars="200"/>
        <w:rPr>
          <w:color w:val="auto"/>
          <w:sz w:val="28"/>
          <w:highlight w:val="none"/>
        </w:rPr>
      </w:pPr>
    </w:p>
    <w:p>
      <w:pPr>
        <w:ind w:firstLine="560" w:firstLineChars="200"/>
        <w:rPr>
          <w:color w:val="auto"/>
          <w:sz w:val="28"/>
          <w:highlight w:val="none"/>
        </w:rPr>
      </w:pPr>
    </w:p>
    <w:p>
      <w:pPr>
        <w:rPr>
          <w:b/>
          <w:color w:val="auto"/>
          <w:sz w:val="30"/>
          <w:szCs w:val="30"/>
          <w:highlight w:val="none"/>
        </w:rPr>
      </w:pPr>
      <w:r>
        <w:rPr>
          <w:b/>
          <w:color w:val="auto"/>
          <w:sz w:val="30"/>
          <w:szCs w:val="30"/>
          <w:highlight w:val="none"/>
        </w:rPr>
        <w:br w:type="page"/>
      </w:r>
    </w:p>
    <w:p>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7"/>
              <w:adjustRightInd w:val="0"/>
              <w:spacing w:line="360" w:lineRule="auto"/>
              <w:rPr>
                <w:rFonts w:hAnsi="宋体" w:cs="宋体"/>
                <w:bCs/>
                <w:color w:val="auto"/>
                <w:sz w:val="24"/>
                <w:highlight w:val="none"/>
              </w:rPr>
            </w:pPr>
          </w:p>
        </w:tc>
      </w:tr>
    </w:tbl>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pPr>
        <w:spacing w:line="360" w:lineRule="auto"/>
        <w:ind w:left="4320" w:leftChars="1800"/>
        <w:rPr>
          <w:color w:val="auto"/>
          <w:szCs w:val="24"/>
          <w:highlight w:val="none"/>
        </w:rPr>
      </w:pPr>
    </w:p>
    <w:p>
      <w:pPr>
        <w:rPr>
          <w:b/>
          <w:bCs/>
          <w:color w:val="auto"/>
          <w:highlight w:val="none"/>
        </w:rPr>
      </w:pPr>
    </w:p>
    <w:p>
      <w:pPr>
        <w:rPr>
          <w:b/>
          <w:bCs/>
          <w:color w:val="auto"/>
          <w:highlight w:val="none"/>
        </w:rPr>
      </w:pPr>
    </w:p>
    <w:p>
      <w:pPr>
        <w:autoSpaceDE/>
        <w:autoSpaceDN/>
        <w:spacing w:line="360" w:lineRule="auto"/>
        <w:jc w:val="center"/>
        <w:textAlignment w:val="auto"/>
        <w:rPr>
          <w:rFonts w:ascii="宋体" w:hAnsi="宋体" w:cs="宋体"/>
          <w:color w:val="auto"/>
          <w:szCs w:val="24"/>
          <w:highlight w:val="none"/>
          <w:lang w:val="zh-CN"/>
        </w:rPr>
      </w:pPr>
    </w:p>
    <w:p>
      <w:pPr>
        <w:rPr>
          <w:b/>
          <w:bCs/>
          <w:color w:val="auto"/>
          <w:highlight w:val="none"/>
        </w:rPr>
      </w:pPr>
    </w:p>
    <w:p>
      <w:pPr>
        <w:rPr>
          <w:b/>
          <w:bCs/>
          <w:color w:val="auto"/>
          <w:highlight w:val="none"/>
        </w:rPr>
      </w:pPr>
    </w:p>
    <w:p>
      <w:pPr>
        <w:rPr>
          <w:b/>
          <w:bCs/>
          <w:color w:val="auto"/>
          <w:highlight w:val="none"/>
        </w:rPr>
      </w:pPr>
    </w:p>
    <w:p>
      <w:pPr>
        <w:rPr>
          <w:b/>
          <w:color w:val="auto"/>
          <w:sz w:val="30"/>
          <w:szCs w:val="30"/>
          <w:highlight w:val="none"/>
        </w:rPr>
      </w:pPr>
      <w:r>
        <w:rPr>
          <w:b/>
          <w:color w:val="auto"/>
          <w:sz w:val="30"/>
          <w:szCs w:val="30"/>
          <w:highlight w:val="none"/>
        </w:rPr>
        <w:br w:type="page"/>
      </w:r>
    </w:p>
    <w:p>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3</w:t>
      </w:r>
    </w:p>
    <w:p>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pPr>
        <w:rPr>
          <w:b/>
          <w:bCs/>
          <w:color w:val="auto"/>
          <w:highlight w:val="none"/>
        </w:rPr>
      </w:pPr>
    </w:p>
    <w:p>
      <w:pPr>
        <w:rPr>
          <w:rFonts w:eastAsia="方正小标宋_GBK"/>
          <w:color w:val="auto"/>
          <w:sz w:val="36"/>
          <w:szCs w:val="36"/>
          <w:highlight w:val="none"/>
        </w:rPr>
      </w:pPr>
      <w:r>
        <w:rPr>
          <w:rFonts w:eastAsia="方正小标宋_GBK"/>
          <w:color w:val="auto"/>
          <w:sz w:val="36"/>
          <w:szCs w:val="36"/>
          <w:highlight w:val="none"/>
        </w:rPr>
        <w:br w:type="page"/>
      </w:r>
    </w:p>
    <w:p>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pPr>
        <w:spacing w:before="240" w:beforeLines="100" w:line="360" w:lineRule="auto"/>
        <w:ind w:firstLine="560" w:firstLineChars="200"/>
        <w:rPr>
          <w:color w:val="auto"/>
          <w:sz w:val="28"/>
          <w:szCs w:val="28"/>
          <w:highlight w:val="none"/>
        </w:rPr>
      </w:pPr>
    </w:p>
    <w:p>
      <w:pPr>
        <w:spacing w:before="240" w:beforeLines="100" w:line="360" w:lineRule="auto"/>
        <w:ind w:firstLine="560" w:firstLineChars="200"/>
        <w:rPr>
          <w:color w:val="auto"/>
          <w:sz w:val="28"/>
          <w:szCs w:val="28"/>
          <w:highlight w:val="none"/>
        </w:rPr>
      </w:pP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rPr>
          <w:color w:val="auto"/>
          <w:sz w:val="28"/>
          <w:szCs w:val="28"/>
          <w:highlight w:val="none"/>
        </w:rPr>
      </w:pPr>
      <w:r>
        <w:rPr>
          <w:color w:val="auto"/>
          <w:sz w:val="28"/>
          <w:szCs w:val="28"/>
          <w:highlight w:val="none"/>
        </w:rPr>
        <w:t xml:space="preserve">                                            日  期：  </w:t>
      </w:r>
    </w:p>
    <w:p>
      <w:pPr>
        <w:rPr>
          <w:color w:val="auto"/>
          <w:sz w:val="28"/>
          <w:szCs w:val="28"/>
          <w:highlight w:val="none"/>
        </w:rPr>
      </w:pPr>
    </w:p>
    <w:p>
      <w:pPr>
        <w:rPr>
          <w:color w:val="auto"/>
          <w:sz w:val="36"/>
          <w:szCs w:val="36"/>
          <w:highlight w:val="none"/>
        </w:rPr>
      </w:pPr>
      <w:r>
        <w:rPr>
          <w:rFonts w:hint="eastAsia"/>
          <w:color w:val="auto"/>
          <w:sz w:val="36"/>
          <w:szCs w:val="36"/>
          <w:highlight w:val="none"/>
        </w:rPr>
        <w:br w:type="page"/>
      </w:r>
    </w:p>
    <w:p>
      <w:pPr>
        <w:wordWrap w:val="0"/>
        <w:spacing w:line="360" w:lineRule="auto"/>
        <w:jc w:val="center"/>
        <w:rPr>
          <w:color w:val="auto"/>
          <w:sz w:val="36"/>
          <w:szCs w:val="36"/>
          <w:highlight w:val="none"/>
        </w:rPr>
      </w:pPr>
      <w:r>
        <w:rPr>
          <w:rFonts w:hint="eastAsia"/>
          <w:color w:val="auto"/>
          <w:sz w:val="36"/>
          <w:szCs w:val="36"/>
          <w:highlight w:val="none"/>
        </w:rPr>
        <w:t>（三）监狱企业声明函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pPr>
        <w:spacing w:after="120"/>
        <w:ind w:firstLine="240" w:firstLineChars="100"/>
        <w:rPr>
          <w:color w:val="auto"/>
          <w:highlight w:val="none"/>
        </w:rPr>
      </w:pPr>
    </w:p>
    <w:p>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pPr>
        <w:rPr>
          <w:color w:val="auto"/>
          <w:sz w:val="28"/>
          <w:szCs w:val="28"/>
          <w:highlight w:val="none"/>
        </w:rPr>
      </w:pPr>
      <w:r>
        <w:rPr>
          <w:color w:val="auto"/>
          <w:sz w:val="28"/>
          <w:szCs w:val="28"/>
          <w:highlight w:val="none"/>
        </w:rPr>
        <w:t xml:space="preserve">                                            日  期：  </w:t>
      </w:r>
    </w:p>
    <w:p>
      <w:pPr>
        <w:rPr>
          <w:color w:val="auto"/>
          <w:highlight w:val="none"/>
        </w:rPr>
      </w:pPr>
    </w:p>
    <w:p>
      <w:pPr>
        <w:spacing w:after="120"/>
        <w:ind w:firstLine="240" w:firstLineChars="100"/>
        <w:rPr>
          <w:color w:val="auto"/>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b/>
          <w:bCs/>
          <w:color w:val="auto"/>
          <w:highlight w:val="none"/>
        </w:rPr>
      </w:pPr>
      <w:r>
        <w:rPr>
          <w:b/>
          <w:color w:val="auto"/>
          <w:sz w:val="30"/>
          <w:szCs w:val="30"/>
          <w:highlight w:val="none"/>
        </w:rPr>
        <w:br w:type="page"/>
      </w:r>
    </w:p>
    <w:p>
      <w:pPr>
        <w:pStyle w:val="17"/>
        <w:spacing w:line="240" w:lineRule="auto"/>
        <w:ind w:firstLine="0"/>
        <w:jc w:val="left"/>
        <w:rPr>
          <w:b/>
          <w:bCs/>
          <w:color w:val="auto"/>
          <w:highlight w:val="none"/>
        </w:rPr>
      </w:pPr>
      <w:r>
        <w:rPr>
          <w:b/>
          <w:bCs/>
          <w:color w:val="auto"/>
          <w:highlight w:val="none"/>
        </w:rPr>
        <w:t>投标文件封面2：</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中心机构改革撤并单位档案整体移交整理及扫描</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202403001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（1）投标供应商基本情况表........................................................................................页码</w:t>
      </w:r>
    </w:p>
    <w:p>
      <w:pPr>
        <w:tabs>
          <w:tab w:val="left" w:pos="3720"/>
        </w:tabs>
        <w:spacing w:line="360" w:lineRule="auto"/>
        <w:jc w:val="left"/>
        <w:rPr>
          <w:color w:val="auto"/>
          <w:highlight w:val="none"/>
        </w:rPr>
      </w:pPr>
      <w:r>
        <w:rPr>
          <w:rFonts w:hint="eastAsia"/>
          <w:color w:val="auto"/>
          <w:highlight w:val="none"/>
        </w:rPr>
        <w:t>（2）主要类似业绩情况................................................................................................页码</w:t>
      </w:r>
    </w:p>
    <w:p>
      <w:pPr>
        <w:tabs>
          <w:tab w:val="left" w:pos="3720"/>
        </w:tabs>
        <w:spacing w:line="360" w:lineRule="auto"/>
        <w:jc w:val="left"/>
        <w:rPr>
          <w:color w:val="auto"/>
          <w:highlight w:val="none"/>
        </w:rPr>
      </w:pPr>
      <w:r>
        <w:rPr>
          <w:rFonts w:hint="eastAsia"/>
          <w:color w:val="auto"/>
          <w:highlight w:val="none"/>
        </w:rPr>
        <w:t>（3）项目负责人简历表................................................................................................页码</w:t>
      </w:r>
    </w:p>
    <w:p>
      <w:pPr>
        <w:tabs>
          <w:tab w:val="left" w:pos="3720"/>
        </w:tabs>
        <w:spacing w:line="360" w:lineRule="auto"/>
        <w:jc w:val="left"/>
        <w:rPr>
          <w:color w:val="auto"/>
          <w:highlight w:val="none"/>
        </w:rPr>
      </w:pPr>
      <w:r>
        <w:rPr>
          <w:rFonts w:hint="eastAsia"/>
          <w:color w:val="auto"/>
          <w:highlight w:val="none"/>
        </w:rPr>
        <w:t>（4）拟参加本项目实施人员情况................................................................................页码</w:t>
      </w:r>
    </w:p>
    <w:p>
      <w:pPr>
        <w:tabs>
          <w:tab w:val="left" w:pos="3720"/>
        </w:tabs>
        <w:spacing w:line="360" w:lineRule="auto"/>
        <w:jc w:val="left"/>
        <w:rPr>
          <w:color w:val="auto"/>
          <w:highlight w:val="none"/>
        </w:rPr>
      </w:pPr>
      <w:r>
        <w:rPr>
          <w:rFonts w:hint="eastAsia"/>
          <w:color w:val="auto"/>
          <w:highlight w:val="none"/>
        </w:rPr>
        <w:t>（5）技术方案................................................................................................................页码</w:t>
      </w:r>
    </w:p>
    <w:p>
      <w:pPr>
        <w:tabs>
          <w:tab w:val="left" w:pos="3720"/>
        </w:tabs>
        <w:spacing w:line="360" w:lineRule="auto"/>
        <w:jc w:val="left"/>
        <w:rPr>
          <w:color w:val="auto"/>
          <w:highlight w:val="none"/>
        </w:rPr>
      </w:pPr>
      <w:r>
        <w:rPr>
          <w:rFonts w:hint="eastAsia"/>
          <w:color w:val="auto"/>
          <w:highlight w:val="none"/>
        </w:rPr>
        <w:t>（6）技术偏离表............................................................................................................页码</w:t>
      </w:r>
    </w:p>
    <w:p>
      <w:pPr>
        <w:tabs>
          <w:tab w:val="left" w:pos="3720"/>
        </w:tabs>
        <w:spacing w:line="360" w:lineRule="auto"/>
        <w:jc w:val="left"/>
        <w:rPr>
          <w:color w:val="auto"/>
          <w:highlight w:val="none"/>
        </w:rPr>
      </w:pPr>
      <w:r>
        <w:rPr>
          <w:rFonts w:hint="eastAsia"/>
          <w:color w:val="auto"/>
          <w:highlight w:val="none"/>
        </w:rPr>
        <w:t>（7）投标供应商认为需要的其他文件和说明............................................................页码</w:t>
      </w:r>
    </w:p>
    <w:p>
      <w:pPr>
        <w:jc w:val="left"/>
        <w:rPr>
          <w:b/>
          <w:color w:val="auto"/>
          <w:sz w:val="30"/>
          <w:szCs w:val="30"/>
          <w:highlight w:val="none"/>
        </w:rPr>
      </w:pPr>
    </w:p>
    <w:p>
      <w:pPr>
        <w:jc w:val="left"/>
        <w:rPr>
          <w:b/>
          <w:color w:val="auto"/>
          <w:sz w:val="30"/>
          <w:szCs w:val="30"/>
          <w:highlight w:val="none"/>
        </w:rPr>
      </w:pPr>
    </w:p>
    <w:p>
      <w:pPr>
        <w:pStyle w:val="2"/>
        <w:rPr>
          <w:b/>
          <w:bCs/>
          <w:color w:val="auto"/>
          <w:highlight w:val="none"/>
        </w:rPr>
      </w:pPr>
      <w:r>
        <w:rPr>
          <w:b/>
          <w:color w:val="auto"/>
          <w:sz w:val="30"/>
          <w:szCs w:val="30"/>
          <w:highlight w:val="none"/>
        </w:rPr>
        <w:br w:type="page"/>
      </w:r>
    </w:p>
    <w:p>
      <w:pPr>
        <w:spacing w:line="360" w:lineRule="auto"/>
        <w:jc w:val="left"/>
        <w:rPr>
          <w:rFonts w:hint="eastAsia"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4</w:t>
      </w:r>
    </w:p>
    <w:p>
      <w:pPr>
        <w:jc w:val="center"/>
        <w:rPr>
          <w:b/>
          <w:bCs/>
          <w:color w:val="auto"/>
          <w:sz w:val="44"/>
          <w:highlight w:val="none"/>
        </w:rPr>
      </w:pPr>
      <w:r>
        <w:rPr>
          <w:b/>
          <w:bCs/>
          <w:color w:val="auto"/>
          <w:sz w:val="44"/>
          <w:highlight w:val="none"/>
        </w:rPr>
        <w:t>投标供应商基本情况表（格式）</w:t>
      </w:r>
    </w:p>
    <w:p>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pPr>
              <w:widowControl/>
              <w:autoSpaceDE/>
              <w:autoSpaceDN/>
              <w:adjustRightInd/>
              <w:jc w:val="center"/>
              <w:textAlignment w:val="auto"/>
              <w:rPr>
                <w:snapToGrid w:val="0"/>
                <w:color w:val="auto"/>
                <w:szCs w:val="24"/>
                <w:highlight w:val="none"/>
              </w:rPr>
            </w:pPr>
          </w:p>
        </w:tc>
        <w:tc>
          <w:tcPr>
            <w:tcW w:w="1255"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bl>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p>
    <w:p>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pPr>
              <w:jc w:val="center"/>
              <w:rPr>
                <w:rFonts w:eastAsia="仿宋_GB2312"/>
                <w:b/>
                <w:color w:val="auto"/>
                <w:szCs w:val="21"/>
                <w:highlight w:val="none"/>
              </w:rPr>
            </w:pPr>
            <w:r>
              <w:rPr>
                <w:rFonts w:eastAsia="仿宋_GB2312"/>
                <w:b/>
                <w:color w:val="auto"/>
                <w:szCs w:val="21"/>
                <w:highlight w:val="none"/>
              </w:rPr>
              <w:t>完成</w:t>
            </w:r>
          </w:p>
          <w:p>
            <w:pPr>
              <w:jc w:val="center"/>
              <w:rPr>
                <w:rFonts w:eastAsia="仿宋_GB2312"/>
                <w:b/>
                <w:color w:val="auto"/>
                <w:szCs w:val="21"/>
                <w:highlight w:val="none"/>
              </w:rPr>
            </w:pPr>
            <w:r>
              <w:rPr>
                <w:rFonts w:eastAsia="仿宋_GB2312"/>
                <w:b/>
                <w:color w:val="auto"/>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pPr>
        <w:jc w:val="center"/>
        <w:rPr>
          <w:b/>
          <w:bCs/>
          <w:color w:val="auto"/>
          <w:sz w:val="44"/>
          <w:highlight w:val="none"/>
        </w:rPr>
      </w:pPr>
      <w:r>
        <w:rPr>
          <w:b/>
          <w:bCs/>
          <w:color w:val="auto"/>
          <w:sz w:val="44"/>
          <w:highlight w:val="none"/>
        </w:rPr>
        <w:t>项目负责人简历表</w:t>
      </w:r>
    </w:p>
    <w:p>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项目负责</w:t>
            </w:r>
          </w:p>
          <w:p>
            <w:pPr>
              <w:jc w:val="distribute"/>
              <w:rPr>
                <w:color w:val="auto"/>
                <w:highlight w:val="none"/>
              </w:rPr>
            </w:pPr>
            <w:r>
              <w:rPr>
                <w:color w:val="auto"/>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w:t>
            </w:r>
          </w:p>
          <w:p>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w:t>
            </w:r>
          </w:p>
          <w:p>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w:t>
            </w:r>
          </w:p>
          <w:p>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pPr>
              <w:ind w:firstLine="2640" w:firstLineChars="1100"/>
              <w:rPr>
                <w:color w:val="auto"/>
                <w:highlight w:val="none"/>
              </w:rPr>
            </w:pPr>
            <w:r>
              <w:rPr>
                <w:color w:val="auto"/>
                <w:highlight w:val="none"/>
              </w:rPr>
              <w:t>类似项目工作经验</w:t>
            </w:r>
          </w:p>
        </w:tc>
      </w:tr>
      <w:tr>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pPr>
              <w:ind w:firstLine="120" w:firstLineChars="50"/>
              <w:jc w:val="center"/>
              <w:rPr>
                <w:color w:val="auto"/>
                <w:highlight w:val="none"/>
              </w:rPr>
            </w:pPr>
            <w:r>
              <w:rPr>
                <w:color w:val="auto"/>
                <w:highlight w:val="none"/>
              </w:rPr>
              <w:t>采购人及联系电话</w:t>
            </w:r>
          </w:p>
        </w:tc>
      </w:tr>
      <w:tr>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pPr>
        <w:widowControl/>
        <w:autoSpaceDE/>
        <w:autoSpaceDN/>
        <w:adjustRightInd/>
        <w:spacing w:line="360" w:lineRule="auto"/>
        <w:jc w:val="center"/>
        <w:textAlignment w:val="auto"/>
        <w:rPr>
          <w:snapToGrid w:val="0"/>
          <w:color w:val="auto"/>
          <w:szCs w:val="24"/>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pPr>
        <w:jc w:val="center"/>
        <w:rPr>
          <w:b/>
          <w:bCs/>
          <w:color w:val="auto"/>
          <w:sz w:val="44"/>
          <w:highlight w:val="none"/>
        </w:rPr>
      </w:pPr>
      <w:r>
        <w:rPr>
          <w:b/>
          <w:bCs/>
          <w:color w:val="auto"/>
          <w:sz w:val="44"/>
          <w:highlight w:val="none"/>
        </w:rPr>
        <w:t>拟参加本项目实施人员情况</w:t>
      </w:r>
    </w:p>
    <w:p>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color w:val="auto"/>
                <w:highlight w:val="none"/>
              </w:rPr>
              <w:t>备注</w:t>
            </w: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rPr>
          <w:b/>
          <w:color w:val="auto"/>
          <w:highlight w:val="none"/>
        </w:rPr>
      </w:pPr>
    </w:p>
    <w:p>
      <w:pPr>
        <w:widowControl/>
        <w:autoSpaceDE/>
        <w:autoSpaceDN/>
        <w:adjustRightInd/>
        <w:spacing w:line="360" w:lineRule="auto"/>
        <w:ind w:left="3840" w:leftChars="1600"/>
        <w:textAlignment w:val="auto"/>
        <w:rPr>
          <w:snapToGrid w:val="0"/>
          <w:color w:val="auto"/>
          <w:szCs w:val="24"/>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pPr>
        <w:jc w:val="center"/>
        <w:rPr>
          <w:b/>
          <w:bCs/>
          <w:color w:val="auto"/>
          <w:sz w:val="44"/>
          <w:highlight w:val="none"/>
        </w:rPr>
      </w:pPr>
      <w:r>
        <w:rPr>
          <w:b/>
          <w:bCs/>
          <w:color w:val="auto"/>
          <w:sz w:val="44"/>
          <w:highlight w:val="none"/>
        </w:rPr>
        <w:t>技术偏离表</w:t>
      </w:r>
    </w:p>
    <w:p>
      <w:pPr>
        <w:snapToGrid w:val="0"/>
        <w:spacing w:line="360" w:lineRule="auto"/>
        <w:rPr>
          <w:snapToGrid w:val="0"/>
          <w:color w:val="auto"/>
          <w:szCs w:val="24"/>
          <w:highlight w:val="none"/>
        </w:rPr>
      </w:pPr>
    </w:p>
    <w:p>
      <w:pPr>
        <w:snapToGrid w:val="0"/>
        <w:spacing w:line="360" w:lineRule="auto"/>
        <w:rPr>
          <w:snapToGrid w:val="0"/>
          <w:color w:val="auto"/>
          <w:szCs w:val="24"/>
          <w:highlight w:val="none"/>
        </w:rPr>
      </w:pPr>
      <w:r>
        <w:rPr>
          <w:snapToGrid w:val="0"/>
          <w:color w:val="auto"/>
          <w:szCs w:val="24"/>
          <w:highlight w:val="none"/>
        </w:rPr>
        <w:t>项目名称：</w:t>
      </w:r>
    </w:p>
    <w:p>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bl>
    <w:p>
      <w:pPr>
        <w:pStyle w:val="16"/>
        <w:spacing w:after="0" w:line="360" w:lineRule="auto"/>
        <w:rPr>
          <w:snapToGrid w:val="0"/>
          <w:color w:val="auto"/>
          <w:sz w:val="24"/>
          <w:szCs w:val="24"/>
          <w:highlight w:val="none"/>
        </w:rPr>
      </w:pPr>
    </w:p>
    <w:p>
      <w:pPr>
        <w:spacing w:line="360" w:lineRule="auto"/>
        <w:rPr>
          <w:snapToGrid w:val="0"/>
          <w:color w:val="auto"/>
          <w:szCs w:val="24"/>
          <w:highlight w:val="none"/>
        </w:rPr>
      </w:pPr>
      <w:r>
        <w:rPr>
          <w:snapToGrid w:val="0"/>
          <w:color w:val="auto"/>
          <w:szCs w:val="24"/>
          <w:highlight w:val="none"/>
        </w:rPr>
        <w:t>注：1、在“偏离情况”栏注明“正偏离”、“负偏离”或“无偏离”。</w:t>
      </w:r>
    </w:p>
    <w:p>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b/>
          <w:bCs/>
          <w:color w:val="auto"/>
          <w:highlight w:val="none"/>
        </w:rPr>
      </w:pPr>
      <w:r>
        <w:rPr>
          <w:b/>
          <w:bCs/>
          <w:color w:val="auto"/>
          <w:highlight w:val="none"/>
        </w:rPr>
        <w:t>投标文件封面3：</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中心机构改革撤并单位档案整体移交整理及扫描</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202403001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b/>
          <w:color w:val="auto"/>
          <w:sz w:val="52"/>
          <w:szCs w:val="52"/>
          <w:highlight w:val="none"/>
        </w:rPr>
      </w:pPr>
      <w:r>
        <w:rPr>
          <w:rFonts w:hint="eastAsia"/>
          <w:b/>
          <w:color w:val="auto"/>
          <w:sz w:val="52"/>
          <w:szCs w:val="52"/>
          <w:highlight w:val="none"/>
        </w:rPr>
        <w:t>目录</w:t>
      </w:r>
    </w:p>
    <w:p>
      <w:pPr>
        <w:snapToGrid w:val="0"/>
        <w:spacing w:line="360" w:lineRule="auto"/>
        <w:jc w:val="left"/>
        <w:rPr>
          <w:color w:val="auto"/>
          <w:highlight w:val="none"/>
        </w:rPr>
      </w:pPr>
      <w:r>
        <w:rPr>
          <w:rFonts w:hint="eastAsia"/>
          <w:color w:val="auto"/>
          <w:highlight w:val="none"/>
        </w:rPr>
        <w:t>（1）投标函.....................................................................................................................页码</w:t>
      </w:r>
    </w:p>
    <w:p>
      <w:pPr>
        <w:snapToGrid w:val="0"/>
        <w:spacing w:line="360" w:lineRule="auto"/>
        <w:jc w:val="left"/>
        <w:rPr>
          <w:color w:val="auto"/>
          <w:highlight w:val="none"/>
        </w:rPr>
      </w:pPr>
      <w:r>
        <w:rPr>
          <w:rFonts w:hint="eastAsia"/>
          <w:color w:val="auto"/>
          <w:highlight w:val="none"/>
        </w:rPr>
        <w:t>（2）开标一览表.............................................................................................................页码</w:t>
      </w:r>
    </w:p>
    <w:p>
      <w:pPr>
        <w:snapToGrid w:val="0"/>
        <w:spacing w:line="360" w:lineRule="auto"/>
        <w:jc w:val="left"/>
        <w:rPr>
          <w:color w:val="auto"/>
          <w:highlight w:val="none"/>
        </w:rPr>
      </w:pPr>
      <w:r>
        <w:rPr>
          <w:rFonts w:hint="eastAsia"/>
          <w:color w:val="auto"/>
          <w:highlight w:val="none"/>
        </w:rPr>
        <w:t>（3）报价明细表.............................................................................................................页码</w:t>
      </w:r>
    </w:p>
    <w:p>
      <w:pPr>
        <w:snapToGrid w:val="0"/>
        <w:spacing w:line="360" w:lineRule="auto"/>
        <w:jc w:val="left"/>
        <w:rPr>
          <w:b/>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）投标供应商针对报价需要说明的其他事项.........................................................页码</w:t>
      </w:r>
    </w:p>
    <w:p>
      <w:pPr>
        <w:spacing w:line="360" w:lineRule="auto"/>
        <w:rPr>
          <w:b/>
          <w:color w:val="auto"/>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pPr>
        <w:rPr>
          <w:snapToGrid w:val="0"/>
          <w:color w:val="auto"/>
          <w:szCs w:val="24"/>
          <w:highlight w:val="none"/>
        </w:rPr>
      </w:pPr>
    </w:p>
    <w:p>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pPr>
        <w:spacing w:line="440" w:lineRule="exact"/>
        <w:ind w:firstLine="360" w:firstLineChars="150"/>
        <w:rPr>
          <w:color w:val="auto"/>
          <w:highlight w:val="none"/>
        </w:rPr>
      </w:pPr>
      <w:r>
        <w:rPr>
          <w:color w:val="auto"/>
          <w:highlight w:val="none"/>
        </w:rPr>
        <w:t>（1）具有独立承担民事责任的能力；</w:t>
      </w:r>
    </w:p>
    <w:p>
      <w:pPr>
        <w:spacing w:line="440" w:lineRule="exact"/>
        <w:ind w:firstLine="360" w:firstLineChars="150"/>
        <w:rPr>
          <w:color w:val="auto"/>
          <w:highlight w:val="none"/>
        </w:rPr>
      </w:pPr>
      <w:r>
        <w:rPr>
          <w:color w:val="auto"/>
          <w:highlight w:val="none"/>
        </w:rPr>
        <w:t>（2）遵守国家法律、行政法规，具有良好的信誉和商业道德；</w:t>
      </w:r>
    </w:p>
    <w:p>
      <w:pPr>
        <w:spacing w:line="440" w:lineRule="exact"/>
        <w:ind w:firstLine="360" w:firstLineChars="150"/>
        <w:rPr>
          <w:color w:val="auto"/>
          <w:highlight w:val="none"/>
        </w:rPr>
      </w:pPr>
      <w:r>
        <w:rPr>
          <w:color w:val="auto"/>
          <w:highlight w:val="none"/>
        </w:rPr>
        <w:t>（3）具有履行合同的能力和良好的履行合同记录；</w:t>
      </w:r>
    </w:p>
    <w:p>
      <w:pPr>
        <w:spacing w:line="440" w:lineRule="exact"/>
        <w:ind w:firstLine="360" w:firstLineChars="150"/>
        <w:rPr>
          <w:color w:val="auto"/>
          <w:highlight w:val="none"/>
        </w:rPr>
      </w:pPr>
      <w:r>
        <w:rPr>
          <w:color w:val="auto"/>
          <w:highlight w:val="none"/>
        </w:rPr>
        <w:t>（4）良好的资金、财务状况；</w:t>
      </w:r>
    </w:p>
    <w:p>
      <w:pPr>
        <w:spacing w:line="440" w:lineRule="exact"/>
        <w:ind w:firstLine="360" w:firstLineChars="150"/>
        <w:rPr>
          <w:color w:val="auto"/>
          <w:highlight w:val="none"/>
        </w:rPr>
      </w:pPr>
      <w:r>
        <w:rPr>
          <w:rFonts w:hint="eastAsia"/>
          <w:color w:val="auto"/>
          <w:highlight w:val="none"/>
        </w:rPr>
        <w:t>（5）没有违反政府采购法规、政策的记录；</w:t>
      </w:r>
    </w:p>
    <w:p>
      <w:pPr>
        <w:spacing w:line="440" w:lineRule="exact"/>
        <w:ind w:firstLine="360" w:firstLineChars="150"/>
        <w:rPr>
          <w:color w:val="auto"/>
          <w:highlight w:val="none"/>
        </w:rPr>
      </w:pPr>
      <w:r>
        <w:rPr>
          <w:rFonts w:hint="eastAsia"/>
          <w:color w:val="auto"/>
          <w:highlight w:val="none"/>
        </w:rPr>
        <w:t>（6）没有发生重大经济纠纷和走私犯罪记录。</w:t>
      </w:r>
    </w:p>
    <w:p>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pPr>
        <w:spacing w:line="360" w:lineRule="auto"/>
        <w:rPr>
          <w:color w:val="auto"/>
          <w:highlight w:val="none"/>
        </w:rPr>
      </w:pPr>
    </w:p>
    <w:p>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w:t>
      </w:r>
      <w:r>
        <w:rPr>
          <w:rFonts w:hint="eastAsia"/>
          <w:snapToGrid w:val="0"/>
          <w:color w:val="auto"/>
          <w:szCs w:val="24"/>
          <w:highlight w:val="none"/>
          <w:lang w:eastAsia="zh-CN"/>
        </w:rPr>
        <w:t>盖章或电子签章</w:t>
      </w:r>
      <w:r>
        <w:rPr>
          <w:rFonts w:hint="eastAsia"/>
          <w:snapToGrid w:val="0"/>
          <w:color w:val="auto"/>
          <w:szCs w:val="24"/>
          <w:highlight w:val="none"/>
        </w:rPr>
        <w:t>）：</w:t>
      </w:r>
    </w:p>
    <w:p>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pPr>
        <w:pStyle w:val="30"/>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pPr>
        <w:widowControl/>
        <w:autoSpaceDE/>
        <w:autoSpaceDN/>
        <w:adjustRightInd/>
        <w:jc w:val="left"/>
        <w:textAlignment w:val="auto"/>
        <w:rPr>
          <w:b/>
          <w:color w:val="auto"/>
          <w:sz w:val="30"/>
          <w:szCs w:val="30"/>
          <w:highlight w:val="none"/>
        </w:rPr>
      </w:pPr>
    </w:p>
    <w:p>
      <w:pPr>
        <w:widowControl/>
        <w:autoSpaceDE/>
        <w:autoSpaceDN/>
        <w:adjustRightInd/>
        <w:jc w:val="left"/>
        <w:textAlignment w:val="auto"/>
        <w:rPr>
          <w:b/>
          <w:color w:val="auto"/>
          <w:sz w:val="30"/>
          <w:szCs w:val="30"/>
          <w:highlight w:val="none"/>
        </w:rPr>
      </w:pP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pPr>
        <w:jc w:val="center"/>
        <w:rPr>
          <w:b/>
          <w:color w:val="auto"/>
          <w:sz w:val="44"/>
          <w:szCs w:val="44"/>
          <w:highlight w:val="none"/>
        </w:rPr>
      </w:pPr>
      <w:r>
        <w:rPr>
          <w:b/>
          <w:color w:val="auto"/>
          <w:sz w:val="44"/>
          <w:szCs w:val="44"/>
          <w:highlight w:val="none"/>
        </w:rPr>
        <w:t>开标一览表</w:t>
      </w:r>
    </w:p>
    <w:p>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pPr>
              <w:spacing w:line="540" w:lineRule="exact"/>
              <w:jc w:val="center"/>
              <w:rPr>
                <w:color w:val="auto"/>
                <w:szCs w:val="24"/>
                <w:highlight w:val="none"/>
              </w:rPr>
            </w:pPr>
            <w:r>
              <w:rPr>
                <w:color w:val="auto"/>
                <w:szCs w:val="24"/>
                <w:highlight w:val="none"/>
              </w:rPr>
              <w:t>项目名称</w:t>
            </w:r>
          </w:p>
        </w:tc>
        <w:tc>
          <w:tcPr>
            <w:tcW w:w="2520" w:type="dxa"/>
            <w:vAlign w:val="center"/>
          </w:tcPr>
          <w:p>
            <w:pPr>
              <w:spacing w:line="540" w:lineRule="exact"/>
              <w:jc w:val="center"/>
              <w:rPr>
                <w:color w:val="auto"/>
                <w:szCs w:val="24"/>
                <w:highlight w:val="none"/>
              </w:rPr>
            </w:pPr>
            <w:r>
              <w:rPr>
                <w:color w:val="auto"/>
                <w:szCs w:val="24"/>
                <w:highlight w:val="none"/>
              </w:rPr>
              <w:t>投标总报价</w:t>
            </w:r>
          </w:p>
        </w:tc>
        <w:tc>
          <w:tcPr>
            <w:tcW w:w="2153" w:type="dxa"/>
            <w:vAlign w:val="center"/>
          </w:tcPr>
          <w:p>
            <w:pPr>
              <w:spacing w:line="540" w:lineRule="exact"/>
              <w:jc w:val="center"/>
              <w:rPr>
                <w:color w:val="auto"/>
                <w:szCs w:val="24"/>
                <w:highlight w:val="none"/>
              </w:rPr>
            </w:pPr>
            <w:r>
              <w:rPr>
                <w:color w:val="auto"/>
                <w:szCs w:val="24"/>
                <w:highlight w:val="none"/>
              </w:rPr>
              <w:t>项目完成时间</w:t>
            </w:r>
          </w:p>
        </w:tc>
        <w:tc>
          <w:tcPr>
            <w:tcW w:w="2153" w:type="dxa"/>
            <w:vAlign w:val="center"/>
          </w:tcPr>
          <w:p>
            <w:pPr>
              <w:spacing w:line="540" w:lineRule="exact"/>
              <w:jc w:val="center"/>
              <w:rPr>
                <w:color w:val="auto"/>
                <w:szCs w:val="24"/>
                <w:highlight w:val="none"/>
              </w:rPr>
            </w:pPr>
            <w:r>
              <w:rPr>
                <w:color w:val="auto"/>
                <w:szCs w:val="24"/>
                <w:highlight w:val="none"/>
              </w:rPr>
              <w:t>项目负责人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pPr>
              <w:spacing w:line="540" w:lineRule="exact"/>
              <w:rPr>
                <w:color w:val="auto"/>
                <w:szCs w:val="24"/>
                <w:highlight w:val="none"/>
              </w:rPr>
            </w:pPr>
          </w:p>
        </w:tc>
        <w:tc>
          <w:tcPr>
            <w:tcW w:w="2520" w:type="dxa"/>
            <w:vAlign w:val="center"/>
          </w:tcPr>
          <w:p>
            <w:pPr>
              <w:spacing w:line="540" w:lineRule="exact"/>
              <w:jc w:val="left"/>
              <w:rPr>
                <w:color w:val="auto"/>
                <w:szCs w:val="24"/>
                <w:highlight w:val="none"/>
              </w:rPr>
            </w:pPr>
            <w:r>
              <w:rPr>
                <w:rFonts w:hint="eastAsia"/>
                <w:color w:val="auto"/>
                <w:szCs w:val="24"/>
                <w:highlight w:val="none"/>
              </w:rPr>
              <w:t>大写：</w:t>
            </w:r>
          </w:p>
          <w:p>
            <w:pPr>
              <w:spacing w:line="540" w:lineRule="exact"/>
              <w:jc w:val="left"/>
              <w:rPr>
                <w:color w:val="auto"/>
                <w:szCs w:val="24"/>
                <w:highlight w:val="none"/>
              </w:rPr>
            </w:pPr>
            <w:r>
              <w:rPr>
                <w:rFonts w:hint="eastAsia"/>
                <w:color w:val="auto"/>
                <w:szCs w:val="24"/>
                <w:highlight w:val="none"/>
              </w:rPr>
              <w:t>小写：</w:t>
            </w:r>
          </w:p>
        </w:tc>
        <w:tc>
          <w:tcPr>
            <w:tcW w:w="2153" w:type="dxa"/>
          </w:tcPr>
          <w:p>
            <w:pPr>
              <w:spacing w:line="540" w:lineRule="exact"/>
              <w:rPr>
                <w:color w:val="auto"/>
                <w:szCs w:val="24"/>
                <w:highlight w:val="none"/>
              </w:rPr>
            </w:pPr>
          </w:p>
        </w:tc>
        <w:tc>
          <w:tcPr>
            <w:tcW w:w="2153" w:type="dxa"/>
          </w:tcPr>
          <w:p>
            <w:pPr>
              <w:spacing w:line="540" w:lineRule="exact"/>
              <w:rPr>
                <w:color w:val="auto"/>
                <w:szCs w:val="24"/>
                <w:highlight w:val="none"/>
              </w:rPr>
            </w:pPr>
          </w:p>
        </w:tc>
      </w:tr>
    </w:tbl>
    <w:p>
      <w:pPr>
        <w:widowControl/>
        <w:autoSpaceDE/>
        <w:autoSpaceDN/>
        <w:adjustRightInd/>
        <w:spacing w:line="360" w:lineRule="auto"/>
        <w:ind w:left="3840" w:leftChars="1600"/>
        <w:jc w:val="left"/>
        <w:textAlignment w:val="auto"/>
        <w:rPr>
          <w:snapToGrid w:val="0"/>
          <w:color w:val="auto"/>
          <w:szCs w:val="24"/>
          <w:highlight w:val="none"/>
        </w:rPr>
      </w:pPr>
    </w:p>
    <w:p>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w:t>
      </w:r>
      <w:r>
        <w:rPr>
          <w:rFonts w:hint="eastAsia"/>
          <w:snapToGrid w:val="0"/>
          <w:color w:val="auto"/>
          <w:szCs w:val="24"/>
          <w:highlight w:val="none"/>
          <w:lang w:eastAsia="zh-CN"/>
        </w:rPr>
        <w:t>盖章或电子签章</w:t>
      </w:r>
      <w:r>
        <w:rPr>
          <w:rFonts w:hint="eastAsia"/>
          <w:snapToGrid w:val="0"/>
          <w:color w:val="auto"/>
          <w:szCs w:val="24"/>
          <w:highlight w:val="none"/>
        </w:rPr>
        <w:t>）</w:t>
      </w:r>
      <w:r>
        <w:rPr>
          <w:snapToGrid w:val="0"/>
          <w:color w:val="auto"/>
          <w:szCs w:val="24"/>
          <w:highlight w:val="none"/>
        </w:rPr>
        <w:t>：</w:t>
      </w:r>
    </w:p>
    <w:p>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pPr>
        <w:spacing w:line="420" w:lineRule="auto"/>
        <w:ind w:left="617" w:leftChars="257" w:firstLine="2920" w:firstLineChars="808"/>
        <w:rPr>
          <w:b/>
          <w:color w:val="auto"/>
          <w:sz w:val="36"/>
          <w:highlight w:val="none"/>
        </w:rPr>
      </w:pPr>
      <w:r>
        <w:rPr>
          <w:b/>
          <w:color w:val="auto"/>
          <w:sz w:val="36"/>
          <w:highlight w:val="none"/>
        </w:rPr>
        <w:t>报价明细表</w:t>
      </w:r>
    </w:p>
    <w:p>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633"/>
        <w:gridCol w:w="727"/>
        <w:gridCol w:w="950"/>
        <w:gridCol w:w="942"/>
        <w:gridCol w:w="2037"/>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790" w:type="dxa"/>
            <w:vAlign w:val="center"/>
          </w:tcPr>
          <w:p>
            <w:pPr>
              <w:snapToGrid w:val="0"/>
              <w:jc w:val="center"/>
              <w:rPr>
                <w:b/>
                <w:bCs/>
                <w:color w:val="auto"/>
                <w:highlight w:val="none"/>
              </w:rPr>
            </w:pPr>
            <w:r>
              <w:rPr>
                <w:b/>
                <w:bCs/>
                <w:color w:val="auto"/>
                <w:highlight w:val="none"/>
              </w:rPr>
              <w:t>序号</w:t>
            </w:r>
          </w:p>
        </w:tc>
        <w:tc>
          <w:tcPr>
            <w:tcW w:w="1633" w:type="dxa"/>
            <w:vAlign w:val="center"/>
          </w:tcPr>
          <w:p>
            <w:pPr>
              <w:snapToGrid w:val="0"/>
              <w:jc w:val="center"/>
              <w:rPr>
                <w:rFonts w:hint="eastAsia" w:eastAsia="宋体"/>
                <w:b/>
                <w:bCs/>
                <w:color w:val="auto"/>
                <w:highlight w:val="none"/>
                <w:lang w:eastAsia="zh-CN"/>
              </w:rPr>
            </w:pPr>
            <w:r>
              <w:rPr>
                <w:rFonts w:hint="eastAsia"/>
                <w:b/>
                <w:bCs/>
                <w:color w:val="auto"/>
                <w:highlight w:val="none"/>
                <w:lang w:val="en-US" w:eastAsia="zh-CN"/>
              </w:rPr>
              <w:t>内容</w:t>
            </w:r>
          </w:p>
        </w:tc>
        <w:tc>
          <w:tcPr>
            <w:tcW w:w="727" w:type="dxa"/>
            <w:vAlign w:val="center"/>
          </w:tcPr>
          <w:p>
            <w:pPr>
              <w:snapToGrid w:val="0"/>
              <w:jc w:val="center"/>
              <w:rPr>
                <w:b/>
                <w:bCs/>
                <w:color w:val="auto"/>
                <w:highlight w:val="none"/>
              </w:rPr>
            </w:pPr>
            <w:r>
              <w:rPr>
                <w:b/>
                <w:bCs/>
                <w:color w:val="auto"/>
                <w:highlight w:val="none"/>
              </w:rPr>
              <w:t>单位</w:t>
            </w:r>
          </w:p>
        </w:tc>
        <w:tc>
          <w:tcPr>
            <w:tcW w:w="950" w:type="dxa"/>
            <w:vAlign w:val="center"/>
          </w:tcPr>
          <w:p>
            <w:pPr>
              <w:snapToGrid w:val="0"/>
              <w:jc w:val="center"/>
              <w:rPr>
                <w:b/>
                <w:bCs/>
                <w:color w:val="auto"/>
                <w:highlight w:val="none"/>
              </w:rPr>
            </w:pPr>
            <w:r>
              <w:rPr>
                <w:b/>
                <w:bCs/>
                <w:color w:val="auto"/>
                <w:highlight w:val="none"/>
              </w:rPr>
              <w:t>数量</w:t>
            </w:r>
          </w:p>
        </w:tc>
        <w:tc>
          <w:tcPr>
            <w:tcW w:w="942"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单价</w:t>
            </w:r>
          </w:p>
          <w:p>
            <w:pPr>
              <w:snapToGrid w:val="0"/>
              <w:jc w:val="center"/>
              <w:rPr>
                <w:b/>
                <w:bCs/>
                <w:color w:val="auto"/>
                <w:highlight w:val="none"/>
              </w:rPr>
            </w:pPr>
          </w:p>
        </w:tc>
        <w:tc>
          <w:tcPr>
            <w:tcW w:w="2037"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合价</w:t>
            </w:r>
          </w:p>
          <w:p>
            <w:pPr>
              <w:snapToGrid w:val="0"/>
              <w:jc w:val="center"/>
              <w:rPr>
                <w:b/>
                <w:bCs/>
                <w:color w:val="auto"/>
                <w:highlight w:val="none"/>
              </w:rPr>
            </w:pPr>
          </w:p>
        </w:tc>
        <w:tc>
          <w:tcPr>
            <w:tcW w:w="2037" w:type="dxa"/>
            <w:vAlign w:val="center"/>
          </w:tcPr>
          <w:p>
            <w:pPr>
              <w:snapToGrid w:val="0"/>
              <w:jc w:val="center"/>
              <w:rPr>
                <w:b/>
                <w:bCs/>
                <w:color w:val="auto"/>
                <w:highlight w:val="none"/>
              </w:rPr>
            </w:pPr>
            <w:r>
              <w:rPr>
                <w:b/>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
                <w:bCs/>
                <w:color w:val="auto"/>
                <w:highlight w:val="none"/>
              </w:rPr>
            </w:pPr>
          </w:p>
        </w:tc>
        <w:tc>
          <w:tcPr>
            <w:tcW w:w="1633"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b/>
                <w:bCs/>
                <w:color w:val="auto"/>
                <w:highlight w:val="none"/>
              </w:rPr>
            </w:pPr>
          </w:p>
        </w:tc>
        <w:tc>
          <w:tcPr>
            <w:tcW w:w="950" w:type="dxa"/>
            <w:tcMar>
              <w:left w:w="284" w:type="dxa"/>
              <w:right w:w="142" w:type="dxa"/>
            </w:tcMar>
            <w:vAlign w:val="center"/>
          </w:tcPr>
          <w:p>
            <w:pPr>
              <w:snapToGrid w:val="0"/>
              <w:jc w:val="center"/>
              <w:rPr>
                <w:b/>
                <w:bCs/>
                <w:color w:val="auto"/>
                <w:highlight w:val="none"/>
              </w:rPr>
            </w:pPr>
          </w:p>
        </w:tc>
        <w:tc>
          <w:tcPr>
            <w:tcW w:w="942" w:type="dxa"/>
            <w:tcMar>
              <w:left w:w="198" w:type="dxa"/>
              <w:right w:w="198" w:type="dxa"/>
            </w:tcMar>
            <w:vAlign w:val="center"/>
          </w:tcPr>
          <w:p>
            <w:pPr>
              <w:snapToGrid w:val="0"/>
              <w:jc w:val="center"/>
              <w:rPr>
                <w:b/>
                <w:bCs/>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szCs w:val="21"/>
                <w:highlight w:val="none"/>
              </w:rPr>
            </w:pPr>
          </w:p>
        </w:tc>
        <w:tc>
          <w:tcPr>
            <w:tcW w:w="2037" w:type="dxa"/>
            <w:tcMar>
              <w:left w:w="284" w:type="dxa"/>
              <w:right w:w="142" w:type="dxa"/>
            </w:tcMar>
            <w:vAlign w:val="center"/>
          </w:tcPr>
          <w:p>
            <w:pPr>
              <w:snapToGrid w:val="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
                <w:bCs/>
                <w:color w:val="auto"/>
                <w:highlight w:val="none"/>
              </w:rPr>
            </w:pPr>
          </w:p>
        </w:tc>
        <w:tc>
          <w:tcPr>
            <w:tcW w:w="1633"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szCs w:val="21"/>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tcPr>
          <w:p>
            <w:pPr>
              <w:snapToGrid w:val="0"/>
              <w:jc w:val="center"/>
              <w:rPr>
                <w:color w:val="auto"/>
                <w:highlight w:val="none"/>
              </w:rPr>
            </w:pPr>
          </w:p>
        </w:tc>
        <w:tc>
          <w:tcPr>
            <w:tcW w:w="950" w:type="dxa"/>
            <w:tcMar>
              <w:left w:w="284" w:type="dxa"/>
              <w:right w:w="142" w:type="dxa"/>
            </w:tcMa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
                <w:bCs/>
                <w:color w:val="auto"/>
                <w:highlight w:val="none"/>
              </w:rPr>
            </w:pPr>
          </w:p>
        </w:tc>
        <w:tc>
          <w:tcPr>
            <w:tcW w:w="1633"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0" w:type="dxa"/>
            <w:tcMar>
              <w:left w:w="284" w:type="dxa"/>
              <w:right w:w="142" w:type="dxa"/>
            </w:tcMar>
            <w:vAlign w:val="center"/>
          </w:tcPr>
          <w:p>
            <w:pPr>
              <w:snapToGrid w:val="0"/>
              <w:rPr>
                <w:b/>
                <w:bCs/>
                <w:color w:val="auto"/>
                <w:highlight w:val="none"/>
              </w:rPr>
            </w:pPr>
          </w:p>
        </w:tc>
        <w:tc>
          <w:tcPr>
            <w:tcW w:w="1633"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color w:val="auto"/>
                <w:szCs w:val="21"/>
                <w:highlight w:val="none"/>
              </w:rPr>
            </w:pPr>
          </w:p>
        </w:tc>
      </w:tr>
    </w:tbl>
    <w:p>
      <w:pPr>
        <w:snapToGrid w:val="0"/>
        <w:spacing w:line="500" w:lineRule="atLeast"/>
        <w:rPr>
          <w:b/>
          <w:bCs/>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p>
    <w:p>
      <w:pPr>
        <w:rPr>
          <w:b/>
          <w:color w:val="auto"/>
          <w:sz w:val="30"/>
          <w:szCs w:val="30"/>
          <w:highlight w:val="none"/>
        </w:rPr>
      </w:pPr>
    </w:p>
    <w:p>
      <w:pPr>
        <w:pStyle w:val="4"/>
        <w:rPr>
          <w:color w:val="auto"/>
          <w:highlight w:val="none"/>
        </w:rPr>
      </w:pPr>
      <w:bookmarkStart w:id="195" w:name="_Toc32380"/>
      <w:r>
        <w:rPr>
          <w:rFonts w:hint="eastAsia"/>
          <w:color w:val="auto"/>
          <w:highlight w:val="none"/>
        </w:rPr>
        <w:t>项目委托合同（样本）</w:t>
      </w:r>
      <w:bookmarkEnd w:id="195"/>
    </w:p>
    <w:p>
      <w:pPr>
        <w:autoSpaceDE/>
        <w:autoSpaceDN/>
        <w:adjustRightInd/>
        <w:spacing w:line="360" w:lineRule="auto"/>
        <w:ind w:right="11" w:firstLine="171" w:firstLineChars="71"/>
        <w:textAlignment w:val="auto"/>
        <w:rPr>
          <w:color w:val="auto"/>
          <w:kern w:val="2"/>
          <w:sz w:val="28"/>
          <w:highlight w:val="none"/>
          <w:u w:val="single"/>
        </w:rPr>
      </w:pPr>
      <w:r>
        <w:rPr>
          <w:rFonts w:hint="eastAsia" w:hAnsi="宋体" w:cs="宋体"/>
          <w:b/>
          <w:color w:val="auto"/>
          <w:highlight w:val="none"/>
        </w:rPr>
        <w:t xml:space="preserve"> </w:t>
      </w: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r>
    </w:tbl>
    <w:p>
      <w:pPr>
        <w:autoSpaceDE/>
        <w:autoSpaceDN/>
        <w:adjustRightInd/>
        <w:spacing w:before="100" w:beforeAutospacing="1" w:after="100" w:afterAutospacing="1" w:line="300" w:lineRule="auto"/>
        <w:textAlignment w:val="auto"/>
        <w:rPr>
          <w:rFonts w:eastAsia="黑体"/>
          <w:color w:val="auto"/>
          <w:kern w:val="2"/>
          <w:sz w:val="44"/>
          <w:highlight w:val="none"/>
        </w:rPr>
      </w:pPr>
    </w:p>
    <w:p>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pPr>
        <w:widowControl/>
        <w:autoSpaceDE/>
        <w:autoSpaceDN/>
        <w:adjustRightInd/>
        <w:spacing w:line="300" w:lineRule="auto"/>
        <w:jc w:val="center"/>
        <w:textAlignment w:val="auto"/>
        <w:rPr>
          <w:color w:val="auto"/>
          <w:sz w:val="28"/>
          <w:highlight w:val="none"/>
        </w:rPr>
      </w:pPr>
      <w:r>
        <w:rPr>
          <w:color w:val="auto"/>
          <w:sz w:val="28"/>
          <w:highlight w:val="none"/>
        </w:rPr>
        <w:t>(试    用)</w:t>
      </w: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rFonts w:hint="eastAsia"/>
          <w:color w:val="auto"/>
          <w:spacing w:val="-4"/>
          <w:kern w:val="2"/>
          <w:sz w:val="30"/>
          <w:highlight w:val="none"/>
          <w:lang w:eastAsia="zh-CN"/>
        </w:rPr>
        <w:t>：</w:t>
      </w:r>
      <w:r>
        <w:rPr>
          <w:color w:val="auto"/>
          <w:kern w:val="2"/>
          <w:sz w:val="28"/>
          <w:szCs w:val="28"/>
          <w:highlight w:val="none"/>
        </w:rPr>
        <w:t xml:space="preserve"> </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eastAsia="zh-CN"/>
        </w:rPr>
        <w:t>中心机构改革撤并单位档案整体移交整理及扫描</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pPr>
        <w:autoSpaceDE/>
        <w:autoSpaceDN/>
        <w:adjustRightInd/>
        <w:spacing w:line="240" w:lineRule="atLeast"/>
        <w:textAlignment w:val="auto"/>
        <w:rPr>
          <w:color w:val="auto"/>
          <w:spacing w:val="30"/>
          <w:kern w:val="2"/>
          <w:sz w:val="30"/>
          <w:highlight w:val="none"/>
        </w:rPr>
      </w:pPr>
    </w:p>
    <w:p>
      <w:pPr>
        <w:autoSpaceDE/>
        <w:autoSpaceDN/>
        <w:adjustRightInd/>
        <w:spacing w:line="240" w:lineRule="atLeast"/>
        <w:textAlignment w:val="auto"/>
        <w:rPr>
          <w:color w:val="auto"/>
          <w:spacing w:val="-4"/>
          <w:kern w:val="2"/>
          <w:sz w:val="30"/>
          <w:highlight w:val="none"/>
          <w:u w:val="single"/>
        </w:rPr>
      </w:pPr>
      <w:r>
        <w:rPr>
          <w:color w:val="auto"/>
          <w:spacing w:val="30"/>
          <w:kern w:val="2"/>
          <w:sz w:val="30"/>
          <w:highlight w:val="none"/>
        </w:rPr>
        <w:t>委托方</w:t>
      </w:r>
      <w:r>
        <w:rPr>
          <w:color w:val="auto"/>
          <w:kern w:val="2"/>
          <w:sz w:val="30"/>
          <w:highlight w:val="none"/>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lang w:eastAsia="zh-CN"/>
        </w:rPr>
        <w:t>浙江省钱塘江流域中心</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pPr>
        <w:autoSpaceDE/>
        <w:autoSpaceDN/>
        <w:adjustRightInd/>
        <w:spacing w:line="240" w:lineRule="atLeast"/>
        <w:textAlignment w:val="auto"/>
        <w:rPr>
          <w:color w:val="auto"/>
          <w:kern w:val="2"/>
          <w:sz w:val="28"/>
          <w:highlight w:val="none"/>
        </w:rPr>
      </w:pPr>
      <w:r>
        <w:rPr>
          <w:color w:val="auto"/>
          <w:kern w:val="2"/>
          <w:sz w:val="28"/>
          <w:highlight w:val="none"/>
        </w:rPr>
        <w:t xml:space="preserve"> (甲方)</w:t>
      </w:r>
    </w:p>
    <w:p>
      <w:pPr>
        <w:autoSpaceDE/>
        <w:autoSpaceDN/>
        <w:adjustRightInd/>
        <w:spacing w:line="240" w:lineRule="atLeast"/>
        <w:ind w:firstLine="707" w:firstLineChars="208"/>
        <w:textAlignment w:val="auto"/>
        <w:rPr>
          <w:color w:val="auto"/>
          <w:spacing w:val="30"/>
          <w:kern w:val="2"/>
          <w:sz w:val="28"/>
          <w:highlight w:val="none"/>
        </w:rPr>
      </w:pPr>
    </w:p>
    <w:p>
      <w:pPr>
        <w:autoSpaceDE/>
        <w:autoSpaceDN/>
        <w:adjustRightInd/>
        <w:spacing w:line="240" w:lineRule="atLeast"/>
        <w:ind w:right="17"/>
        <w:textAlignment w:val="auto"/>
        <w:rPr>
          <w:color w:val="auto"/>
          <w:kern w:val="2"/>
          <w:sz w:val="28"/>
          <w:szCs w:val="24"/>
          <w:highlight w:val="none"/>
          <w:u w:val="single"/>
        </w:rPr>
      </w:pPr>
      <w:r>
        <w:rPr>
          <w:color w:val="auto"/>
          <w:spacing w:val="30"/>
          <w:kern w:val="2"/>
          <w:sz w:val="30"/>
          <w:highlight w:val="none"/>
        </w:rPr>
        <w:t>服务方</w:t>
      </w:r>
      <w:r>
        <w:rPr>
          <w:color w:val="auto"/>
          <w:spacing w:val="30"/>
          <w:kern w:val="2"/>
          <w:sz w:val="28"/>
          <w:highlight w:val="none"/>
        </w:rPr>
        <w:t>：</w:t>
      </w:r>
      <w:r>
        <w:rPr>
          <w:color w:val="auto"/>
          <w:spacing w:val="30"/>
          <w:kern w:val="2"/>
          <w:sz w:val="28"/>
          <w:highlight w:val="none"/>
          <w:u w:val="single"/>
        </w:rPr>
        <w:t xml:space="preserve">         </w:t>
      </w:r>
      <w:r>
        <w:rPr>
          <w:color w:val="auto"/>
          <w:kern w:val="2"/>
          <w:sz w:val="28"/>
          <w:szCs w:val="24"/>
          <w:highlight w:val="none"/>
          <w:u w:val="single"/>
        </w:rPr>
        <w:t xml:space="preserve">                                          </w:t>
      </w:r>
    </w:p>
    <w:p>
      <w:pPr>
        <w:autoSpaceDE/>
        <w:autoSpaceDN/>
        <w:adjustRightInd/>
        <w:spacing w:line="240" w:lineRule="atLeast"/>
        <w:ind w:right="17"/>
        <w:textAlignment w:val="auto"/>
        <w:rPr>
          <w:color w:val="auto"/>
          <w:kern w:val="2"/>
          <w:sz w:val="30"/>
          <w:highlight w:val="none"/>
        </w:rPr>
      </w:pPr>
      <w:r>
        <w:rPr>
          <w:color w:val="auto"/>
          <w:kern w:val="2"/>
          <w:sz w:val="30"/>
          <w:highlight w:val="none"/>
        </w:rPr>
        <w:t xml:space="preserve"> (乙方)</w:t>
      </w:r>
    </w:p>
    <w:p>
      <w:pPr>
        <w:autoSpaceDE/>
        <w:autoSpaceDN/>
        <w:adjustRightInd/>
        <w:snapToGrid w:val="0"/>
        <w:spacing w:line="240" w:lineRule="atLeast"/>
        <w:ind w:firstLine="1110" w:firstLineChars="370"/>
        <w:textAlignment w:val="auto"/>
        <w:rPr>
          <w:color w:val="auto"/>
          <w:kern w:val="2"/>
          <w:sz w:val="30"/>
          <w:highlight w:val="none"/>
        </w:rPr>
      </w:pPr>
    </w:p>
    <w:p>
      <w:pPr>
        <w:autoSpaceDE/>
        <w:autoSpaceDN/>
        <w:adjustRightInd/>
        <w:snapToGrid w:val="0"/>
        <w:spacing w:line="240" w:lineRule="atLeast"/>
        <w:textAlignment w:val="auto"/>
        <w:rPr>
          <w:color w:val="auto"/>
          <w:kern w:val="2"/>
          <w:sz w:val="30"/>
          <w:highlight w:val="none"/>
        </w:rPr>
      </w:pPr>
      <w:r>
        <w:rPr>
          <w:rFonts w:ascii="Times New Roman" w:hAnsi="Times New Roman" w:eastAsia="宋体" w:cs="Times New Roman"/>
          <w:color w:val="auto"/>
          <w:spacing w:val="30"/>
          <w:kern w:val="2"/>
          <w:sz w:val="30"/>
          <w:highlight w:val="none"/>
        </w:rPr>
        <w:t>鉴证方</w:t>
      </w:r>
      <w:r>
        <w:rPr>
          <w:rFonts w:hint="eastAsia"/>
          <w:color w:val="auto"/>
          <w:kern w:val="2"/>
          <w:sz w:val="30"/>
          <w:highlight w:val="none"/>
          <w:lang w:eastAsia="zh-CN"/>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pPr>
        <w:autoSpaceDE/>
        <w:autoSpaceDN/>
        <w:adjustRightInd/>
        <w:snapToGrid w:val="0"/>
        <w:spacing w:line="360" w:lineRule="auto"/>
        <w:ind w:firstLine="900" w:firstLineChars="300"/>
        <w:textAlignment w:val="auto"/>
        <w:rPr>
          <w:color w:val="auto"/>
          <w:kern w:val="2"/>
          <w:sz w:val="30"/>
          <w:highlight w:val="none"/>
        </w:rPr>
      </w:pPr>
    </w:p>
    <w:p>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pPr>
        <w:tabs>
          <w:tab w:val="left" w:pos="386"/>
        </w:tabs>
        <w:autoSpaceDE/>
        <w:autoSpaceDN/>
        <w:snapToGrid w:val="0"/>
        <w:spacing w:line="360" w:lineRule="auto"/>
        <w:ind w:firstLine="560" w:firstLineChars="200"/>
        <w:rPr>
          <w:rFonts w:hint="eastAsia" w:eastAsia="宋体"/>
          <w:color w:val="auto"/>
          <w:highlight w:val="none"/>
          <w:lang w:eastAsia="zh-CN"/>
        </w:rPr>
      </w:pPr>
      <w:r>
        <w:rPr>
          <w:color w:val="auto"/>
          <w:sz w:val="28"/>
          <w:highlight w:val="none"/>
        </w:rPr>
        <w:t xml:space="preserve"> </w:t>
      </w:r>
      <w:r>
        <w:rPr>
          <w:color w:val="auto"/>
          <w:highlight w:val="none"/>
        </w:rPr>
        <w:t>一、“合同登记编号”的填写方法</w:t>
      </w:r>
      <w:r>
        <w:rPr>
          <w:rFonts w:hint="eastAsia"/>
          <w:color w:val="auto"/>
          <w:highlight w:val="none"/>
          <w:lang w:eastAsia="zh-CN"/>
        </w:rPr>
        <w:t>：</w:t>
      </w:r>
    </w:p>
    <w:p>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pPr>
        <w:autoSpaceDE/>
        <w:autoSpaceDN/>
        <w:snapToGrid w:val="0"/>
        <w:spacing w:line="360" w:lineRule="auto"/>
        <w:ind w:firstLine="480" w:firstLineChars="200"/>
        <w:rPr>
          <w:color w:val="auto"/>
          <w:highlight w:val="none"/>
        </w:rPr>
      </w:pPr>
      <w:r>
        <w:rPr>
          <w:color w:val="auto"/>
          <w:highlight w:val="none"/>
        </w:rPr>
        <w:t>五、工作条件和协作事项：</w:t>
      </w:r>
    </w:p>
    <w:p>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pPr>
        <w:autoSpaceDE/>
        <w:autoSpaceDN/>
        <w:snapToGrid w:val="0"/>
        <w:spacing w:line="360" w:lineRule="auto"/>
        <w:ind w:firstLine="480" w:firstLineChars="200"/>
        <w:rPr>
          <w:rFonts w:hint="eastAsia" w:eastAsia="宋体"/>
          <w:color w:val="auto"/>
          <w:highlight w:val="none"/>
          <w:lang w:eastAsia="zh-CN"/>
        </w:rPr>
      </w:pPr>
      <w:r>
        <w:rPr>
          <w:rFonts w:hint="eastAsia"/>
          <w:color w:val="auto"/>
          <w:highlight w:val="none"/>
        </w:rPr>
        <w:t>七</w:t>
      </w:r>
      <w:r>
        <w:rPr>
          <w:color w:val="auto"/>
          <w:highlight w:val="none"/>
        </w:rPr>
        <w:t>、其他</w:t>
      </w:r>
      <w:r>
        <w:rPr>
          <w:rFonts w:hint="eastAsia"/>
          <w:color w:val="auto"/>
          <w:highlight w:val="none"/>
          <w:lang w:eastAsia="zh-CN"/>
        </w:rPr>
        <w:t>：</w:t>
      </w:r>
    </w:p>
    <w:p>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pPr>
        <w:autoSpaceDE/>
        <w:autoSpaceDN/>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pPr>
        <w:widowControl/>
        <w:autoSpaceDE/>
        <w:autoSpaceDN/>
        <w:adjustRightInd/>
        <w:jc w:val="right"/>
        <w:textAlignment w:val="auto"/>
        <w:rPr>
          <w:color w:val="auto"/>
          <w:highlight w:val="none"/>
        </w:rPr>
      </w:pPr>
      <w:r>
        <w:rPr>
          <w:color w:val="auto"/>
          <w:highlight w:val="none"/>
        </w:rPr>
        <w:br w:type="page"/>
      </w:r>
      <w:r>
        <w:rPr>
          <w:color w:val="auto"/>
          <w:highlight w:val="none"/>
        </w:rPr>
        <w:t>服务(1)</w:t>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中心机构改革撤并单位档案整体移交整理及扫描</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pPr>
              <w:autoSpaceDE/>
              <w:autoSpaceDN/>
              <w:spacing w:line="360" w:lineRule="auto"/>
              <w:ind w:firstLine="480" w:firstLineChars="200"/>
              <w:textAlignment w:val="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按采购文件要求填写</w:t>
            </w:r>
            <w:r>
              <w:rPr>
                <w:rFonts w:hint="eastAsia"/>
                <w:color w:val="auto"/>
                <w:highlight w:val="none"/>
                <w:lang w:eastAsia="zh-CN"/>
              </w:rPr>
              <w:t>）</w:t>
            </w:r>
          </w:p>
          <w:p>
            <w:pPr>
              <w:pStyle w:val="2"/>
              <w:rPr>
                <w:color w:val="auto"/>
                <w:highlight w:val="none"/>
              </w:rPr>
            </w:pPr>
          </w:p>
          <w:p>
            <w:pPr>
              <w:pStyle w:val="33"/>
              <w:rPr>
                <w:color w:val="auto"/>
                <w:highlight w:val="none"/>
              </w:rPr>
            </w:pPr>
          </w:p>
          <w:p>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pPr>
              <w:snapToGrid w:val="0"/>
              <w:spacing w:line="360" w:lineRule="auto"/>
              <w:ind w:right="227" w:firstLine="480" w:firstLineChars="200"/>
              <w:rPr>
                <w:color w:val="auto"/>
                <w:szCs w:val="24"/>
                <w:highlight w:val="none"/>
              </w:rPr>
            </w:pPr>
            <w:r>
              <w:rPr>
                <w:color w:val="auto"/>
                <w:szCs w:val="24"/>
                <w:highlight w:val="none"/>
              </w:rPr>
              <w:t xml:space="preserve">在合同生效后 </w:t>
            </w:r>
            <w:r>
              <w:rPr>
                <w:rFonts w:eastAsia="仿宋_GB2312"/>
                <w:color w:val="auto"/>
                <w:szCs w:val="24"/>
                <w:highlight w:val="none"/>
              </w:rPr>
              <w:t xml:space="preserve">      </w:t>
            </w:r>
            <w:r>
              <w:rPr>
                <w:rFonts w:eastAsia="楷体_GB2312"/>
                <w:b/>
                <w:color w:val="auto"/>
                <w:szCs w:val="24"/>
                <w:highlight w:val="none"/>
              </w:rPr>
              <w:t>根据各项工作计划时间</w:t>
            </w:r>
            <w:r>
              <w:rPr>
                <w:rFonts w:eastAsia="仿宋_GB2312"/>
                <w:color w:val="auto"/>
                <w:szCs w:val="24"/>
                <w:highlight w:val="none"/>
              </w:rPr>
              <w:t xml:space="preserve">     </w:t>
            </w:r>
            <w:r>
              <w:rPr>
                <w:color w:val="auto"/>
                <w:szCs w:val="24"/>
                <w:highlight w:val="none"/>
              </w:rPr>
              <w:t>（时间）内，委托方应向</w:t>
            </w:r>
            <w:r>
              <w:rPr>
                <w:rFonts w:hint="eastAsia"/>
                <w:color w:val="auto"/>
                <w:szCs w:val="24"/>
                <w:highlight w:val="none"/>
              </w:rPr>
              <w:t>服务</w:t>
            </w:r>
            <w:r>
              <w:rPr>
                <w:color w:val="auto"/>
                <w:szCs w:val="24"/>
                <w:highlight w:val="none"/>
              </w:rPr>
              <w:t>方提供下列资料和工作条件：</w:t>
            </w:r>
          </w:p>
          <w:p>
            <w:pPr>
              <w:snapToGrid w:val="0"/>
              <w:spacing w:line="360" w:lineRule="auto"/>
              <w:ind w:right="227" w:firstLine="480" w:firstLineChars="200"/>
              <w:rPr>
                <w:color w:val="auto"/>
                <w:highlight w:val="none"/>
              </w:rPr>
            </w:pPr>
            <w:r>
              <w:rPr>
                <w:color w:val="auto"/>
                <w:szCs w:val="24"/>
                <w:highlight w:val="none"/>
              </w:rPr>
              <w:t>其它</w:t>
            </w:r>
            <w:r>
              <w:rPr>
                <w:rFonts w:eastAsia="仿宋_GB2312"/>
                <w:color w:val="auto"/>
                <w:szCs w:val="24"/>
                <w:highlight w:val="none"/>
              </w:rPr>
              <w:t>：</w:t>
            </w:r>
            <w:r>
              <w:rPr>
                <w:rFonts w:eastAsia="楷体_GB2312"/>
                <w:b/>
                <w:color w:val="auto"/>
                <w:szCs w:val="24"/>
                <w:highlight w:val="none"/>
              </w:rPr>
              <w:t>/</w:t>
            </w:r>
          </w:p>
          <w:p>
            <w:pPr>
              <w:autoSpaceDE/>
              <w:autoSpaceDN/>
              <w:spacing w:line="336" w:lineRule="auto"/>
              <w:ind w:firstLine="480" w:firstLineChars="200"/>
              <w:textAlignment w:val="auto"/>
              <w:rPr>
                <w:rFonts w:eastAsia="黑体"/>
                <w:color w:val="auto"/>
                <w:highlight w:val="none"/>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  杭州 市(地点)履行。</w:t>
            </w:r>
          </w:p>
          <w:p>
            <w:pPr>
              <w:autoSpaceDE/>
              <w:autoSpaceDN/>
              <w:spacing w:line="336" w:lineRule="auto"/>
              <w:ind w:firstLine="480" w:firstLineChars="200"/>
              <w:textAlignment w:val="auto"/>
              <w:rPr>
                <w:color w:val="auto"/>
                <w:szCs w:val="24"/>
                <w:highlight w:val="none"/>
              </w:rPr>
            </w:pPr>
            <w:r>
              <w:rPr>
                <w:color w:val="auto"/>
                <w:szCs w:val="24"/>
                <w:highlight w:val="none"/>
              </w:rPr>
              <w:t>本合同的履行方式：</w:t>
            </w:r>
          </w:p>
          <w:p>
            <w:pPr>
              <w:autoSpaceDE/>
              <w:autoSpaceDN/>
              <w:spacing w:line="360" w:lineRule="auto"/>
              <w:ind w:firstLine="480" w:firstLineChars="200"/>
              <w:textAlignment w:val="auto"/>
              <w:rPr>
                <w:rFonts w:eastAsia="宋体-18030"/>
                <w:color w:val="auto"/>
                <w:szCs w:val="24"/>
                <w:highlight w:val="none"/>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四、验收、评价方法：</w:t>
            </w:r>
          </w:p>
          <w:p>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pPr>
              <w:spacing w:line="360" w:lineRule="auto"/>
              <w:ind w:left="120" w:right="92" w:firstLine="510"/>
              <w:rPr>
                <w:color w:val="auto"/>
                <w:szCs w:val="24"/>
                <w:highlight w:val="none"/>
              </w:rPr>
            </w:pPr>
            <w:r>
              <w:rPr>
                <w:color w:val="auto"/>
                <w:szCs w:val="24"/>
                <w:highlight w:val="none"/>
              </w:rPr>
              <w:t>验收、评价方法：</w:t>
            </w:r>
          </w:p>
          <w:p>
            <w:pPr>
              <w:spacing w:line="360" w:lineRule="auto"/>
              <w:ind w:left="120" w:right="92" w:firstLine="510"/>
              <w:rPr>
                <w:color w:val="auto"/>
                <w:szCs w:val="24"/>
                <w:highlight w:val="none"/>
              </w:rPr>
            </w:pPr>
            <w:r>
              <w:rPr>
                <w:color w:val="auto"/>
                <w:szCs w:val="24"/>
                <w:highlight w:val="none"/>
              </w:rPr>
              <w:t>（1）鉴定会鉴定；     （2）专家评审；    （3）委托方直接认可；</w:t>
            </w:r>
          </w:p>
          <w:p>
            <w:pPr>
              <w:spacing w:line="360" w:lineRule="auto"/>
              <w:ind w:left="120" w:right="92" w:firstLine="510"/>
              <w:rPr>
                <w:color w:val="auto"/>
                <w:szCs w:val="24"/>
                <w:highlight w:val="none"/>
              </w:rPr>
            </w:pPr>
            <w:r>
              <w:rPr>
                <w:color w:val="auto"/>
                <w:szCs w:val="24"/>
                <w:highlight w:val="none"/>
              </w:rPr>
              <w:t>（4）其他方式（双方约定）。</w:t>
            </w:r>
          </w:p>
          <w:p>
            <w:pPr>
              <w:spacing w:line="360" w:lineRule="auto"/>
              <w:ind w:left="120" w:right="92" w:firstLine="510"/>
              <w:rPr>
                <w:color w:val="auto"/>
                <w:szCs w:val="24"/>
                <w:highlight w:val="none"/>
              </w:rPr>
            </w:pPr>
          </w:p>
          <w:p>
            <w:pPr>
              <w:spacing w:line="360" w:lineRule="auto"/>
              <w:ind w:right="92" w:firstLine="480" w:firstLineChars="200"/>
              <w:rPr>
                <w:color w:val="auto"/>
                <w:highlight w:val="none"/>
              </w:rPr>
            </w:pPr>
          </w:p>
        </w:tc>
      </w:tr>
    </w:tbl>
    <w:p>
      <w:pPr>
        <w:rPr>
          <w:color w:val="auto"/>
          <w:highlight w:val="none"/>
        </w:rPr>
      </w:pPr>
      <w:r>
        <w:rPr>
          <w:color w:val="auto"/>
          <w:highlight w:val="none"/>
        </w:rPr>
        <w:br w:type="page"/>
      </w:r>
    </w:p>
    <w:p>
      <w:pPr>
        <w:widowControl/>
        <w:autoSpaceDE/>
        <w:autoSpaceDN/>
        <w:adjustRightInd/>
        <w:jc w:val="right"/>
        <w:textAlignment w:val="auto"/>
        <w:rPr>
          <w:color w:val="auto"/>
          <w:highlight w:val="none"/>
        </w:rPr>
      </w:pPr>
      <w:r>
        <w:rPr>
          <w:color w:val="auto"/>
          <w:highlight w:val="none"/>
        </w:rPr>
        <w:t>服务(</w:t>
      </w:r>
      <w:r>
        <w:rPr>
          <w:rFonts w:hint="eastAsia"/>
          <w:color w:val="auto"/>
          <w:highlight w:val="none"/>
        </w:rPr>
        <w:t>2</w:t>
      </w:r>
      <w:r>
        <w:rPr>
          <w:color w:val="auto"/>
          <w:highlight w:val="none"/>
        </w:rPr>
        <w:t>)</w:t>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五、报酬及其支付方式：</w:t>
            </w:r>
          </w:p>
          <w:p>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pPr>
              <w:spacing w:line="336" w:lineRule="auto"/>
              <w:ind w:left="120" w:right="92" w:firstLine="390"/>
              <w:rPr>
                <w:color w:val="auto"/>
                <w:highlight w:val="none"/>
              </w:rPr>
            </w:pPr>
            <w:r>
              <w:rPr>
                <w:color w:val="auto"/>
                <w:highlight w:val="none"/>
              </w:rPr>
              <w:t>服务方完成专业技术工作，解决技术问题需要的经费，由    方负担。</w:t>
            </w:r>
          </w:p>
          <w:p>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pPr>
              <w:numPr>
                <w:ilvl w:val="0"/>
                <w:numId w:val="4"/>
              </w:numPr>
              <w:spacing w:line="336" w:lineRule="auto"/>
              <w:ind w:left="120" w:right="92" w:firstLine="390"/>
              <w:rPr>
                <w:rFonts w:hint="eastAsia"/>
                <w:color w:val="auto"/>
                <w:highlight w:val="none"/>
              </w:rPr>
            </w:pPr>
            <w:r>
              <w:rPr>
                <w:rFonts w:hint="eastAsia"/>
                <w:color w:val="auto"/>
                <w:highlight w:val="none"/>
                <w:lang w:val="en-US" w:eastAsia="zh-CN"/>
              </w:rPr>
              <w:t>合同签订并且具备实施条件后，支付合同额的40%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spacing w:line="336" w:lineRule="auto"/>
              <w:ind w:left="120" w:right="92" w:firstLine="390"/>
              <w:rPr>
                <w:rFonts w:hint="eastAsia"/>
                <w:color w:val="auto"/>
                <w:highlight w:val="none"/>
              </w:rPr>
            </w:pPr>
            <w:r>
              <w:rPr>
                <w:rFonts w:hint="eastAsia"/>
                <w:color w:val="auto"/>
                <w:highlight w:val="none"/>
              </w:rPr>
              <w:t>2、</w:t>
            </w:r>
            <w:r>
              <w:rPr>
                <w:rFonts w:hint="eastAsia"/>
                <w:color w:val="auto"/>
                <w:highlight w:val="none"/>
                <w:lang w:val="en-US" w:eastAsia="zh-CN"/>
              </w:rPr>
              <w:t>完成档案整体移交扫描工作后，支付合同额的40%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spacing w:line="336" w:lineRule="auto"/>
              <w:ind w:left="120" w:right="92" w:firstLine="39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验收通过并完成档案整体移交省档案馆后，支付尾款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spacing w:after="120"/>
              <w:ind w:firstLine="480" w:firstLineChars="200"/>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pPr>
              <w:pStyle w:val="33"/>
              <w:ind w:firstLine="240"/>
              <w:rPr>
                <w:color w:val="auto"/>
                <w:highlight w:val="none"/>
                <w:lang w:eastAsia="ja-JP"/>
              </w:rPr>
            </w:pPr>
          </w:p>
          <w:p>
            <w:pPr>
              <w:spacing w:line="360" w:lineRule="auto"/>
              <w:ind w:firstLine="480" w:firstLineChars="200"/>
              <w:rPr>
                <w:rFonts w:eastAsia="黑体"/>
                <w:color w:val="auto"/>
                <w:highlight w:val="none"/>
              </w:rPr>
            </w:pPr>
            <w:r>
              <w:rPr>
                <w:rFonts w:hint="eastAsia" w:eastAsia="黑体"/>
                <w:color w:val="auto"/>
                <w:highlight w:val="none"/>
              </w:rPr>
              <w:t>六、违约金或者损失赔偿额的计算方法：</w:t>
            </w:r>
          </w:p>
          <w:p>
            <w:pPr>
              <w:spacing w:line="360" w:lineRule="auto"/>
              <w:ind w:firstLine="390"/>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一、二、三</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pPr>
              <w:spacing w:line="360" w:lineRule="auto"/>
              <w:ind w:firstLine="390"/>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二、四、五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pPr>
              <w:autoSpaceDE/>
              <w:autoSpaceDN/>
              <w:spacing w:line="360" w:lineRule="auto"/>
              <w:ind w:firstLine="359" w:firstLineChars="149"/>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pPr>
              <w:rPr>
                <w:color w:val="auto"/>
                <w:highlight w:val="none"/>
              </w:rPr>
            </w:pPr>
          </w:p>
        </w:tc>
      </w:tr>
    </w:tbl>
    <w:p>
      <w:pPr>
        <w:rPr>
          <w:color w:val="auto"/>
          <w:sz w:val="28"/>
          <w:highlight w:val="none"/>
        </w:rPr>
      </w:pPr>
      <w:r>
        <w:rPr>
          <w:color w:val="auto"/>
          <w:sz w:val="28"/>
          <w:highlight w:val="none"/>
        </w:rPr>
        <w:br w:type="page"/>
      </w:r>
    </w:p>
    <w:p>
      <w:pPr>
        <w:widowControl/>
        <w:autoSpaceDE/>
        <w:autoSpaceDN/>
        <w:adjustRightInd/>
        <w:jc w:val="right"/>
        <w:textAlignment w:val="auto"/>
        <w:rPr>
          <w:color w:val="auto"/>
          <w:highlight w:val="none"/>
        </w:rPr>
      </w:pPr>
      <w:r>
        <w:rPr>
          <w:color w:val="auto"/>
          <w:highlight w:val="none"/>
        </w:rPr>
        <w:t>服务(</w:t>
      </w:r>
      <w:r>
        <w:rPr>
          <w:rFonts w:hint="eastAsia"/>
          <w:color w:val="auto"/>
          <w:highlight w:val="none"/>
        </w:rPr>
        <w:t>3</w:t>
      </w:r>
      <w:r>
        <w:rPr>
          <w:color w:val="auto"/>
          <w:highlight w:val="none"/>
        </w:rPr>
        <w:t>)</w:t>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spacing w:line="480" w:lineRule="exact"/>
              <w:ind w:right="111" w:firstLine="480" w:firstLineChars="200"/>
              <w:rPr>
                <w:rFonts w:eastAsia="黑体"/>
                <w:color w:val="auto"/>
                <w:highlight w:val="none"/>
              </w:rPr>
            </w:pPr>
            <w:r>
              <w:rPr>
                <w:rFonts w:hint="eastAsia" w:eastAsia="黑体"/>
                <w:color w:val="auto"/>
                <w:highlight w:val="none"/>
              </w:rPr>
              <w:t>七</w:t>
            </w:r>
            <w:r>
              <w:rPr>
                <w:rFonts w:eastAsia="黑体"/>
                <w:color w:val="auto"/>
                <w:highlight w:val="none"/>
              </w:rPr>
              <w:t>、争议的解决办法：</w:t>
            </w:r>
          </w:p>
          <w:p>
            <w:pPr>
              <w:spacing w:before="120"/>
              <w:ind w:left="120" w:right="92" w:firstLine="510"/>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pPr>
              <w:spacing w:before="120"/>
              <w:ind w:left="120" w:right="92" w:firstLine="510"/>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pPr>
              <w:spacing w:before="120"/>
              <w:ind w:left="120" w:right="92" w:firstLine="510"/>
              <w:rPr>
                <w:color w:val="auto"/>
                <w:szCs w:val="24"/>
                <w:highlight w:val="none"/>
              </w:rPr>
            </w:pPr>
            <w:r>
              <w:rPr>
                <w:color w:val="auto"/>
                <w:szCs w:val="24"/>
                <w:highlight w:val="none"/>
              </w:rPr>
              <w:t>(一)因本合同所发生的任何争议，申请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pPr>
              <w:spacing w:before="120"/>
              <w:ind w:left="120" w:right="92" w:firstLine="30"/>
              <w:rPr>
                <w:color w:val="auto"/>
                <w:szCs w:val="24"/>
                <w:highlight w:val="none"/>
              </w:rPr>
            </w:pPr>
            <w:r>
              <w:rPr>
                <w:color w:val="auto"/>
                <w:szCs w:val="24"/>
                <w:highlight w:val="none"/>
              </w:rPr>
              <w:t xml:space="preserve">    (二)按司法程序解决。</w:t>
            </w:r>
          </w:p>
          <w:p>
            <w:pPr>
              <w:rPr>
                <w:color w:val="auto"/>
                <w:highlight w:val="none"/>
              </w:rPr>
            </w:pPr>
          </w:p>
          <w:p>
            <w:pPr>
              <w:spacing w:line="480" w:lineRule="exact"/>
              <w:ind w:right="111" w:firstLine="480" w:firstLineChars="200"/>
              <w:rPr>
                <w:rFonts w:eastAsia="黑体"/>
                <w:color w:val="auto"/>
                <w:highlight w:val="none"/>
              </w:rPr>
            </w:pPr>
            <w:r>
              <w:rPr>
                <w:rFonts w:hint="eastAsia" w:eastAsia="黑体"/>
                <w:color w:val="auto"/>
                <w:highlight w:val="none"/>
              </w:rPr>
              <w:t>八</w:t>
            </w:r>
            <w:r>
              <w:rPr>
                <w:rFonts w:eastAsia="黑体"/>
                <w:color w:val="auto"/>
                <w:highlight w:val="none"/>
              </w:rPr>
              <w:t>、*其它(含中介方的权利、义务、服务费及其支付方式、定金、财产抵押、及担保等上述条款未尽事宜)：</w:t>
            </w:r>
          </w:p>
          <w:p>
            <w:pPr>
              <w:adjustRightInd/>
              <w:spacing w:line="360" w:lineRule="auto"/>
              <w:ind w:firstLine="480" w:firstLineChars="20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pPr>
              <w:spacing w:line="360" w:lineRule="auto"/>
              <w:ind w:left="120" w:right="92" w:firstLine="510"/>
              <w:rPr>
                <w:color w:val="auto"/>
                <w:szCs w:val="24"/>
                <w:highlight w:val="none"/>
              </w:rPr>
            </w:pPr>
            <w:r>
              <w:rPr>
                <w:rFonts w:hint="eastAsia"/>
                <w:color w:val="auto"/>
                <w:highlight w:val="none"/>
              </w:rPr>
              <w:t>（二）约定服务方在履约过程中，除不可抗力，投标文件中的项目责任人和项目组主要成员不予更换。</w:t>
            </w:r>
          </w:p>
          <w:p>
            <w:pPr>
              <w:spacing w:after="120"/>
              <w:rPr>
                <w:color w:val="auto"/>
                <w:highlight w:val="none"/>
              </w:rPr>
            </w:pPr>
          </w:p>
        </w:tc>
      </w:tr>
    </w:tbl>
    <w:p>
      <w:pPr>
        <w:pStyle w:val="33"/>
        <w:ind w:firstLine="240"/>
        <w:rPr>
          <w:color w:val="auto"/>
          <w:highlight w:val="none"/>
        </w:rPr>
      </w:pP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39"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委</w:t>
            </w:r>
          </w:p>
          <w:p>
            <w:pPr>
              <w:spacing w:before="120" w:beforeLines="50" w:after="120" w:afterLines="50"/>
              <w:jc w:val="center"/>
              <w:rPr>
                <w:color w:val="auto"/>
                <w:sz w:val="21"/>
                <w:highlight w:val="none"/>
              </w:rPr>
            </w:pPr>
            <w:r>
              <w:rPr>
                <w:color w:val="auto"/>
                <w:sz w:val="21"/>
                <w:highlight w:val="none"/>
              </w:rPr>
              <w:t>托</w:t>
            </w:r>
          </w:p>
          <w:p>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pPr>
              <w:spacing w:before="120" w:beforeLines="50" w:after="120" w:afterLines="50"/>
              <w:jc w:val="center"/>
              <w:rPr>
                <w:color w:val="auto"/>
                <w:sz w:val="21"/>
                <w:highlight w:val="none"/>
              </w:rPr>
            </w:pPr>
            <w:r>
              <w:rPr>
                <w:rFonts w:hint="eastAsia"/>
                <w:color w:val="auto"/>
                <w:sz w:val="21"/>
                <w:highlight w:val="none"/>
                <w:lang w:eastAsia="zh-CN"/>
              </w:rPr>
              <w:t>浙江省钱塘江流域中心</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965" w:type="dxa"/>
            <w:gridSpan w:val="3"/>
            <w:vAlign w:val="center"/>
          </w:tcPr>
          <w:p>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pPr>
              <w:autoSpaceDE/>
              <w:autoSpaceDN/>
              <w:spacing w:before="120" w:beforeLines="50" w:after="120" w:afterLines="50"/>
              <w:jc w:val="center"/>
              <w:rPr>
                <w:rFonts w:eastAsia="楷体_GB2312"/>
                <w:color w:val="auto"/>
                <w:highlight w:val="none"/>
              </w:rPr>
            </w:pPr>
          </w:p>
        </w:tc>
        <w:tc>
          <w:tcPr>
            <w:tcW w:w="1186"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帐      号</w:t>
            </w:r>
          </w:p>
        </w:tc>
        <w:tc>
          <w:tcPr>
            <w:tcW w:w="2727" w:type="dxa"/>
            <w:gridSpan w:val="2"/>
            <w:vAlign w:val="center"/>
          </w:tcPr>
          <w:p>
            <w:pPr>
              <w:spacing w:before="120" w:beforeLines="50" w:after="120" w:afterLines="50"/>
              <w:jc w:val="center"/>
              <w:rPr>
                <w:rFonts w:eastAsia="楷体_GB2312"/>
                <w:color w:val="auto"/>
                <w:sz w:val="21"/>
                <w:highlight w:val="none"/>
              </w:rPr>
            </w:pPr>
          </w:p>
        </w:tc>
        <w:tc>
          <w:tcPr>
            <w:tcW w:w="1186"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931"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服</w:t>
            </w:r>
          </w:p>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务</w:t>
            </w:r>
          </w:p>
          <w:p>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727" w:type="dxa"/>
            <w:gridSpan w:val="2"/>
            <w:vAlign w:val="center"/>
          </w:tcPr>
          <w:p>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931" w:type="dxa"/>
            <w:gridSpan w:val="2"/>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pPr>
              <w:spacing w:before="120" w:beforeLines="50" w:after="120" w:afterLines="50"/>
              <w:jc w:val="center"/>
              <w:rPr>
                <w:rFonts w:eastAsia="楷体_GB2312"/>
                <w:color w:val="auto"/>
                <w:sz w:val="28"/>
                <w:highlight w:val="none"/>
              </w:rPr>
            </w:pPr>
          </w:p>
        </w:tc>
        <w:tc>
          <w:tcPr>
            <w:tcW w:w="1186"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开 户 单 位</w:t>
            </w:r>
          </w:p>
        </w:tc>
        <w:tc>
          <w:tcPr>
            <w:tcW w:w="6844" w:type="dxa"/>
            <w:gridSpan w:val="6"/>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帐       号</w:t>
            </w:r>
          </w:p>
        </w:tc>
        <w:tc>
          <w:tcPr>
            <w:tcW w:w="2965" w:type="dxa"/>
            <w:gridSpan w:val="3"/>
            <w:vAlign w:val="center"/>
          </w:tcPr>
          <w:p>
            <w:pPr>
              <w:spacing w:before="120" w:beforeLines="50" w:after="120" w:afterLines="50"/>
              <w:jc w:val="center"/>
              <w:rPr>
                <w:rFonts w:eastAsia="楷体_GB2312"/>
                <w:color w:val="auto"/>
                <w:sz w:val="28"/>
                <w:szCs w:val="28"/>
                <w:highlight w:val="none"/>
              </w:rPr>
            </w:pPr>
          </w:p>
        </w:tc>
        <w:tc>
          <w:tcPr>
            <w:tcW w:w="1186"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restart"/>
            <w:tcBorders>
              <w:bottom w:val="nil"/>
            </w:tcBorders>
            <w:vAlign w:val="center"/>
          </w:tcPr>
          <w:p>
            <w:pPr>
              <w:spacing w:before="120" w:beforeLines="50" w:after="120" w:afterLines="50"/>
              <w:jc w:val="center"/>
              <w:rPr>
                <w:color w:val="auto"/>
                <w:sz w:val="21"/>
                <w:highlight w:val="none"/>
              </w:rPr>
            </w:pPr>
            <w:r>
              <w:rPr>
                <w:color w:val="auto"/>
                <w:sz w:val="21"/>
                <w:highlight w:val="none"/>
              </w:rPr>
              <w:t>鉴</w:t>
            </w:r>
          </w:p>
          <w:p>
            <w:pPr>
              <w:spacing w:before="120" w:beforeLines="50" w:after="120" w:afterLines="50"/>
              <w:jc w:val="center"/>
              <w:rPr>
                <w:color w:val="auto"/>
                <w:sz w:val="21"/>
                <w:highlight w:val="none"/>
              </w:rPr>
            </w:pPr>
            <w:r>
              <w:rPr>
                <w:color w:val="auto"/>
                <w:sz w:val="21"/>
                <w:highlight w:val="none"/>
              </w:rPr>
              <w:t>证</w:t>
            </w:r>
          </w:p>
          <w:p>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pPr>
              <w:spacing w:before="120" w:beforeLines="50" w:after="120" w:afterLines="50"/>
              <w:jc w:val="center"/>
              <w:rPr>
                <w:color w:val="auto"/>
                <w:sz w:val="21"/>
                <w:highlight w:val="none"/>
              </w:rPr>
            </w:pPr>
            <w:r>
              <w:rPr>
                <w:color w:val="auto"/>
                <w:sz w:val="21"/>
                <w:highlight w:val="none"/>
              </w:rPr>
              <w:t>单 位 名 称</w:t>
            </w:r>
          </w:p>
        </w:tc>
        <w:tc>
          <w:tcPr>
            <w:tcW w:w="6844" w:type="dxa"/>
            <w:gridSpan w:val="6"/>
            <w:vAlign w:val="center"/>
          </w:tcPr>
          <w:p>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323" w:type="dxa"/>
            <w:vAlign w:val="center"/>
          </w:tcPr>
          <w:p>
            <w:pPr>
              <w:spacing w:before="120" w:beforeLines="50" w:after="120" w:afterLines="50"/>
              <w:jc w:val="right"/>
              <w:rPr>
                <w:color w:val="auto"/>
                <w:sz w:val="21"/>
                <w:highlight w:val="none"/>
              </w:rPr>
            </w:pPr>
            <w:r>
              <w:rPr>
                <w:color w:val="auto"/>
                <w:sz w:val="21"/>
                <w:highlight w:val="none"/>
              </w:rPr>
              <w:t>(签章)</w:t>
            </w:r>
          </w:p>
        </w:tc>
        <w:tc>
          <w:tcPr>
            <w:tcW w:w="1828" w:type="dxa"/>
            <w:gridSpan w:val="4"/>
            <w:vAlign w:val="center"/>
          </w:tcPr>
          <w:p>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电      话</w:t>
            </w:r>
          </w:p>
        </w:tc>
        <w:tc>
          <w:tcPr>
            <w:tcW w:w="2965" w:type="dxa"/>
            <w:gridSpan w:val="3"/>
            <w:vAlign w:val="center"/>
          </w:tcPr>
          <w:p>
            <w:pPr>
              <w:spacing w:before="120" w:beforeLines="50" w:after="120" w:afterLines="50"/>
              <w:jc w:val="center"/>
              <w:rPr>
                <w:color w:val="auto"/>
                <w:sz w:val="21"/>
                <w:highlight w:val="none"/>
              </w:rPr>
            </w:pPr>
            <w:r>
              <w:rPr>
                <w:rFonts w:hint="eastAsia"/>
                <w:color w:val="auto"/>
                <w:sz w:val="21"/>
                <w:highlight w:val="none"/>
              </w:rPr>
              <w:t>0571-86799293</w:t>
            </w:r>
          </w:p>
        </w:tc>
        <w:tc>
          <w:tcPr>
            <w:tcW w:w="1186"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693" w:type="dxa"/>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single" w:color="auto" w:sz="4" w:space="0"/>
            </w:tcBorders>
            <w:vAlign w:val="center"/>
          </w:tcPr>
          <w:p>
            <w:pPr>
              <w:spacing w:before="120" w:beforeLines="50" w:after="120" w:afterLines="50"/>
              <w:jc w:val="center"/>
              <w:rPr>
                <w:color w:val="auto"/>
                <w:sz w:val="21"/>
                <w:highlight w:val="none"/>
              </w:rPr>
            </w:pPr>
          </w:p>
        </w:tc>
        <w:tc>
          <w:tcPr>
            <w:tcW w:w="1659" w:type="dxa"/>
            <w:vAlign w:val="center"/>
          </w:tcPr>
          <w:p>
            <w:pPr>
              <w:spacing w:before="120" w:beforeLines="50" w:after="120" w:afterLines="50"/>
              <w:jc w:val="center"/>
              <w:rPr>
                <w:color w:val="auto"/>
                <w:sz w:val="21"/>
                <w:highlight w:val="none"/>
              </w:rPr>
            </w:pPr>
            <w:r>
              <w:rPr>
                <w:color w:val="auto"/>
                <w:sz w:val="21"/>
                <w:highlight w:val="none"/>
              </w:rPr>
              <w:t>帐      号</w:t>
            </w:r>
          </w:p>
        </w:tc>
        <w:tc>
          <w:tcPr>
            <w:tcW w:w="2965" w:type="dxa"/>
            <w:gridSpan w:val="3"/>
            <w:vAlign w:val="center"/>
          </w:tcPr>
          <w:p>
            <w:pPr>
              <w:spacing w:before="120" w:beforeLines="50" w:after="120" w:afterLines="50"/>
              <w:jc w:val="center"/>
              <w:rPr>
                <w:color w:val="auto"/>
                <w:sz w:val="21"/>
                <w:highlight w:val="none"/>
              </w:rPr>
            </w:pPr>
          </w:p>
        </w:tc>
        <w:tc>
          <w:tcPr>
            <w:tcW w:w="1186"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pPr>
              <w:spacing w:before="120" w:beforeLines="50" w:after="120" w:afterLines="50"/>
              <w:jc w:val="center"/>
              <w:rPr>
                <w:color w:val="auto"/>
                <w:sz w:val="21"/>
                <w:highlight w:val="none"/>
              </w:rPr>
            </w:pPr>
          </w:p>
        </w:tc>
      </w:tr>
    </w:tbl>
    <w:p>
      <w:pPr>
        <w:spacing w:line="500" w:lineRule="exact"/>
        <w:ind w:firstLine="5760" w:firstLineChars="2400"/>
        <w:rPr>
          <w:color w:val="auto"/>
          <w:highlight w:val="none"/>
        </w:rPr>
      </w:pPr>
    </w:p>
    <w:p>
      <w:pPr>
        <w:spacing w:before="120" w:beforeLines="50"/>
        <w:ind w:right="11"/>
        <w:jc w:val="center"/>
        <w:rPr>
          <w:rFonts w:eastAsia="黑体"/>
          <w:color w:val="auto"/>
          <w:sz w:val="44"/>
          <w:highlight w:val="none"/>
          <w:u w:val="single"/>
        </w:rPr>
      </w:pPr>
    </w:p>
    <w:p>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v:textbox>
              </v:shape>
            </w:pict>
          </mc:Fallback>
        </mc:AlternateContent>
      </w:r>
    </w:p>
    <w:p>
      <w:pPr>
        <w:ind w:right="11"/>
        <w:rPr>
          <w:color w:val="auto"/>
          <w:highlight w:val="none"/>
        </w:rPr>
      </w:pPr>
    </w:p>
    <w:p>
      <w:pPr>
        <w:ind w:right="11"/>
        <w:rPr>
          <w:color w:val="auto"/>
          <w:highlight w:val="none"/>
        </w:rPr>
      </w:pPr>
    </w:p>
    <w:p>
      <w:pPr>
        <w:ind w:right="11"/>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930"/>
        </w:tabs>
        <w:rPr>
          <w:color w:val="auto"/>
          <w:highlight w:val="none"/>
        </w:rPr>
      </w:pPr>
      <w:r>
        <w:rPr>
          <w:color w:val="auto"/>
          <w:highlight w:val="none"/>
        </w:rPr>
        <w:tab/>
      </w:r>
    </w:p>
    <w:p>
      <w:pPr>
        <w:spacing w:line="500" w:lineRule="exact"/>
        <w:ind w:firstLine="5760" w:firstLineChars="2400"/>
        <w:rPr>
          <w:color w:val="auto"/>
          <w:highlight w:val="none"/>
        </w:rPr>
      </w:pPr>
    </w:p>
    <w:p>
      <w:pPr>
        <w:jc w:val="center"/>
        <w:rPr>
          <w:color w:val="auto"/>
          <w:highlight w:val="none"/>
        </w:rPr>
      </w:pPr>
    </w:p>
    <w:p>
      <w:pPr>
        <w:jc w:val="center"/>
        <w:rPr>
          <w:color w:val="auto"/>
          <w:highlight w:val="none"/>
        </w:rPr>
      </w:pPr>
    </w:p>
    <w:p>
      <w:pPr>
        <w:ind w:right="11"/>
        <w:rPr>
          <w:color w:val="auto"/>
          <w:highlight w:val="none"/>
        </w:rPr>
      </w:pPr>
    </w:p>
    <w:p>
      <w:pPr>
        <w:spacing w:line="300" w:lineRule="auto"/>
        <w:rPr>
          <w:color w:val="auto"/>
          <w:highlight w:val="none"/>
        </w:rPr>
      </w:pPr>
    </w:p>
    <w:p>
      <w:pPr>
        <w:pStyle w:val="43"/>
        <w:rPr>
          <w:color w:val="auto"/>
          <w:highlight w:val="none"/>
          <w:lang w:eastAsia="zh-CN"/>
        </w:rPr>
      </w:pPr>
    </w:p>
    <w:p>
      <w:pPr>
        <w:pStyle w:val="43"/>
        <w:rPr>
          <w:color w:val="auto"/>
          <w:highlight w:val="none"/>
        </w:rPr>
      </w:pP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7852D5-D703-439A-A950-BE1999050C85}"/>
  </w:font>
  <w:font w:name="黑体">
    <w:panose1 w:val="02010609060101010101"/>
    <w:charset w:val="86"/>
    <w:family w:val="auto"/>
    <w:pitch w:val="default"/>
    <w:sig w:usb0="800002BF" w:usb1="38CF7CFA" w:usb2="00000016" w:usb3="00000000" w:csb0="00040001" w:csb1="00000000"/>
    <w:embedRegular r:id="rId2" w:fontKey="{EBBF8EB1-0398-417C-A6F9-A6F1309A90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B83B7A60-C8D6-4EBC-B8E3-43A02DD01757}"/>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E3301499-B044-476A-B152-8176C6F330C2}"/>
  </w:font>
  <w:font w:name="Verdana">
    <w:panose1 w:val="020B0604030504040204"/>
    <w:charset w:val="00"/>
    <w:family w:val="swiss"/>
    <w:pitch w:val="default"/>
    <w:sig w:usb0="A00006FF" w:usb1="4000205B" w:usb2="00000010" w:usb3="00000000" w:csb0="2000019F" w:csb1="00000000"/>
  </w:font>
  <w:font w:name="??">
    <w:altName w:val="Arial"/>
    <w:panose1 w:val="00000000000000000000"/>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5" w:fontKey="{77824700-98CC-4044-8933-7B8E3FC3664B}"/>
  </w:font>
  <w:font w:name="宋体-18030">
    <w:altName w:val="微软雅黑"/>
    <w:panose1 w:val="00000000000000000000"/>
    <w:charset w:val="86"/>
    <w:family w:val="modern"/>
    <w:pitch w:val="default"/>
    <w:sig w:usb0="00000000" w:usb1="00000000" w:usb2="000A005E" w:usb3="00000000" w:csb0="00040001" w:csb1="00000000"/>
    <w:embedRegular r:id="rId6" w:fontKey="{6E080697-FDB6-4D77-964B-C1F5826D3AC6}"/>
  </w:font>
  <w:font w:name="楷体">
    <w:panose1 w:val="02010609060101010101"/>
    <w:charset w:val="86"/>
    <w:family w:val="auto"/>
    <w:pitch w:val="default"/>
    <w:sig w:usb0="800002BF" w:usb1="38CF7CFA" w:usb2="00000016" w:usb3="00000000" w:csb0="00040001" w:csb1="00000000"/>
    <w:embedRegular r:id="rId7" w:fontKey="{3F6D7BEB-53F3-4DBB-8A6E-BC7714EE428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中心机构改革撤并单位档案整体移交整理及扫描</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2">
    <w:nsid w:val="644D2B38"/>
    <w:multiLevelType w:val="singleLevel"/>
    <w:tmpl w:val="644D2B38"/>
    <w:lvl w:ilvl="0" w:tentative="0">
      <w:start w:val="2"/>
      <w:numFmt w:val="decimal"/>
      <w:suff w:val="nothing"/>
      <w:lvlText w:val="（%1）"/>
      <w:lvlJc w:val="left"/>
    </w:lvl>
  </w:abstractNum>
  <w:abstractNum w:abstractNumId="3">
    <w:nsid w:val="7C3DFFED"/>
    <w:multiLevelType w:val="singleLevel"/>
    <w:tmpl w:val="7C3DFFED"/>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MmY3NDVjOWZhYTk4ODgyYzQ4ZTc5MTM1NGU5ZTM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51C2"/>
    <w:rsid w:val="01953D19"/>
    <w:rsid w:val="02030A71"/>
    <w:rsid w:val="022E090A"/>
    <w:rsid w:val="02496E0A"/>
    <w:rsid w:val="026730CA"/>
    <w:rsid w:val="02860C8C"/>
    <w:rsid w:val="0288005D"/>
    <w:rsid w:val="02A75FDE"/>
    <w:rsid w:val="02C56CFC"/>
    <w:rsid w:val="03045209"/>
    <w:rsid w:val="030A1FFD"/>
    <w:rsid w:val="032D3420"/>
    <w:rsid w:val="033539BF"/>
    <w:rsid w:val="0348581B"/>
    <w:rsid w:val="03B0012B"/>
    <w:rsid w:val="03BF37C8"/>
    <w:rsid w:val="043F4C76"/>
    <w:rsid w:val="045C2758"/>
    <w:rsid w:val="0466617C"/>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E83DFF"/>
    <w:rsid w:val="06161AE0"/>
    <w:rsid w:val="06293014"/>
    <w:rsid w:val="064B0A93"/>
    <w:rsid w:val="06C25773"/>
    <w:rsid w:val="07355355"/>
    <w:rsid w:val="073C5398"/>
    <w:rsid w:val="074D3623"/>
    <w:rsid w:val="075C3B02"/>
    <w:rsid w:val="07756781"/>
    <w:rsid w:val="077B12F4"/>
    <w:rsid w:val="077C4D12"/>
    <w:rsid w:val="077F20B8"/>
    <w:rsid w:val="07B428E5"/>
    <w:rsid w:val="07E13D6B"/>
    <w:rsid w:val="07F04451"/>
    <w:rsid w:val="07F645C9"/>
    <w:rsid w:val="08460CF5"/>
    <w:rsid w:val="08C01BD2"/>
    <w:rsid w:val="08C711B3"/>
    <w:rsid w:val="08CB5CC9"/>
    <w:rsid w:val="08FA5A5D"/>
    <w:rsid w:val="094E1862"/>
    <w:rsid w:val="09665FCA"/>
    <w:rsid w:val="09717603"/>
    <w:rsid w:val="09B646DB"/>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A92DF2"/>
    <w:rsid w:val="0BD94E16"/>
    <w:rsid w:val="0C7B65B1"/>
    <w:rsid w:val="0C821038"/>
    <w:rsid w:val="0C833994"/>
    <w:rsid w:val="0CAC0DEC"/>
    <w:rsid w:val="0CE718A7"/>
    <w:rsid w:val="0CFC5D2F"/>
    <w:rsid w:val="0D183D8B"/>
    <w:rsid w:val="0D1D5845"/>
    <w:rsid w:val="0D240FBE"/>
    <w:rsid w:val="0D266C0A"/>
    <w:rsid w:val="0D363464"/>
    <w:rsid w:val="0D493333"/>
    <w:rsid w:val="0D701205"/>
    <w:rsid w:val="0D7B5CE0"/>
    <w:rsid w:val="0D873487"/>
    <w:rsid w:val="0D8F335A"/>
    <w:rsid w:val="0D914B1E"/>
    <w:rsid w:val="0DFD5A6A"/>
    <w:rsid w:val="0DFF4F4B"/>
    <w:rsid w:val="0E0E6DD2"/>
    <w:rsid w:val="0E231644"/>
    <w:rsid w:val="0E48537D"/>
    <w:rsid w:val="0E80369D"/>
    <w:rsid w:val="0F151EDD"/>
    <w:rsid w:val="0F264E85"/>
    <w:rsid w:val="0F2E0B64"/>
    <w:rsid w:val="0F4946D0"/>
    <w:rsid w:val="0F50417F"/>
    <w:rsid w:val="0F61539C"/>
    <w:rsid w:val="0F6E6935"/>
    <w:rsid w:val="0F8D08F5"/>
    <w:rsid w:val="0FA86CE7"/>
    <w:rsid w:val="0FB12275"/>
    <w:rsid w:val="0FB51251"/>
    <w:rsid w:val="0FF36C1E"/>
    <w:rsid w:val="103E531D"/>
    <w:rsid w:val="104D58A3"/>
    <w:rsid w:val="10671757"/>
    <w:rsid w:val="107420DF"/>
    <w:rsid w:val="108B6C39"/>
    <w:rsid w:val="110D6E77"/>
    <w:rsid w:val="110E534D"/>
    <w:rsid w:val="11323E5A"/>
    <w:rsid w:val="113C57CB"/>
    <w:rsid w:val="115D0906"/>
    <w:rsid w:val="119A67D3"/>
    <w:rsid w:val="11C7227A"/>
    <w:rsid w:val="12027D8E"/>
    <w:rsid w:val="122E6D59"/>
    <w:rsid w:val="1238558D"/>
    <w:rsid w:val="1251562D"/>
    <w:rsid w:val="127272F7"/>
    <w:rsid w:val="12754E7D"/>
    <w:rsid w:val="129C0FBA"/>
    <w:rsid w:val="12AB2CA4"/>
    <w:rsid w:val="12D05FF9"/>
    <w:rsid w:val="12D60970"/>
    <w:rsid w:val="12FD57BB"/>
    <w:rsid w:val="130309DF"/>
    <w:rsid w:val="131A2C9C"/>
    <w:rsid w:val="1328419F"/>
    <w:rsid w:val="13465E30"/>
    <w:rsid w:val="13AA7B26"/>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6001BEC"/>
    <w:rsid w:val="160F63FC"/>
    <w:rsid w:val="16131A43"/>
    <w:rsid w:val="16250D06"/>
    <w:rsid w:val="163E7293"/>
    <w:rsid w:val="169F71A9"/>
    <w:rsid w:val="16FD2454"/>
    <w:rsid w:val="17641D15"/>
    <w:rsid w:val="176C3651"/>
    <w:rsid w:val="178C78AD"/>
    <w:rsid w:val="17B51E7E"/>
    <w:rsid w:val="17C1455F"/>
    <w:rsid w:val="17C73738"/>
    <w:rsid w:val="17D248E8"/>
    <w:rsid w:val="17FC3225"/>
    <w:rsid w:val="182849A3"/>
    <w:rsid w:val="18541871"/>
    <w:rsid w:val="18A132D8"/>
    <w:rsid w:val="18B37F54"/>
    <w:rsid w:val="18C26578"/>
    <w:rsid w:val="18CA1E32"/>
    <w:rsid w:val="18CA59C9"/>
    <w:rsid w:val="19080B17"/>
    <w:rsid w:val="19632832"/>
    <w:rsid w:val="19636CD6"/>
    <w:rsid w:val="19665C2A"/>
    <w:rsid w:val="19841305"/>
    <w:rsid w:val="199940C6"/>
    <w:rsid w:val="199A314A"/>
    <w:rsid w:val="19A81A04"/>
    <w:rsid w:val="19B80918"/>
    <w:rsid w:val="19CE23A1"/>
    <w:rsid w:val="19D6646E"/>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B12F6A"/>
    <w:rsid w:val="1BC752FA"/>
    <w:rsid w:val="1BDB348B"/>
    <w:rsid w:val="1C277A48"/>
    <w:rsid w:val="1C2A0C71"/>
    <w:rsid w:val="1C404155"/>
    <w:rsid w:val="1C7D2E60"/>
    <w:rsid w:val="1CAB4C49"/>
    <w:rsid w:val="1CD61AEE"/>
    <w:rsid w:val="1CDD6D9F"/>
    <w:rsid w:val="1D121BB1"/>
    <w:rsid w:val="1D297FDA"/>
    <w:rsid w:val="1D2B18B9"/>
    <w:rsid w:val="1D4B65E0"/>
    <w:rsid w:val="1D520724"/>
    <w:rsid w:val="1D5454AB"/>
    <w:rsid w:val="1D674BC4"/>
    <w:rsid w:val="1D832105"/>
    <w:rsid w:val="1DAF6046"/>
    <w:rsid w:val="1DF93880"/>
    <w:rsid w:val="1E17083B"/>
    <w:rsid w:val="1E944BE6"/>
    <w:rsid w:val="1E9C1FAD"/>
    <w:rsid w:val="1E9D66AD"/>
    <w:rsid w:val="1EC05E27"/>
    <w:rsid w:val="1ECC6AB2"/>
    <w:rsid w:val="1EF05099"/>
    <w:rsid w:val="1EFD332E"/>
    <w:rsid w:val="1F03447A"/>
    <w:rsid w:val="1F3E1E0D"/>
    <w:rsid w:val="1F6B68E4"/>
    <w:rsid w:val="1F9935F5"/>
    <w:rsid w:val="1FA145F1"/>
    <w:rsid w:val="1FC55C88"/>
    <w:rsid w:val="1FFB37C4"/>
    <w:rsid w:val="203C00B0"/>
    <w:rsid w:val="2074053F"/>
    <w:rsid w:val="20791E01"/>
    <w:rsid w:val="2084510F"/>
    <w:rsid w:val="20AA6F98"/>
    <w:rsid w:val="20B74748"/>
    <w:rsid w:val="20C130C2"/>
    <w:rsid w:val="20E3048E"/>
    <w:rsid w:val="20F841A8"/>
    <w:rsid w:val="21292FC6"/>
    <w:rsid w:val="21307616"/>
    <w:rsid w:val="2177331E"/>
    <w:rsid w:val="219C2D85"/>
    <w:rsid w:val="21C54E8F"/>
    <w:rsid w:val="21D34B65"/>
    <w:rsid w:val="21E07613"/>
    <w:rsid w:val="21E53641"/>
    <w:rsid w:val="21FA4D67"/>
    <w:rsid w:val="220972CA"/>
    <w:rsid w:val="221D13E9"/>
    <w:rsid w:val="224065E9"/>
    <w:rsid w:val="22456E83"/>
    <w:rsid w:val="22462048"/>
    <w:rsid w:val="226F47E2"/>
    <w:rsid w:val="227278E8"/>
    <w:rsid w:val="22765CAC"/>
    <w:rsid w:val="229D4001"/>
    <w:rsid w:val="22A91CCF"/>
    <w:rsid w:val="22C90BDB"/>
    <w:rsid w:val="230706D2"/>
    <w:rsid w:val="230B27C1"/>
    <w:rsid w:val="23447818"/>
    <w:rsid w:val="235D69C1"/>
    <w:rsid w:val="236166AD"/>
    <w:rsid w:val="23684E75"/>
    <w:rsid w:val="237B2429"/>
    <w:rsid w:val="23A91789"/>
    <w:rsid w:val="23AD1279"/>
    <w:rsid w:val="23BB3920"/>
    <w:rsid w:val="23C27030"/>
    <w:rsid w:val="23D14CE3"/>
    <w:rsid w:val="23ED200D"/>
    <w:rsid w:val="23EF23EE"/>
    <w:rsid w:val="23F34774"/>
    <w:rsid w:val="23FD5041"/>
    <w:rsid w:val="24015975"/>
    <w:rsid w:val="2403533D"/>
    <w:rsid w:val="242757FF"/>
    <w:rsid w:val="242835F0"/>
    <w:rsid w:val="243454F7"/>
    <w:rsid w:val="246345B8"/>
    <w:rsid w:val="24641294"/>
    <w:rsid w:val="246852E5"/>
    <w:rsid w:val="24C77D7F"/>
    <w:rsid w:val="24E94E26"/>
    <w:rsid w:val="24F141DF"/>
    <w:rsid w:val="25673449"/>
    <w:rsid w:val="25900E53"/>
    <w:rsid w:val="259F4932"/>
    <w:rsid w:val="25AF55B6"/>
    <w:rsid w:val="25BB0B7C"/>
    <w:rsid w:val="25BD0507"/>
    <w:rsid w:val="26006BF0"/>
    <w:rsid w:val="260A3DD3"/>
    <w:rsid w:val="260B04D9"/>
    <w:rsid w:val="265F6C6A"/>
    <w:rsid w:val="26722306"/>
    <w:rsid w:val="267728D1"/>
    <w:rsid w:val="268A3AF4"/>
    <w:rsid w:val="268B27BF"/>
    <w:rsid w:val="26B22170"/>
    <w:rsid w:val="26CC2D1F"/>
    <w:rsid w:val="26E44099"/>
    <w:rsid w:val="27001A98"/>
    <w:rsid w:val="27145206"/>
    <w:rsid w:val="273C1706"/>
    <w:rsid w:val="2767774A"/>
    <w:rsid w:val="27712B1F"/>
    <w:rsid w:val="279019FD"/>
    <w:rsid w:val="27960766"/>
    <w:rsid w:val="27BF00FA"/>
    <w:rsid w:val="27D72D1C"/>
    <w:rsid w:val="27DD5FC2"/>
    <w:rsid w:val="28006CED"/>
    <w:rsid w:val="28357A8F"/>
    <w:rsid w:val="285E2EA8"/>
    <w:rsid w:val="28935E56"/>
    <w:rsid w:val="28B95682"/>
    <w:rsid w:val="28BF0690"/>
    <w:rsid w:val="28C52BC1"/>
    <w:rsid w:val="28F159FD"/>
    <w:rsid w:val="28FB61A4"/>
    <w:rsid w:val="29137678"/>
    <w:rsid w:val="29154452"/>
    <w:rsid w:val="294155C7"/>
    <w:rsid w:val="299918B2"/>
    <w:rsid w:val="29D01048"/>
    <w:rsid w:val="29DB1818"/>
    <w:rsid w:val="29ED5F9C"/>
    <w:rsid w:val="2A36003D"/>
    <w:rsid w:val="2A385FE8"/>
    <w:rsid w:val="2A720B27"/>
    <w:rsid w:val="2A7C7BF7"/>
    <w:rsid w:val="2A7F14C7"/>
    <w:rsid w:val="2AE22B7D"/>
    <w:rsid w:val="2B0547EA"/>
    <w:rsid w:val="2B0A0824"/>
    <w:rsid w:val="2B0A2F96"/>
    <w:rsid w:val="2B0E6D7D"/>
    <w:rsid w:val="2B1840F2"/>
    <w:rsid w:val="2B1A3EF1"/>
    <w:rsid w:val="2B1D5659"/>
    <w:rsid w:val="2B285689"/>
    <w:rsid w:val="2B7E2B60"/>
    <w:rsid w:val="2B88032C"/>
    <w:rsid w:val="2BB10388"/>
    <w:rsid w:val="2BC26A2A"/>
    <w:rsid w:val="2BE23A8A"/>
    <w:rsid w:val="2BE975ED"/>
    <w:rsid w:val="2C016606"/>
    <w:rsid w:val="2C2740D7"/>
    <w:rsid w:val="2C283082"/>
    <w:rsid w:val="2C46534E"/>
    <w:rsid w:val="2C4A7132"/>
    <w:rsid w:val="2C532973"/>
    <w:rsid w:val="2C5C4906"/>
    <w:rsid w:val="2C6F27E7"/>
    <w:rsid w:val="2C882884"/>
    <w:rsid w:val="2C971B37"/>
    <w:rsid w:val="2CB431B9"/>
    <w:rsid w:val="2CB50C49"/>
    <w:rsid w:val="2CC51E4D"/>
    <w:rsid w:val="2CDA56D6"/>
    <w:rsid w:val="2D0A34ED"/>
    <w:rsid w:val="2D240956"/>
    <w:rsid w:val="2D241E80"/>
    <w:rsid w:val="2D2D1661"/>
    <w:rsid w:val="2D371D7D"/>
    <w:rsid w:val="2D3826E3"/>
    <w:rsid w:val="2D547805"/>
    <w:rsid w:val="2D7A43FD"/>
    <w:rsid w:val="2D9C7D09"/>
    <w:rsid w:val="2D9F6151"/>
    <w:rsid w:val="2DB8419B"/>
    <w:rsid w:val="2DD976CB"/>
    <w:rsid w:val="2DF14458"/>
    <w:rsid w:val="2DF24A3D"/>
    <w:rsid w:val="2DF778AD"/>
    <w:rsid w:val="2E0460B3"/>
    <w:rsid w:val="2E2868D9"/>
    <w:rsid w:val="2E370565"/>
    <w:rsid w:val="2E3F36EF"/>
    <w:rsid w:val="2E642AC4"/>
    <w:rsid w:val="2E6C6002"/>
    <w:rsid w:val="2E8D74DB"/>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B971F8"/>
    <w:rsid w:val="2FEC2F3D"/>
    <w:rsid w:val="2FF37C75"/>
    <w:rsid w:val="2FFB28A7"/>
    <w:rsid w:val="2FFC488C"/>
    <w:rsid w:val="30265809"/>
    <w:rsid w:val="30575792"/>
    <w:rsid w:val="306B26E1"/>
    <w:rsid w:val="30A56F22"/>
    <w:rsid w:val="30AA03C9"/>
    <w:rsid w:val="30F775BA"/>
    <w:rsid w:val="311A0E00"/>
    <w:rsid w:val="3120227A"/>
    <w:rsid w:val="31372DB3"/>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DA5129"/>
    <w:rsid w:val="32F6606D"/>
    <w:rsid w:val="330253ED"/>
    <w:rsid w:val="33072028"/>
    <w:rsid w:val="335343B4"/>
    <w:rsid w:val="3356503C"/>
    <w:rsid w:val="33854D57"/>
    <w:rsid w:val="33AB45DD"/>
    <w:rsid w:val="33B026C0"/>
    <w:rsid w:val="33B421B0"/>
    <w:rsid w:val="33B757FC"/>
    <w:rsid w:val="33B977C6"/>
    <w:rsid w:val="33C400C9"/>
    <w:rsid w:val="33CB76E0"/>
    <w:rsid w:val="33CE2A3E"/>
    <w:rsid w:val="33D959F8"/>
    <w:rsid w:val="33E37E55"/>
    <w:rsid w:val="33F16EFD"/>
    <w:rsid w:val="342E28E8"/>
    <w:rsid w:val="34312E68"/>
    <w:rsid w:val="34574ACF"/>
    <w:rsid w:val="34627D53"/>
    <w:rsid w:val="3468751B"/>
    <w:rsid w:val="34794FB6"/>
    <w:rsid w:val="34997461"/>
    <w:rsid w:val="34A30017"/>
    <w:rsid w:val="34A53E9F"/>
    <w:rsid w:val="34AF2E92"/>
    <w:rsid w:val="34CD49C4"/>
    <w:rsid w:val="34DE4E29"/>
    <w:rsid w:val="34FA7A5F"/>
    <w:rsid w:val="35314BA5"/>
    <w:rsid w:val="356731BB"/>
    <w:rsid w:val="3572587B"/>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7CB5"/>
    <w:rsid w:val="37764879"/>
    <w:rsid w:val="377E12A3"/>
    <w:rsid w:val="37D416A4"/>
    <w:rsid w:val="37EC38F1"/>
    <w:rsid w:val="380F1329"/>
    <w:rsid w:val="38214B8B"/>
    <w:rsid w:val="382267F0"/>
    <w:rsid w:val="382470D2"/>
    <w:rsid w:val="38274581"/>
    <w:rsid w:val="385507AA"/>
    <w:rsid w:val="38586507"/>
    <w:rsid w:val="3864392A"/>
    <w:rsid w:val="38A87E0A"/>
    <w:rsid w:val="38EC50D0"/>
    <w:rsid w:val="38F84E03"/>
    <w:rsid w:val="38F97119"/>
    <w:rsid w:val="39303E9A"/>
    <w:rsid w:val="393074E8"/>
    <w:rsid w:val="39355B41"/>
    <w:rsid w:val="39371B9C"/>
    <w:rsid w:val="39474C70"/>
    <w:rsid w:val="394D6FA7"/>
    <w:rsid w:val="398D772B"/>
    <w:rsid w:val="398E0333"/>
    <w:rsid w:val="39992224"/>
    <w:rsid w:val="39AC422D"/>
    <w:rsid w:val="39D277BD"/>
    <w:rsid w:val="39D44FBA"/>
    <w:rsid w:val="39E77B05"/>
    <w:rsid w:val="39FC040D"/>
    <w:rsid w:val="3A06303A"/>
    <w:rsid w:val="3A1E3D32"/>
    <w:rsid w:val="3A2E4A73"/>
    <w:rsid w:val="3A304530"/>
    <w:rsid w:val="3A3842A1"/>
    <w:rsid w:val="3A4E2E71"/>
    <w:rsid w:val="3AC23C2B"/>
    <w:rsid w:val="3ADF0492"/>
    <w:rsid w:val="3B0D3370"/>
    <w:rsid w:val="3B4C0F20"/>
    <w:rsid w:val="3B55499D"/>
    <w:rsid w:val="3B654785"/>
    <w:rsid w:val="3B660234"/>
    <w:rsid w:val="3B9C552E"/>
    <w:rsid w:val="3BFF50CF"/>
    <w:rsid w:val="3C0B7739"/>
    <w:rsid w:val="3C123996"/>
    <w:rsid w:val="3C6F092F"/>
    <w:rsid w:val="3C6F47FD"/>
    <w:rsid w:val="3C9C021C"/>
    <w:rsid w:val="3CA86084"/>
    <w:rsid w:val="3CD3621D"/>
    <w:rsid w:val="3CFF704B"/>
    <w:rsid w:val="3D03364A"/>
    <w:rsid w:val="3D0D2931"/>
    <w:rsid w:val="3D16727E"/>
    <w:rsid w:val="3D1A2F01"/>
    <w:rsid w:val="3D1B23E9"/>
    <w:rsid w:val="3D1C79B4"/>
    <w:rsid w:val="3D597514"/>
    <w:rsid w:val="3D7B3F30"/>
    <w:rsid w:val="3E407AAF"/>
    <w:rsid w:val="3E54783E"/>
    <w:rsid w:val="3E5F0F6A"/>
    <w:rsid w:val="3E660B86"/>
    <w:rsid w:val="3E783A05"/>
    <w:rsid w:val="3E841F90"/>
    <w:rsid w:val="3E857A0F"/>
    <w:rsid w:val="3EB523B7"/>
    <w:rsid w:val="3EE17BD1"/>
    <w:rsid w:val="3EEC6E64"/>
    <w:rsid w:val="3EFA658C"/>
    <w:rsid w:val="3F1C754A"/>
    <w:rsid w:val="3F442E52"/>
    <w:rsid w:val="3F515A93"/>
    <w:rsid w:val="3F6D6214"/>
    <w:rsid w:val="3F715B87"/>
    <w:rsid w:val="3F794602"/>
    <w:rsid w:val="3F9722BA"/>
    <w:rsid w:val="3FB0631E"/>
    <w:rsid w:val="3FB15386"/>
    <w:rsid w:val="3FE41961"/>
    <w:rsid w:val="3FFF1D94"/>
    <w:rsid w:val="4006103B"/>
    <w:rsid w:val="401E455E"/>
    <w:rsid w:val="40553662"/>
    <w:rsid w:val="40D92599"/>
    <w:rsid w:val="40F31F30"/>
    <w:rsid w:val="40F40090"/>
    <w:rsid w:val="40F415EF"/>
    <w:rsid w:val="40F51247"/>
    <w:rsid w:val="4109151B"/>
    <w:rsid w:val="411532F7"/>
    <w:rsid w:val="412A3AB2"/>
    <w:rsid w:val="414F42C4"/>
    <w:rsid w:val="41BE244C"/>
    <w:rsid w:val="41C36DF9"/>
    <w:rsid w:val="41E60C52"/>
    <w:rsid w:val="41FD7266"/>
    <w:rsid w:val="420B4088"/>
    <w:rsid w:val="421D5E85"/>
    <w:rsid w:val="426370D2"/>
    <w:rsid w:val="42652422"/>
    <w:rsid w:val="426873E8"/>
    <w:rsid w:val="42945933"/>
    <w:rsid w:val="429C7F30"/>
    <w:rsid w:val="42AD499A"/>
    <w:rsid w:val="42CD085A"/>
    <w:rsid w:val="42DC34B6"/>
    <w:rsid w:val="42DF6B1E"/>
    <w:rsid w:val="42E13148"/>
    <w:rsid w:val="42EA12B5"/>
    <w:rsid w:val="4315253F"/>
    <w:rsid w:val="432329D7"/>
    <w:rsid w:val="43360F8B"/>
    <w:rsid w:val="43402BE1"/>
    <w:rsid w:val="43460E02"/>
    <w:rsid w:val="43673047"/>
    <w:rsid w:val="438A0837"/>
    <w:rsid w:val="439E57CE"/>
    <w:rsid w:val="43E77A38"/>
    <w:rsid w:val="43E837B0"/>
    <w:rsid w:val="43FC6EB9"/>
    <w:rsid w:val="440D0D96"/>
    <w:rsid w:val="441477C8"/>
    <w:rsid w:val="44181E0E"/>
    <w:rsid w:val="44404BA1"/>
    <w:rsid w:val="444214C3"/>
    <w:rsid w:val="449A796D"/>
    <w:rsid w:val="44E47DC8"/>
    <w:rsid w:val="44EE4DF6"/>
    <w:rsid w:val="45040631"/>
    <w:rsid w:val="45237CC4"/>
    <w:rsid w:val="459A0CB8"/>
    <w:rsid w:val="45A1630C"/>
    <w:rsid w:val="45D4410E"/>
    <w:rsid w:val="45FA2ECF"/>
    <w:rsid w:val="46215AA4"/>
    <w:rsid w:val="4642189D"/>
    <w:rsid w:val="464A0752"/>
    <w:rsid w:val="46636BF5"/>
    <w:rsid w:val="46802BDF"/>
    <w:rsid w:val="469A6AFE"/>
    <w:rsid w:val="46AD5B4E"/>
    <w:rsid w:val="46B26B98"/>
    <w:rsid w:val="46C91677"/>
    <w:rsid w:val="46CB0614"/>
    <w:rsid w:val="46D6235B"/>
    <w:rsid w:val="46EA58B1"/>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393F48"/>
    <w:rsid w:val="485E24B5"/>
    <w:rsid w:val="487216E8"/>
    <w:rsid w:val="488B30BD"/>
    <w:rsid w:val="48A22978"/>
    <w:rsid w:val="48DE4D14"/>
    <w:rsid w:val="48FF5824"/>
    <w:rsid w:val="492C413F"/>
    <w:rsid w:val="49425710"/>
    <w:rsid w:val="494F67AB"/>
    <w:rsid w:val="49663AF5"/>
    <w:rsid w:val="496A035A"/>
    <w:rsid w:val="496F29A9"/>
    <w:rsid w:val="49F83FE5"/>
    <w:rsid w:val="49FB423D"/>
    <w:rsid w:val="4A146192"/>
    <w:rsid w:val="4A3F7C9D"/>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BE1841"/>
    <w:rsid w:val="4BEE0D3C"/>
    <w:rsid w:val="4C1D5B96"/>
    <w:rsid w:val="4C2527EB"/>
    <w:rsid w:val="4C3466D3"/>
    <w:rsid w:val="4C4C6FD2"/>
    <w:rsid w:val="4C760506"/>
    <w:rsid w:val="4C7D53DD"/>
    <w:rsid w:val="4C8012C6"/>
    <w:rsid w:val="4CA56A35"/>
    <w:rsid w:val="4D330C8C"/>
    <w:rsid w:val="4D3D2DBF"/>
    <w:rsid w:val="4D4C0259"/>
    <w:rsid w:val="4D8C673F"/>
    <w:rsid w:val="4DB34E2F"/>
    <w:rsid w:val="4DC816AE"/>
    <w:rsid w:val="4DFD3C82"/>
    <w:rsid w:val="4E1E1598"/>
    <w:rsid w:val="4E25121E"/>
    <w:rsid w:val="4EB20A1B"/>
    <w:rsid w:val="4ED10696"/>
    <w:rsid w:val="4EE44C9C"/>
    <w:rsid w:val="4EEF09D9"/>
    <w:rsid w:val="4F146336"/>
    <w:rsid w:val="4F301FC2"/>
    <w:rsid w:val="4F7F7561"/>
    <w:rsid w:val="4F9D34DC"/>
    <w:rsid w:val="4FAFB9D8"/>
    <w:rsid w:val="4FB21308"/>
    <w:rsid w:val="4FB27D0D"/>
    <w:rsid w:val="4FB5171F"/>
    <w:rsid w:val="4FDE25AA"/>
    <w:rsid w:val="4FFF5169"/>
    <w:rsid w:val="500E2171"/>
    <w:rsid w:val="50204426"/>
    <w:rsid w:val="50544C4E"/>
    <w:rsid w:val="507D7F9B"/>
    <w:rsid w:val="50B06FC4"/>
    <w:rsid w:val="50CD0660"/>
    <w:rsid w:val="51016F6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B4570F"/>
    <w:rsid w:val="52D50DC9"/>
    <w:rsid w:val="52E172CA"/>
    <w:rsid w:val="53043434"/>
    <w:rsid w:val="53105563"/>
    <w:rsid w:val="534F4EDB"/>
    <w:rsid w:val="535F138C"/>
    <w:rsid w:val="53617851"/>
    <w:rsid w:val="536A5F90"/>
    <w:rsid w:val="53A52A87"/>
    <w:rsid w:val="53D31560"/>
    <w:rsid w:val="53D53D51"/>
    <w:rsid w:val="54086A30"/>
    <w:rsid w:val="541A1764"/>
    <w:rsid w:val="54256E19"/>
    <w:rsid w:val="54342F09"/>
    <w:rsid w:val="543C047C"/>
    <w:rsid w:val="543C3027"/>
    <w:rsid w:val="543F3BC9"/>
    <w:rsid w:val="545B2902"/>
    <w:rsid w:val="5462224C"/>
    <w:rsid w:val="54957D5E"/>
    <w:rsid w:val="54990BE6"/>
    <w:rsid w:val="54AC6884"/>
    <w:rsid w:val="54D97674"/>
    <w:rsid w:val="54DC09A2"/>
    <w:rsid w:val="55027C53"/>
    <w:rsid w:val="55132319"/>
    <w:rsid w:val="55747E44"/>
    <w:rsid w:val="55DE4BFD"/>
    <w:rsid w:val="55DE6552"/>
    <w:rsid w:val="55ED715E"/>
    <w:rsid w:val="55EE68C2"/>
    <w:rsid w:val="55F821A8"/>
    <w:rsid w:val="55F8384F"/>
    <w:rsid w:val="56075D18"/>
    <w:rsid w:val="56224489"/>
    <w:rsid w:val="563F54B2"/>
    <w:rsid w:val="565F35D2"/>
    <w:rsid w:val="567D5FDA"/>
    <w:rsid w:val="56953D3C"/>
    <w:rsid w:val="56A417B8"/>
    <w:rsid w:val="56C146F7"/>
    <w:rsid w:val="574F35D4"/>
    <w:rsid w:val="577B58B1"/>
    <w:rsid w:val="57E57349"/>
    <w:rsid w:val="580B2ECA"/>
    <w:rsid w:val="583077A8"/>
    <w:rsid w:val="58445680"/>
    <w:rsid w:val="585272E5"/>
    <w:rsid w:val="586456A3"/>
    <w:rsid w:val="589B4CFF"/>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E24170"/>
    <w:rsid w:val="5B19501C"/>
    <w:rsid w:val="5B251ED4"/>
    <w:rsid w:val="5B2D663D"/>
    <w:rsid w:val="5B3851A2"/>
    <w:rsid w:val="5B552493"/>
    <w:rsid w:val="5B8444D9"/>
    <w:rsid w:val="5B864AC2"/>
    <w:rsid w:val="5BBD4A2F"/>
    <w:rsid w:val="5C3B1962"/>
    <w:rsid w:val="5C6055EE"/>
    <w:rsid w:val="5C763442"/>
    <w:rsid w:val="5C8E04AF"/>
    <w:rsid w:val="5C926290"/>
    <w:rsid w:val="5CB37E02"/>
    <w:rsid w:val="5CBC6D34"/>
    <w:rsid w:val="5CC47E5C"/>
    <w:rsid w:val="5CCE23AD"/>
    <w:rsid w:val="5CD150E5"/>
    <w:rsid w:val="5D292DCB"/>
    <w:rsid w:val="5D2D7327"/>
    <w:rsid w:val="5D3C1F8D"/>
    <w:rsid w:val="5D4A189E"/>
    <w:rsid w:val="5D5F3475"/>
    <w:rsid w:val="5D87241F"/>
    <w:rsid w:val="5E116334"/>
    <w:rsid w:val="5E5670DE"/>
    <w:rsid w:val="5E8E7675"/>
    <w:rsid w:val="5E923168"/>
    <w:rsid w:val="5ED22447"/>
    <w:rsid w:val="5ED4146F"/>
    <w:rsid w:val="5ED94F6C"/>
    <w:rsid w:val="5ED95A10"/>
    <w:rsid w:val="5EE13632"/>
    <w:rsid w:val="5EEF779E"/>
    <w:rsid w:val="5EFF2E95"/>
    <w:rsid w:val="5F532079"/>
    <w:rsid w:val="5F69243D"/>
    <w:rsid w:val="5F6D1211"/>
    <w:rsid w:val="5F7D3C1D"/>
    <w:rsid w:val="5F7E6FF1"/>
    <w:rsid w:val="5F930AB8"/>
    <w:rsid w:val="5FA0502E"/>
    <w:rsid w:val="5FE761F5"/>
    <w:rsid w:val="5FF94209"/>
    <w:rsid w:val="5FFEE2DA"/>
    <w:rsid w:val="600125B9"/>
    <w:rsid w:val="605E7294"/>
    <w:rsid w:val="6085297F"/>
    <w:rsid w:val="60940A9B"/>
    <w:rsid w:val="61234433"/>
    <w:rsid w:val="6144535B"/>
    <w:rsid w:val="614C15ED"/>
    <w:rsid w:val="61695AD8"/>
    <w:rsid w:val="617A5F38"/>
    <w:rsid w:val="61865FA4"/>
    <w:rsid w:val="61964A4A"/>
    <w:rsid w:val="61A17CE2"/>
    <w:rsid w:val="61BB1975"/>
    <w:rsid w:val="61D45B9B"/>
    <w:rsid w:val="61E52301"/>
    <w:rsid w:val="620C3034"/>
    <w:rsid w:val="622F5C12"/>
    <w:rsid w:val="623A4403"/>
    <w:rsid w:val="6254498E"/>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84866"/>
    <w:rsid w:val="65891518"/>
    <w:rsid w:val="658D448B"/>
    <w:rsid w:val="659031BC"/>
    <w:rsid w:val="65A22204"/>
    <w:rsid w:val="65A97358"/>
    <w:rsid w:val="65AC3321"/>
    <w:rsid w:val="65CB5681"/>
    <w:rsid w:val="65E84D5F"/>
    <w:rsid w:val="660C375D"/>
    <w:rsid w:val="661D62C6"/>
    <w:rsid w:val="663542AF"/>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E25394"/>
    <w:rsid w:val="69E33F16"/>
    <w:rsid w:val="69EB267C"/>
    <w:rsid w:val="69FD6740"/>
    <w:rsid w:val="69FF54D8"/>
    <w:rsid w:val="6A10568B"/>
    <w:rsid w:val="6A2B3F64"/>
    <w:rsid w:val="6A4115E1"/>
    <w:rsid w:val="6AC93460"/>
    <w:rsid w:val="6AE82399"/>
    <w:rsid w:val="6AFC1C3B"/>
    <w:rsid w:val="6B0C35EC"/>
    <w:rsid w:val="6B137AA4"/>
    <w:rsid w:val="6B286A04"/>
    <w:rsid w:val="6BAE1FE0"/>
    <w:rsid w:val="6BC241B2"/>
    <w:rsid w:val="6BC32F47"/>
    <w:rsid w:val="6BE8148D"/>
    <w:rsid w:val="6BF02B9A"/>
    <w:rsid w:val="6BF25B74"/>
    <w:rsid w:val="6BF608B1"/>
    <w:rsid w:val="6C1D327B"/>
    <w:rsid w:val="6C376397"/>
    <w:rsid w:val="6C8D0684"/>
    <w:rsid w:val="6C9F2CF6"/>
    <w:rsid w:val="6CB3271C"/>
    <w:rsid w:val="6CBC1B01"/>
    <w:rsid w:val="6CE2606A"/>
    <w:rsid w:val="6D1837C6"/>
    <w:rsid w:val="6D252CE7"/>
    <w:rsid w:val="6D341690"/>
    <w:rsid w:val="6D497F64"/>
    <w:rsid w:val="6D530A73"/>
    <w:rsid w:val="6D531F38"/>
    <w:rsid w:val="6D594B9F"/>
    <w:rsid w:val="6D8850D1"/>
    <w:rsid w:val="6DAB33F9"/>
    <w:rsid w:val="6DB663A6"/>
    <w:rsid w:val="6DCF49BF"/>
    <w:rsid w:val="6DE82327"/>
    <w:rsid w:val="6DF02BC2"/>
    <w:rsid w:val="6E072901"/>
    <w:rsid w:val="6E2A23D7"/>
    <w:rsid w:val="6E6D6B1A"/>
    <w:rsid w:val="6E7855AD"/>
    <w:rsid w:val="6EB36409"/>
    <w:rsid w:val="6EBA5CD6"/>
    <w:rsid w:val="6EC46ED0"/>
    <w:rsid w:val="6F2467A6"/>
    <w:rsid w:val="6F2B0ABC"/>
    <w:rsid w:val="6F2D48F6"/>
    <w:rsid w:val="6F482C6E"/>
    <w:rsid w:val="6F562E9A"/>
    <w:rsid w:val="6FB52842"/>
    <w:rsid w:val="6FBF2444"/>
    <w:rsid w:val="6FD85ED7"/>
    <w:rsid w:val="6FDA6FFB"/>
    <w:rsid w:val="6FE97825"/>
    <w:rsid w:val="6FF45107"/>
    <w:rsid w:val="70335F92"/>
    <w:rsid w:val="704400A5"/>
    <w:rsid w:val="70550FFA"/>
    <w:rsid w:val="70671D7D"/>
    <w:rsid w:val="70827584"/>
    <w:rsid w:val="7084648B"/>
    <w:rsid w:val="7088334B"/>
    <w:rsid w:val="70892717"/>
    <w:rsid w:val="70B56FFA"/>
    <w:rsid w:val="70C364EC"/>
    <w:rsid w:val="70CF5F2B"/>
    <w:rsid w:val="70EF0E74"/>
    <w:rsid w:val="71171105"/>
    <w:rsid w:val="71241F38"/>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A021AF"/>
    <w:rsid w:val="72A3486F"/>
    <w:rsid w:val="72C9671B"/>
    <w:rsid w:val="73322C6F"/>
    <w:rsid w:val="733463A5"/>
    <w:rsid w:val="73413A65"/>
    <w:rsid w:val="736F3422"/>
    <w:rsid w:val="737207E2"/>
    <w:rsid w:val="73973CDB"/>
    <w:rsid w:val="739F03F3"/>
    <w:rsid w:val="73A013FE"/>
    <w:rsid w:val="73AF51C4"/>
    <w:rsid w:val="73B452D9"/>
    <w:rsid w:val="73E44209"/>
    <w:rsid w:val="740C7950"/>
    <w:rsid w:val="74163470"/>
    <w:rsid w:val="74340667"/>
    <w:rsid w:val="743C0231"/>
    <w:rsid w:val="747964D4"/>
    <w:rsid w:val="74921CF0"/>
    <w:rsid w:val="74CB752F"/>
    <w:rsid w:val="74DC34A0"/>
    <w:rsid w:val="74F57957"/>
    <w:rsid w:val="751B5BB6"/>
    <w:rsid w:val="7530273D"/>
    <w:rsid w:val="753531A1"/>
    <w:rsid w:val="753B5890"/>
    <w:rsid w:val="75556648"/>
    <w:rsid w:val="75634503"/>
    <w:rsid w:val="757665C2"/>
    <w:rsid w:val="75BF30E6"/>
    <w:rsid w:val="75C0301E"/>
    <w:rsid w:val="75E579CC"/>
    <w:rsid w:val="75FC2F67"/>
    <w:rsid w:val="75FE3F51"/>
    <w:rsid w:val="7600508C"/>
    <w:rsid w:val="760216B3"/>
    <w:rsid w:val="760B5C1C"/>
    <w:rsid w:val="76132312"/>
    <w:rsid w:val="76133814"/>
    <w:rsid w:val="761E2EDE"/>
    <w:rsid w:val="764C1D31"/>
    <w:rsid w:val="768160D9"/>
    <w:rsid w:val="768674F2"/>
    <w:rsid w:val="76A472EE"/>
    <w:rsid w:val="76A52C35"/>
    <w:rsid w:val="76AC04E9"/>
    <w:rsid w:val="770D6FB1"/>
    <w:rsid w:val="7723261B"/>
    <w:rsid w:val="773D1E0C"/>
    <w:rsid w:val="77D32D2B"/>
    <w:rsid w:val="77E6661F"/>
    <w:rsid w:val="77E93513"/>
    <w:rsid w:val="780003DF"/>
    <w:rsid w:val="780F540E"/>
    <w:rsid w:val="78171EB9"/>
    <w:rsid w:val="782A4738"/>
    <w:rsid w:val="783F5C8F"/>
    <w:rsid w:val="7848230C"/>
    <w:rsid w:val="78686692"/>
    <w:rsid w:val="786B1CDE"/>
    <w:rsid w:val="78736406"/>
    <w:rsid w:val="78BE1364"/>
    <w:rsid w:val="78C71A6C"/>
    <w:rsid w:val="78CA6944"/>
    <w:rsid w:val="78F975FD"/>
    <w:rsid w:val="790436F6"/>
    <w:rsid w:val="791156F9"/>
    <w:rsid w:val="7917313C"/>
    <w:rsid w:val="792233A2"/>
    <w:rsid w:val="793E4426"/>
    <w:rsid w:val="798A01C9"/>
    <w:rsid w:val="79967C5A"/>
    <w:rsid w:val="79D80A11"/>
    <w:rsid w:val="79D85537"/>
    <w:rsid w:val="7A401675"/>
    <w:rsid w:val="7A4543A9"/>
    <w:rsid w:val="7A4D5B40"/>
    <w:rsid w:val="7A562B5D"/>
    <w:rsid w:val="7A8C2E05"/>
    <w:rsid w:val="7A973F3C"/>
    <w:rsid w:val="7AB365B5"/>
    <w:rsid w:val="7AC91C3D"/>
    <w:rsid w:val="7AD77E0C"/>
    <w:rsid w:val="7AE462EC"/>
    <w:rsid w:val="7B193C74"/>
    <w:rsid w:val="7B206849"/>
    <w:rsid w:val="7B551150"/>
    <w:rsid w:val="7B5D6256"/>
    <w:rsid w:val="7B8D35B8"/>
    <w:rsid w:val="7BB82601"/>
    <w:rsid w:val="7BD80EDF"/>
    <w:rsid w:val="7BFE3BFC"/>
    <w:rsid w:val="7C263491"/>
    <w:rsid w:val="7C2D79C3"/>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55AD9"/>
    <w:rsid w:val="7D7828B6"/>
    <w:rsid w:val="7D871FB3"/>
    <w:rsid w:val="7D895DC0"/>
    <w:rsid w:val="7DFF51C9"/>
    <w:rsid w:val="7E020282"/>
    <w:rsid w:val="7E12333D"/>
    <w:rsid w:val="7E357016"/>
    <w:rsid w:val="7E594D16"/>
    <w:rsid w:val="7E722019"/>
    <w:rsid w:val="7E739E2A"/>
    <w:rsid w:val="7EA5419C"/>
    <w:rsid w:val="7ED874A1"/>
    <w:rsid w:val="7EE22D8E"/>
    <w:rsid w:val="7EE822DB"/>
    <w:rsid w:val="7F167902"/>
    <w:rsid w:val="7F281BAB"/>
    <w:rsid w:val="7F324AA5"/>
    <w:rsid w:val="7F403EC5"/>
    <w:rsid w:val="7F4C286A"/>
    <w:rsid w:val="7F4D5D2C"/>
    <w:rsid w:val="7F5B0A7E"/>
    <w:rsid w:val="7F5D2062"/>
    <w:rsid w:val="7F5D465E"/>
    <w:rsid w:val="7F9B734D"/>
    <w:rsid w:val="7FA23EEB"/>
    <w:rsid w:val="7FA43C06"/>
    <w:rsid w:val="7FB36D7E"/>
    <w:rsid w:val="7FC11273"/>
    <w:rsid w:val="7FD178C3"/>
    <w:rsid w:val="7FDD24EF"/>
    <w:rsid w:val="7FDD8B01"/>
    <w:rsid w:val="7FDF4ADE"/>
    <w:rsid w:val="7FEB71F4"/>
    <w:rsid w:val="7FFBE891"/>
    <w:rsid w:val="7FFF806A"/>
    <w:rsid w:val="9E3B979E"/>
    <w:rsid w:val="AFFD10D7"/>
    <w:rsid w:val="BEF4C601"/>
    <w:rsid w:val="D7F35F03"/>
    <w:rsid w:val="D7F7A14D"/>
    <w:rsid w:val="DB896058"/>
    <w:rsid w:val="DC7B73B6"/>
    <w:rsid w:val="E42BC440"/>
    <w:rsid w:val="E77FEDFD"/>
    <w:rsid w:val="EBFF0ADE"/>
    <w:rsid w:val="EFBD9D42"/>
    <w:rsid w:val="F3FB8483"/>
    <w:rsid w:val="F9FD68E7"/>
    <w:rsid w:val="FA5C262C"/>
    <w:rsid w:val="FAFEF72F"/>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autoRedefine/>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2"/>
    <w:autoRedefine/>
    <w:qFormat/>
    <w:uiPriority w:val="0"/>
    <w:pPr>
      <w:spacing w:after="120"/>
    </w:pPr>
  </w:style>
  <w:style w:type="paragraph" w:styleId="3">
    <w:name w:val="toc 4"/>
    <w:basedOn w:val="1"/>
    <w:next w:val="1"/>
    <w:qFormat/>
    <w:uiPriority w:val="39"/>
    <w:pPr>
      <w:widowControl/>
      <w:ind w:left="600"/>
      <w:jc w:val="left"/>
    </w:pPr>
    <w:rPr>
      <w:kern w:val="0"/>
      <w:sz w:val="18"/>
      <w:szCs w:val="20"/>
    </w:rPr>
  </w:style>
  <w:style w:type="paragraph" w:styleId="13">
    <w:name w:val="Normal Indent"/>
    <w:basedOn w:val="1"/>
    <w:next w:val="1"/>
    <w:link w:val="47"/>
    <w:qFormat/>
    <w:uiPriority w:val="0"/>
    <w:pPr>
      <w:ind w:firstLine="488"/>
    </w:pPr>
  </w:style>
  <w:style w:type="paragraph" w:styleId="14">
    <w:name w:val="Document Map"/>
    <w:basedOn w:val="1"/>
    <w:autoRedefine/>
    <w:qFormat/>
    <w:uiPriority w:val="0"/>
    <w:pPr>
      <w:shd w:val="clear" w:color="auto" w:fill="000080"/>
    </w:pPr>
  </w:style>
  <w:style w:type="paragraph" w:styleId="15">
    <w:name w:val="annotation text"/>
    <w:basedOn w:val="1"/>
    <w:link w:val="49"/>
    <w:autoRedefine/>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next w:val="1"/>
    <w:link w:val="50"/>
    <w:autoRedefine/>
    <w:qFormat/>
    <w:uiPriority w:val="0"/>
    <w:pPr>
      <w:tabs>
        <w:tab w:val="left" w:pos="3025"/>
      </w:tabs>
      <w:spacing w:line="420" w:lineRule="exact"/>
      <w:ind w:firstLine="480"/>
    </w:pPr>
  </w:style>
  <w:style w:type="paragraph" w:styleId="18">
    <w:name w:val="Block Text"/>
    <w:basedOn w:val="1"/>
    <w:autoRedefine/>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autoRedefine/>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sz w:val="28"/>
    </w:rPr>
  </w:style>
  <w:style w:type="paragraph" w:styleId="26">
    <w:name w:val="Subtitle"/>
    <w:basedOn w:val="1"/>
    <w:next w:val="1"/>
    <w:link w:val="54"/>
    <w:autoRedefine/>
    <w:qFormat/>
    <w:uiPriority w:val="0"/>
    <w:pPr>
      <w:spacing w:line="360" w:lineRule="auto"/>
      <w:jc w:val="center"/>
      <w:outlineLvl w:val="1"/>
    </w:pPr>
    <w:rPr>
      <w:rFonts w:ascii="Calibri Light" w:hAnsi="Calibri Light"/>
      <w:b/>
      <w:bCs/>
      <w:kern w:val="28"/>
      <w:sz w:val="32"/>
      <w:szCs w:val="32"/>
    </w:rPr>
  </w:style>
  <w:style w:type="paragraph" w:styleId="27">
    <w:name w:val="toc 6"/>
    <w:next w:val="1"/>
    <w:autoRedefine/>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toc 2"/>
    <w:basedOn w:val="1"/>
    <w:next w:val="1"/>
    <w:qFormat/>
    <w:uiPriority w:val="39"/>
    <w:pPr>
      <w:ind w:left="420" w:leftChars="200"/>
    </w:pPr>
  </w:style>
  <w:style w:type="paragraph" w:styleId="29">
    <w:name w:val="Body Text 2"/>
    <w:basedOn w:val="1"/>
    <w:autoRedefine/>
    <w:qFormat/>
    <w:uiPriority w:val="0"/>
    <w:pPr>
      <w:autoSpaceDE/>
      <w:autoSpaceDN/>
      <w:adjustRightInd/>
      <w:textAlignment w:val="auto"/>
    </w:pPr>
    <w:rPr>
      <w:rFonts w:ascii="楷体_GB2312" w:eastAsia="黑体"/>
      <w:b/>
      <w:kern w:val="2"/>
      <w:sz w:val="52"/>
      <w:szCs w:val="52"/>
    </w:rPr>
  </w:style>
  <w:style w:type="paragraph" w:styleId="30">
    <w:name w:val="Normal (Web)"/>
    <w:basedOn w:val="1"/>
    <w:autoRedefine/>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1">
    <w:name w:val="Title"/>
    <w:basedOn w:val="1"/>
    <w:autoRedefine/>
    <w:qFormat/>
    <w:uiPriority w:val="0"/>
    <w:pPr>
      <w:spacing w:before="240" w:after="60"/>
      <w:jc w:val="center"/>
      <w:outlineLvl w:val="0"/>
    </w:pPr>
    <w:rPr>
      <w:b/>
      <w:sz w:val="52"/>
    </w:rPr>
  </w:style>
  <w:style w:type="paragraph" w:styleId="32">
    <w:name w:val="annotation subject"/>
    <w:basedOn w:val="15"/>
    <w:next w:val="15"/>
    <w:autoRedefine/>
    <w:qFormat/>
    <w:uiPriority w:val="0"/>
    <w:rPr>
      <w:b/>
      <w:bCs/>
    </w:rPr>
  </w:style>
  <w:style w:type="paragraph" w:styleId="33">
    <w:name w:val="Body Text First Indent"/>
    <w:basedOn w:val="2"/>
    <w:next w:val="1"/>
    <w:link w:val="93"/>
    <w:autoRedefine/>
    <w:qFormat/>
    <w:uiPriority w:val="0"/>
    <w:pPr>
      <w:ind w:firstLine="420" w:firstLineChars="100"/>
    </w:pPr>
  </w:style>
  <w:style w:type="paragraph" w:styleId="34">
    <w:name w:val="Body Text First Indent 2"/>
    <w:basedOn w:val="17"/>
    <w:autoRedefine/>
    <w:qFormat/>
    <w:uiPriority w:val="0"/>
    <w:pPr>
      <w:tabs>
        <w:tab w:val="left" w:pos="0"/>
        <w:tab w:val="left" w:pos="1260"/>
        <w:tab w:val="left" w:pos="1365"/>
        <w:tab w:val="clear" w:pos="3025"/>
      </w:tabs>
      <w:ind w:firstLine="420"/>
    </w:pPr>
    <w:rPr>
      <w:rFonts w:cs="宋体"/>
      <w:szCs w:val="21"/>
    </w:rPr>
  </w:style>
  <w:style w:type="table" w:styleId="36">
    <w:name w:val="Table Grid"/>
    <w:basedOn w:val="3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autoRedefine/>
    <w:qFormat/>
    <w:uiPriority w:val="0"/>
    <w:rPr>
      <w:b/>
      <w:bCs/>
    </w:rPr>
  </w:style>
  <w:style w:type="character" w:styleId="39">
    <w:name w:val="page number"/>
    <w:autoRedefine/>
    <w:qFormat/>
    <w:uiPriority w:val="0"/>
  </w:style>
  <w:style w:type="character" w:styleId="40">
    <w:name w:val="Emphasis"/>
    <w:autoRedefine/>
    <w:qFormat/>
    <w:uiPriority w:val="20"/>
    <w:rPr>
      <w:i/>
      <w:iCs/>
    </w:rPr>
  </w:style>
  <w:style w:type="character" w:styleId="41">
    <w:name w:val="Hyperlink"/>
    <w:autoRedefine/>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autoRedefine/>
    <w:qFormat/>
    <w:uiPriority w:val="0"/>
    <w:rPr>
      <w:rFonts w:ascii="宋体" w:hAnsi="宋体" w:eastAsia="宋体" w:cs="Times New Roman"/>
      <w:sz w:val="24"/>
      <w:lang w:val="en-US" w:eastAsia="en-US" w:bidi="ar-SA"/>
    </w:rPr>
  </w:style>
  <w:style w:type="paragraph" w:customStyle="1" w:styleId="44">
    <w:name w:val="正文缩进1"/>
    <w:autoRedefine/>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autoRedefine/>
    <w:qFormat/>
    <w:uiPriority w:val="0"/>
    <w:rPr>
      <w:rFonts w:eastAsia="宋体"/>
      <w:b/>
      <w:kern w:val="2"/>
      <w:sz w:val="32"/>
      <w:lang w:val="en-US" w:eastAsia="zh-CN"/>
    </w:rPr>
  </w:style>
  <w:style w:type="character" w:customStyle="1" w:styleId="46">
    <w:name w:val="标题 2 字符"/>
    <w:link w:val="5"/>
    <w:autoRedefine/>
    <w:qFormat/>
    <w:uiPriority w:val="0"/>
    <w:rPr>
      <w:rFonts w:eastAsia="宋体"/>
      <w:b/>
      <w:sz w:val="24"/>
      <w:szCs w:val="24"/>
    </w:rPr>
  </w:style>
  <w:style w:type="character" w:customStyle="1" w:styleId="47">
    <w:name w:val="正文缩进 字符"/>
    <w:link w:val="13"/>
    <w:autoRedefine/>
    <w:qFormat/>
    <w:uiPriority w:val="0"/>
    <w:rPr>
      <w:rFonts w:eastAsia="宋体"/>
      <w:sz w:val="24"/>
      <w:lang w:val="en-US" w:eastAsia="zh-CN" w:bidi="ar-SA"/>
    </w:rPr>
  </w:style>
  <w:style w:type="character" w:customStyle="1" w:styleId="48">
    <w:name w:val="标题 4 字符"/>
    <w:link w:val="7"/>
    <w:autoRedefine/>
    <w:qFormat/>
    <w:uiPriority w:val="0"/>
    <w:rPr>
      <w:rFonts w:ascii="Times New Roman" w:hAnsi="Times New Roman" w:eastAsia="宋体"/>
      <w:b/>
      <w:bCs/>
      <w:sz w:val="24"/>
      <w:szCs w:val="28"/>
      <w:lang w:val="en-US" w:eastAsia="zh-CN" w:bidi="ar-SA"/>
    </w:rPr>
  </w:style>
  <w:style w:type="character" w:customStyle="1" w:styleId="49">
    <w:name w:val="批注文字 字符1"/>
    <w:link w:val="15"/>
    <w:autoRedefine/>
    <w:qFormat/>
    <w:uiPriority w:val="99"/>
    <w:rPr>
      <w:sz w:val="24"/>
    </w:rPr>
  </w:style>
  <w:style w:type="character" w:customStyle="1" w:styleId="50">
    <w:name w:val="正文文本缩进 字符"/>
    <w:link w:val="17"/>
    <w:autoRedefine/>
    <w:qFormat/>
    <w:uiPriority w:val="0"/>
    <w:rPr>
      <w:sz w:val="24"/>
    </w:rPr>
  </w:style>
  <w:style w:type="character" w:customStyle="1" w:styleId="51">
    <w:name w:val="纯文本 字符"/>
    <w:link w:val="19"/>
    <w:autoRedefine/>
    <w:qFormat/>
    <w:uiPriority w:val="0"/>
    <w:rPr>
      <w:rFonts w:ascii="宋体" w:hAnsi="Courier New" w:eastAsia="宋体"/>
      <w:kern w:val="2"/>
      <w:sz w:val="21"/>
      <w:lang w:val="en-US" w:eastAsia="zh-CN" w:bidi="ar-SA"/>
    </w:rPr>
  </w:style>
  <w:style w:type="character" w:customStyle="1" w:styleId="52">
    <w:name w:val="日期 字符1"/>
    <w:link w:val="20"/>
    <w:autoRedefine/>
    <w:qFormat/>
    <w:uiPriority w:val="0"/>
    <w:rPr>
      <w:kern w:val="2"/>
      <w:sz w:val="24"/>
    </w:rPr>
  </w:style>
  <w:style w:type="character" w:customStyle="1" w:styleId="53">
    <w:name w:val="正文文本缩进 2 字符1"/>
    <w:link w:val="21"/>
    <w:autoRedefine/>
    <w:qFormat/>
    <w:uiPriority w:val="0"/>
    <w:rPr>
      <w:rFonts w:eastAsia="宋体"/>
      <w:kern w:val="2"/>
      <w:sz w:val="21"/>
      <w:lang w:val="en-US" w:eastAsia="zh-CN" w:bidi="ar-SA"/>
    </w:rPr>
  </w:style>
  <w:style w:type="character" w:customStyle="1" w:styleId="54">
    <w:name w:val="副标题 字符"/>
    <w:link w:val="26"/>
    <w:autoRedefine/>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autoRedefine/>
    <w:qFormat/>
    <w:uiPriority w:val="0"/>
    <w:rPr>
      <w:rFonts w:hint="default" w:ascii="等线" w:hAnsi="等线" w:eastAsia="等线" w:cs="等线"/>
      <w:color w:val="000000"/>
      <w:sz w:val="22"/>
      <w:szCs w:val="22"/>
      <w:u w:val="none"/>
    </w:rPr>
  </w:style>
  <w:style w:type="character" w:customStyle="1" w:styleId="57">
    <w:name w:val="首行缩进两字 Char"/>
    <w:autoRedefine/>
    <w:qFormat/>
    <w:uiPriority w:val="0"/>
    <w:rPr>
      <w:rFonts w:eastAsia="宋体"/>
      <w:kern w:val="2"/>
      <w:sz w:val="21"/>
      <w:szCs w:val="24"/>
      <w:lang w:val="en-US" w:eastAsia="zh-CN" w:bidi="ar-SA"/>
    </w:rPr>
  </w:style>
  <w:style w:type="character" w:customStyle="1" w:styleId="58">
    <w:name w:val="style9"/>
    <w:autoRedefine/>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autoRedefine/>
    <w:qFormat/>
    <w:uiPriority w:val="0"/>
    <w:rPr>
      <w:color w:val="366FB6"/>
      <w:u w:val="none"/>
    </w:rPr>
  </w:style>
  <w:style w:type="character" w:customStyle="1" w:styleId="61">
    <w:name w:val="批注文字 字符"/>
    <w:autoRedefine/>
    <w:qFormat/>
    <w:uiPriority w:val="99"/>
    <w:rPr>
      <w:sz w:val="24"/>
    </w:rPr>
  </w:style>
  <w:style w:type="character" w:customStyle="1" w:styleId="62">
    <w:name w:val="纯文本 Char1"/>
    <w:autoRedefine/>
    <w:qFormat/>
    <w:uiPriority w:val="0"/>
    <w:rPr>
      <w:rFonts w:ascii="宋体" w:hAnsi="Courier New" w:eastAsia="宋体"/>
    </w:rPr>
  </w:style>
  <w:style w:type="character" w:customStyle="1" w:styleId="63">
    <w:name w:val="font11"/>
    <w:basedOn w:val="37"/>
    <w:autoRedefine/>
    <w:qFormat/>
    <w:uiPriority w:val="0"/>
    <w:rPr>
      <w:rFonts w:hint="default" w:ascii="等线" w:hAnsi="等线" w:eastAsia="等线" w:cs="等线"/>
      <w:color w:val="000000"/>
      <w:sz w:val="22"/>
      <w:szCs w:val="22"/>
      <w:u w:val="none"/>
    </w:rPr>
  </w:style>
  <w:style w:type="character" w:customStyle="1" w:styleId="64">
    <w:name w:val="日期 字符"/>
    <w:autoRedefine/>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autoRedefine/>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autoRedefine/>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autoRedefine/>
    <w:qFormat/>
    <w:uiPriority w:val="0"/>
    <w:pPr>
      <w:autoSpaceDE/>
      <w:autoSpaceDN/>
      <w:adjustRightInd/>
      <w:textAlignment w:val="auto"/>
    </w:pPr>
    <w:rPr>
      <w:kern w:val="2"/>
      <w:sz w:val="21"/>
      <w:szCs w:val="24"/>
    </w:rPr>
  </w:style>
  <w:style w:type="paragraph" w:customStyle="1" w:styleId="70">
    <w:name w:val="Char1"/>
    <w:basedOn w:val="1"/>
    <w:autoRedefine/>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autoRedefine/>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autoRedefine/>
    <w:qFormat/>
    <w:uiPriority w:val="0"/>
    <w:pPr>
      <w:autoSpaceDE/>
      <w:autoSpaceDN/>
      <w:adjustRightInd/>
      <w:snapToGrid w:val="0"/>
      <w:spacing w:line="360" w:lineRule="auto"/>
      <w:ind w:firstLine="200" w:firstLineChars="200"/>
      <w:textAlignment w:val="auto"/>
    </w:pPr>
  </w:style>
  <w:style w:type="paragraph" w:customStyle="1" w:styleId="74">
    <w:name w:val="_Style 62"/>
    <w:autoRedefine/>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autoRedefine/>
    <w:qFormat/>
    <w:uiPriority w:val="0"/>
    <w:pPr>
      <w:widowControl w:val="0"/>
    </w:pPr>
    <w:rPr>
      <w:rFonts w:hint="eastAsia"/>
      <w:szCs w:val="20"/>
    </w:rPr>
  </w:style>
  <w:style w:type="paragraph" w:customStyle="1" w:styleId="76">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autoRedefine/>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autoRedefine/>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autoRedefine/>
    <w:qFormat/>
    <w:uiPriority w:val="0"/>
    <w:pPr>
      <w:autoSpaceDE/>
      <w:autoSpaceDN/>
      <w:jc w:val="center"/>
    </w:pPr>
    <w:rPr>
      <w:rFonts w:ascii="宋体"/>
      <w:b/>
      <w:sz w:val="32"/>
    </w:rPr>
  </w:style>
  <w:style w:type="paragraph" w:customStyle="1" w:styleId="84">
    <w:name w:val="Char"/>
    <w:basedOn w:val="1"/>
    <w:autoRedefine/>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autoRedefine/>
    <w:qFormat/>
    <w:uiPriority w:val="0"/>
    <w:pPr>
      <w:autoSpaceDE/>
      <w:autoSpaceDN/>
      <w:adjustRightInd/>
      <w:spacing w:line="480" w:lineRule="exact"/>
      <w:textAlignment w:val="auto"/>
    </w:pPr>
    <w:rPr>
      <w:kern w:val="2"/>
      <w:sz w:val="21"/>
      <w:szCs w:val="24"/>
    </w:rPr>
  </w:style>
  <w:style w:type="paragraph" w:customStyle="1" w:styleId="86">
    <w:name w:val="保留正文"/>
    <w:basedOn w:val="1"/>
    <w:autoRedefine/>
    <w:qFormat/>
    <w:uiPriority w:val="0"/>
    <w:pPr>
      <w:keepNext/>
      <w:autoSpaceDE/>
      <w:autoSpaceDN/>
      <w:spacing w:after="160" w:line="480" w:lineRule="auto"/>
    </w:pPr>
    <w:rPr>
      <w:rFonts w:ascii="宋体"/>
    </w:rPr>
  </w:style>
  <w:style w:type="paragraph" w:customStyle="1" w:styleId="87">
    <w:name w:val="无间隔1"/>
    <w:autoRedefine/>
    <w:qFormat/>
    <w:uiPriority w:val="0"/>
    <w:rPr>
      <w:rFonts w:ascii="Times New Roman" w:hAnsi="Times New Roman" w:eastAsia="??" w:cs="宋体"/>
      <w:sz w:val="22"/>
      <w:szCs w:val="22"/>
      <w:lang w:val="en-US" w:eastAsia="en-US" w:bidi="ar-SA"/>
    </w:rPr>
  </w:style>
  <w:style w:type="paragraph" w:customStyle="1" w:styleId="88">
    <w:name w:val="样式1"/>
    <w:basedOn w:val="13"/>
    <w:qFormat/>
    <w:uiPriority w:val="0"/>
    <w:pPr>
      <w:autoSpaceDE/>
      <w:autoSpaceDN/>
      <w:ind w:firstLine="510"/>
    </w:pPr>
    <w:rPr>
      <w:rFonts w:ascii="宋体"/>
    </w:rPr>
  </w:style>
  <w:style w:type="paragraph" w:customStyle="1" w:styleId="89">
    <w:name w:val="Char Char Char2 Char"/>
    <w:basedOn w:val="1"/>
    <w:autoRedefine/>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3"/>
    <w:autoRedefine/>
    <w:qFormat/>
    <w:uiPriority w:val="0"/>
    <w:rPr>
      <w:sz w:val="24"/>
    </w:rPr>
  </w:style>
  <w:style w:type="paragraph" w:customStyle="1" w:styleId="94">
    <w:name w:val="首行缩进"/>
    <w:basedOn w:val="1"/>
    <w:autoRedefine/>
    <w:qFormat/>
    <w:uiPriority w:val="0"/>
    <w:pPr>
      <w:ind w:firstLine="480" w:firstLineChars="200"/>
    </w:pPr>
    <w:rPr>
      <w:lang w:val="zh-CN"/>
    </w:rPr>
  </w:style>
  <w:style w:type="paragraph" w:customStyle="1" w:styleId="95">
    <w:name w:val="正文222"/>
    <w:autoRedefine/>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autoRedefine/>
    <w:hidden/>
    <w:semiHidden/>
    <w:qFormat/>
    <w:uiPriority w:val="99"/>
    <w:rPr>
      <w:rFonts w:ascii="Times New Roman" w:hAnsi="Times New Roman" w:eastAsia="宋体" w:cs="Times New Roman"/>
      <w:sz w:val="24"/>
      <w:lang w:val="en-US" w:eastAsia="zh-CN" w:bidi="ar-SA"/>
    </w:rPr>
  </w:style>
  <w:style w:type="paragraph" w:customStyle="1" w:styleId="97">
    <w:name w:val="纯文本_0_0"/>
    <w:autoRedefine/>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60</Pages>
  <Words>4886</Words>
  <Characters>27851</Characters>
  <Lines>232</Lines>
  <Paragraphs>65</Paragraphs>
  <TotalTime>18</TotalTime>
  <ScaleCrop>false</ScaleCrop>
  <LinksUpToDate>false</LinksUpToDate>
  <CharactersWithSpaces>32672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2023-10-26T01:24:00Z</dcterms:created>
  <dc:creator>微软用户</dc:creator>
  <cp:lastModifiedBy>…D</cp:lastModifiedBy>
  <cp:lastPrinted>2023-10-25T07:05:00Z</cp:lastPrinted>
  <dcterms:modified xsi:type="dcterms:W3CDTF">2024-04-10T08:36:16Z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EBBA615566864460A09DAF5D97A8FC49_13</vt:lpwstr>
  </property>
</Properties>
</file>