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520"/>
        </w:tabs>
        <w:autoSpaceDE/>
        <w:autoSpaceDN/>
        <w:adjustRightInd/>
        <w:snapToGrid w:val="0"/>
        <w:spacing w:line="300" w:lineRule="auto"/>
        <w:textAlignment w:val="auto"/>
        <w:rPr>
          <w:color w:val="auto"/>
          <w:kern w:val="2"/>
          <w:sz w:val="84"/>
          <w:szCs w:val="24"/>
          <w:highlight w:val="none"/>
        </w:rPr>
      </w:pPr>
    </w:p>
    <w:p>
      <w:pPr>
        <w:rPr>
          <w:b/>
          <w:color w:val="auto"/>
          <w:sz w:val="21"/>
          <w:szCs w:val="21"/>
          <w:highlight w:val="none"/>
        </w:rPr>
      </w:pPr>
    </w:p>
    <w:p>
      <w:pPr>
        <w:rPr>
          <w:rFonts w:hint="eastAsia"/>
          <w:color w:val="auto"/>
          <w:highlight w:val="none"/>
          <w:lang w:eastAsia="zh-CN"/>
        </w:rPr>
      </w:pPr>
    </w:p>
    <w:p>
      <w:pPr>
        <w:jc w:val="center"/>
        <w:rPr>
          <w:rFonts w:hint="eastAsia" w:eastAsia="宋体"/>
          <w:b/>
          <w:color w:val="auto"/>
          <w:sz w:val="84"/>
          <w:szCs w:val="84"/>
          <w:highlight w:val="none"/>
          <w:lang w:eastAsia="zh-CN"/>
        </w:rPr>
      </w:pPr>
      <w:r>
        <w:rPr>
          <w:rFonts w:hint="eastAsia"/>
          <w:b/>
          <w:color w:val="auto"/>
          <w:sz w:val="72"/>
          <w:szCs w:val="72"/>
          <w:highlight w:val="none"/>
          <w:lang w:eastAsia="zh-CN"/>
        </w:rPr>
        <w:t>水土保持监测管理平台运维</w:t>
      </w:r>
    </w:p>
    <w:p>
      <w:pPr>
        <w:jc w:val="center"/>
        <w:rPr>
          <w:color w:val="auto"/>
          <w:sz w:val="36"/>
          <w:szCs w:val="36"/>
          <w:highlight w:val="none"/>
        </w:rPr>
      </w:pPr>
    </w:p>
    <w:p>
      <w:pPr>
        <w:pStyle w:val="16"/>
        <w:ind w:firstLine="240"/>
        <w:rPr>
          <w:color w:val="auto"/>
          <w:highlight w:val="none"/>
        </w:rPr>
      </w:pPr>
    </w:p>
    <w:p>
      <w:pPr>
        <w:pStyle w:val="16"/>
        <w:ind w:firstLine="240"/>
        <w:rPr>
          <w:color w:val="auto"/>
          <w:highlight w:val="none"/>
        </w:rPr>
      </w:pPr>
    </w:p>
    <w:p>
      <w:pPr>
        <w:jc w:val="center"/>
        <w:rPr>
          <w:color w:val="auto"/>
          <w:sz w:val="28"/>
          <w:szCs w:val="28"/>
          <w:highlight w:val="none"/>
        </w:rPr>
      </w:pPr>
      <w:r>
        <w:rPr>
          <w:rFonts w:hint="eastAsia"/>
          <w:color w:val="auto"/>
          <w:sz w:val="28"/>
          <w:szCs w:val="28"/>
          <w:highlight w:val="none"/>
        </w:rPr>
        <w:t>（电子招投标方式）</w:t>
      </w:r>
    </w:p>
    <w:p>
      <w:pPr>
        <w:pStyle w:val="15"/>
        <w:rPr>
          <w:color w:val="auto"/>
          <w:highlight w:val="none"/>
        </w:rPr>
      </w:pPr>
    </w:p>
    <w:p>
      <w:pPr>
        <w:rPr>
          <w:color w:val="auto"/>
          <w:highlight w:val="none"/>
        </w:rPr>
      </w:pPr>
    </w:p>
    <w:p>
      <w:pPr>
        <w:pStyle w:val="16"/>
        <w:ind w:firstLine="240"/>
        <w:rPr>
          <w:color w:val="auto"/>
          <w:highlight w:val="none"/>
        </w:rPr>
      </w:pPr>
    </w:p>
    <w:p>
      <w:pPr>
        <w:rPr>
          <w:color w:val="auto"/>
          <w:highlight w:val="none"/>
        </w:rPr>
      </w:pPr>
    </w:p>
    <w:p>
      <w:pPr>
        <w:pStyle w:val="15"/>
        <w:rPr>
          <w:color w:val="auto"/>
          <w:highlight w:val="none"/>
        </w:rPr>
      </w:pPr>
    </w:p>
    <w:p>
      <w:pPr>
        <w:tabs>
          <w:tab w:val="left" w:pos="2520"/>
        </w:tabs>
        <w:autoSpaceDE/>
        <w:autoSpaceDN/>
        <w:adjustRightInd/>
        <w:snapToGrid w:val="0"/>
        <w:spacing w:line="300" w:lineRule="auto"/>
        <w:jc w:val="center"/>
        <w:textAlignment w:val="auto"/>
        <w:rPr>
          <w:b/>
          <w:color w:val="auto"/>
          <w:sz w:val="84"/>
          <w:szCs w:val="84"/>
          <w:highlight w:val="none"/>
        </w:rPr>
      </w:pPr>
      <w:r>
        <w:rPr>
          <w:rFonts w:hint="eastAsia"/>
          <w:b/>
          <w:color w:val="auto"/>
          <w:sz w:val="84"/>
          <w:szCs w:val="84"/>
          <w:highlight w:val="none"/>
        </w:rPr>
        <w:t>采购文件</w:t>
      </w:r>
    </w:p>
    <w:p>
      <w:pPr>
        <w:pStyle w:val="15"/>
        <w:rPr>
          <w:color w:val="auto"/>
          <w:highlight w:val="none"/>
        </w:rPr>
      </w:pPr>
    </w:p>
    <w:p>
      <w:pPr>
        <w:jc w:val="center"/>
        <w:rPr>
          <w:rFonts w:hint="eastAsia" w:eastAsia="宋体"/>
          <w:color w:val="auto"/>
          <w:sz w:val="32"/>
          <w:szCs w:val="32"/>
          <w:highlight w:val="none"/>
          <w:lang w:eastAsia="zh-CN"/>
        </w:rPr>
      </w:pPr>
      <w:r>
        <w:rPr>
          <w:rFonts w:hint="eastAsia"/>
          <w:color w:val="auto"/>
          <w:sz w:val="32"/>
          <w:szCs w:val="32"/>
          <w:highlight w:val="none"/>
        </w:rPr>
        <w:t>项目</w:t>
      </w:r>
      <w:r>
        <w:rPr>
          <w:color w:val="auto"/>
          <w:sz w:val="32"/>
          <w:szCs w:val="32"/>
          <w:highlight w:val="none"/>
        </w:rPr>
        <w:t>编号：</w:t>
      </w:r>
      <w:r>
        <w:rPr>
          <w:rFonts w:hint="eastAsia"/>
          <w:color w:val="auto"/>
          <w:sz w:val="32"/>
          <w:szCs w:val="32"/>
          <w:highlight w:val="none"/>
          <w:lang w:eastAsia="zh-CN"/>
        </w:rPr>
        <w:t>ZSSJCG-202304022</w:t>
      </w:r>
    </w:p>
    <w:p>
      <w:pPr>
        <w:tabs>
          <w:tab w:val="left" w:pos="2520"/>
        </w:tabs>
        <w:autoSpaceDE/>
        <w:autoSpaceDN/>
        <w:adjustRightInd/>
        <w:snapToGrid w:val="0"/>
        <w:spacing w:line="300" w:lineRule="auto"/>
        <w:textAlignment w:val="auto"/>
        <w:rPr>
          <w:bCs/>
          <w:color w:val="auto"/>
          <w:w w:val="90"/>
          <w:kern w:val="2"/>
          <w:sz w:val="32"/>
          <w:szCs w:val="24"/>
          <w:highlight w:val="none"/>
        </w:rPr>
      </w:pPr>
    </w:p>
    <w:p>
      <w:pPr>
        <w:pStyle w:val="15"/>
        <w:rPr>
          <w:bCs/>
          <w:color w:val="auto"/>
          <w:w w:val="90"/>
          <w:kern w:val="2"/>
          <w:sz w:val="32"/>
          <w:szCs w:val="24"/>
          <w:highlight w:val="none"/>
        </w:rPr>
      </w:pPr>
    </w:p>
    <w:p>
      <w:pPr>
        <w:spacing w:after="120"/>
        <w:rPr>
          <w:color w:val="auto"/>
          <w:highlight w:val="none"/>
        </w:rPr>
      </w:pPr>
    </w:p>
    <w:p>
      <w:pPr>
        <w:spacing w:line="360" w:lineRule="auto"/>
        <w:ind w:firstLine="960" w:firstLineChars="300"/>
        <w:jc w:val="left"/>
        <w:rPr>
          <w:color w:val="auto"/>
          <w:sz w:val="32"/>
          <w:szCs w:val="32"/>
          <w:highlight w:val="none"/>
        </w:rPr>
      </w:pPr>
    </w:p>
    <w:p>
      <w:pPr>
        <w:spacing w:line="360" w:lineRule="auto"/>
        <w:ind w:firstLine="960" w:firstLineChars="300"/>
        <w:jc w:val="left"/>
        <w:rPr>
          <w:rFonts w:hint="eastAsia"/>
          <w:color w:val="auto"/>
          <w:sz w:val="32"/>
          <w:szCs w:val="32"/>
          <w:highlight w:val="none"/>
          <w:lang w:eastAsia="zh-CN"/>
        </w:rPr>
      </w:pPr>
      <w:r>
        <w:rPr>
          <w:color w:val="auto"/>
          <w:sz w:val="32"/>
          <w:szCs w:val="32"/>
          <w:highlight w:val="none"/>
        </w:rPr>
        <w:t>采    购  人：</w:t>
      </w:r>
      <w:r>
        <w:rPr>
          <w:rFonts w:hint="eastAsia"/>
          <w:color w:val="auto"/>
          <w:sz w:val="32"/>
          <w:szCs w:val="32"/>
          <w:highlight w:val="none"/>
          <w:lang w:eastAsia="zh-CN"/>
        </w:rPr>
        <w:t>浙江省水资源水电管理中心</w:t>
      </w:r>
    </w:p>
    <w:p>
      <w:pPr>
        <w:spacing w:line="360" w:lineRule="auto"/>
        <w:ind w:firstLine="2880" w:firstLineChars="900"/>
        <w:jc w:val="left"/>
        <w:rPr>
          <w:rFonts w:hint="eastAsia" w:eastAsia="宋体"/>
          <w:color w:val="auto"/>
          <w:sz w:val="32"/>
          <w:szCs w:val="32"/>
          <w:highlight w:val="none"/>
          <w:lang w:eastAsia="zh-CN"/>
        </w:rPr>
      </w:pPr>
      <w:r>
        <w:rPr>
          <w:rFonts w:hint="eastAsia"/>
          <w:color w:val="auto"/>
          <w:sz w:val="32"/>
          <w:szCs w:val="32"/>
          <w:highlight w:val="none"/>
          <w:lang w:eastAsia="zh-CN"/>
        </w:rPr>
        <w:t>（浙江省水土保持监测中心）</w:t>
      </w:r>
    </w:p>
    <w:p>
      <w:pPr>
        <w:spacing w:line="360" w:lineRule="auto"/>
        <w:ind w:firstLine="960" w:firstLineChars="300"/>
        <w:jc w:val="left"/>
        <w:rPr>
          <w:color w:val="auto"/>
          <w:sz w:val="32"/>
          <w:szCs w:val="32"/>
          <w:highlight w:val="none"/>
        </w:rPr>
      </w:pPr>
      <w:r>
        <w:rPr>
          <w:color w:val="auto"/>
          <w:sz w:val="32"/>
          <w:szCs w:val="32"/>
          <w:highlight w:val="none"/>
        </w:rPr>
        <w:t>采购代理</w:t>
      </w:r>
      <w:r>
        <w:rPr>
          <w:rFonts w:hint="eastAsia"/>
          <w:color w:val="auto"/>
          <w:sz w:val="32"/>
          <w:szCs w:val="32"/>
          <w:highlight w:val="none"/>
        </w:rPr>
        <w:t>机构</w:t>
      </w:r>
      <w:r>
        <w:rPr>
          <w:color w:val="auto"/>
          <w:sz w:val="32"/>
          <w:szCs w:val="32"/>
          <w:highlight w:val="none"/>
        </w:rPr>
        <w:t>：</w:t>
      </w:r>
      <w:r>
        <w:rPr>
          <w:rFonts w:hint="eastAsia"/>
          <w:color w:val="auto"/>
          <w:sz w:val="32"/>
          <w:szCs w:val="32"/>
          <w:highlight w:val="none"/>
        </w:rPr>
        <w:t>浙江水利水电工程审价中心有限公司</w:t>
      </w:r>
    </w:p>
    <w:p>
      <w:pPr>
        <w:spacing w:line="360" w:lineRule="auto"/>
        <w:jc w:val="center"/>
        <w:rPr>
          <w:color w:val="auto"/>
          <w:sz w:val="32"/>
          <w:szCs w:val="32"/>
          <w:highlight w:val="none"/>
        </w:rPr>
        <w:sectPr>
          <w:headerReference r:id="rId3" w:type="default"/>
          <w:pgSz w:w="11907" w:h="16840"/>
          <w:pgMar w:top="1701" w:right="1644" w:bottom="1418" w:left="1474" w:header="1304" w:footer="1134" w:gutter="0"/>
          <w:pgNumType w:start="1"/>
          <w:cols w:space="720" w:num="1"/>
          <w:titlePg/>
          <w:docGrid w:linePitch="326" w:charSpace="0"/>
        </w:sectPr>
      </w:pPr>
      <w:r>
        <w:rPr>
          <w:color w:val="auto"/>
          <w:sz w:val="32"/>
          <w:szCs w:val="32"/>
          <w:highlight w:val="none"/>
        </w:rPr>
        <w:t>202</w:t>
      </w:r>
      <w:r>
        <w:rPr>
          <w:rFonts w:hint="eastAsia"/>
          <w:color w:val="auto"/>
          <w:sz w:val="32"/>
          <w:szCs w:val="32"/>
          <w:highlight w:val="none"/>
          <w:lang w:val="en-US" w:eastAsia="zh-CN"/>
        </w:rPr>
        <w:t>3</w:t>
      </w:r>
      <w:r>
        <w:rPr>
          <w:color w:val="auto"/>
          <w:sz w:val="32"/>
          <w:szCs w:val="32"/>
          <w:highlight w:val="none"/>
        </w:rPr>
        <w:t xml:space="preserve"> 年</w:t>
      </w:r>
      <w:r>
        <w:rPr>
          <w:rFonts w:hint="eastAsia"/>
          <w:color w:val="auto"/>
          <w:sz w:val="32"/>
          <w:szCs w:val="32"/>
          <w:highlight w:val="none"/>
          <w:lang w:val="en-US" w:eastAsia="zh-CN"/>
        </w:rPr>
        <w:t xml:space="preserve"> 05 </w:t>
      </w:r>
      <w:r>
        <w:rPr>
          <w:color w:val="auto"/>
          <w:sz w:val="32"/>
          <w:szCs w:val="32"/>
          <w:highlight w:val="none"/>
        </w:rPr>
        <w:t>月</w:t>
      </w:r>
    </w:p>
    <w:p>
      <w:pPr>
        <w:spacing w:line="480" w:lineRule="auto"/>
        <w:jc w:val="center"/>
        <w:rPr>
          <w:b/>
          <w:bCs/>
          <w:color w:val="auto"/>
          <w:sz w:val="56"/>
          <w:szCs w:val="72"/>
          <w:highlight w:val="none"/>
        </w:rPr>
      </w:pPr>
      <w:r>
        <w:rPr>
          <w:b/>
          <w:bCs/>
          <w:color w:val="auto"/>
          <w:sz w:val="56"/>
          <w:szCs w:val="72"/>
          <w:highlight w:val="none"/>
        </w:rPr>
        <w:t>目   录</w:t>
      </w:r>
    </w:p>
    <w:p>
      <w:pPr>
        <w:pStyle w:val="25"/>
        <w:tabs>
          <w:tab w:val="right" w:leader="dot" w:pos="8789"/>
        </w:tabs>
        <w:rPr>
          <w:color w:val="auto"/>
          <w:highlight w:val="none"/>
        </w:rPr>
      </w:pPr>
      <w:r>
        <w:rPr>
          <w:b/>
          <w:color w:val="auto"/>
          <w:sz w:val="32"/>
          <w:szCs w:val="32"/>
          <w:highlight w:val="none"/>
        </w:rPr>
        <w:fldChar w:fldCharType="begin"/>
      </w:r>
      <w:r>
        <w:rPr>
          <w:b/>
          <w:color w:val="auto"/>
          <w:sz w:val="32"/>
          <w:szCs w:val="32"/>
          <w:highlight w:val="none"/>
        </w:rPr>
        <w:instrText xml:space="preserve"> TOC \o "1-2" \h \z \u </w:instrText>
      </w:r>
      <w:r>
        <w:rPr>
          <w:b/>
          <w:color w:val="auto"/>
          <w:sz w:val="32"/>
          <w:szCs w:val="32"/>
          <w:highlight w:val="none"/>
        </w:rPr>
        <w:fldChar w:fldCharType="separate"/>
      </w:r>
      <w:r>
        <w:rPr>
          <w:color w:val="auto"/>
          <w:szCs w:val="32"/>
          <w:highlight w:val="none"/>
        </w:rPr>
        <w:fldChar w:fldCharType="begin"/>
      </w:r>
      <w:r>
        <w:rPr>
          <w:color w:val="auto"/>
          <w:szCs w:val="32"/>
          <w:highlight w:val="none"/>
        </w:rPr>
        <w:instrText xml:space="preserve"> HYPERLINK \l _Toc9035 </w:instrText>
      </w:r>
      <w:r>
        <w:rPr>
          <w:color w:val="auto"/>
          <w:szCs w:val="32"/>
          <w:highlight w:val="none"/>
        </w:rPr>
        <w:fldChar w:fldCharType="separate"/>
      </w:r>
      <w:r>
        <w:rPr>
          <w:rFonts w:hint="eastAsia" w:ascii="宋体" w:hAnsi="宋体" w:eastAsia="宋体" w:cs="宋体"/>
          <w:color w:val="auto"/>
          <w:highlight w:val="none"/>
        </w:rPr>
        <w:t xml:space="preserve">第一部分 </w:t>
      </w:r>
      <w:r>
        <w:rPr>
          <w:color w:val="auto"/>
          <w:highlight w:val="none"/>
        </w:rPr>
        <w:t>采购公告</w:t>
      </w:r>
      <w:r>
        <w:rPr>
          <w:color w:val="auto"/>
          <w:highlight w:val="none"/>
        </w:rPr>
        <w:tab/>
      </w:r>
      <w:r>
        <w:rPr>
          <w:color w:val="auto"/>
          <w:highlight w:val="none"/>
        </w:rPr>
        <w:fldChar w:fldCharType="begin"/>
      </w:r>
      <w:r>
        <w:rPr>
          <w:color w:val="auto"/>
          <w:highlight w:val="none"/>
        </w:rPr>
        <w:instrText xml:space="preserve"> PAGEREF _Toc9035 \h </w:instrText>
      </w:r>
      <w:r>
        <w:rPr>
          <w:color w:val="auto"/>
          <w:highlight w:val="none"/>
        </w:rPr>
        <w:fldChar w:fldCharType="separate"/>
      </w:r>
      <w:r>
        <w:rPr>
          <w:color w:val="auto"/>
          <w:highlight w:val="none"/>
        </w:rPr>
        <w:t>1</w:t>
      </w:r>
      <w:r>
        <w:rPr>
          <w:color w:val="auto"/>
          <w:highlight w:val="none"/>
        </w:rPr>
        <w:fldChar w:fldCharType="end"/>
      </w:r>
      <w:r>
        <w:rPr>
          <w:color w:val="auto"/>
          <w:szCs w:val="32"/>
          <w:highlight w:val="none"/>
        </w:rPr>
        <w:fldChar w:fldCharType="end"/>
      </w:r>
    </w:p>
    <w:p>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_Toc12853 </w:instrText>
      </w:r>
      <w:r>
        <w:rPr>
          <w:color w:val="auto"/>
          <w:szCs w:val="32"/>
          <w:highlight w:val="none"/>
        </w:rPr>
        <w:fldChar w:fldCharType="separate"/>
      </w:r>
      <w:r>
        <w:rPr>
          <w:rFonts w:hint="eastAsia" w:ascii="宋体" w:hAnsi="宋体" w:eastAsia="宋体" w:cs="宋体"/>
          <w:color w:val="auto"/>
          <w:highlight w:val="none"/>
        </w:rPr>
        <w:t xml:space="preserve">第二部分 </w:t>
      </w:r>
      <w:r>
        <w:rPr>
          <w:rFonts w:hint="eastAsia"/>
          <w:color w:val="auto"/>
          <w:highlight w:val="none"/>
        </w:rPr>
        <w:t>投标供应商须知</w:t>
      </w:r>
      <w:r>
        <w:rPr>
          <w:color w:val="auto"/>
          <w:highlight w:val="none"/>
        </w:rPr>
        <w:tab/>
      </w:r>
      <w:r>
        <w:rPr>
          <w:color w:val="auto"/>
          <w:highlight w:val="none"/>
        </w:rPr>
        <w:fldChar w:fldCharType="begin"/>
      </w:r>
      <w:r>
        <w:rPr>
          <w:color w:val="auto"/>
          <w:highlight w:val="none"/>
        </w:rPr>
        <w:instrText xml:space="preserve"> PAGEREF _Toc12853 \h </w:instrText>
      </w:r>
      <w:r>
        <w:rPr>
          <w:color w:val="auto"/>
          <w:highlight w:val="none"/>
        </w:rPr>
        <w:fldChar w:fldCharType="separate"/>
      </w:r>
      <w:r>
        <w:rPr>
          <w:color w:val="auto"/>
          <w:highlight w:val="none"/>
        </w:rPr>
        <w:t>5</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_Toc27108 </w:instrText>
      </w:r>
      <w:r>
        <w:rPr>
          <w:color w:val="auto"/>
          <w:szCs w:val="32"/>
          <w:highlight w:val="none"/>
        </w:rPr>
        <w:fldChar w:fldCharType="separate"/>
      </w:r>
      <w:r>
        <w:rPr>
          <w:rFonts w:hint="eastAsia" w:ascii="Times New Roman" w:hAnsi="Times New Roman" w:eastAsia="宋体" w:cs="宋体"/>
          <w:color w:val="auto"/>
          <w:highlight w:val="none"/>
        </w:rPr>
        <w:t xml:space="preserve">2.1 </w:t>
      </w:r>
      <w:r>
        <w:rPr>
          <w:color w:val="auto"/>
          <w:highlight w:val="none"/>
        </w:rPr>
        <w:t>总则</w:t>
      </w:r>
      <w:r>
        <w:rPr>
          <w:color w:val="auto"/>
          <w:highlight w:val="none"/>
        </w:rPr>
        <w:tab/>
      </w:r>
      <w:r>
        <w:rPr>
          <w:color w:val="auto"/>
          <w:highlight w:val="none"/>
        </w:rPr>
        <w:fldChar w:fldCharType="begin"/>
      </w:r>
      <w:r>
        <w:rPr>
          <w:color w:val="auto"/>
          <w:highlight w:val="none"/>
        </w:rPr>
        <w:instrText xml:space="preserve"> PAGEREF _Toc27108 \h </w:instrText>
      </w:r>
      <w:r>
        <w:rPr>
          <w:color w:val="auto"/>
          <w:highlight w:val="none"/>
        </w:rPr>
        <w:fldChar w:fldCharType="separate"/>
      </w:r>
      <w:r>
        <w:rPr>
          <w:color w:val="auto"/>
          <w:highlight w:val="none"/>
        </w:rPr>
        <w:t>7</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_Toc10436 </w:instrText>
      </w:r>
      <w:r>
        <w:rPr>
          <w:color w:val="auto"/>
          <w:szCs w:val="32"/>
          <w:highlight w:val="none"/>
        </w:rPr>
        <w:fldChar w:fldCharType="separate"/>
      </w:r>
      <w:r>
        <w:rPr>
          <w:rFonts w:hint="eastAsia" w:ascii="Times New Roman" w:hAnsi="Times New Roman" w:eastAsia="宋体" w:cs="宋体"/>
          <w:color w:val="auto"/>
          <w:highlight w:val="none"/>
        </w:rPr>
        <w:t xml:space="preserve">2.2 </w:t>
      </w:r>
      <w:r>
        <w:rPr>
          <w:color w:val="auto"/>
          <w:highlight w:val="none"/>
        </w:rPr>
        <w:t>采购文件</w:t>
      </w:r>
      <w:r>
        <w:rPr>
          <w:color w:val="auto"/>
          <w:highlight w:val="none"/>
        </w:rPr>
        <w:tab/>
      </w:r>
      <w:r>
        <w:rPr>
          <w:color w:val="auto"/>
          <w:highlight w:val="none"/>
        </w:rPr>
        <w:fldChar w:fldCharType="begin"/>
      </w:r>
      <w:r>
        <w:rPr>
          <w:color w:val="auto"/>
          <w:highlight w:val="none"/>
        </w:rPr>
        <w:instrText xml:space="preserve"> PAGEREF _Toc10436 \h </w:instrText>
      </w:r>
      <w:r>
        <w:rPr>
          <w:color w:val="auto"/>
          <w:highlight w:val="none"/>
        </w:rPr>
        <w:fldChar w:fldCharType="separate"/>
      </w:r>
      <w:r>
        <w:rPr>
          <w:color w:val="auto"/>
          <w:highlight w:val="none"/>
        </w:rPr>
        <w:t>9</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_Toc16583 </w:instrText>
      </w:r>
      <w:r>
        <w:rPr>
          <w:color w:val="auto"/>
          <w:szCs w:val="32"/>
          <w:highlight w:val="none"/>
        </w:rPr>
        <w:fldChar w:fldCharType="separate"/>
      </w:r>
      <w:r>
        <w:rPr>
          <w:rFonts w:hint="eastAsia" w:ascii="Times New Roman" w:hAnsi="Times New Roman" w:eastAsia="宋体" w:cs="宋体"/>
          <w:color w:val="auto"/>
          <w:highlight w:val="none"/>
        </w:rPr>
        <w:t xml:space="preserve">2.3 </w:t>
      </w:r>
      <w:r>
        <w:rPr>
          <w:color w:val="auto"/>
          <w:highlight w:val="none"/>
        </w:rPr>
        <w:t>投标文件</w:t>
      </w:r>
      <w:r>
        <w:rPr>
          <w:color w:val="auto"/>
          <w:highlight w:val="none"/>
        </w:rPr>
        <w:tab/>
      </w:r>
      <w:r>
        <w:rPr>
          <w:color w:val="auto"/>
          <w:highlight w:val="none"/>
        </w:rPr>
        <w:fldChar w:fldCharType="begin"/>
      </w:r>
      <w:r>
        <w:rPr>
          <w:color w:val="auto"/>
          <w:highlight w:val="none"/>
        </w:rPr>
        <w:instrText xml:space="preserve"> PAGEREF _Toc16583 \h </w:instrText>
      </w:r>
      <w:r>
        <w:rPr>
          <w:color w:val="auto"/>
          <w:highlight w:val="none"/>
        </w:rPr>
        <w:fldChar w:fldCharType="separate"/>
      </w:r>
      <w:r>
        <w:rPr>
          <w:color w:val="auto"/>
          <w:highlight w:val="none"/>
        </w:rPr>
        <w:t>9</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_Toc10116 </w:instrText>
      </w:r>
      <w:r>
        <w:rPr>
          <w:color w:val="auto"/>
          <w:szCs w:val="32"/>
          <w:highlight w:val="none"/>
        </w:rPr>
        <w:fldChar w:fldCharType="separate"/>
      </w:r>
      <w:r>
        <w:rPr>
          <w:rFonts w:hint="eastAsia" w:ascii="Times New Roman" w:hAnsi="Times New Roman" w:eastAsia="宋体" w:cs="宋体"/>
          <w:color w:val="auto"/>
          <w:highlight w:val="none"/>
        </w:rPr>
        <w:t xml:space="preserve">2.4 </w:t>
      </w:r>
      <w:r>
        <w:rPr>
          <w:color w:val="auto"/>
          <w:highlight w:val="none"/>
        </w:rPr>
        <w:t>投标</w:t>
      </w:r>
      <w:r>
        <w:rPr>
          <w:color w:val="auto"/>
          <w:highlight w:val="none"/>
        </w:rPr>
        <w:tab/>
      </w:r>
      <w:r>
        <w:rPr>
          <w:color w:val="auto"/>
          <w:highlight w:val="none"/>
        </w:rPr>
        <w:fldChar w:fldCharType="begin"/>
      </w:r>
      <w:r>
        <w:rPr>
          <w:color w:val="auto"/>
          <w:highlight w:val="none"/>
        </w:rPr>
        <w:instrText xml:space="preserve"> PAGEREF _Toc10116 \h </w:instrText>
      </w:r>
      <w:r>
        <w:rPr>
          <w:color w:val="auto"/>
          <w:highlight w:val="none"/>
        </w:rPr>
        <w:fldChar w:fldCharType="separate"/>
      </w:r>
      <w:r>
        <w:rPr>
          <w:color w:val="auto"/>
          <w:highlight w:val="none"/>
        </w:rPr>
        <w:t>11</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_Toc8429 </w:instrText>
      </w:r>
      <w:r>
        <w:rPr>
          <w:color w:val="auto"/>
          <w:szCs w:val="32"/>
          <w:highlight w:val="none"/>
        </w:rPr>
        <w:fldChar w:fldCharType="separate"/>
      </w:r>
      <w:r>
        <w:rPr>
          <w:rFonts w:hint="eastAsia" w:ascii="Times New Roman" w:hAnsi="Times New Roman" w:eastAsia="宋体" w:cs="宋体"/>
          <w:color w:val="auto"/>
          <w:highlight w:val="none"/>
        </w:rPr>
        <w:t xml:space="preserve">2.5 </w:t>
      </w:r>
      <w:r>
        <w:rPr>
          <w:rFonts w:hint="eastAsia"/>
          <w:color w:val="auto"/>
          <w:highlight w:val="none"/>
        </w:rPr>
        <w:t>投标无效的情形</w:t>
      </w:r>
      <w:r>
        <w:rPr>
          <w:color w:val="auto"/>
          <w:highlight w:val="none"/>
        </w:rPr>
        <w:tab/>
      </w:r>
      <w:r>
        <w:rPr>
          <w:color w:val="auto"/>
          <w:highlight w:val="none"/>
        </w:rPr>
        <w:fldChar w:fldCharType="begin"/>
      </w:r>
      <w:r>
        <w:rPr>
          <w:color w:val="auto"/>
          <w:highlight w:val="none"/>
        </w:rPr>
        <w:instrText xml:space="preserve"> PAGEREF _Toc8429 \h </w:instrText>
      </w:r>
      <w:r>
        <w:rPr>
          <w:color w:val="auto"/>
          <w:highlight w:val="none"/>
        </w:rPr>
        <w:fldChar w:fldCharType="separate"/>
      </w:r>
      <w:r>
        <w:rPr>
          <w:color w:val="auto"/>
          <w:highlight w:val="none"/>
        </w:rPr>
        <w:t>13</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_Toc15876 </w:instrText>
      </w:r>
      <w:r>
        <w:rPr>
          <w:color w:val="auto"/>
          <w:szCs w:val="32"/>
          <w:highlight w:val="none"/>
        </w:rPr>
        <w:fldChar w:fldCharType="separate"/>
      </w:r>
      <w:r>
        <w:rPr>
          <w:rFonts w:hint="eastAsia" w:ascii="Times New Roman" w:hAnsi="Times New Roman" w:eastAsia="宋体" w:cs="宋体"/>
          <w:color w:val="auto"/>
          <w:highlight w:val="none"/>
        </w:rPr>
        <w:t xml:space="preserve">2.6 </w:t>
      </w:r>
      <w:r>
        <w:rPr>
          <w:rFonts w:hint="eastAsia"/>
          <w:color w:val="auto"/>
          <w:highlight w:val="none"/>
        </w:rPr>
        <w:t>中止电子交易活动的情形</w:t>
      </w:r>
      <w:r>
        <w:rPr>
          <w:color w:val="auto"/>
          <w:highlight w:val="none"/>
        </w:rPr>
        <w:tab/>
      </w:r>
      <w:r>
        <w:rPr>
          <w:color w:val="auto"/>
          <w:highlight w:val="none"/>
        </w:rPr>
        <w:fldChar w:fldCharType="begin"/>
      </w:r>
      <w:r>
        <w:rPr>
          <w:color w:val="auto"/>
          <w:highlight w:val="none"/>
        </w:rPr>
        <w:instrText xml:space="preserve"> PAGEREF _Toc15876 \h </w:instrText>
      </w:r>
      <w:r>
        <w:rPr>
          <w:color w:val="auto"/>
          <w:highlight w:val="none"/>
        </w:rPr>
        <w:fldChar w:fldCharType="separate"/>
      </w:r>
      <w:r>
        <w:rPr>
          <w:color w:val="auto"/>
          <w:highlight w:val="none"/>
        </w:rPr>
        <w:t>13</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_Toc21557 </w:instrText>
      </w:r>
      <w:r>
        <w:rPr>
          <w:color w:val="auto"/>
          <w:szCs w:val="32"/>
          <w:highlight w:val="none"/>
        </w:rPr>
        <w:fldChar w:fldCharType="separate"/>
      </w:r>
      <w:r>
        <w:rPr>
          <w:rFonts w:hint="eastAsia" w:ascii="Times New Roman" w:hAnsi="Times New Roman" w:eastAsia="宋体" w:cs="宋体"/>
          <w:color w:val="auto"/>
          <w:highlight w:val="none"/>
        </w:rPr>
        <w:t xml:space="preserve">2.7 </w:t>
      </w:r>
      <w:r>
        <w:rPr>
          <w:color w:val="auto"/>
          <w:highlight w:val="none"/>
        </w:rPr>
        <w:t>开标与评标</w:t>
      </w:r>
      <w:r>
        <w:rPr>
          <w:color w:val="auto"/>
          <w:highlight w:val="none"/>
        </w:rPr>
        <w:tab/>
      </w:r>
      <w:r>
        <w:rPr>
          <w:color w:val="auto"/>
          <w:highlight w:val="none"/>
        </w:rPr>
        <w:fldChar w:fldCharType="begin"/>
      </w:r>
      <w:r>
        <w:rPr>
          <w:color w:val="auto"/>
          <w:highlight w:val="none"/>
        </w:rPr>
        <w:instrText xml:space="preserve"> PAGEREF _Toc21557 \h </w:instrText>
      </w:r>
      <w:r>
        <w:rPr>
          <w:color w:val="auto"/>
          <w:highlight w:val="none"/>
        </w:rPr>
        <w:fldChar w:fldCharType="separate"/>
      </w:r>
      <w:r>
        <w:rPr>
          <w:color w:val="auto"/>
          <w:highlight w:val="none"/>
        </w:rPr>
        <w:t>14</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_Toc27890 </w:instrText>
      </w:r>
      <w:r>
        <w:rPr>
          <w:color w:val="auto"/>
          <w:szCs w:val="32"/>
          <w:highlight w:val="none"/>
        </w:rPr>
        <w:fldChar w:fldCharType="separate"/>
      </w:r>
      <w:r>
        <w:rPr>
          <w:rFonts w:hint="eastAsia" w:ascii="Times New Roman" w:hAnsi="Times New Roman" w:eastAsia="宋体" w:cs="宋体"/>
          <w:color w:val="auto"/>
          <w:highlight w:val="none"/>
        </w:rPr>
        <w:t xml:space="preserve">2.8 </w:t>
      </w:r>
      <w:r>
        <w:rPr>
          <w:color w:val="auto"/>
          <w:highlight w:val="none"/>
        </w:rPr>
        <w:t>中标</w:t>
      </w:r>
      <w:r>
        <w:rPr>
          <w:color w:val="auto"/>
          <w:highlight w:val="none"/>
        </w:rPr>
        <w:tab/>
      </w:r>
      <w:r>
        <w:rPr>
          <w:color w:val="auto"/>
          <w:highlight w:val="none"/>
        </w:rPr>
        <w:fldChar w:fldCharType="begin"/>
      </w:r>
      <w:r>
        <w:rPr>
          <w:color w:val="auto"/>
          <w:highlight w:val="none"/>
        </w:rPr>
        <w:instrText xml:space="preserve"> PAGEREF _Toc27890 \h </w:instrText>
      </w:r>
      <w:r>
        <w:rPr>
          <w:color w:val="auto"/>
          <w:highlight w:val="none"/>
        </w:rPr>
        <w:fldChar w:fldCharType="separate"/>
      </w:r>
      <w:r>
        <w:rPr>
          <w:color w:val="auto"/>
          <w:highlight w:val="none"/>
        </w:rPr>
        <w:t>16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_Toc26042 </w:instrText>
      </w:r>
      <w:r>
        <w:rPr>
          <w:color w:val="auto"/>
          <w:szCs w:val="32"/>
          <w:highlight w:val="none"/>
        </w:rPr>
        <w:fldChar w:fldCharType="separate"/>
      </w:r>
      <w:r>
        <w:rPr>
          <w:rFonts w:hint="eastAsia" w:ascii="Times New Roman" w:hAnsi="Times New Roman" w:eastAsia="宋体" w:cs="宋体"/>
          <w:color w:val="auto"/>
          <w:highlight w:val="none"/>
        </w:rPr>
        <w:t xml:space="preserve">2.9 </w:t>
      </w:r>
      <w:r>
        <w:rPr>
          <w:color w:val="auto"/>
          <w:highlight w:val="none"/>
        </w:rPr>
        <w:t>重新采购</w:t>
      </w:r>
      <w:r>
        <w:rPr>
          <w:color w:val="auto"/>
          <w:highlight w:val="none"/>
        </w:rPr>
        <w:tab/>
      </w:r>
      <w:r>
        <w:rPr>
          <w:color w:val="auto"/>
          <w:highlight w:val="none"/>
        </w:rPr>
        <w:fldChar w:fldCharType="begin"/>
      </w:r>
      <w:r>
        <w:rPr>
          <w:color w:val="auto"/>
          <w:highlight w:val="none"/>
        </w:rPr>
        <w:instrText xml:space="preserve"> PAGEREF _Toc26042 \h </w:instrText>
      </w:r>
      <w:r>
        <w:rPr>
          <w:color w:val="auto"/>
          <w:highlight w:val="none"/>
        </w:rPr>
        <w:fldChar w:fldCharType="separate"/>
      </w:r>
      <w:r>
        <w:rPr>
          <w:color w:val="auto"/>
          <w:highlight w:val="none"/>
        </w:rPr>
        <w:t>16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_Toc29590 </w:instrText>
      </w:r>
      <w:r>
        <w:rPr>
          <w:color w:val="auto"/>
          <w:szCs w:val="32"/>
          <w:highlight w:val="none"/>
        </w:rPr>
        <w:fldChar w:fldCharType="separate"/>
      </w:r>
      <w:r>
        <w:rPr>
          <w:rFonts w:hint="eastAsia" w:ascii="Times New Roman" w:hAnsi="Times New Roman" w:eastAsia="宋体" w:cs="宋体"/>
          <w:color w:val="auto"/>
          <w:highlight w:val="none"/>
        </w:rPr>
        <w:t xml:space="preserve">2.10 </w:t>
      </w:r>
      <w:r>
        <w:rPr>
          <w:color w:val="auto"/>
          <w:highlight w:val="none"/>
        </w:rPr>
        <w:t>签订合同</w:t>
      </w:r>
      <w:r>
        <w:rPr>
          <w:color w:val="auto"/>
          <w:highlight w:val="none"/>
        </w:rPr>
        <w:tab/>
      </w:r>
      <w:r>
        <w:rPr>
          <w:color w:val="auto"/>
          <w:highlight w:val="none"/>
        </w:rPr>
        <w:fldChar w:fldCharType="begin"/>
      </w:r>
      <w:r>
        <w:rPr>
          <w:color w:val="auto"/>
          <w:highlight w:val="none"/>
        </w:rPr>
        <w:instrText xml:space="preserve"> PAGEREF _Toc29590 \h </w:instrText>
      </w:r>
      <w:r>
        <w:rPr>
          <w:color w:val="auto"/>
          <w:highlight w:val="none"/>
        </w:rPr>
        <w:fldChar w:fldCharType="separate"/>
      </w:r>
      <w:r>
        <w:rPr>
          <w:color w:val="auto"/>
          <w:highlight w:val="none"/>
        </w:rPr>
        <w:t>16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_Toc24023 </w:instrText>
      </w:r>
      <w:r>
        <w:rPr>
          <w:color w:val="auto"/>
          <w:szCs w:val="32"/>
          <w:highlight w:val="none"/>
        </w:rPr>
        <w:fldChar w:fldCharType="separate"/>
      </w:r>
      <w:r>
        <w:rPr>
          <w:rFonts w:hint="eastAsia" w:ascii="Times New Roman" w:hAnsi="Times New Roman" w:eastAsia="宋体" w:cs="宋体"/>
          <w:color w:val="auto"/>
          <w:highlight w:val="none"/>
        </w:rPr>
        <w:t xml:space="preserve">2.11 </w:t>
      </w:r>
      <w:r>
        <w:rPr>
          <w:color w:val="auto"/>
          <w:highlight w:val="none"/>
        </w:rPr>
        <w:t>其他</w:t>
      </w:r>
      <w:r>
        <w:rPr>
          <w:color w:val="auto"/>
          <w:highlight w:val="none"/>
        </w:rPr>
        <w:tab/>
      </w:r>
      <w:r>
        <w:rPr>
          <w:color w:val="auto"/>
          <w:highlight w:val="none"/>
        </w:rPr>
        <w:fldChar w:fldCharType="begin"/>
      </w:r>
      <w:r>
        <w:rPr>
          <w:color w:val="auto"/>
          <w:highlight w:val="none"/>
        </w:rPr>
        <w:instrText xml:space="preserve"> PAGEREF _Toc24023 \h </w:instrText>
      </w:r>
      <w:r>
        <w:rPr>
          <w:color w:val="auto"/>
          <w:highlight w:val="none"/>
        </w:rPr>
        <w:fldChar w:fldCharType="separate"/>
      </w:r>
      <w:r>
        <w:rPr>
          <w:color w:val="auto"/>
          <w:highlight w:val="none"/>
        </w:rPr>
        <w:t>17</w:t>
      </w:r>
      <w:r>
        <w:rPr>
          <w:color w:val="auto"/>
          <w:highlight w:val="none"/>
        </w:rPr>
        <w:fldChar w:fldCharType="end"/>
      </w:r>
      <w:r>
        <w:rPr>
          <w:color w:val="auto"/>
          <w:szCs w:val="32"/>
          <w:highlight w:val="none"/>
        </w:rPr>
        <w:fldChar w:fldCharType="end"/>
      </w:r>
    </w:p>
    <w:p>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_Toc11850 </w:instrText>
      </w:r>
      <w:r>
        <w:rPr>
          <w:color w:val="auto"/>
          <w:szCs w:val="32"/>
          <w:highlight w:val="none"/>
        </w:rPr>
        <w:fldChar w:fldCharType="separate"/>
      </w:r>
      <w:r>
        <w:rPr>
          <w:rFonts w:hint="eastAsia" w:ascii="宋体" w:hAnsi="宋体" w:eastAsia="宋体" w:cs="宋体"/>
          <w:color w:val="auto"/>
          <w:highlight w:val="none"/>
        </w:rPr>
        <w:t xml:space="preserve">第三部分 </w:t>
      </w:r>
      <w:r>
        <w:rPr>
          <w:color w:val="auto"/>
          <w:highlight w:val="none"/>
        </w:rPr>
        <w:t>评标细则</w:t>
      </w:r>
      <w:r>
        <w:rPr>
          <w:color w:val="auto"/>
          <w:highlight w:val="none"/>
        </w:rPr>
        <w:tab/>
      </w:r>
      <w:r>
        <w:rPr>
          <w:color w:val="auto"/>
          <w:highlight w:val="none"/>
        </w:rPr>
        <w:fldChar w:fldCharType="begin"/>
      </w:r>
      <w:r>
        <w:rPr>
          <w:color w:val="auto"/>
          <w:highlight w:val="none"/>
        </w:rPr>
        <w:instrText xml:space="preserve"> PAGEREF _Toc11850 \h </w:instrText>
      </w:r>
      <w:r>
        <w:rPr>
          <w:color w:val="auto"/>
          <w:highlight w:val="none"/>
        </w:rPr>
        <w:fldChar w:fldCharType="separate"/>
      </w:r>
      <w:r>
        <w:rPr>
          <w:color w:val="auto"/>
          <w:highlight w:val="none"/>
        </w:rPr>
        <w:t>18</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_Toc28476 </w:instrText>
      </w:r>
      <w:r>
        <w:rPr>
          <w:color w:val="auto"/>
          <w:szCs w:val="32"/>
          <w:highlight w:val="none"/>
        </w:rPr>
        <w:fldChar w:fldCharType="separate"/>
      </w:r>
      <w:r>
        <w:rPr>
          <w:rFonts w:hint="eastAsia" w:ascii="Times New Roman" w:hAnsi="Times New Roman" w:eastAsia="宋体" w:cs="宋体"/>
          <w:color w:val="auto"/>
          <w:highlight w:val="none"/>
        </w:rPr>
        <w:t xml:space="preserve">3.1 </w:t>
      </w:r>
      <w:r>
        <w:rPr>
          <w:color w:val="auto"/>
          <w:highlight w:val="none"/>
        </w:rPr>
        <w:t>评标组织</w:t>
      </w:r>
      <w:r>
        <w:rPr>
          <w:color w:val="auto"/>
          <w:highlight w:val="none"/>
        </w:rPr>
        <w:tab/>
      </w:r>
      <w:r>
        <w:rPr>
          <w:color w:val="auto"/>
          <w:highlight w:val="none"/>
        </w:rPr>
        <w:fldChar w:fldCharType="begin"/>
      </w:r>
      <w:r>
        <w:rPr>
          <w:color w:val="auto"/>
          <w:highlight w:val="none"/>
        </w:rPr>
        <w:instrText xml:space="preserve"> PAGEREF _Toc28476 \h </w:instrText>
      </w:r>
      <w:r>
        <w:rPr>
          <w:color w:val="auto"/>
          <w:highlight w:val="none"/>
        </w:rPr>
        <w:fldChar w:fldCharType="separate"/>
      </w:r>
      <w:r>
        <w:rPr>
          <w:color w:val="auto"/>
          <w:highlight w:val="none"/>
        </w:rPr>
        <w:t>18</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_Toc13750 </w:instrText>
      </w:r>
      <w:r>
        <w:rPr>
          <w:color w:val="auto"/>
          <w:szCs w:val="32"/>
          <w:highlight w:val="none"/>
        </w:rPr>
        <w:fldChar w:fldCharType="separate"/>
      </w:r>
      <w:r>
        <w:rPr>
          <w:rFonts w:hint="eastAsia" w:ascii="Times New Roman" w:hAnsi="Times New Roman" w:eastAsia="宋体" w:cs="宋体"/>
          <w:color w:val="auto"/>
          <w:highlight w:val="none"/>
        </w:rPr>
        <w:t xml:space="preserve">3.2 </w:t>
      </w:r>
      <w:r>
        <w:rPr>
          <w:color w:val="auto"/>
          <w:highlight w:val="none"/>
        </w:rPr>
        <w:t>评标原则与方法</w:t>
      </w:r>
      <w:r>
        <w:rPr>
          <w:color w:val="auto"/>
          <w:highlight w:val="none"/>
        </w:rPr>
        <w:tab/>
      </w:r>
      <w:r>
        <w:rPr>
          <w:color w:val="auto"/>
          <w:highlight w:val="none"/>
        </w:rPr>
        <w:fldChar w:fldCharType="begin"/>
      </w:r>
      <w:r>
        <w:rPr>
          <w:color w:val="auto"/>
          <w:highlight w:val="none"/>
        </w:rPr>
        <w:instrText xml:space="preserve"> PAGEREF _Toc13750 \h </w:instrText>
      </w:r>
      <w:r>
        <w:rPr>
          <w:color w:val="auto"/>
          <w:highlight w:val="none"/>
        </w:rPr>
        <w:fldChar w:fldCharType="separate"/>
      </w:r>
      <w:r>
        <w:rPr>
          <w:color w:val="auto"/>
          <w:highlight w:val="none"/>
        </w:rPr>
        <w:t>18</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_Toc9670 </w:instrText>
      </w:r>
      <w:r>
        <w:rPr>
          <w:color w:val="auto"/>
          <w:szCs w:val="32"/>
          <w:highlight w:val="none"/>
        </w:rPr>
        <w:fldChar w:fldCharType="separate"/>
      </w:r>
      <w:r>
        <w:rPr>
          <w:rFonts w:hint="eastAsia" w:ascii="Times New Roman" w:hAnsi="Times New Roman" w:eastAsia="宋体" w:cs="宋体"/>
          <w:color w:val="auto"/>
          <w:highlight w:val="none"/>
        </w:rPr>
        <w:t xml:space="preserve">3.3 </w:t>
      </w:r>
      <w:r>
        <w:rPr>
          <w:color w:val="auto"/>
          <w:highlight w:val="none"/>
        </w:rPr>
        <w:t>评标程序和内容</w:t>
      </w:r>
      <w:r>
        <w:rPr>
          <w:color w:val="auto"/>
          <w:highlight w:val="none"/>
        </w:rPr>
        <w:tab/>
      </w:r>
      <w:r>
        <w:rPr>
          <w:color w:val="auto"/>
          <w:highlight w:val="none"/>
        </w:rPr>
        <w:fldChar w:fldCharType="begin"/>
      </w:r>
      <w:r>
        <w:rPr>
          <w:color w:val="auto"/>
          <w:highlight w:val="none"/>
        </w:rPr>
        <w:instrText xml:space="preserve"> PAGEREF _Toc9670 \h </w:instrText>
      </w:r>
      <w:r>
        <w:rPr>
          <w:color w:val="auto"/>
          <w:highlight w:val="none"/>
        </w:rPr>
        <w:fldChar w:fldCharType="separate"/>
      </w:r>
      <w:r>
        <w:rPr>
          <w:color w:val="auto"/>
          <w:highlight w:val="none"/>
        </w:rPr>
        <w:t>19</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_Toc11471 </w:instrText>
      </w:r>
      <w:r>
        <w:rPr>
          <w:color w:val="auto"/>
          <w:szCs w:val="32"/>
          <w:highlight w:val="none"/>
        </w:rPr>
        <w:fldChar w:fldCharType="separate"/>
      </w:r>
      <w:r>
        <w:rPr>
          <w:rFonts w:hint="eastAsia" w:ascii="Times New Roman" w:hAnsi="Times New Roman" w:eastAsia="宋体" w:cs="宋体"/>
          <w:color w:val="auto"/>
          <w:highlight w:val="none"/>
        </w:rPr>
        <w:t xml:space="preserve">3.4 </w:t>
      </w:r>
      <w:r>
        <w:rPr>
          <w:color w:val="auto"/>
          <w:highlight w:val="none"/>
        </w:rPr>
        <w:t>投标文件的</w:t>
      </w:r>
      <w:r>
        <w:rPr>
          <w:rFonts w:hint="eastAsia"/>
          <w:color w:val="auto"/>
          <w:highlight w:val="none"/>
        </w:rPr>
        <w:t>符合性评审</w:t>
      </w:r>
      <w:r>
        <w:rPr>
          <w:color w:val="auto"/>
          <w:highlight w:val="none"/>
        </w:rPr>
        <w:tab/>
      </w:r>
      <w:r>
        <w:rPr>
          <w:color w:val="auto"/>
          <w:highlight w:val="none"/>
        </w:rPr>
        <w:fldChar w:fldCharType="begin"/>
      </w:r>
      <w:r>
        <w:rPr>
          <w:color w:val="auto"/>
          <w:highlight w:val="none"/>
        </w:rPr>
        <w:instrText xml:space="preserve"> PAGEREF _Toc11471 \h </w:instrText>
      </w:r>
      <w:r>
        <w:rPr>
          <w:color w:val="auto"/>
          <w:highlight w:val="none"/>
        </w:rPr>
        <w:fldChar w:fldCharType="separate"/>
      </w:r>
      <w:r>
        <w:rPr>
          <w:color w:val="auto"/>
          <w:highlight w:val="none"/>
        </w:rPr>
        <w:t>19</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_Toc27893 </w:instrText>
      </w:r>
      <w:r>
        <w:rPr>
          <w:color w:val="auto"/>
          <w:szCs w:val="32"/>
          <w:highlight w:val="none"/>
        </w:rPr>
        <w:fldChar w:fldCharType="separate"/>
      </w:r>
      <w:r>
        <w:rPr>
          <w:rFonts w:hint="eastAsia" w:ascii="Times New Roman" w:hAnsi="Times New Roman" w:eastAsia="宋体" w:cs="宋体"/>
          <w:color w:val="auto"/>
          <w:highlight w:val="none"/>
        </w:rPr>
        <w:t xml:space="preserve">3.5 </w:t>
      </w:r>
      <w:r>
        <w:rPr>
          <w:rFonts w:hint="eastAsia"/>
          <w:color w:val="auto"/>
          <w:highlight w:val="none"/>
        </w:rPr>
        <w:t>投标</w:t>
      </w:r>
      <w:r>
        <w:rPr>
          <w:color w:val="auto"/>
          <w:highlight w:val="none"/>
        </w:rPr>
        <w:t>文件的详细评审</w:t>
      </w:r>
      <w:r>
        <w:rPr>
          <w:color w:val="auto"/>
          <w:highlight w:val="none"/>
        </w:rPr>
        <w:tab/>
      </w:r>
      <w:r>
        <w:rPr>
          <w:color w:val="auto"/>
          <w:highlight w:val="none"/>
        </w:rPr>
        <w:fldChar w:fldCharType="begin"/>
      </w:r>
      <w:r>
        <w:rPr>
          <w:color w:val="auto"/>
          <w:highlight w:val="none"/>
        </w:rPr>
        <w:instrText xml:space="preserve"> PAGEREF _Toc27893 \h </w:instrText>
      </w:r>
      <w:r>
        <w:rPr>
          <w:color w:val="auto"/>
          <w:highlight w:val="none"/>
        </w:rPr>
        <w:fldChar w:fldCharType="separate"/>
      </w:r>
      <w:r>
        <w:rPr>
          <w:color w:val="auto"/>
          <w:highlight w:val="none"/>
        </w:rPr>
        <w:t>19</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_Toc23534 </w:instrText>
      </w:r>
      <w:r>
        <w:rPr>
          <w:color w:val="auto"/>
          <w:szCs w:val="32"/>
          <w:highlight w:val="none"/>
        </w:rPr>
        <w:fldChar w:fldCharType="separate"/>
      </w:r>
      <w:r>
        <w:rPr>
          <w:rFonts w:hint="eastAsia" w:ascii="Times New Roman" w:hAnsi="Times New Roman" w:eastAsia="宋体" w:cs="宋体"/>
          <w:color w:val="auto"/>
          <w:highlight w:val="none"/>
        </w:rPr>
        <w:t xml:space="preserve">3.6 </w:t>
      </w:r>
      <w:r>
        <w:rPr>
          <w:color w:val="auto"/>
          <w:highlight w:val="none"/>
        </w:rPr>
        <w:t>澄清和补正</w:t>
      </w:r>
      <w:r>
        <w:rPr>
          <w:color w:val="auto"/>
          <w:highlight w:val="none"/>
        </w:rPr>
        <w:tab/>
      </w:r>
      <w:r>
        <w:rPr>
          <w:color w:val="auto"/>
          <w:highlight w:val="none"/>
        </w:rPr>
        <w:fldChar w:fldCharType="begin"/>
      </w:r>
      <w:r>
        <w:rPr>
          <w:color w:val="auto"/>
          <w:highlight w:val="none"/>
        </w:rPr>
        <w:instrText xml:space="preserve"> PAGEREF _Toc23534 \h </w:instrText>
      </w:r>
      <w:r>
        <w:rPr>
          <w:color w:val="auto"/>
          <w:highlight w:val="none"/>
        </w:rPr>
        <w:fldChar w:fldCharType="separate"/>
      </w:r>
      <w:r>
        <w:rPr>
          <w:color w:val="auto"/>
          <w:highlight w:val="none"/>
        </w:rPr>
        <w:t>20</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_Toc13110 </w:instrText>
      </w:r>
      <w:r>
        <w:rPr>
          <w:color w:val="auto"/>
          <w:szCs w:val="32"/>
          <w:highlight w:val="none"/>
        </w:rPr>
        <w:fldChar w:fldCharType="separate"/>
      </w:r>
      <w:r>
        <w:rPr>
          <w:rFonts w:hint="eastAsia" w:ascii="Times New Roman" w:hAnsi="Times New Roman" w:eastAsia="宋体" w:cs="宋体"/>
          <w:color w:val="auto"/>
          <w:highlight w:val="none"/>
        </w:rPr>
        <w:t xml:space="preserve">3.7 </w:t>
      </w:r>
      <w:r>
        <w:rPr>
          <w:color w:val="auto"/>
          <w:highlight w:val="none"/>
        </w:rPr>
        <w:t>评审计分内容和分值范围</w:t>
      </w:r>
      <w:r>
        <w:rPr>
          <w:color w:val="auto"/>
          <w:highlight w:val="none"/>
        </w:rPr>
        <w:tab/>
      </w:r>
      <w:r>
        <w:rPr>
          <w:color w:val="auto"/>
          <w:highlight w:val="none"/>
        </w:rPr>
        <w:fldChar w:fldCharType="begin"/>
      </w:r>
      <w:r>
        <w:rPr>
          <w:color w:val="auto"/>
          <w:highlight w:val="none"/>
        </w:rPr>
        <w:instrText xml:space="preserve"> PAGEREF _Toc13110 \h </w:instrText>
      </w:r>
      <w:r>
        <w:rPr>
          <w:color w:val="auto"/>
          <w:highlight w:val="none"/>
        </w:rPr>
        <w:fldChar w:fldCharType="separate"/>
      </w:r>
      <w:r>
        <w:rPr>
          <w:color w:val="auto"/>
          <w:highlight w:val="none"/>
        </w:rPr>
        <w:t>21</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_Toc18683 </w:instrText>
      </w:r>
      <w:r>
        <w:rPr>
          <w:color w:val="auto"/>
          <w:szCs w:val="32"/>
          <w:highlight w:val="none"/>
        </w:rPr>
        <w:fldChar w:fldCharType="separate"/>
      </w:r>
      <w:r>
        <w:rPr>
          <w:rFonts w:hint="eastAsia" w:ascii="Times New Roman" w:hAnsi="Times New Roman" w:eastAsia="宋体" w:cs="宋体"/>
          <w:color w:val="auto"/>
          <w:highlight w:val="none"/>
        </w:rPr>
        <w:t xml:space="preserve">3.8 </w:t>
      </w:r>
      <w:r>
        <w:rPr>
          <w:color w:val="auto"/>
          <w:highlight w:val="none"/>
        </w:rPr>
        <w:t>推荐中标候选人</w:t>
      </w:r>
      <w:r>
        <w:rPr>
          <w:color w:val="auto"/>
          <w:highlight w:val="none"/>
        </w:rPr>
        <w:tab/>
      </w:r>
      <w:r>
        <w:rPr>
          <w:color w:val="auto"/>
          <w:highlight w:val="none"/>
        </w:rPr>
        <w:fldChar w:fldCharType="begin"/>
      </w:r>
      <w:r>
        <w:rPr>
          <w:color w:val="auto"/>
          <w:highlight w:val="none"/>
        </w:rPr>
        <w:instrText xml:space="preserve"> PAGEREF _Toc18683 \h </w:instrText>
      </w:r>
      <w:r>
        <w:rPr>
          <w:color w:val="auto"/>
          <w:highlight w:val="none"/>
        </w:rPr>
        <w:fldChar w:fldCharType="separate"/>
      </w:r>
      <w:r>
        <w:rPr>
          <w:color w:val="auto"/>
          <w:highlight w:val="none"/>
        </w:rPr>
        <w:t>24</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_Toc16210 </w:instrText>
      </w:r>
      <w:r>
        <w:rPr>
          <w:color w:val="auto"/>
          <w:szCs w:val="32"/>
          <w:highlight w:val="none"/>
        </w:rPr>
        <w:fldChar w:fldCharType="separate"/>
      </w:r>
      <w:r>
        <w:rPr>
          <w:rFonts w:hint="eastAsia" w:ascii="Times New Roman" w:hAnsi="Times New Roman" w:eastAsia="宋体" w:cs="宋体"/>
          <w:color w:val="auto"/>
          <w:highlight w:val="none"/>
        </w:rPr>
        <w:t xml:space="preserve">3.9 </w:t>
      </w:r>
      <w:r>
        <w:rPr>
          <w:color w:val="auto"/>
          <w:highlight w:val="none"/>
        </w:rPr>
        <w:t>评标报告</w:t>
      </w:r>
      <w:r>
        <w:rPr>
          <w:color w:val="auto"/>
          <w:highlight w:val="none"/>
        </w:rPr>
        <w:tab/>
      </w:r>
      <w:r>
        <w:rPr>
          <w:color w:val="auto"/>
          <w:highlight w:val="none"/>
        </w:rPr>
        <w:fldChar w:fldCharType="begin"/>
      </w:r>
      <w:r>
        <w:rPr>
          <w:color w:val="auto"/>
          <w:highlight w:val="none"/>
        </w:rPr>
        <w:instrText xml:space="preserve"> PAGEREF _Toc16210 \h </w:instrText>
      </w:r>
      <w:r>
        <w:rPr>
          <w:color w:val="auto"/>
          <w:highlight w:val="none"/>
        </w:rPr>
        <w:fldChar w:fldCharType="separate"/>
      </w:r>
      <w:r>
        <w:rPr>
          <w:color w:val="auto"/>
          <w:highlight w:val="none"/>
        </w:rPr>
        <w:t>24</w:t>
      </w:r>
      <w:r>
        <w:rPr>
          <w:color w:val="auto"/>
          <w:highlight w:val="none"/>
        </w:rPr>
        <w:fldChar w:fldCharType="end"/>
      </w:r>
      <w:r>
        <w:rPr>
          <w:color w:val="auto"/>
          <w:szCs w:val="32"/>
          <w:highlight w:val="none"/>
        </w:rPr>
        <w:fldChar w:fldCharType="end"/>
      </w:r>
    </w:p>
    <w:p>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_Toc30083 </w:instrText>
      </w:r>
      <w:r>
        <w:rPr>
          <w:color w:val="auto"/>
          <w:szCs w:val="32"/>
          <w:highlight w:val="none"/>
        </w:rPr>
        <w:fldChar w:fldCharType="separate"/>
      </w:r>
      <w:r>
        <w:rPr>
          <w:rFonts w:hint="eastAsia" w:ascii="宋体" w:hAnsi="宋体" w:eastAsia="宋体" w:cs="宋体"/>
          <w:color w:val="auto"/>
          <w:highlight w:val="none"/>
        </w:rPr>
        <w:t xml:space="preserve">第四部分 </w:t>
      </w:r>
      <w:r>
        <w:rPr>
          <w:color w:val="auto"/>
          <w:highlight w:val="none"/>
        </w:rPr>
        <w:t>采购项目指南</w:t>
      </w:r>
      <w:r>
        <w:rPr>
          <w:color w:val="auto"/>
          <w:highlight w:val="none"/>
        </w:rPr>
        <w:tab/>
      </w:r>
      <w:r>
        <w:rPr>
          <w:color w:val="auto"/>
          <w:highlight w:val="none"/>
        </w:rPr>
        <w:fldChar w:fldCharType="begin"/>
      </w:r>
      <w:r>
        <w:rPr>
          <w:color w:val="auto"/>
          <w:highlight w:val="none"/>
        </w:rPr>
        <w:instrText xml:space="preserve"> PAGEREF _Toc30083 \h </w:instrText>
      </w:r>
      <w:r>
        <w:rPr>
          <w:color w:val="auto"/>
          <w:highlight w:val="none"/>
        </w:rPr>
        <w:fldChar w:fldCharType="separate"/>
      </w:r>
      <w:r>
        <w:rPr>
          <w:color w:val="auto"/>
          <w:highlight w:val="none"/>
        </w:rPr>
        <w:t>25</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_Toc25728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4.1 </w:t>
      </w:r>
      <w:r>
        <w:rPr>
          <w:rFonts w:hint="eastAsia"/>
          <w:color w:val="auto"/>
          <w:highlight w:val="none"/>
          <w:lang w:val="en-US" w:eastAsia="zh-CN"/>
        </w:rPr>
        <w:t>项目目标</w:t>
      </w:r>
      <w:r>
        <w:rPr>
          <w:color w:val="auto"/>
          <w:highlight w:val="none"/>
        </w:rPr>
        <w:tab/>
      </w:r>
      <w:r>
        <w:rPr>
          <w:color w:val="auto"/>
          <w:highlight w:val="none"/>
        </w:rPr>
        <w:fldChar w:fldCharType="begin"/>
      </w:r>
      <w:r>
        <w:rPr>
          <w:color w:val="auto"/>
          <w:highlight w:val="none"/>
        </w:rPr>
        <w:instrText xml:space="preserve"> PAGEREF _Toc25728 \h </w:instrText>
      </w:r>
      <w:r>
        <w:rPr>
          <w:color w:val="auto"/>
          <w:highlight w:val="none"/>
        </w:rPr>
        <w:fldChar w:fldCharType="separate"/>
      </w:r>
      <w:r>
        <w:rPr>
          <w:color w:val="auto"/>
          <w:highlight w:val="none"/>
        </w:rPr>
        <w:t>25</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_Toc2893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4.2 </w:t>
      </w:r>
      <w:r>
        <w:rPr>
          <w:rFonts w:hint="eastAsia"/>
          <w:color w:val="auto"/>
          <w:highlight w:val="none"/>
          <w:lang w:val="en-US" w:eastAsia="zh-CN"/>
        </w:rPr>
        <w:t>项目工作内容</w:t>
      </w:r>
      <w:r>
        <w:rPr>
          <w:color w:val="auto"/>
          <w:highlight w:val="none"/>
        </w:rPr>
        <w:tab/>
      </w:r>
      <w:r>
        <w:rPr>
          <w:color w:val="auto"/>
          <w:highlight w:val="none"/>
        </w:rPr>
        <w:fldChar w:fldCharType="begin"/>
      </w:r>
      <w:r>
        <w:rPr>
          <w:color w:val="auto"/>
          <w:highlight w:val="none"/>
        </w:rPr>
        <w:instrText xml:space="preserve"> PAGEREF _Toc2893 \h </w:instrText>
      </w:r>
      <w:r>
        <w:rPr>
          <w:color w:val="auto"/>
          <w:highlight w:val="none"/>
        </w:rPr>
        <w:fldChar w:fldCharType="separate"/>
      </w:r>
      <w:r>
        <w:rPr>
          <w:color w:val="auto"/>
          <w:highlight w:val="none"/>
        </w:rPr>
        <w:t>25</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_Toc592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4.3 </w:t>
      </w:r>
      <w:r>
        <w:rPr>
          <w:rFonts w:hint="eastAsia"/>
          <w:color w:val="auto"/>
          <w:highlight w:val="none"/>
          <w:lang w:val="en-US" w:eastAsia="zh-CN"/>
        </w:rPr>
        <w:t>项目成果要求</w:t>
      </w:r>
      <w:r>
        <w:rPr>
          <w:color w:val="auto"/>
          <w:highlight w:val="none"/>
        </w:rPr>
        <w:tab/>
      </w:r>
      <w:r>
        <w:rPr>
          <w:color w:val="auto"/>
          <w:highlight w:val="none"/>
        </w:rPr>
        <w:fldChar w:fldCharType="begin"/>
      </w:r>
      <w:r>
        <w:rPr>
          <w:color w:val="auto"/>
          <w:highlight w:val="none"/>
        </w:rPr>
        <w:instrText xml:space="preserve"> PAGEREF _Toc592 \h </w:instrText>
      </w:r>
      <w:r>
        <w:rPr>
          <w:color w:val="auto"/>
          <w:highlight w:val="none"/>
        </w:rPr>
        <w:fldChar w:fldCharType="separate"/>
      </w:r>
      <w:r>
        <w:rPr>
          <w:color w:val="auto"/>
          <w:highlight w:val="none"/>
        </w:rPr>
        <w:t>26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_Toc18167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4.4 </w:t>
      </w:r>
      <w:r>
        <w:rPr>
          <w:rFonts w:hint="eastAsia"/>
          <w:color w:val="auto"/>
          <w:highlight w:val="none"/>
          <w:lang w:val="en-US" w:eastAsia="zh-CN"/>
        </w:rPr>
        <w:t>项目进度要求</w:t>
      </w:r>
      <w:r>
        <w:rPr>
          <w:color w:val="auto"/>
          <w:highlight w:val="none"/>
        </w:rPr>
        <w:tab/>
      </w:r>
      <w:r>
        <w:rPr>
          <w:color w:val="auto"/>
          <w:highlight w:val="none"/>
        </w:rPr>
        <w:fldChar w:fldCharType="begin"/>
      </w:r>
      <w:r>
        <w:rPr>
          <w:color w:val="auto"/>
          <w:highlight w:val="none"/>
        </w:rPr>
        <w:instrText xml:space="preserve"> PAGEREF _Toc18167 \h </w:instrText>
      </w:r>
      <w:r>
        <w:rPr>
          <w:color w:val="auto"/>
          <w:highlight w:val="none"/>
        </w:rPr>
        <w:fldChar w:fldCharType="separate"/>
      </w:r>
      <w:r>
        <w:rPr>
          <w:color w:val="auto"/>
          <w:highlight w:val="none"/>
        </w:rPr>
        <w:t>26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_Toc30749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4.5 </w:t>
      </w:r>
      <w:r>
        <w:rPr>
          <w:rFonts w:hint="eastAsia"/>
          <w:color w:val="auto"/>
          <w:highlight w:val="none"/>
          <w:lang w:val="en-US" w:eastAsia="zh-CN"/>
        </w:rPr>
        <w:t>验收方式</w:t>
      </w:r>
      <w:r>
        <w:rPr>
          <w:color w:val="auto"/>
          <w:highlight w:val="none"/>
        </w:rPr>
        <w:tab/>
      </w:r>
      <w:r>
        <w:rPr>
          <w:color w:val="auto"/>
          <w:highlight w:val="none"/>
        </w:rPr>
        <w:fldChar w:fldCharType="begin"/>
      </w:r>
      <w:r>
        <w:rPr>
          <w:color w:val="auto"/>
          <w:highlight w:val="none"/>
        </w:rPr>
        <w:instrText xml:space="preserve"> PAGEREF _Toc30749 \h </w:instrText>
      </w:r>
      <w:r>
        <w:rPr>
          <w:color w:val="auto"/>
          <w:highlight w:val="none"/>
        </w:rPr>
        <w:fldChar w:fldCharType="separate"/>
      </w:r>
      <w:r>
        <w:rPr>
          <w:color w:val="auto"/>
          <w:highlight w:val="none"/>
        </w:rPr>
        <w:t>26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_Toc13000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4.6 </w:t>
      </w:r>
      <w:r>
        <w:rPr>
          <w:rFonts w:hint="eastAsia"/>
          <w:color w:val="auto"/>
          <w:highlight w:val="none"/>
          <w:lang w:val="en-US" w:eastAsia="zh-CN"/>
        </w:rPr>
        <w:t>支付方式</w:t>
      </w:r>
      <w:r>
        <w:rPr>
          <w:color w:val="auto"/>
          <w:highlight w:val="none"/>
        </w:rPr>
        <w:tab/>
      </w:r>
      <w:r>
        <w:rPr>
          <w:color w:val="auto"/>
          <w:highlight w:val="none"/>
        </w:rPr>
        <w:fldChar w:fldCharType="begin"/>
      </w:r>
      <w:r>
        <w:rPr>
          <w:color w:val="auto"/>
          <w:highlight w:val="none"/>
        </w:rPr>
        <w:instrText xml:space="preserve"> PAGEREF _Toc13000 \h </w:instrText>
      </w:r>
      <w:r>
        <w:rPr>
          <w:color w:val="auto"/>
          <w:highlight w:val="none"/>
        </w:rPr>
        <w:fldChar w:fldCharType="separate"/>
      </w:r>
      <w:r>
        <w:rPr>
          <w:color w:val="auto"/>
          <w:highlight w:val="none"/>
        </w:rPr>
        <w:t>26</w:t>
      </w:r>
      <w:r>
        <w:rPr>
          <w:color w:val="auto"/>
          <w:highlight w:val="none"/>
        </w:rPr>
        <w:fldChar w:fldCharType="end"/>
      </w:r>
      <w:r>
        <w:rPr>
          <w:color w:val="auto"/>
          <w:szCs w:val="32"/>
          <w:highlight w:val="none"/>
        </w:rPr>
        <w:fldChar w:fldCharType="end"/>
      </w:r>
    </w:p>
    <w:p>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_Toc30244 </w:instrText>
      </w:r>
      <w:r>
        <w:rPr>
          <w:color w:val="auto"/>
          <w:szCs w:val="32"/>
          <w:highlight w:val="none"/>
        </w:rPr>
        <w:fldChar w:fldCharType="separate"/>
      </w:r>
      <w:r>
        <w:rPr>
          <w:rFonts w:hint="eastAsia" w:ascii="宋体" w:hAnsi="宋体" w:eastAsia="宋体" w:cs="宋体"/>
          <w:color w:val="auto"/>
          <w:highlight w:val="none"/>
        </w:rPr>
        <w:t xml:space="preserve">第五部分 </w:t>
      </w:r>
      <w:r>
        <w:rPr>
          <w:rFonts w:hint="eastAsia"/>
          <w:color w:val="auto"/>
          <w:highlight w:val="none"/>
        </w:rPr>
        <w:t>投标文件格式</w:t>
      </w:r>
      <w:r>
        <w:rPr>
          <w:color w:val="auto"/>
          <w:highlight w:val="none"/>
        </w:rPr>
        <w:tab/>
      </w:r>
      <w:r>
        <w:rPr>
          <w:color w:val="auto"/>
          <w:highlight w:val="none"/>
        </w:rPr>
        <w:fldChar w:fldCharType="begin"/>
      </w:r>
      <w:r>
        <w:rPr>
          <w:color w:val="auto"/>
          <w:highlight w:val="none"/>
        </w:rPr>
        <w:instrText xml:space="preserve"> PAGEREF _Toc30244 \h </w:instrText>
      </w:r>
      <w:r>
        <w:rPr>
          <w:color w:val="auto"/>
          <w:highlight w:val="none"/>
        </w:rPr>
        <w:fldChar w:fldCharType="separate"/>
      </w:r>
      <w:r>
        <w:rPr>
          <w:color w:val="auto"/>
          <w:highlight w:val="none"/>
        </w:rPr>
        <w:t>27</w:t>
      </w:r>
      <w:r>
        <w:rPr>
          <w:color w:val="auto"/>
          <w:highlight w:val="none"/>
        </w:rPr>
        <w:fldChar w:fldCharType="end"/>
      </w:r>
      <w:r>
        <w:rPr>
          <w:color w:val="auto"/>
          <w:szCs w:val="32"/>
          <w:highlight w:val="none"/>
        </w:rPr>
        <w:fldChar w:fldCharType="end"/>
      </w:r>
    </w:p>
    <w:p>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_Toc30952 </w:instrText>
      </w:r>
      <w:r>
        <w:rPr>
          <w:color w:val="auto"/>
          <w:szCs w:val="32"/>
          <w:highlight w:val="none"/>
        </w:rPr>
        <w:fldChar w:fldCharType="separate"/>
      </w:r>
      <w:r>
        <w:rPr>
          <w:rFonts w:hint="eastAsia" w:ascii="宋体" w:hAnsi="宋体" w:eastAsia="宋体" w:cs="宋体"/>
          <w:color w:val="auto"/>
          <w:highlight w:val="none"/>
        </w:rPr>
        <w:t xml:space="preserve">第六部分 </w:t>
      </w:r>
      <w:r>
        <w:rPr>
          <w:rFonts w:hint="eastAsia"/>
          <w:color w:val="auto"/>
          <w:highlight w:val="none"/>
        </w:rPr>
        <w:t>项目委托合同（样本）</w:t>
      </w:r>
      <w:r>
        <w:rPr>
          <w:color w:val="auto"/>
          <w:highlight w:val="none"/>
        </w:rPr>
        <w:tab/>
      </w:r>
      <w:r>
        <w:rPr>
          <w:color w:val="auto"/>
          <w:highlight w:val="none"/>
        </w:rPr>
        <w:fldChar w:fldCharType="begin"/>
      </w:r>
      <w:r>
        <w:rPr>
          <w:color w:val="auto"/>
          <w:highlight w:val="none"/>
        </w:rPr>
        <w:instrText xml:space="preserve"> PAGEREF _Toc30952 \h </w:instrText>
      </w:r>
      <w:r>
        <w:rPr>
          <w:color w:val="auto"/>
          <w:highlight w:val="none"/>
        </w:rPr>
        <w:fldChar w:fldCharType="separate"/>
      </w:r>
      <w:r>
        <w:rPr>
          <w:color w:val="auto"/>
          <w:highlight w:val="none"/>
        </w:rPr>
        <w:t>48</w:t>
      </w:r>
      <w:r>
        <w:rPr>
          <w:color w:val="auto"/>
          <w:highlight w:val="none"/>
        </w:rPr>
        <w:fldChar w:fldCharType="end"/>
      </w:r>
      <w:r>
        <w:rPr>
          <w:color w:val="auto"/>
          <w:szCs w:val="32"/>
          <w:highlight w:val="none"/>
        </w:rPr>
        <w:fldChar w:fldCharType="end"/>
      </w:r>
    </w:p>
    <w:p>
      <w:pPr>
        <w:pStyle w:val="25"/>
        <w:tabs>
          <w:tab w:val="right" w:leader="dot" w:pos="8779"/>
        </w:tabs>
        <w:spacing w:line="480" w:lineRule="auto"/>
        <w:rPr>
          <w:b/>
          <w:bCs/>
          <w:color w:val="auto"/>
          <w:sz w:val="52"/>
          <w:highlight w:val="none"/>
        </w:rPr>
        <w:sectPr>
          <w:headerReference r:id="rId4" w:type="default"/>
          <w:pgSz w:w="11907" w:h="16840"/>
          <w:pgMar w:top="1701" w:right="1474" w:bottom="1418" w:left="1474" w:header="1304" w:footer="1134" w:gutter="0"/>
          <w:pgNumType w:start="1"/>
          <w:cols w:space="720" w:num="1"/>
          <w:docGrid w:linePitch="326" w:charSpace="0"/>
        </w:sectPr>
      </w:pPr>
      <w:r>
        <w:rPr>
          <w:color w:val="auto"/>
          <w:szCs w:val="32"/>
          <w:highlight w:val="none"/>
        </w:rPr>
        <w:fldChar w:fldCharType="end"/>
      </w:r>
    </w:p>
    <w:p>
      <w:pPr>
        <w:pStyle w:val="3"/>
        <w:rPr>
          <w:color w:val="auto"/>
          <w:highlight w:val="none"/>
        </w:rPr>
      </w:pPr>
      <w:bookmarkStart w:id="0" w:name="_Toc9035"/>
      <w:r>
        <w:rPr>
          <w:color w:val="auto"/>
          <w:highlight w:val="none"/>
        </w:rPr>
        <w:t>采购公告</w:t>
      </w:r>
      <w:bookmarkEnd w:id="0"/>
    </w:p>
    <w:tbl>
      <w:tblPr>
        <w:tblStyle w:val="33"/>
        <w:tblW w:w="9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jc w:val="center"/>
        </w:trPr>
        <w:tc>
          <w:tcPr>
            <w:tcW w:w="9285" w:type="dxa"/>
            <w:vAlign w:val="center"/>
          </w:tcPr>
          <w:p>
            <w:pPr>
              <w:spacing w:before="120" w:beforeLines="50" w:after="120" w:afterLines="50" w:line="360" w:lineRule="auto"/>
              <w:ind w:left="272" w:firstLine="480" w:firstLineChars="200"/>
              <w:jc w:val="left"/>
              <w:rPr>
                <w:color w:val="auto"/>
                <w:highlight w:val="none"/>
              </w:rPr>
            </w:pPr>
            <w:r>
              <w:rPr>
                <w:rFonts w:hint="eastAsia"/>
                <w:color w:val="auto"/>
                <w:highlight w:val="none"/>
              </w:rPr>
              <w:t>项目概况</w:t>
            </w:r>
          </w:p>
          <w:p>
            <w:pPr>
              <w:spacing w:before="120" w:beforeLines="50" w:after="120" w:afterLines="50" w:line="360" w:lineRule="auto"/>
              <w:ind w:left="272" w:firstLine="480" w:firstLineChars="200"/>
              <w:jc w:val="left"/>
              <w:rPr>
                <w:color w:val="auto"/>
                <w:highlight w:val="none"/>
              </w:rPr>
            </w:pPr>
            <w:r>
              <w:rPr>
                <w:rFonts w:hint="eastAsia"/>
                <w:color w:val="auto"/>
                <w:szCs w:val="24"/>
                <w:highlight w:val="none"/>
                <w:lang w:eastAsia="zh-CN"/>
              </w:rPr>
              <w:t>水土保持监测管理平台运维</w:t>
            </w:r>
            <w:r>
              <w:rPr>
                <w:rFonts w:hint="eastAsia"/>
                <w:color w:val="auto"/>
                <w:highlight w:val="none"/>
              </w:rPr>
              <w:t>项目的潜在投标人应在政府采购云平台（www.zcygov.cn）获取（下载）招标文件，并于</w:t>
            </w:r>
            <w:r>
              <w:rPr>
                <w:rFonts w:hint="eastAsia"/>
                <w:color w:val="auto"/>
                <w:highlight w:val="none"/>
                <w:lang w:eastAsia="zh-CN"/>
              </w:rPr>
              <w:t>2023年05月25日14:00</w:t>
            </w:r>
            <w:r>
              <w:rPr>
                <w:rFonts w:hint="eastAsia"/>
                <w:color w:val="auto"/>
                <w:highlight w:val="none"/>
              </w:rPr>
              <w:t xml:space="preserve">（北京时间）前递交（上传）投标文件。            </w:t>
            </w:r>
          </w:p>
        </w:tc>
      </w:tr>
    </w:tbl>
    <w:p>
      <w:pPr>
        <w:spacing w:before="60" w:after="60" w:line="338" w:lineRule="auto"/>
        <w:ind w:right="60"/>
        <w:rPr>
          <w:b/>
          <w:color w:val="auto"/>
          <w:highlight w:val="none"/>
        </w:rPr>
      </w:pPr>
      <w:bookmarkStart w:id="1" w:name="_Toc510948455"/>
      <w:r>
        <w:rPr>
          <w:b/>
          <w:color w:val="auto"/>
          <w:highlight w:val="none"/>
        </w:rPr>
        <w:t>一、</w:t>
      </w:r>
      <w:r>
        <w:rPr>
          <w:rFonts w:hint="eastAsia"/>
          <w:b/>
          <w:color w:val="auto"/>
          <w:highlight w:val="none"/>
        </w:rPr>
        <w:t>项目基本情况</w:t>
      </w:r>
    </w:p>
    <w:p>
      <w:pPr>
        <w:spacing w:before="60" w:after="60" w:line="338" w:lineRule="auto"/>
        <w:ind w:right="60" w:firstLine="480" w:firstLineChars="200"/>
        <w:rPr>
          <w:rFonts w:hint="eastAsia" w:eastAsia="宋体"/>
          <w:color w:val="auto"/>
          <w:highlight w:val="none"/>
          <w:lang w:eastAsia="zh-CN"/>
        </w:rPr>
      </w:pPr>
      <w:r>
        <w:rPr>
          <w:rFonts w:hint="eastAsia"/>
          <w:color w:val="auto"/>
          <w:highlight w:val="none"/>
        </w:rPr>
        <w:t>项目</w:t>
      </w:r>
      <w:r>
        <w:rPr>
          <w:color w:val="auto"/>
          <w:highlight w:val="none"/>
        </w:rPr>
        <w:t>编号：</w:t>
      </w:r>
      <w:bookmarkEnd w:id="1"/>
      <w:r>
        <w:rPr>
          <w:rFonts w:hint="eastAsia"/>
          <w:color w:val="auto"/>
          <w:szCs w:val="24"/>
          <w:highlight w:val="none"/>
          <w:lang w:eastAsia="zh-CN"/>
        </w:rPr>
        <w:t>ZSSJCG-202304022</w:t>
      </w:r>
    </w:p>
    <w:p>
      <w:pPr>
        <w:spacing w:line="338" w:lineRule="auto"/>
        <w:ind w:firstLine="480" w:firstLineChars="200"/>
        <w:rPr>
          <w:rFonts w:hint="eastAsia" w:eastAsia="宋体"/>
          <w:color w:val="auto"/>
          <w:szCs w:val="24"/>
          <w:highlight w:val="none"/>
          <w:lang w:eastAsia="zh-CN"/>
        </w:rPr>
      </w:pPr>
      <w:r>
        <w:rPr>
          <w:rFonts w:hint="eastAsia"/>
          <w:color w:val="auto"/>
          <w:highlight w:val="none"/>
        </w:rPr>
        <w:t>项目名称：</w:t>
      </w:r>
      <w:r>
        <w:rPr>
          <w:rFonts w:hint="eastAsia"/>
          <w:color w:val="auto"/>
          <w:szCs w:val="24"/>
          <w:highlight w:val="none"/>
          <w:lang w:eastAsia="zh-CN"/>
        </w:rPr>
        <w:t>水土保持监测管理平台运维</w:t>
      </w:r>
    </w:p>
    <w:p>
      <w:pPr>
        <w:spacing w:line="338" w:lineRule="auto"/>
        <w:ind w:firstLine="480" w:firstLineChars="200"/>
        <w:rPr>
          <w:color w:val="auto"/>
          <w:highlight w:val="none"/>
        </w:rPr>
      </w:pPr>
      <w:r>
        <w:rPr>
          <w:rFonts w:hint="eastAsia"/>
          <w:color w:val="auto"/>
          <w:highlight w:val="none"/>
        </w:rPr>
        <w:t>预算金额（元）：</w:t>
      </w:r>
      <w:r>
        <w:rPr>
          <w:rFonts w:hint="eastAsia"/>
          <w:color w:val="auto"/>
          <w:highlight w:val="none"/>
          <w:lang w:val="en-US" w:eastAsia="zh-CN"/>
        </w:rPr>
        <w:t>1950</w:t>
      </w:r>
      <w:r>
        <w:rPr>
          <w:color w:val="auto"/>
          <w:highlight w:val="none"/>
        </w:rPr>
        <w:t>00</w:t>
      </w:r>
    </w:p>
    <w:p>
      <w:pPr>
        <w:spacing w:line="338" w:lineRule="auto"/>
        <w:ind w:firstLine="480" w:firstLineChars="200"/>
        <w:rPr>
          <w:color w:val="auto"/>
          <w:highlight w:val="none"/>
        </w:rPr>
      </w:pPr>
      <w:r>
        <w:rPr>
          <w:rFonts w:hint="eastAsia"/>
          <w:color w:val="auto"/>
          <w:highlight w:val="none"/>
        </w:rPr>
        <w:t>最高限价（元）：</w:t>
      </w:r>
      <w:r>
        <w:rPr>
          <w:rFonts w:hint="eastAsia"/>
          <w:color w:val="auto"/>
          <w:highlight w:val="none"/>
          <w:lang w:val="en-US" w:eastAsia="zh-CN"/>
        </w:rPr>
        <w:t>1950</w:t>
      </w:r>
      <w:r>
        <w:rPr>
          <w:color w:val="auto"/>
          <w:highlight w:val="none"/>
        </w:rPr>
        <w:t>00</w:t>
      </w:r>
    </w:p>
    <w:p>
      <w:pPr>
        <w:spacing w:line="338" w:lineRule="auto"/>
        <w:ind w:firstLine="480" w:firstLineChars="200"/>
        <w:rPr>
          <w:color w:val="auto"/>
          <w:highlight w:val="none"/>
        </w:rPr>
      </w:pPr>
      <w:r>
        <w:rPr>
          <w:rFonts w:hint="eastAsia"/>
          <w:color w:val="auto"/>
          <w:highlight w:val="none"/>
        </w:rPr>
        <w:t>采购需求：</w:t>
      </w:r>
    </w:p>
    <w:p>
      <w:pPr>
        <w:spacing w:line="338" w:lineRule="auto"/>
        <w:ind w:firstLine="480" w:firstLineChars="200"/>
        <w:rPr>
          <w:color w:val="auto"/>
          <w:highlight w:val="none"/>
        </w:rPr>
      </w:pPr>
    </w:p>
    <w:p>
      <w:pPr>
        <w:spacing w:line="338" w:lineRule="auto"/>
        <w:ind w:firstLine="480" w:firstLineChars="200"/>
        <w:rPr>
          <w:rFonts w:hint="eastAsia" w:eastAsia="宋体"/>
          <w:color w:val="auto"/>
          <w:highlight w:val="none"/>
          <w:lang w:eastAsia="zh-CN"/>
        </w:rPr>
      </w:pPr>
      <w:r>
        <w:rPr>
          <w:rFonts w:hint="eastAsia"/>
          <w:color w:val="auto"/>
          <w:highlight w:val="none"/>
        </w:rPr>
        <w:t>标项名称：</w:t>
      </w:r>
      <w:r>
        <w:rPr>
          <w:rFonts w:hint="eastAsia"/>
          <w:color w:val="auto"/>
          <w:szCs w:val="24"/>
          <w:highlight w:val="none"/>
          <w:lang w:eastAsia="zh-CN"/>
        </w:rPr>
        <w:t>水土保持监测管理平台运维</w:t>
      </w:r>
    </w:p>
    <w:p>
      <w:pPr>
        <w:spacing w:line="338" w:lineRule="auto"/>
        <w:ind w:firstLine="480" w:firstLineChars="200"/>
        <w:rPr>
          <w:color w:val="auto"/>
          <w:highlight w:val="none"/>
        </w:rPr>
      </w:pPr>
      <w:r>
        <w:rPr>
          <w:rFonts w:hint="eastAsia"/>
          <w:color w:val="auto"/>
          <w:highlight w:val="none"/>
        </w:rPr>
        <w:t>数量：1</w:t>
      </w:r>
    </w:p>
    <w:p>
      <w:pPr>
        <w:spacing w:line="338" w:lineRule="auto"/>
        <w:ind w:firstLine="480" w:firstLineChars="200"/>
        <w:rPr>
          <w:color w:val="auto"/>
          <w:highlight w:val="none"/>
        </w:rPr>
      </w:pPr>
      <w:bookmarkStart w:id="2" w:name="_Toc510948457"/>
      <w:r>
        <w:rPr>
          <w:rFonts w:hint="eastAsia"/>
          <w:color w:val="auto"/>
          <w:highlight w:val="none"/>
        </w:rPr>
        <w:t>预算金额（元）：</w:t>
      </w:r>
      <w:r>
        <w:rPr>
          <w:rFonts w:hint="eastAsia"/>
          <w:color w:val="auto"/>
          <w:highlight w:val="none"/>
          <w:lang w:val="en-US" w:eastAsia="zh-CN"/>
        </w:rPr>
        <w:t>1950</w:t>
      </w:r>
      <w:r>
        <w:rPr>
          <w:color w:val="auto"/>
          <w:highlight w:val="none"/>
        </w:rPr>
        <w:t>00</w:t>
      </w:r>
    </w:p>
    <w:p>
      <w:pPr>
        <w:spacing w:line="338" w:lineRule="auto"/>
        <w:ind w:firstLine="480" w:firstLineChars="200"/>
        <w:rPr>
          <w:color w:val="auto"/>
          <w:highlight w:val="none"/>
        </w:rPr>
      </w:pPr>
      <w:r>
        <w:rPr>
          <w:rFonts w:hint="eastAsia"/>
          <w:color w:val="auto"/>
          <w:highlight w:val="none"/>
        </w:rPr>
        <w:t>简要规格描述或项目基本概况介绍、用途：详见《第四部分 采购项目指南》</w:t>
      </w:r>
    </w:p>
    <w:p>
      <w:pPr>
        <w:spacing w:line="338" w:lineRule="auto"/>
        <w:ind w:firstLine="480" w:firstLineChars="200"/>
        <w:rPr>
          <w:color w:val="auto"/>
          <w:highlight w:val="none"/>
        </w:rPr>
      </w:pPr>
      <w:r>
        <w:rPr>
          <w:rFonts w:hint="eastAsia"/>
          <w:color w:val="auto"/>
          <w:highlight w:val="none"/>
        </w:rPr>
        <w:t>备注：</w:t>
      </w:r>
    </w:p>
    <w:p>
      <w:pPr>
        <w:spacing w:line="338" w:lineRule="auto"/>
        <w:ind w:firstLine="480" w:firstLineChars="200"/>
        <w:rPr>
          <w:color w:val="auto"/>
          <w:highlight w:val="none"/>
        </w:rPr>
      </w:pPr>
    </w:p>
    <w:p>
      <w:pPr>
        <w:spacing w:line="338" w:lineRule="auto"/>
        <w:ind w:firstLine="480" w:firstLineChars="200"/>
        <w:rPr>
          <w:color w:val="auto"/>
          <w:highlight w:val="none"/>
        </w:rPr>
      </w:pPr>
      <w:r>
        <w:rPr>
          <w:rFonts w:hint="eastAsia"/>
          <w:color w:val="auto"/>
          <w:highlight w:val="none"/>
        </w:rPr>
        <w:t>合同履约期限：标项1，按采购文件要求</w:t>
      </w:r>
    </w:p>
    <w:p>
      <w:pPr>
        <w:spacing w:line="338" w:lineRule="auto"/>
        <w:ind w:firstLine="480" w:firstLineChars="200"/>
        <w:rPr>
          <w:color w:val="auto"/>
          <w:highlight w:val="none"/>
        </w:rPr>
      </w:pPr>
      <w:r>
        <w:rPr>
          <w:rFonts w:hint="eastAsia"/>
          <w:color w:val="auto"/>
          <w:highlight w:val="none"/>
        </w:rPr>
        <w:t>本项目（</w:t>
      </w:r>
      <w:r>
        <w:rPr>
          <w:rFonts w:hint="eastAsia"/>
          <w:color w:val="auto"/>
          <w:highlight w:val="none"/>
          <w:lang w:val="en-US" w:eastAsia="zh-CN"/>
        </w:rPr>
        <w:t>否</w:t>
      </w:r>
      <w:r>
        <w:rPr>
          <w:rFonts w:hint="eastAsia"/>
          <w:color w:val="auto"/>
          <w:highlight w:val="none"/>
        </w:rPr>
        <w:t>）接受联合体投标。</w:t>
      </w:r>
    </w:p>
    <w:p>
      <w:pPr>
        <w:spacing w:before="60" w:after="60" w:line="338" w:lineRule="auto"/>
        <w:ind w:right="60"/>
        <w:rPr>
          <w:b/>
          <w:color w:val="auto"/>
          <w:highlight w:val="none"/>
        </w:rPr>
      </w:pPr>
      <w:r>
        <w:rPr>
          <w:b/>
          <w:color w:val="auto"/>
          <w:highlight w:val="none"/>
        </w:rPr>
        <w:t>二、</w:t>
      </w:r>
      <w:bookmarkEnd w:id="2"/>
      <w:r>
        <w:rPr>
          <w:rFonts w:hint="eastAsia"/>
          <w:b/>
          <w:color w:val="auto"/>
          <w:highlight w:val="none"/>
        </w:rPr>
        <w:t>申请人的资格要求：</w:t>
      </w:r>
    </w:p>
    <w:p>
      <w:pPr>
        <w:spacing w:line="338" w:lineRule="auto"/>
        <w:ind w:firstLine="480" w:firstLineChars="200"/>
        <w:rPr>
          <w:color w:val="auto"/>
          <w:highlight w:val="none"/>
        </w:rPr>
      </w:pPr>
      <w:r>
        <w:rPr>
          <w:rFonts w:hint="eastAsia"/>
          <w:color w:val="auto"/>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38" w:lineRule="auto"/>
        <w:ind w:firstLine="480" w:firstLineChars="200"/>
        <w:rPr>
          <w:color w:val="auto"/>
          <w:highlight w:val="none"/>
        </w:rPr>
      </w:pPr>
      <w:r>
        <w:rPr>
          <w:rFonts w:hint="eastAsia"/>
          <w:color w:val="auto"/>
          <w:highlight w:val="none"/>
        </w:rPr>
        <w:t>2.落实政府采购政策需满足的资格要求：本项目专门面向中小企业采购，供应商应为中小微企业或监狱企业或残疾人福利性单位。</w:t>
      </w:r>
    </w:p>
    <w:p>
      <w:pPr>
        <w:spacing w:line="338" w:lineRule="auto"/>
        <w:ind w:firstLine="480" w:firstLineChars="200"/>
        <w:rPr>
          <w:rFonts w:hint="eastAsia" w:eastAsia="宋体"/>
          <w:color w:val="auto"/>
          <w:highlight w:val="none"/>
          <w:lang w:eastAsia="zh-CN"/>
        </w:rPr>
      </w:pPr>
      <w:r>
        <w:rPr>
          <w:rFonts w:hint="eastAsia"/>
          <w:color w:val="auto"/>
          <w:highlight w:val="none"/>
        </w:rPr>
        <w:t>3.本项目的特定资格要求：</w:t>
      </w:r>
      <w:r>
        <w:rPr>
          <w:rFonts w:hint="eastAsia"/>
          <w:color w:val="auto"/>
          <w:highlight w:val="none"/>
          <w:lang w:val="en-US" w:eastAsia="zh-CN"/>
        </w:rPr>
        <w:t>无</w:t>
      </w:r>
    </w:p>
    <w:p>
      <w:pPr>
        <w:spacing w:before="60" w:after="60" w:line="338" w:lineRule="auto"/>
        <w:ind w:right="60"/>
        <w:rPr>
          <w:b/>
          <w:color w:val="auto"/>
          <w:highlight w:val="none"/>
        </w:rPr>
      </w:pPr>
      <w:bookmarkStart w:id="3" w:name="_Toc510948458"/>
      <w:r>
        <w:rPr>
          <w:b/>
          <w:color w:val="auto"/>
          <w:highlight w:val="none"/>
        </w:rPr>
        <w:t>三、</w:t>
      </w:r>
      <w:bookmarkEnd w:id="3"/>
      <w:r>
        <w:rPr>
          <w:rFonts w:hint="eastAsia"/>
          <w:b/>
          <w:color w:val="auto"/>
          <w:highlight w:val="none"/>
        </w:rPr>
        <w:t>获取招标文件</w:t>
      </w:r>
    </w:p>
    <w:p>
      <w:pPr>
        <w:spacing w:line="338" w:lineRule="auto"/>
        <w:ind w:firstLine="480" w:firstLineChars="200"/>
        <w:rPr>
          <w:color w:val="auto"/>
          <w:highlight w:val="none"/>
        </w:rPr>
      </w:pPr>
      <w:r>
        <w:rPr>
          <w:rFonts w:hint="eastAsia"/>
          <w:color w:val="auto"/>
          <w:highlight w:val="none"/>
        </w:rPr>
        <w:t>时间：/至202</w:t>
      </w:r>
      <w:r>
        <w:rPr>
          <w:rFonts w:hint="eastAsia"/>
          <w:color w:val="auto"/>
          <w:highlight w:val="none"/>
          <w:lang w:val="en-US" w:eastAsia="zh-CN"/>
        </w:rPr>
        <w:t>3</w:t>
      </w:r>
      <w:r>
        <w:rPr>
          <w:rFonts w:hint="eastAsia"/>
          <w:color w:val="auto"/>
          <w:highlight w:val="none"/>
        </w:rPr>
        <w:t>年</w:t>
      </w:r>
      <w:r>
        <w:rPr>
          <w:rFonts w:hint="eastAsia"/>
          <w:color w:val="auto"/>
          <w:highlight w:val="none"/>
          <w:lang w:val="en-US" w:eastAsia="zh-CN"/>
        </w:rPr>
        <w:t>05</w:t>
      </w:r>
      <w:r>
        <w:rPr>
          <w:rFonts w:hint="eastAsia"/>
          <w:color w:val="auto"/>
          <w:highlight w:val="none"/>
        </w:rPr>
        <w:t>月</w:t>
      </w:r>
      <w:r>
        <w:rPr>
          <w:rFonts w:hint="eastAsia"/>
          <w:color w:val="auto"/>
          <w:highlight w:val="none"/>
          <w:lang w:val="en-US" w:eastAsia="zh-CN"/>
        </w:rPr>
        <w:t>25</w:t>
      </w:r>
      <w:r>
        <w:rPr>
          <w:rFonts w:hint="eastAsia"/>
          <w:color w:val="auto"/>
          <w:highlight w:val="none"/>
        </w:rPr>
        <w:t>日 ，每天上午00:00至12:00 ，下午12:00至23:59（北京时间，线上获取法定节假日均可，线下获取文件法定节假日除外）</w:t>
      </w:r>
    </w:p>
    <w:p>
      <w:pPr>
        <w:spacing w:line="338" w:lineRule="auto"/>
        <w:ind w:firstLine="480" w:firstLineChars="200"/>
        <w:rPr>
          <w:color w:val="auto"/>
          <w:highlight w:val="none"/>
        </w:rPr>
      </w:pPr>
      <w:r>
        <w:rPr>
          <w:rFonts w:hint="eastAsia"/>
          <w:color w:val="auto"/>
          <w:highlight w:val="none"/>
        </w:rPr>
        <w:t xml:space="preserve">地点（网址）：浙江政府采购网本项目公告附件  </w:t>
      </w:r>
    </w:p>
    <w:p>
      <w:pPr>
        <w:spacing w:line="338" w:lineRule="auto"/>
        <w:ind w:firstLine="480" w:firstLineChars="200"/>
        <w:rPr>
          <w:color w:val="auto"/>
          <w:highlight w:val="none"/>
        </w:rPr>
      </w:pPr>
      <w:r>
        <w:rPr>
          <w:rFonts w:hint="eastAsia"/>
          <w:color w:val="auto"/>
          <w:highlight w:val="none"/>
        </w:rPr>
        <w:t xml:space="preserve">方式：供应商登录政采云平台https://www.zcygov.cn/在线申请获取采购文件（进入“项目采购”应用，在获取采购文件菜单中选择项目，申请获取采购文件）   </w:t>
      </w:r>
    </w:p>
    <w:p>
      <w:pPr>
        <w:spacing w:line="338" w:lineRule="auto"/>
        <w:ind w:firstLine="480" w:firstLineChars="200"/>
        <w:rPr>
          <w:color w:val="auto"/>
          <w:highlight w:val="none"/>
        </w:rPr>
      </w:pPr>
      <w:r>
        <w:rPr>
          <w:rFonts w:hint="eastAsia"/>
          <w:color w:val="auto"/>
          <w:highlight w:val="none"/>
        </w:rPr>
        <w:t>售价（元）：0</w:t>
      </w:r>
    </w:p>
    <w:p>
      <w:pPr>
        <w:spacing w:before="60" w:after="60" w:line="338" w:lineRule="auto"/>
        <w:ind w:right="60"/>
        <w:rPr>
          <w:b/>
          <w:color w:val="auto"/>
          <w:highlight w:val="none"/>
        </w:rPr>
      </w:pPr>
      <w:r>
        <w:rPr>
          <w:b/>
          <w:color w:val="auto"/>
          <w:highlight w:val="none"/>
        </w:rPr>
        <w:t>四、</w:t>
      </w:r>
      <w:r>
        <w:rPr>
          <w:rFonts w:hint="eastAsia"/>
          <w:b/>
          <w:color w:val="auto"/>
          <w:highlight w:val="none"/>
        </w:rPr>
        <w:t>提交投标文件截止时间、开标时间和地点</w:t>
      </w:r>
    </w:p>
    <w:p>
      <w:pPr>
        <w:snapToGrid w:val="0"/>
        <w:spacing w:line="338" w:lineRule="auto"/>
        <w:ind w:firstLine="480" w:firstLineChars="200"/>
        <w:rPr>
          <w:color w:val="auto"/>
          <w:highlight w:val="none"/>
        </w:rPr>
      </w:pPr>
      <w:r>
        <w:rPr>
          <w:rFonts w:hint="eastAsia"/>
          <w:color w:val="auto"/>
          <w:highlight w:val="none"/>
        </w:rPr>
        <w:t>提交投标文件截止时间：</w:t>
      </w:r>
      <w:r>
        <w:rPr>
          <w:rFonts w:hint="eastAsia"/>
          <w:color w:val="auto"/>
          <w:highlight w:val="none"/>
          <w:lang w:eastAsia="zh-CN"/>
        </w:rPr>
        <w:t>2023年05月25日14:00</w:t>
      </w:r>
      <w:r>
        <w:rPr>
          <w:rFonts w:hint="eastAsia"/>
          <w:color w:val="auto"/>
          <w:highlight w:val="none"/>
        </w:rPr>
        <w:t>（北京时间）</w:t>
      </w:r>
    </w:p>
    <w:p>
      <w:pPr>
        <w:snapToGrid w:val="0"/>
        <w:spacing w:line="338" w:lineRule="auto"/>
        <w:ind w:firstLine="480" w:firstLineChars="200"/>
        <w:rPr>
          <w:color w:val="auto"/>
          <w:highlight w:val="none"/>
        </w:rPr>
      </w:pPr>
      <w:r>
        <w:rPr>
          <w:rFonts w:hint="eastAsia"/>
          <w:color w:val="auto"/>
          <w:highlight w:val="none"/>
        </w:rPr>
        <w:t xml:space="preserve">投标地点（网址）：请登录政采云投标客户端投标（政府采购云平台，网址：www.zcygov.cn）  </w:t>
      </w:r>
    </w:p>
    <w:p>
      <w:pPr>
        <w:snapToGrid w:val="0"/>
        <w:spacing w:line="338" w:lineRule="auto"/>
        <w:ind w:firstLine="480" w:firstLineChars="200"/>
        <w:rPr>
          <w:rFonts w:hint="eastAsia" w:eastAsia="宋体"/>
          <w:color w:val="auto"/>
          <w:highlight w:val="none"/>
          <w:lang w:eastAsia="zh-CN"/>
        </w:rPr>
      </w:pPr>
      <w:r>
        <w:rPr>
          <w:rFonts w:hint="eastAsia"/>
          <w:color w:val="auto"/>
          <w:highlight w:val="none"/>
        </w:rPr>
        <w:t>开标时间：</w:t>
      </w:r>
      <w:r>
        <w:rPr>
          <w:rFonts w:hint="eastAsia"/>
          <w:color w:val="auto"/>
          <w:highlight w:val="none"/>
          <w:lang w:eastAsia="zh-CN"/>
        </w:rPr>
        <w:t>2023年05月25日14:00</w:t>
      </w:r>
    </w:p>
    <w:p>
      <w:pPr>
        <w:snapToGrid w:val="0"/>
        <w:spacing w:line="338" w:lineRule="auto"/>
        <w:ind w:firstLine="480" w:firstLineChars="200"/>
        <w:rPr>
          <w:color w:val="auto"/>
          <w:highlight w:val="none"/>
        </w:rPr>
      </w:pPr>
      <w:r>
        <w:rPr>
          <w:rFonts w:hint="eastAsia"/>
          <w:color w:val="auto"/>
          <w:highlight w:val="none"/>
        </w:rPr>
        <w:t>开标地点（网址）：政府采购云平台，网址：www.zcygov.cn</w:t>
      </w:r>
    </w:p>
    <w:p>
      <w:pPr>
        <w:spacing w:before="60" w:after="60" w:line="338" w:lineRule="auto"/>
        <w:ind w:right="60"/>
        <w:rPr>
          <w:b/>
          <w:color w:val="auto"/>
          <w:highlight w:val="none"/>
        </w:rPr>
      </w:pPr>
      <w:r>
        <w:rPr>
          <w:b/>
          <w:color w:val="auto"/>
          <w:highlight w:val="none"/>
        </w:rPr>
        <w:t>五、</w:t>
      </w:r>
      <w:r>
        <w:rPr>
          <w:rFonts w:hint="eastAsia"/>
          <w:b/>
          <w:color w:val="auto"/>
          <w:highlight w:val="none"/>
        </w:rPr>
        <w:t>公告期限</w:t>
      </w:r>
    </w:p>
    <w:p>
      <w:pPr>
        <w:spacing w:line="360" w:lineRule="auto"/>
        <w:ind w:left="29" w:right="60" w:firstLine="480" w:firstLineChars="200"/>
        <w:rPr>
          <w:color w:val="auto"/>
          <w:szCs w:val="22"/>
          <w:highlight w:val="none"/>
        </w:rPr>
      </w:pPr>
      <w:r>
        <w:rPr>
          <w:rFonts w:hint="eastAsia"/>
          <w:color w:val="auto"/>
          <w:szCs w:val="22"/>
          <w:highlight w:val="none"/>
        </w:rPr>
        <w:t>自本公告发布之日起5个工作日。</w:t>
      </w:r>
    </w:p>
    <w:p>
      <w:pPr>
        <w:spacing w:before="60" w:after="60" w:line="338" w:lineRule="auto"/>
        <w:ind w:right="60"/>
        <w:rPr>
          <w:b/>
          <w:color w:val="auto"/>
          <w:highlight w:val="none"/>
        </w:rPr>
      </w:pPr>
      <w:r>
        <w:rPr>
          <w:rFonts w:hint="eastAsia"/>
          <w:b/>
          <w:color w:val="auto"/>
          <w:highlight w:val="none"/>
        </w:rPr>
        <w:t>六、其它补充事宜</w:t>
      </w:r>
    </w:p>
    <w:p>
      <w:pPr>
        <w:adjustRightInd/>
        <w:spacing w:line="360" w:lineRule="auto"/>
        <w:ind w:firstLine="480" w:firstLineChars="200"/>
        <w:jc w:val="left"/>
        <w:rPr>
          <w:color w:val="auto"/>
          <w:szCs w:val="22"/>
          <w:highlight w:val="none"/>
        </w:rPr>
      </w:pPr>
      <w:r>
        <w:rPr>
          <w:rFonts w:hint="eastAsia"/>
          <w:color w:val="auto"/>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adjustRightInd/>
        <w:spacing w:line="360" w:lineRule="auto"/>
        <w:ind w:firstLine="480" w:firstLineChars="200"/>
        <w:jc w:val="left"/>
        <w:rPr>
          <w:color w:val="auto"/>
          <w:szCs w:val="22"/>
          <w:highlight w:val="none"/>
        </w:rPr>
      </w:pPr>
      <w:r>
        <w:rPr>
          <w:rFonts w:hint="eastAsia"/>
          <w:color w:val="auto"/>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spacing w:line="360" w:lineRule="auto"/>
        <w:ind w:firstLine="480" w:firstLineChars="200"/>
        <w:jc w:val="left"/>
        <w:rPr>
          <w:color w:val="auto"/>
          <w:szCs w:val="22"/>
          <w:highlight w:val="none"/>
        </w:rPr>
      </w:pPr>
      <w:r>
        <w:rPr>
          <w:rFonts w:hint="eastAsia"/>
          <w:color w:val="auto"/>
          <w:szCs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left="28" w:right="62" w:firstLine="480" w:firstLineChars="200"/>
        <w:jc w:val="left"/>
        <w:rPr>
          <w:color w:val="auto"/>
          <w:szCs w:val="22"/>
          <w:highlight w:val="none"/>
        </w:rPr>
      </w:pPr>
      <w:r>
        <w:rPr>
          <w:rFonts w:hint="eastAsia"/>
          <w:color w:val="auto"/>
          <w:szCs w:val="22"/>
          <w:highlight w:val="none"/>
        </w:rPr>
        <w:t>4.其他事项：</w:t>
      </w:r>
    </w:p>
    <w:p>
      <w:pPr>
        <w:adjustRightInd/>
        <w:spacing w:line="360" w:lineRule="auto"/>
        <w:ind w:firstLine="480" w:firstLineChars="200"/>
        <w:jc w:val="left"/>
        <w:rPr>
          <w:color w:val="auto"/>
          <w:szCs w:val="22"/>
          <w:highlight w:val="none"/>
        </w:rPr>
      </w:pPr>
      <w:r>
        <w:rPr>
          <w:rFonts w:hint="eastAsia"/>
          <w:color w:val="auto"/>
          <w:szCs w:val="22"/>
          <w:highlight w:val="none"/>
        </w:rPr>
        <w:t xml:space="preserve">（1）本项目实行电子投标，应按照本项目采购文件和政采云平台的要求编制、加密并递交投标文件。供应商在使用系统进行投标的过程中遇到涉及平台使用的任何问题，可致电政采云平台技术支持热线咨询，联系方式：95763。 </w:t>
      </w:r>
    </w:p>
    <w:p>
      <w:pPr>
        <w:adjustRightInd/>
        <w:spacing w:line="360" w:lineRule="auto"/>
        <w:ind w:firstLine="480" w:firstLineChars="200"/>
        <w:jc w:val="left"/>
        <w:rPr>
          <w:color w:val="auto"/>
          <w:szCs w:val="22"/>
          <w:highlight w:val="none"/>
        </w:rPr>
      </w:pPr>
      <w:r>
        <w:rPr>
          <w:rFonts w:hint="eastAsia"/>
          <w:color w:val="auto"/>
          <w:szCs w:val="22"/>
          <w:highlight w:val="none"/>
        </w:rPr>
        <w:t>（2）投标供应商应在开标前完成CA数字证书办理。（办理流程可参考“浙江政府采购网-下载专区-电子交易客户端-CA驱动和申领流程”）。完成CA数字证书办理预计一周左右，建议各投标供应商合理安排时间。</w:t>
      </w:r>
    </w:p>
    <w:p>
      <w:pPr>
        <w:adjustRightInd/>
        <w:spacing w:line="360" w:lineRule="auto"/>
        <w:ind w:firstLine="480" w:firstLineChars="200"/>
        <w:jc w:val="left"/>
        <w:rPr>
          <w:color w:val="auto"/>
          <w:szCs w:val="22"/>
          <w:highlight w:val="none"/>
        </w:rPr>
      </w:pPr>
      <w:r>
        <w:rPr>
          <w:rFonts w:hint="eastAsia"/>
          <w:color w:val="auto"/>
          <w:szCs w:val="22"/>
          <w:highlight w:val="none"/>
        </w:rPr>
        <w:t>（3）投标供应商通过政采云平台电子投标工具制作投标文件，电子投标工具请供应商通过“浙江政府采购网-下载专区-电子交易客户端”下载并安装，电子投标具体流程文档详见：服务中心-“政府采购项目电子交易管理操作指南-供应商”。</w:t>
      </w:r>
    </w:p>
    <w:p>
      <w:pPr>
        <w:adjustRightInd/>
        <w:spacing w:line="360" w:lineRule="auto"/>
        <w:ind w:firstLine="480" w:firstLineChars="200"/>
        <w:jc w:val="left"/>
        <w:rPr>
          <w:color w:val="auto"/>
          <w:szCs w:val="22"/>
          <w:highlight w:val="none"/>
        </w:rPr>
      </w:pPr>
      <w:r>
        <w:rPr>
          <w:rFonts w:hint="eastAsia"/>
          <w:color w:val="auto"/>
          <w:szCs w:val="22"/>
          <w:highlight w:val="none"/>
        </w:rPr>
        <w:t>（4）投标供应商应当在投标截止时间前，以电子邮件的形式提供压缩加密后</w:t>
      </w:r>
      <w:r>
        <w:rPr>
          <w:color w:val="auto"/>
          <w:szCs w:val="22"/>
          <w:highlight w:val="none"/>
        </w:rPr>
        <w:t>的</w:t>
      </w:r>
      <w:r>
        <w:rPr>
          <w:rFonts w:hint="eastAsia"/>
          <w:color w:val="auto"/>
          <w:szCs w:val="22"/>
          <w:highlight w:val="none"/>
        </w:rPr>
        <w:t>备份投标文件。</w:t>
      </w:r>
    </w:p>
    <w:p>
      <w:pPr>
        <w:adjustRightInd/>
        <w:spacing w:line="360" w:lineRule="auto"/>
        <w:ind w:firstLine="480" w:firstLineChars="200"/>
        <w:jc w:val="left"/>
        <w:rPr>
          <w:color w:val="auto"/>
          <w:szCs w:val="22"/>
          <w:highlight w:val="none"/>
        </w:rPr>
      </w:pPr>
      <w:r>
        <w:rPr>
          <w:rFonts w:hint="eastAsia"/>
          <w:color w:val="auto"/>
          <w:szCs w:val="22"/>
          <w:highlight w:val="none"/>
        </w:rPr>
        <w:t>投标供应商选择提交备份投标文件的，可在投标截止时间前将通过压缩加密后的备份投标文件以电子邮件的形式提供，</w:t>
      </w:r>
      <w:r>
        <w:rPr>
          <w:rFonts w:hint="eastAsia"/>
          <w:b/>
          <w:color w:val="auto"/>
          <w:szCs w:val="22"/>
          <w:highlight w:val="none"/>
        </w:rPr>
        <w:t>逾期发送的备份投标文件将被拒收</w:t>
      </w:r>
      <w:r>
        <w:rPr>
          <w:rFonts w:hint="eastAsia"/>
          <w:color w:val="auto"/>
          <w:szCs w:val="22"/>
          <w:highlight w:val="none"/>
        </w:rPr>
        <w:t>。投标供应商在规范制作电子投标文件及确保电子投标文件</w:t>
      </w:r>
      <w:r>
        <w:rPr>
          <w:rFonts w:hint="eastAsia"/>
          <w:b/>
          <w:color w:val="auto"/>
          <w:szCs w:val="22"/>
          <w:highlight w:val="none"/>
        </w:rPr>
        <w:t>解密成功</w:t>
      </w:r>
      <w:r>
        <w:rPr>
          <w:rFonts w:hint="eastAsia"/>
          <w:color w:val="auto"/>
          <w:szCs w:val="22"/>
          <w:highlight w:val="none"/>
        </w:rPr>
        <w:t>的前提下可不提交备份投标文件，</w:t>
      </w:r>
      <w:r>
        <w:rPr>
          <w:rFonts w:hint="eastAsia"/>
          <w:b/>
          <w:color w:val="auto"/>
          <w:szCs w:val="22"/>
          <w:highlight w:val="none"/>
        </w:rPr>
        <w:t>仅提交备份文件的投标将被拒绝</w:t>
      </w:r>
      <w:r>
        <w:rPr>
          <w:rFonts w:hint="eastAsia"/>
          <w:color w:val="auto"/>
          <w:szCs w:val="22"/>
          <w:highlight w:val="none"/>
        </w:rPr>
        <w:t>。</w:t>
      </w:r>
    </w:p>
    <w:p>
      <w:pPr>
        <w:adjustRightInd/>
        <w:spacing w:line="360" w:lineRule="auto"/>
        <w:ind w:firstLine="480" w:firstLineChars="200"/>
        <w:jc w:val="left"/>
        <w:rPr>
          <w:color w:val="auto"/>
          <w:szCs w:val="22"/>
          <w:highlight w:val="none"/>
        </w:rPr>
      </w:pPr>
      <w:r>
        <w:rPr>
          <w:rFonts w:hint="eastAsia"/>
          <w:color w:val="auto"/>
          <w:szCs w:val="22"/>
          <w:highlight w:val="none"/>
        </w:rPr>
        <w:t>（5）</w:t>
      </w:r>
      <w:r>
        <w:rPr>
          <w:color w:val="auto"/>
          <w:szCs w:val="22"/>
          <w:highlight w:val="none"/>
        </w:rPr>
        <w:t>采购文件</w:t>
      </w:r>
      <w:r>
        <w:rPr>
          <w:rFonts w:hint="eastAsia"/>
          <w:color w:val="auto"/>
          <w:szCs w:val="22"/>
          <w:highlight w:val="none"/>
        </w:rPr>
        <w:t>获取</w:t>
      </w:r>
      <w:r>
        <w:rPr>
          <w:color w:val="auto"/>
          <w:szCs w:val="22"/>
          <w:highlight w:val="none"/>
        </w:rPr>
        <w:t>截止日后，投标供应商</w:t>
      </w:r>
      <w:r>
        <w:rPr>
          <w:rFonts w:hint="eastAsia"/>
          <w:color w:val="auto"/>
          <w:szCs w:val="22"/>
          <w:highlight w:val="none"/>
        </w:rPr>
        <w:t>仍允许</w:t>
      </w:r>
      <w:r>
        <w:rPr>
          <w:color w:val="auto"/>
          <w:szCs w:val="22"/>
          <w:highlight w:val="none"/>
        </w:rPr>
        <w:t>获取采购文件，但超过采购文件规定的供应商提出</w:t>
      </w:r>
      <w:r>
        <w:rPr>
          <w:rFonts w:hint="eastAsia"/>
          <w:color w:val="auto"/>
          <w:szCs w:val="22"/>
          <w:highlight w:val="none"/>
        </w:rPr>
        <w:t>质疑或疑问</w:t>
      </w:r>
      <w:r>
        <w:rPr>
          <w:color w:val="auto"/>
          <w:szCs w:val="22"/>
          <w:highlight w:val="none"/>
        </w:rPr>
        <w:t>截止时间的，视为自动放弃质疑</w:t>
      </w:r>
      <w:r>
        <w:rPr>
          <w:rFonts w:hint="eastAsia"/>
          <w:color w:val="auto"/>
          <w:szCs w:val="22"/>
          <w:highlight w:val="none"/>
        </w:rPr>
        <w:t>及疑问</w:t>
      </w:r>
      <w:r>
        <w:rPr>
          <w:color w:val="auto"/>
          <w:szCs w:val="22"/>
          <w:highlight w:val="none"/>
        </w:rPr>
        <w:t>权利。</w:t>
      </w:r>
    </w:p>
    <w:p>
      <w:pPr>
        <w:adjustRightInd/>
        <w:spacing w:line="360" w:lineRule="auto"/>
        <w:ind w:firstLine="480" w:firstLineChars="200"/>
        <w:jc w:val="left"/>
        <w:rPr>
          <w:color w:val="auto"/>
          <w:szCs w:val="22"/>
          <w:highlight w:val="none"/>
        </w:rPr>
      </w:pPr>
      <w:r>
        <w:rPr>
          <w:rFonts w:hint="eastAsia"/>
          <w:color w:val="auto"/>
          <w:szCs w:val="22"/>
          <w:highlight w:val="none"/>
        </w:rPr>
        <w:t>（6）通过本公告下方“游客，浏览采购文件”下载的采购文件仅供浏览，不视作依法获取</w:t>
      </w:r>
      <w:r>
        <w:rPr>
          <w:rFonts w:hint="eastAsia"/>
          <w:color w:val="auto"/>
          <w:szCs w:val="22"/>
          <w:highlight w:val="none"/>
          <w:lang w:val="en-US" w:eastAsia="zh-CN"/>
        </w:rPr>
        <w:t>采购</w:t>
      </w:r>
      <w:r>
        <w:rPr>
          <w:rFonts w:hint="eastAsia"/>
          <w:color w:val="auto"/>
          <w:szCs w:val="22"/>
          <w:highlight w:val="none"/>
        </w:rPr>
        <w:t>文件。</w:t>
      </w:r>
    </w:p>
    <w:p>
      <w:pPr>
        <w:spacing w:before="60" w:after="60" w:line="338" w:lineRule="auto"/>
        <w:ind w:right="60"/>
        <w:rPr>
          <w:b/>
          <w:color w:val="auto"/>
          <w:highlight w:val="none"/>
        </w:rPr>
      </w:pPr>
      <w:r>
        <w:rPr>
          <w:b/>
          <w:color w:val="auto"/>
          <w:highlight w:val="none"/>
        </w:rPr>
        <w:t xml:space="preserve">    </w:t>
      </w:r>
      <w:r>
        <w:rPr>
          <w:rFonts w:hint="eastAsia"/>
          <w:b/>
          <w:color w:val="auto"/>
          <w:highlight w:val="none"/>
        </w:rPr>
        <w:t>七、对本次采购提出询问、质疑、投诉，请按以下方式联系</w:t>
      </w:r>
    </w:p>
    <w:p>
      <w:pPr>
        <w:snapToGrid w:val="0"/>
        <w:spacing w:line="338" w:lineRule="auto"/>
        <w:ind w:firstLine="480" w:firstLineChars="200"/>
        <w:rPr>
          <w:color w:val="auto"/>
          <w:szCs w:val="24"/>
          <w:highlight w:val="none"/>
        </w:rPr>
      </w:pPr>
      <w:r>
        <w:rPr>
          <w:rFonts w:hint="eastAsia"/>
          <w:color w:val="auto"/>
          <w:szCs w:val="24"/>
          <w:highlight w:val="none"/>
        </w:rPr>
        <w:t>1</w:t>
      </w:r>
      <w:r>
        <w:rPr>
          <w:color w:val="auto"/>
          <w:szCs w:val="24"/>
          <w:highlight w:val="none"/>
        </w:rPr>
        <w:t>.</w:t>
      </w:r>
      <w:r>
        <w:rPr>
          <w:rFonts w:hint="eastAsia"/>
          <w:color w:val="auto"/>
          <w:szCs w:val="24"/>
          <w:highlight w:val="none"/>
        </w:rPr>
        <w:t>采购人信息</w:t>
      </w:r>
    </w:p>
    <w:p>
      <w:pPr>
        <w:snapToGrid w:val="0"/>
        <w:spacing w:line="338" w:lineRule="auto"/>
        <w:ind w:firstLine="480" w:firstLineChars="200"/>
        <w:rPr>
          <w:rFonts w:hint="eastAsia" w:eastAsia="宋体"/>
          <w:color w:val="auto"/>
          <w:szCs w:val="24"/>
          <w:highlight w:val="none"/>
          <w:lang w:eastAsia="zh-CN"/>
        </w:rPr>
      </w:pPr>
      <w:r>
        <w:rPr>
          <w:color w:val="auto"/>
          <w:szCs w:val="24"/>
          <w:highlight w:val="none"/>
        </w:rPr>
        <w:t>名称：</w:t>
      </w:r>
      <w:r>
        <w:rPr>
          <w:rFonts w:hint="eastAsia"/>
          <w:color w:val="auto"/>
          <w:szCs w:val="24"/>
          <w:highlight w:val="none"/>
          <w:lang w:eastAsia="zh-CN"/>
        </w:rPr>
        <w:t>浙江省水资源水电管理中心（浙江省水土保持监测中心）</w:t>
      </w:r>
    </w:p>
    <w:p>
      <w:pPr>
        <w:snapToGrid w:val="0"/>
        <w:spacing w:line="338" w:lineRule="auto"/>
        <w:ind w:firstLine="480" w:firstLineChars="200"/>
        <w:rPr>
          <w:rFonts w:hint="eastAsia"/>
          <w:color w:val="auto"/>
          <w:szCs w:val="24"/>
          <w:highlight w:val="none"/>
        </w:rPr>
      </w:pPr>
      <w:r>
        <w:rPr>
          <w:rFonts w:hint="eastAsia"/>
          <w:color w:val="auto"/>
          <w:szCs w:val="24"/>
          <w:highlight w:val="none"/>
        </w:rPr>
        <w:t xml:space="preserve">地址：杭州市凤起东路58号 </w:t>
      </w:r>
    </w:p>
    <w:p>
      <w:pPr>
        <w:snapToGrid w:val="0"/>
        <w:spacing w:line="338" w:lineRule="auto"/>
        <w:ind w:firstLine="480" w:firstLineChars="200"/>
        <w:rPr>
          <w:rFonts w:hint="eastAsia"/>
          <w:color w:val="auto"/>
          <w:szCs w:val="24"/>
          <w:highlight w:val="none"/>
        </w:rPr>
      </w:pPr>
      <w:r>
        <w:rPr>
          <w:rFonts w:hint="eastAsia"/>
          <w:color w:val="auto"/>
          <w:szCs w:val="24"/>
          <w:highlight w:val="none"/>
        </w:rPr>
        <w:t>传真：/</w:t>
      </w:r>
    </w:p>
    <w:p>
      <w:pPr>
        <w:snapToGrid w:val="0"/>
        <w:spacing w:line="338" w:lineRule="auto"/>
        <w:ind w:firstLine="480" w:firstLineChars="200"/>
        <w:rPr>
          <w:rFonts w:hint="eastAsia"/>
          <w:color w:val="auto"/>
          <w:szCs w:val="24"/>
          <w:highlight w:val="none"/>
        </w:rPr>
      </w:pPr>
      <w:r>
        <w:rPr>
          <w:rFonts w:hint="eastAsia"/>
          <w:color w:val="auto"/>
          <w:szCs w:val="24"/>
          <w:highlight w:val="none"/>
        </w:rPr>
        <w:t xml:space="preserve">项目联系人（询问）：钟女士 </w:t>
      </w:r>
    </w:p>
    <w:p>
      <w:pPr>
        <w:snapToGrid w:val="0"/>
        <w:spacing w:line="338" w:lineRule="auto"/>
        <w:ind w:firstLine="480" w:firstLineChars="200"/>
        <w:rPr>
          <w:rFonts w:hint="eastAsia"/>
          <w:color w:val="auto"/>
          <w:szCs w:val="24"/>
          <w:highlight w:val="none"/>
        </w:rPr>
      </w:pPr>
      <w:r>
        <w:rPr>
          <w:rFonts w:hint="eastAsia"/>
          <w:color w:val="auto"/>
          <w:szCs w:val="24"/>
          <w:highlight w:val="none"/>
        </w:rPr>
        <w:t>项目联系方式（询问）：0571-87800151</w:t>
      </w:r>
    </w:p>
    <w:p>
      <w:pPr>
        <w:snapToGrid w:val="0"/>
        <w:spacing w:line="338" w:lineRule="auto"/>
        <w:ind w:firstLine="480" w:firstLineChars="200"/>
        <w:rPr>
          <w:rFonts w:hint="eastAsia"/>
          <w:color w:val="auto"/>
          <w:szCs w:val="24"/>
          <w:highlight w:val="none"/>
        </w:rPr>
      </w:pPr>
      <w:r>
        <w:rPr>
          <w:rFonts w:hint="eastAsia"/>
          <w:color w:val="auto"/>
          <w:szCs w:val="24"/>
          <w:highlight w:val="none"/>
        </w:rPr>
        <w:t>质疑联系人：陈先生</w:t>
      </w:r>
    </w:p>
    <w:p>
      <w:pPr>
        <w:snapToGrid w:val="0"/>
        <w:spacing w:line="338" w:lineRule="auto"/>
        <w:ind w:firstLine="480" w:firstLineChars="200"/>
        <w:rPr>
          <w:rFonts w:hint="default" w:eastAsia="宋体"/>
          <w:color w:val="auto"/>
          <w:szCs w:val="24"/>
          <w:highlight w:val="none"/>
          <w:lang w:val="en-US" w:eastAsia="zh-CN"/>
        </w:rPr>
      </w:pPr>
      <w:r>
        <w:rPr>
          <w:rFonts w:hint="eastAsia"/>
          <w:color w:val="auto"/>
          <w:szCs w:val="24"/>
          <w:highlight w:val="none"/>
        </w:rPr>
        <w:t>质疑联系方式：0571-87800023</w:t>
      </w:r>
    </w:p>
    <w:p>
      <w:pPr>
        <w:pStyle w:val="15"/>
        <w:rPr>
          <w:color w:val="auto"/>
          <w:highlight w:val="none"/>
        </w:rPr>
      </w:pPr>
    </w:p>
    <w:p>
      <w:pPr>
        <w:snapToGrid w:val="0"/>
        <w:spacing w:line="338" w:lineRule="auto"/>
        <w:ind w:firstLine="480" w:firstLineChars="200"/>
        <w:rPr>
          <w:color w:val="auto"/>
          <w:szCs w:val="24"/>
          <w:highlight w:val="none"/>
        </w:rPr>
      </w:pPr>
      <w:r>
        <w:rPr>
          <w:rFonts w:hint="eastAsia"/>
          <w:color w:val="auto"/>
          <w:szCs w:val="24"/>
          <w:highlight w:val="none"/>
        </w:rPr>
        <w:t>2.采购代理机构信息</w:t>
      </w:r>
    </w:p>
    <w:p>
      <w:pPr>
        <w:snapToGrid w:val="0"/>
        <w:spacing w:line="338" w:lineRule="auto"/>
        <w:ind w:firstLine="480" w:firstLineChars="200"/>
        <w:rPr>
          <w:color w:val="auto"/>
          <w:szCs w:val="24"/>
          <w:highlight w:val="none"/>
        </w:rPr>
      </w:pPr>
      <w:r>
        <w:rPr>
          <w:rFonts w:hint="eastAsia"/>
          <w:color w:val="auto"/>
          <w:szCs w:val="24"/>
          <w:highlight w:val="none"/>
        </w:rPr>
        <w:t>名称：浙江水利水电工程审价中心有限公司</w:t>
      </w:r>
    </w:p>
    <w:p>
      <w:pPr>
        <w:snapToGrid w:val="0"/>
        <w:spacing w:line="338" w:lineRule="auto"/>
        <w:ind w:firstLine="480" w:firstLineChars="200"/>
        <w:rPr>
          <w:color w:val="auto"/>
          <w:szCs w:val="24"/>
          <w:highlight w:val="none"/>
        </w:rPr>
      </w:pPr>
      <w:r>
        <w:rPr>
          <w:rFonts w:hint="eastAsia"/>
          <w:color w:val="auto"/>
          <w:szCs w:val="24"/>
          <w:highlight w:val="none"/>
        </w:rPr>
        <w:t>地址：杭州市凤起东路58号</w:t>
      </w:r>
    </w:p>
    <w:p>
      <w:pPr>
        <w:snapToGrid w:val="0"/>
        <w:spacing w:line="338" w:lineRule="auto"/>
        <w:ind w:firstLine="480" w:firstLineChars="200"/>
        <w:rPr>
          <w:color w:val="auto"/>
          <w:szCs w:val="24"/>
          <w:highlight w:val="none"/>
        </w:rPr>
      </w:pPr>
      <w:r>
        <w:rPr>
          <w:rFonts w:hint="eastAsia"/>
          <w:color w:val="auto"/>
          <w:szCs w:val="24"/>
          <w:highlight w:val="none"/>
        </w:rPr>
        <w:t>传真：0571-87801502</w:t>
      </w:r>
    </w:p>
    <w:p>
      <w:pPr>
        <w:snapToGrid w:val="0"/>
        <w:spacing w:line="338" w:lineRule="auto"/>
        <w:ind w:firstLine="480" w:firstLineChars="200"/>
        <w:rPr>
          <w:color w:val="auto"/>
          <w:szCs w:val="24"/>
          <w:highlight w:val="none"/>
        </w:rPr>
      </w:pPr>
      <w:r>
        <w:rPr>
          <w:rFonts w:hint="eastAsia"/>
          <w:color w:val="auto"/>
          <w:szCs w:val="24"/>
          <w:highlight w:val="none"/>
        </w:rPr>
        <w:t>项目联系人（询问）：杜女士</w:t>
      </w:r>
    </w:p>
    <w:p>
      <w:pPr>
        <w:snapToGrid w:val="0"/>
        <w:spacing w:line="338" w:lineRule="auto"/>
        <w:ind w:firstLine="480" w:firstLineChars="200"/>
        <w:rPr>
          <w:color w:val="auto"/>
          <w:szCs w:val="24"/>
          <w:highlight w:val="none"/>
        </w:rPr>
      </w:pPr>
      <w:r>
        <w:rPr>
          <w:rFonts w:hint="eastAsia"/>
          <w:color w:val="auto"/>
          <w:szCs w:val="24"/>
          <w:highlight w:val="none"/>
        </w:rPr>
        <w:t>项目联系方式（询问）：0571-86799293</w:t>
      </w:r>
    </w:p>
    <w:p>
      <w:pPr>
        <w:snapToGrid w:val="0"/>
        <w:spacing w:line="338" w:lineRule="auto"/>
        <w:ind w:firstLine="480" w:firstLineChars="200"/>
        <w:rPr>
          <w:rFonts w:hint="default" w:eastAsia="宋体"/>
          <w:color w:val="auto"/>
          <w:szCs w:val="24"/>
          <w:highlight w:val="none"/>
          <w:lang w:val="en-US" w:eastAsia="zh-CN"/>
        </w:rPr>
      </w:pPr>
      <w:r>
        <w:rPr>
          <w:rFonts w:hint="eastAsia"/>
          <w:color w:val="auto"/>
          <w:szCs w:val="24"/>
          <w:highlight w:val="none"/>
        </w:rPr>
        <w:t>质疑联系人：</w:t>
      </w:r>
      <w:r>
        <w:rPr>
          <w:rFonts w:hint="eastAsia"/>
          <w:color w:val="auto"/>
          <w:szCs w:val="24"/>
          <w:highlight w:val="none"/>
          <w:lang w:val="en-US" w:eastAsia="zh-CN"/>
        </w:rPr>
        <w:t>申屠先生</w:t>
      </w:r>
    </w:p>
    <w:p>
      <w:pPr>
        <w:snapToGrid w:val="0"/>
        <w:spacing w:line="338" w:lineRule="auto"/>
        <w:ind w:firstLine="480" w:firstLineChars="200"/>
        <w:rPr>
          <w:rFonts w:hint="default" w:eastAsia="宋体"/>
          <w:color w:val="auto"/>
          <w:szCs w:val="24"/>
          <w:highlight w:val="none"/>
          <w:lang w:val="en-US" w:eastAsia="zh-CN"/>
        </w:rPr>
      </w:pPr>
      <w:r>
        <w:rPr>
          <w:rFonts w:hint="eastAsia"/>
          <w:color w:val="auto"/>
          <w:szCs w:val="24"/>
          <w:highlight w:val="none"/>
        </w:rPr>
        <w:t>质疑联系方式：0571-</w:t>
      </w:r>
      <w:r>
        <w:rPr>
          <w:rFonts w:hint="eastAsia"/>
          <w:color w:val="auto"/>
          <w:szCs w:val="24"/>
          <w:highlight w:val="none"/>
          <w:lang w:val="en-US" w:eastAsia="zh-CN"/>
        </w:rPr>
        <w:t>86799273</w:t>
      </w:r>
    </w:p>
    <w:p>
      <w:pPr>
        <w:pStyle w:val="15"/>
        <w:rPr>
          <w:color w:val="auto"/>
          <w:highlight w:val="none"/>
        </w:rPr>
      </w:pPr>
    </w:p>
    <w:p>
      <w:pPr>
        <w:widowControl/>
        <w:spacing w:line="338" w:lineRule="auto"/>
        <w:ind w:firstLine="480" w:firstLineChars="200"/>
        <w:jc w:val="left"/>
        <w:rPr>
          <w:rFonts w:hint="eastAsia"/>
          <w:color w:val="auto"/>
          <w:highlight w:val="none"/>
        </w:rPr>
      </w:pPr>
      <w:r>
        <w:rPr>
          <w:rFonts w:hint="eastAsia"/>
          <w:color w:val="auto"/>
          <w:highlight w:val="none"/>
        </w:rPr>
        <w:t xml:space="preserve">3.该项目由采购人处理采购争议。质疑环节，采购人委托采购代理机构处理的，可由采购代理机构答复。对质疑答复不满意的，向采购人内部设置的采购监督机构反映。            </w:t>
      </w:r>
    </w:p>
    <w:p>
      <w:pPr>
        <w:widowControl/>
        <w:spacing w:line="338" w:lineRule="auto"/>
        <w:ind w:firstLine="480" w:firstLineChars="200"/>
        <w:jc w:val="left"/>
        <w:rPr>
          <w:rFonts w:hint="eastAsia"/>
          <w:color w:val="auto"/>
          <w:highlight w:val="none"/>
        </w:rPr>
      </w:pPr>
    </w:p>
    <w:p>
      <w:pPr>
        <w:widowControl/>
        <w:spacing w:line="338" w:lineRule="auto"/>
        <w:ind w:firstLine="480" w:firstLineChars="200"/>
        <w:jc w:val="left"/>
        <w:rPr>
          <w:rFonts w:hint="eastAsia"/>
          <w:color w:val="auto"/>
          <w:highlight w:val="none"/>
        </w:rPr>
      </w:pPr>
      <w:r>
        <w:rPr>
          <w:rFonts w:hint="eastAsia"/>
          <w:color w:val="auto"/>
          <w:highlight w:val="none"/>
        </w:rPr>
        <w:t>政策咨询：何一平、冯华，0571-87058424、87055741</w:t>
      </w:r>
    </w:p>
    <w:p>
      <w:pPr>
        <w:widowControl/>
        <w:spacing w:line="338" w:lineRule="auto"/>
        <w:ind w:firstLine="480" w:firstLineChars="200"/>
        <w:jc w:val="left"/>
        <w:rPr>
          <w:color w:val="auto"/>
          <w:szCs w:val="24"/>
          <w:highlight w:val="none"/>
        </w:rPr>
      </w:pPr>
      <w:r>
        <w:rPr>
          <w:rFonts w:hint="eastAsia"/>
          <w:color w:val="auto"/>
          <w:highlight w:val="none"/>
        </w:rPr>
        <w:t>预算金额未达100万元的采购项目，由采购人处理采购争议。</w:t>
      </w:r>
    </w:p>
    <w:p>
      <w:pPr>
        <w:widowControl/>
        <w:spacing w:line="338" w:lineRule="auto"/>
        <w:ind w:firstLine="440" w:firstLineChars="200"/>
        <w:jc w:val="left"/>
        <w:rPr>
          <w:color w:val="auto"/>
          <w:sz w:val="22"/>
          <w:szCs w:val="24"/>
          <w:highlight w:val="none"/>
        </w:rPr>
      </w:pPr>
    </w:p>
    <w:p>
      <w:pPr>
        <w:widowControl/>
        <w:spacing w:line="338" w:lineRule="auto"/>
        <w:ind w:firstLine="440" w:firstLineChars="200"/>
        <w:jc w:val="left"/>
        <w:rPr>
          <w:color w:val="auto"/>
          <w:sz w:val="22"/>
          <w:szCs w:val="24"/>
          <w:highlight w:val="none"/>
        </w:rPr>
      </w:pPr>
    </w:p>
    <w:p>
      <w:pPr>
        <w:widowControl/>
        <w:spacing w:line="338" w:lineRule="auto"/>
        <w:ind w:firstLine="440" w:firstLineChars="200"/>
        <w:jc w:val="left"/>
        <w:rPr>
          <w:color w:val="auto"/>
          <w:sz w:val="22"/>
          <w:szCs w:val="24"/>
          <w:highlight w:val="none"/>
        </w:rPr>
      </w:pPr>
      <w:r>
        <w:rPr>
          <w:rFonts w:hint="eastAsia"/>
          <w:color w:val="auto"/>
          <w:sz w:val="22"/>
          <w:szCs w:val="24"/>
          <w:highlight w:val="none"/>
        </w:rPr>
        <w:t xml:space="preserve">若对项目采购电子交易系统操作有疑问，可登录政采云（https://www.zcygov.cn/），点击右侧咨询小采，获取采小蜜智能服务管家帮助，或拨打政采云服务热线400-881-7190获取热线服务帮助。     </w:t>
      </w:r>
    </w:p>
    <w:p>
      <w:pPr>
        <w:widowControl/>
        <w:spacing w:line="338" w:lineRule="auto"/>
        <w:ind w:firstLine="440" w:firstLineChars="200"/>
        <w:jc w:val="left"/>
        <w:rPr>
          <w:color w:val="auto"/>
          <w:sz w:val="22"/>
          <w:szCs w:val="24"/>
          <w:highlight w:val="none"/>
        </w:rPr>
      </w:pPr>
      <w:r>
        <w:rPr>
          <w:rFonts w:hint="eastAsia"/>
          <w:color w:val="auto"/>
          <w:sz w:val="22"/>
          <w:szCs w:val="24"/>
          <w:highlight w:val="none"/>
        </w:rPr>
        <w:t>CA问题联系电话（人工）：汇信CA 400-888-4636；天谷CA 400-087-8198。</w:t>
      </w:r>
    </w:p>
    <w:p>
      <w:pPr>
        <w:widowControl/>
        <w:spacing w:line="338" w:lineRule="auto"/>
        <w:ind w:firstLine="440" w:firstLineChars="200"/>
        <w:jc w:val="left"/>
        <w:rPr>
          <w:color w:val="auto"/>
          <w:sz w:val="22"/>
          <w:szCs w:val="24"/>
          <w:highlight w:val="none"/>
        </w:rPr>
        <w:sectPr>
          <w:headerReference r:id="rId5" w:type="default"/>
          <w:footerReference r:id="rId6" w:type="default"/>
          <w:pgSz w:w="11907" w:h="16840"/>
          <w:pgMar w:top="1701" w:right="1644" w:bottom="1418" w:left="1474" w:header="1134" w:footer="1134" w:gutter="0"/>
          <w:pgNumType w:start="1"/>
          <w:cols w:space="720" w:num="1"/>
          <w:docGrid w:linePitch="326" w:charSpace="0"/>
        </w:sectPr>
      </w:pPr>
    </w:p>
    <w:p>
      <w:pPr>
        <w:pStyle w:val="3"/>
        <w:rPr>
          <w:color w:val="auto"/>
          <w:highlight w:val="none"/>
        </w:rPr>
      </w:pPr>
      <w:bookmarkStart w:id="4" w:name="_Toc12853"/>
      <w:r>
        <w:rPr>
          <w:rFonts w:hint="eastAsia"/>
          <w:color w:val="auto"/>
          <w:highlight w:val="none"/>
        </w:rPr>
        <w:t>投标供应商须知</w:t>
      </w:r>
      <w:bookmarkEnd w:id="4"/>
    </w:p>
    <w:p>
      <w:pPr>
        <w:jc w:val="center"/>
        <w:rPr>
          <w:rFonts w:hint="default" w:eastAsia="宋体"/>
          <w:b/>
          <w:bCs/>
          <w:color w:val="auto"/>
          <w:sz w:val="32"/>
          <w:szCs w:val="32"/>
          <w:highlight w:val="none"/>
          <w:lang w:val="en-US" w:eastAsia="zh-CN"/>
        </w:rPr>
      </w:pPr>
      <w:r>
        <w:rPr>
          <w:b/>
          <w:bCs/>
          <w:color w:val="auto"/>
          <w:sz w:val="32"/>
          <w:szCs w:val="32"/>
          <w:highlight w:val="none"/>
        </w:rPr>
        <w:t>前附表</w:t>
      </w:r>
    </w:p>
    <w:tbl>
      <w:tblPr>
        <w:tblStyle w:val="33"/>
        <w:tblW w:w="94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992"/>
        <w:gridCol w:w="1701"/>
        <w:gridCol w:w="60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10" w:type="dxa"/>
            <w:vAlign w:val="center"/>
          </w:tcPr>
          <w:p>
            <w:pPr>
              <w:keepNext w:val="0"/>
              <w:keepLines w:val="0"/>
              <w:pageBreakBefore w:val="0"/>
              <w:widowControl w:val="0"/>
              <w:kinsoku/>
              <w:overflowPunct/>
              <w:topLinePunct w:val="0"/>
              <w:bidi w:val="0"/>
              <w:spacing w:before="164" w:beforeLines="50" w:after="164" w:afterLines="50" w:line="240" w:lineRule="auto"/>
              <w:jc w:val="center"/>
              <w:rPr>
                <w:color w:val="auto"/>
                <w:szCs w:val="21"/>
                <w:highlight w:val="none"/>
              </w:rPr>
            </w:pPr>
            <w:r>
              <w:rPr>
                <w:color w:val="auto"/>
                <w:szCs w:val="21"/>
                <w:highlight w:val="none"/>
              </w:rPr>
              <w:t>序号</w:t>
            </w:r>
          </w:p>
        </w:tc>
        <w:tc>
          <w:tcPr>
            <w:tcW w:w="992" w:type="dxa"/>
          </w:tcPr>
          <w:p>
            <w:pPr>
              <w:keepNext w:val="0"/>
              <w:keepLines w:val="0"/>
              <w:pageBreakBefore w:val="0"/>
              <w:widowControl w:val="0"/>
              <w:kinsoku/>
              <w:overflowPunct/>
              <w:topLinePunct w:val="0"/>
              <w:bidi w:val="0"/>
              <w:spacing w:before="164" w:beforeLines="50" w:after="164" w:afterLines="50" w:line="240" w:lineRule="auto"/>
              <w:jc w:val="center"/>
              <w:rPr>
                <w:color w:val="auto"/>
                <w:szCs w:val="21"/>
                <w:highlight w:val="none"/>
              </w:rPr>
            </w:pPr>
            <w:r>
              <w:rPr>
                <w:color w:val="auto"/>
                <w:szCs w:val="21"/>
                <w:highlight w:val="none"/>
              </w:rPr>
              <w:t>条款号</w:t>
            </w:r>
          </w:p>
        </w:tc>
        <w:tc>
          <w:tcPr>
            <w:tcW w:w="1701" w:type="dxa"/>
            <w:vAlign w:val="center"/>
          </w:tcPr>
          <w:p>
            <w:pPr>
              <w:keepNext w:val="0"/>
              <w:keepLines w:val="0"/>
              <w:pageBreakBefore w:val="0"/>
              <w:widowControl w:val="0"/>
              <w:kinsoku/>
              <w:overflowPunct/>
              <w:topLinePunct w:val="0"/>
              <w:bidi w:val="0"/>
              <w:spacing w:before="164" w:beforeLines="50" w:after="164" w:afterLines="50" w:line="240" w:lineRule="auto"/>
              <w:jc w:val="center"/>
              <w:rPr>
                <w:color w:val="auto"/>
                <w:szCs w:val="21"/>
                <w:highlight w:val="none"/>
              </w:rPr>
            </w:pPr>
            <w:r>
              <w:rPr>
                <w:color w:val="auto"/>
                <w:szCs w:val="21"/>
                <w:highlight w:val="none"/>
              </w:rPr>
              <w:t>项目</w:t>
            </w:r>
          </w:p>
        </w:tc>
        <w:tc>
          <w:tcPr>
            <w:tcW w:w="6088" w:type="dxa"/>
            <w:vAlign w:val="center"/>
          </w:tcPr>
          <w:p>
            <w:pPr>
              <w:pStyle w:val="76"/>
              <w:keepNext w:val="0"/>
              <w:keepLines w:val="0"/>
              <w:pageBreakBefore w:val="0"/>
              <w:widowControl w:val="0"/>
              <w:kinsoku/>
              <w:overflowPunct/>
              <w:topLinePunct w:val="0"/>
              <w:bidi w:val="0"/>
              <w:adjustRightInd/>
              <w:spacing w:before="164" w:beforeLines="50" w:after="164" w:afterLines="50" w:line="240" w:lineRule="auto"/>
              <w:textAlignment w:val="auto"/>
              <w:rPr>
                <w:rFonts w:ascii="Times New Roman" w:hAnsi="Times New Roman"/>
                <w:color w:val="auto"/>
                <w:kern w:val="0"/>
                <w:szCs w:val="21"/>
                <w:highlight w:val="none"/>
              </w:rPr>
            </w:pPr>
            <w:r>
              <w:rPr>
                <w:rFonts w:ascii="Times New Roman" w:hAnsi="Times New Roman"/>
                <w:color w:val="auto"/>
                <w:kern w:val="0"/>
                <w:szCs w:val="21"/>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1</w:t>
            </w:r>
          </w:p>
        </w:tc>
        <w:tc>
          <w:tcPr>
            <w:tcW w:w="992" w:type="dxa"/>
            <w:vAlign w:val="center"/>
          </w:tcPr>
          <w:p>
            <w:pPr>
              <w:pStyle w:val="20"/>
              <w:keepNext w:val="0"/>
              <w:keepLines w:val="0"/>
              <w:pageBreakBefore w:val="0"/>
              <w:widowControl w:val="0"/>
              <w:kinsoku/>
              <w:wordWrap w:val="0"/>
              <w:overflowPunct/>
              <w:topLinePunct w:val="0"/>
              <w:bidi w:val="0"/>
              <w:spacing w:before="164" w:beforeLines="50" w:after="164" w:afterLines="50" w:line="240" w:lineRule="auto"/>
              <w:jc w:val="center"/>
              <w:rPr>
                <w:color w:val="auto"/>
                <w:kern w:val="0"/>
                <w:szCs w:val="21"/>
                <w:highlight w:val="none"/>
              </w:rPr>
            </w:pPr>
            <w:r>
              <w:rPr>
                <w:color w:val="auto"/>
                <w:kern w:val="0"/>
                <w:szCs w:val="21"/>
                <w:highlight w:val="none"/>
              </w:rPr>
              <w:t>2.1.1</w:t>
            </w:r>
          </w:p>
        </w:tc>
        <w:tc>
          <w:tcPr>
            <w:tcW w:w="1701"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项目名称、采购编号、资金来源</w:t>
            </w:r>
          </w:p>
        </w:tc>
        <w:tc>
          <w:tcPr>
            <w:tcW w:w="6088"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rFonts w:hint="eastAsia" w:eastAsia="宋体"/>
                <w:color w:val="auto"/>
                <w:sz w:val="21"/>
                <w:szCs w:val="21"/>
                <w:highlight w:val="none"/>
                <w:lang w:eastAsia="zh-CN"/>
              </w:rPr>
            </w:pPr>
            <w:r>
              <w:rPr>
                <w:color w:val="auto"/>
                <w:sz w:val="21"/>
                <w:szCs w:val="21"/>
                <w:highlight w:val="none"/>
              </w:rPr>
              <w:t>项目名称：</w:t>
            </w:r>
            <w:r>
              <w:rPr>
                <w:rFonts w:hint="eastAsia"/>
                <w:color w:val="auto"/>
                <w:sz w:val="21"/>
                <w:szCs w:val="21"/>
                <w:highlight w:val="none"/>
                <w:lang w:eastAsia="zh-CN"/>
              </w:rPr>
              <w:t>水土保持监测管理平台运维</w:t>
            </w:r>
          </w:p>
          <w:p>
            <w:pPr>
              <w:keepNext w:val="0"/>
              <w:keepLines w:val="0"/>
              <w:pageBreakBefore w:val="0"/>
              <w:widowControl w:val="0"/>
              <w:kinsoku/>
              <w:wordWrap w:val="0"/>
              <w:overflowPunct/>
              <w:topLinePunct w:val="0"/>
              <w:bidi w:val="0"/>
              <w:snapToGrid w:val="0"/>
              <w:spacing w:before="164" w:beforeLines="50" w:after="164" w:afterLines="50" w:line="240" w:lineRule="auto"/>
              <w:rPr>
                <w:rFonts w:hint="eastAsia" w:eastAsia="宋体"/>
                <w:color w:val="auto"/>
                <w:sz w:val="21"/>
                <w:szCs w:val="21"/>
                <w:highlight w:val="none"/>
                <w:lang w:eastAsia="zh-CN"/>
              </w:rPr>
            </w:pPr>
            <w:bookmarkStart w:id="5" w:name="_Toc71305501"/>
            <w:bookmarkStart w:id="6" w:name="_Toc15852"/>
            <w:bookmarkStart w:id="7" w:name="_Toc510948476"/>
            <w:bookmarkStart w:id="8" w:name="_Toc19634"/>
            <w:bookmarkStart w:id="9" w:name="_Toc4654"/>
            <w:bookmarkStart w:id="10" w:name="_Toc9353086"/>
            <w:bookmarkStart w:id="11" w:name="_Toc61532586"/>
            <w:bookmarkStart w:id="12" w:name="_Toc282"/>
            <w:bookmarkStart w:id="13" w:name="_Toc25015"/>
            <w:bookmarkStart w:id="14" w:name="_Toc12598"/>
            <w:bookmarkStart w:id="15" w:name="_Toc21350"/>
            <w:r>
              <w:rPr>
                <w:color w:val="auto"/>
                <w:sz w:val="21"/>
                <w:szCs w:val="21"/>
                <w:highlight w:val="none"/>
              </w:rPr>
              <w:t>采购编号：</w:t>
            </w:r>
            <w:bookmarkEnd w:id="5"/>
            <w:bookmarkEnd w:id="6"/>
            <w:bookmarkEnd w:id="7"/>
            <w:bookmarkEnd w:id="8"/>
            <w:bookmarkEnd w:id="9"/>
            <w:bookmarkEnd w:id="10"/>
            <w:bookmarkEnd w:id="11"/>
            <w:bookmarkEnd w:id="12"/>
            <w:bookmarkEnd w:id="13"/>
            <w:bookmarkEnd w:id="14"/>
            <w:bookmarkEnd w:id="15"/>
            <w:r>
              <w:rPr>
                <w:rFonts w:hint="eastAsia"/>
                <w:color w:val="auto"/>
                <w:sz w:val="21"/>
                <w:szCs w:val="21"/>
                <w:highlight w:val="none"/>
                <w:lang w:eastAsia="zh-CN"/>
              </w:rPr>
              <w:t>ZSSJCG-202304022</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资金来源：</w:t>
            </w:r>
            <w:r>
              <w:rPr>
                <w:rFonts w:hint="eastAsia"/>
                <w:color w:val="auto"/>
                <w:sz w:val="21"/>
                <w:szCs w:val="21"/>
                <w:highlight w:val="none"/>
                <w:lang w:val="en-US" w:eastAsia="zh-CN"/>
              </w:rPr>
              <w:t>政府</w:t>
            </w:r>
            <w:r>
              <w:rPr>
                <w:color w:val="auto"/>
                <w:sz w:val="21"/>
                <w:szCs w:val="21"/>
                <w:highlight w:val="none"/>
              </w:rPr>
              <w:t>预算资金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w:t>
            </w:r>
          </w:p>
        </w:tc>
        <w:tc>
          <w:tcPr>
            <w:tcW w:w="992" w:type="dxa"/>
            <w:vAlign w:val="center"/>
          </w:tcPr>
          <w:p>
            <w:pPr>
              <w:pStyle w:val="20"/>
              <w:keepNext w:val="0"/>
              <w:keepLines w:val="0"/>
              <w:pageBreakBefore w:val="0"/>
              <w:widowControl w:val="0"/>
              <w:kinsoku/>
              <w:wordWrap w:val="0"/>
              <w:overflowPunct/>
              <w:topLinePunct w:val="0"/>
              <w:bidi w:val="0"/>
              <w:spacing w:before="164" w:beforeLines="50" w:after="164" w:afterLines="50" w:line="240" w:lineRule="auto"/>
              <w:jc w:val="center"/>
              <w:rPr>
                <w:color w:val="auto"/>
                <w:kern w:val="0"/>
                <w:szCs w:val="21"/>
                <w:highlight w:val="none"/>
              </w:rPr>
            </w:pPr>
            <w:r>
              <w:rPr>
                <w:color w:val="auto"/>
                <w:kern w:val="0"/>
                <w:szCs w:val="21"/>
                <w:highlight w:val="none"/>
              </w:rPr>
              <w:t>2.1.2</w:t>
            </w:r>
          </w:p>
        </w:tc>
        <w:tc>
          <w:tcPr>
            <w:tcW w:w="1701"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采购内容</w:t>
            </w:r>
          </w:p>
        </w:tc>
        <w:tc>
          <w:tcPr>
            <w:tcW w:w="6088"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详见</w:t>
            </w:r>
            <w:r>
              <w:rPr>
                <w:rFonts w:hint="eastAsia"/>
                <w:color w:val="auto"/>
                <w:sz w:val="21"/>
                <w:szCs w:val="21"/>
                <w:highlight w:val="none"/>
              </w:rPr>
              <w:t>采购文件第四部分</w:t>
            </w:r>
            <w:r>
              <w:rPr>
                <w:color w:val="auto"/>
                <w:sz w:val="21"/>
                <w:szCs w:val="21"/>
                <w:highlight w:val="none"/>
              </w:rPr>
              <w:t>采购项目指南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3</w:t>
            </w:r>
          </w:p>
        </w:tc>
        <w:tc>
          <w:tcPr>
            <w:tcW w:w="992"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2.1.3</w:t>
            </w:r>
          </w:p>
        </w:tc>
        <w:tc>
          <w:tcPr>
            <w:tcW w:w="1701"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Cs w:val="21"/>
                <w:highlight w:val="none"/>
              </w:rPr>
            </w:pPr>
            <w:r>
              <w:rPr>
                <w:color w:val="auto"/>
                <w:sz w:val="21"/>
                <w:szCs w:val="21"/>
                <w:highlight w:val="none"/>
              </w:rPr>
              <w:t>投标供应商资格</w:t>
            </w:r>
          </w:p>
        </w:tc>
        <w:tc>
          <w:tcPr>
            <w:tcW w:w="6088"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按采购公告要求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4</w:t>
            </w:r>
          </w:p>
        </w:tc>
        <w:tc>
          <w:tcPr>
            <w:tcW w:w="992"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2.1.7</w:t>
            </w:r>
          </w:p>
        </w:tc>
        <w:tc>
          <w:tcPr>
            <w:tcW w:w="1701"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采购人是否允许分包</w:t>
            </w:r>
          </w:p>
        </w:tc>
        <w:tc>
          <w:tcPr>
            <w:tcW w:w="6088" w:type="dxa"/>
            <w:vAlign w:val="center"/>
          </w:tcPr>
          <w:p>
            <w:pPr>
              <w:keepNext w:val="0"/>
              <w:keepLines w:val="0"/>
              <w:pageBreakBefore w:val="0"/>
              <w:widowControl w:val="0"/>
              <w:kinsoku/>
              <w:wordWrap w:val="0"/>
              <w:overflowPunct/>
              <w:topLinePunct w:val="0"/>
              <w:bidi w:val="0"/>
              <w:snapToGrid w:val="0"/>
              <w:spacing w:before="164" w:beforeLines="50" w:after="164" w:afterLines="50"/>
              <w:rPr>
                <w:rFonts w:hint="eastAsia" w:eastAsia="宋体"/>
                <w:color w:val="auto"/>
                <w:sz w:val="21"/>
                <w:szCs w:val="21"/>
                <w:highlight w:val="none"/>
                <w:lang w:val="en-US" w:eastAsia="zh-CN"/>
              </w:rPr>
            </w:pPr>
            <w:r>
              <w:rPr>
                <w:rFonts w:hint="eastAsia"/>
                <w:color w:val="auto"/>
                <w:sz w:val="21"/>
                <w:szCs w:val="21"/>
                <w:highlight w:val="none"/>
              </w:rPr>
              <w:fldChar w:fldCharType="begin"/>
            </w:r>
            <w:r>
              <w:rPr>
                <w:rFonts w:hint="eastAsia"/>
                <w:color w:val="auto"/>
                <w:sz w:val="21"/>
                <w:szCs w:val="21"/>
                <w:highlight w:val="none"/>
              </w:rPr>
              <w:instrText xml:space="preserve"> EQ \o\ac(□)</w:instrText>
            </w:r>
            <w:r>
              <w:rPr>
                <w:rFonts w:hint="eastAsia"/>
                <w:color w:val="auto"/>
                <w:sz w:val="21"/>
                <w:szCs w:val="21"/>
                <w:highlight w:val="none"/>
              </w:rPr>
              <w:fldChar w:fldCharType="end"/>
            </w:r>
            <w:r>
              <w:rPr>
                <w:rFonts w:hint="eastAsia"/>
                <w:color w:val="auto"/>
                <w:sz w:val="21"/>
                <w:szCs w:val="21"/>
                <w:highlight w:val="none"/>
                <w:lang w:val="en-US" w:eastAsia="zh-CN"/>
              </w:rPr>
              <w:t>是</w:t>
            </w:r>
          </w:p>
          <w:p>
            <w:pPr>
              <w:keepNext w:val="0"/>
              <w:keepLines w:val="0"/>
              <w:pageBreakBefore w:val="0"/>
              <w:widowControl w:val="0"/>
              <w:kinsoku/>
              <w:wordWrap w:val="0"/>
              <w:overflowPunct/>
              <w:topLinePunct w:val="0"/>
              <w:bidi w:val="0"/>
              <w:snapToGrid w:val="0"/>
              <w:spacing w:before="164" w:beforeLines="50" w:after="164" w:afterLines="50"/>
              <w:rPr>
                <w:color w:val="auto"/>
                <w:sz w:val="21"/>
                <w:szCs w:val="21"/>
                <w:highlight w:val="none"/>
              </w:rPr>
            </w:pPr>
            <w:r>
              <w:rPr>
                <w:rFonts w:hint="eastAsia"/>
                <w:color w:val="auto"/>
                <w:sz w:val="21"/>
                <w:szCs w:val="21"/>
                <w:highlight w:val="none"/>
              </w:rPr>
              <w:fldChar w:fldCharType="begin"/>
            </w:r>
            <w:r>
              <w:rPr>
                <w:rFonts w:hint="eastAsia"/>
                <w:color w:val="auto"/>
                <w:sz w:val="21"/>
                <w:szCs w:val="21"/>
                <w:highlight w:val="none"/>
              </w:rPr>
              <w:instrText xml:space="preserve"> EQ \o\ac(□</w:instrText>
            </w:r>
            <w:r>
              <w:rPr>
                <w:rFonts w:hint="eastAsia"/>
                <w:color w:val="auto"/>
                <w:sz w:val="21"/>
                <w:szCs w:val="21"/>
                <w:highlight w:val="none"/>
                <w:lang w:eastAsia="zh-CN"/>
              </w:rPr>
              <w:instrText xml:space="preserve">,</w:instrText>
            </w:r>
            <w:r>
              <w:rPr>
                <w:rFonts w:hint="eastAsia"/>
                <w:color w:val="auto"/>
                <w:position w:val="2"/>
                <w:sz w:val="14"/>
                <w:szCs w:val="21"/>
                <w:highlight w:val="none"/>
                <w:lang w:eastAsia="zh-CN"/>
              </w:rPr>
              <w:instrText xml:space="preserve">√</w:instrText>
            </w:r>
            <w:r>
              <w:rPr>
                <w:rFonts w:hint="eastAsia"/>
                <w:color w:val="auto"/>
                <w:sz w:val="21"/>
                <w:szCs w:val="21"/>
                <w:highlight w:val="none"/>
              </w:rPr>
              <w:instrText xml:space="preserve">)</w:instrText>
            </w:r>
            <w:r>
              <w:rPr>
                <w:rFonts w:hint="eastAsia"/>
                <w:color w:val="auto"/>
                <w:sz w:val="21"/>
                <w:szCs w:val="21"/>
                <w:highlight w:val="none"/>
              </w:rPr>
              <w:fldChar w:fldCharType="end"/>
            </w:r>
            <w:r>
              <w:rPr>
                <w:rFonts w:hint="eastAsia"/>
                <w:color w:val="auto"/>
                <w:sz w:val="21"/>
                <w:szCs w:val="21"/>
                <w:highlight w:val="no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lang w:val="en-US" w:eastAsia="zh-CN"/>
              </w:rPr>
              <w:t>5</w:t>
            </w:r>
          </w:p>
        </w:tc>
        <w:tc>
          <w:tcPr>
            <w:tcW w:w="992"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2.3.3</w:t>
            </w:r>
          </w:p>
        </w:tc>
        <w:tc>
          <w:tcPr>
            <w:tcW w:w="1701"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投标有效期</w:t>
            </w:r>
          </w:p>
        </w:tc>
        <w:tc>
          <w:tcPr>
            <w:tcW w:w="6088"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90</w:t>
            </w:r>
            <w:r>
              <w:rPr>
                <w:color w:val="auto"/>
                <w:sz w:val="21"/>
                <w:szCs w:val="21"/>
                <w:highlight w:val="none"/>
              </w:rPr>
              <w:t>日历天（从投标截止之日算起）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color w:val="auto"/>
                <w:szCs w:val="21"/>
                <w:highlight w:val="none"/>
                <w:lang w:val="en-US" w:eastAsia="zh-CN"/>
              </w:rPr>
            </w:pPr>
            <w:r>
              <w:rPr>
                <w:rFonts w:hint="eastAsia"/>
                <w:color w:val="auto"/>
                <w:szCs w:val="21"/>
                <w:highlight w:val="none"/>
                <w:lang w:val="en-US" w:eastAsia="zh-CN"/>
              </w:rPr>
              <w:t>6</w:t>
            </w:r>
          </w:p>
        </w:tc>
        <w:tc>
          <w:tcPr>
            <w:tcW w:w="992"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2</w:t>
            </w:r>
            <w:r>
              <w:rPr>
                <w:color w:val="auto"/>
                <w:szCs w:val="21"/>
                <w:highlight w:val="none"/>
              </w:rPr>
              <w:t>.3.</w:t>
            </w:r>
            <w:r>
              <w:rPr>
                <w:rFonts w:hint="eastAsia"/>
                <w:color w:val="auto"/>
                <w:szCs w:val="21"/>
                <w:highlight w:val="none"/>
                <w:lang w:val="en-US" w:eastAsia="zh-CN"/>
              </w:rPr>
              <w:t>4</w:t>
            </w:r>
          </w:p>
        </w:tc>
        <w:tc>
          <w:tcPr>
            <w:tcW w:w="1701"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sz w:val="21"/>
                <w:szCs w:val="21"/>
                <w:highlight w:val="none"/>
              </w:rPr>
            </w:pPr>
            <w:r>
              <w:rPr>
                <w:rFonts w:hint="eastAsia"/>
                <w:color w:val="auto"/>
                <w:kern w:val="0"/>
                <w:sz w:val="21"/>
                <w:szCs w:val="21"/>
                <w:highlight w:val="none"/>
              </w:rPr>
              <w:t>投标文件</w:t>
            </w:r>
            <w:r>
              <w:rPr>
                <w:rFonts w:hint="eastAsia"/>
                <w:color w:val="auto"/>
                <w:kern w:val="0"/>
                <w:sz w:val="21"/>
                <w:szCs w:val="21"/>
                <w:highlight w:val="none"/>
                <w:lang w:val="en-US" w:eastAsia="zh-CN"/>
              </w:rPr>
              <w:t>编制</w:t>
            </w:r>
          </w:p>
        </w:tc>
        <w:tc>
          <w:tcPr>
            <w:tcW w:w="6088"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jc w:val="left"/>
              <w:rPr>
                <w:color w:val="auto"/>
                <w:sz w:val="21"/>
                <w:szCs w:val="21"/>
                <w:highlight w:val="none"/>
              </w:rPr>
            </w:pPr>
            <w:r>
              <w:rPr>
                <w:rFonts w:hint="eastAsia"/>
                <w:color w:val="auto"/>
                <w:sz w:val="21"/>
                <w:szCs w:val="21"/>
                <w:highlight w:val="none"/>
              </w:rPr>
              <w:t>投标供应商应准备电子加密投标文件（后缀格式为.jmbs）、备份投标文件（后缀格式为.bfbs）：</w:t>
            </w:r>
          </w:p>
          <w:p>
            <w:pPr>
              <w:keepNext w:val="0"/>
              <w:keepLines w:val="0"/>
              <w:pageBreakBefore w:val="0"/>
              <w:widowControl w:val="0"/>
              <w:kinsoku/>
              <w:wordWrap w:val="0"/>
              <w:overflowPunct/>
              <w:topLinePunct w:val="0"/>
              <w:bidi w:val="0"/>
              <w:snapToGrid w:val="0"/>
              <w:spacing w:before="164" w:beforeLines="50" w:after="164" w:afterLines="50" w:line="240" w:lineRule="auto"/>
              <w:jc w:val="left"/>
              <w:rPr>
                <w:color w:val="auto"/>
                <w:sz w:val="21"/>
                <w:szCs w:val="21"/>
                <w:highlight w:val="none"/>
              </w:rPr>
            </w:pPr>
            <w:r>
              <w:rPr>
                <w:rFonts w:hint="eastAsia"/>
                <w:color w:val="auto"/>
                <w:sz w:val="21"/>
                <w:szCs w:val="21"/>
                <w:highlight w:val="none"/>
              </w:rPr>
              <w:t>（1）电子加密投标文件，按政采云平台服务中心-“政府采购项目电子交易管理操作指南-供应商”及本采购文件要求制作、加密并递交。</w:t>
            </w:r>
          </w:p>
          <w:p>
            <w:pPr>
              <w:keepNext w:val="0"/>
              <w:keepLines w:val="0"/>
              <w:pageBreakBefore w:val="0"/>
              <w:widowControl w:val="0"/>
              <w:kinsoku/>
              <w:wordWrap w:val="0"/>
              <w:overflowPunct/>
              <w:topLinePunct w:val="0"/>
              <w:bidi w:val="0"/>
              <w:snapToGrid w:val="0"/>
              <w:spacing w:before="164" w:beforeLines="50" w:after="164" w:afterLines="50" w:line="240" w:lineRule="auto"/>
              <w:jc w:val="left"/>
              <w:rPr>
                <w:rFonts w:hint="eastAsia"/>
                <w:color w:val="auto"/>
                <w:sz w:val="21"/>
                <w:szCs w:val="21"/>
                <w:highlight w:val="none"/>
              </w:rPr>
            </w:pPr>
            <w:r>
              <w:rPr>
                <w:rFonts w:hint="eastAsia"/>
                <w:color w:val="auto"/>
                <w:sz w:val="21"/>
                <w:szCs w:val="21"/>
                <w:highlight w:val="none"/>
              </w:rPr>
              <w:t>（2）加密压缩文件形式的备份投标文件，按政采云平台服务中心-“政府采购项目电子交易管理操作指南-供应商”中的电子投标文件格式，压缩加密后以电子邮件的形式提供。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3"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lang w:val="en-US" w:eastAsia="zh-CN"/>
              </w:rPr>
              <w:t>7</w:t>
            </w:r>
          </w:p>
        </w:tc>
        <w:tc>
          <w:tcPr>
            <w:tcW w:w="992"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2</w:t>
            </w:r>
            <w:r>
              <w:rPr>
                <w:color w:val="auto"/>
                <w:szCs w:val="21"/>
                <w:highlight w:val="none"/>
              </w:rPr>
              <w:t>.4.2</w:t>
            </w:r>
          </w:p>
        </w:tc>
        <w:tc>
          <w:tcPr>
            <w:tcW w:w="1701"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rFonts w:hint="eastAsia"/>
                <w:color w:val="auto"/>
                <w:kern w:val="0"/>
                <w:sz w:val="21"/>
                <w:szCs w:val="21"/>
                <w:highlight w:val="none"/>
              </w:rPr>
              <w:t>电子投标文件的传输递交</w:t>
            </w:r>
          </w:p>
        </w:tc>
        <w:tc>
          <w:tcPr>
            <w:tcW w:w="6088"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1.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文件，将被政采云平台拒收。</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2.商务技术文件开启后30分钟内，供应商通过邮件形式将经授权代表签署的《政府采购活动现场确认声明书》（格式见采购公告附件）扫描件发至代理机构经办人邮箱（邮箱：740056430@qq.com）。</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b/>
                <w:bCs/>
                <w:color w:val="auto"/>
                <w:sz w:val="21"/>
                <w:szCs w:val="21"/>
                <w:highlight w:val="none"/>
              </w:rPr>
              <w:t>说明：不填写或未按规定发出邮件的，视同默认不存在确认声明书中的相关违规情形。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lang w:val="en-US" w:eastAsia="zh-CN"/>
              </w:rPr>
              <w:t>8</w:t>
            </w:r>
          </w:p>
        </w:tc>
        <w:tc>
          <w:tcPr>
            <w:tcW w:w="992"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2.7</w:t>
            </w:r>
            <w:r>
              <w:rPr>
                <w:rFonts w:hint="eastAsia"/>
                <w:color w:val="auto"/>
                <w:szCs w:val="21"/>
                <w:highlight w:val="none"/>
              </w:rPr>
              <w:t>.1</w:t>
            </w:r>
          </w:p>
        </w:tc>
        <w:tc>
          <w:tcPr>
            <w:tcW w:w="1701" w:type="dxa"/>
            <w:vAlign w:val="center"/>
          </w:tcPr>
          <w:p>
            <w:pPr>
              <w:keepNext w:val="0"/>
              <w:keepLines w:val="0"/>
              <w:pageBreakBefore w:val="0"/>
              <w:widowControl w:val="0"/>
              <w:kinsoku/>
              <w:wordWrap w:val="0"/>
              <w:overflowPunct/>
              <w:topLinePunct w:val="0"/>
              <w:bidi w:val="0"/>
              <w:spacing w:before="164" w:beforeLines="50" w:after="164" w:afterLines="50" w:line="240" w:lineRule="auto"/>
              <w:rPr>
                <w:color w:val="auto"/>
                <w:sz w:val="21"/>
                <w:szCs w:val="21"/>
                <w:highlight w:val="none"/>
              </w:rPr>
            </w:pPr>
            <w:r>
              <w:rPr>
                <w:color w:val="auto"/>
                <w:sz w:val="21"/>
                <w:szCs w:val="21"/>
                <w:highlight w:val="none"/>
              </w:rPr>
              <w:t>开标地点、时间</w:t>
            </w:r>
          </w:p>
        </w:tc>
        <w:tc>
          <w:tcPr>
            <w:tcW w:w="6088"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地点：</w:t>
            </w:r>
            <w:r>
              <w:rPr>
                <w:rFonts w:hint="eastAsia"/>
                <w:color w:val="auto"/>
                <w:sz w:val="21"/>
                <w:szCs w:val="21"/>
                <w:highlight w:val="none"/>
              </w:rPr>
              <w:t xml:space="preserve">政府采购云平台，网址：www.zcygov.cn  </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截止时间：</w:t>
            </w:r>
            <w:r>
              <w:rPr>
                <w:rFonts w:hint="eastAsia"/>
                <w:color w:val="auto"/>
                <w:sz w:val="21"/>
                <w:szCs w:val="21"/>
                <w:highlight w:val="none"/>
                <w:lang w:eastAsia="zh-CN"/>
              </w:rPr>
              <w:t>2023年05月25日14:00</w:t>
            </w:r>
            <w:r>
              <w:rPr>
                <w:color w:val="auto"/>
                <w:sz w:val="21"/>
                <w:szCs w:val="21"/>
                <w:highlight w:val="none"/>
              </w:rPr>
              <w:t>（北京时间）</w:t>
            </w:r>
          </w:p>
          <w:p>
            <w:pPr>
              <w:keepNext w:val="0"/>
              <w:keepLines w:val="0"/>
              <w:pageBreakBefore w:val="0"/>
              <w:widowControl w:val="0"/>
              <w:kinsoku/>
              <w:wordWrap w:val="0"/>
              <w:overflowPunct/>
              <w:topLinePunct w:val="0"/>
              <w:bidi w:val="0"/>
              <w:snapToGrid w:val="0"/>
              <w:spacing w:before="164" w:beforeLines="50" w:after="164" w:afterLines="50" w:line="240" w:lineRule="auto"/>
              <w:rPr>
                <w:b/>
                <w:color w:val="auto"/>
                <w:highlight w:val="none"/>
              </w:rPr>
            </w:pPr>
            <w:r>
              <w:rPr>
                <w:rFonts w:hint="eastAsia"/>
                <w:b/>
                <w:color w:val="auto"/>
                <w:sz w:val="21"/>
                <w:szCs w:val="21"/>
                <w:highlight w:val="none"/>
              </w:rPr>
              <w:t>注：电子投标文件的解密时间为3</w:t>
            </w:r>
            <w:r>
              <w:rPr>
                <w:b/>
                <w:color w:val="auto"/>
                <w:sz w:val="21"/>
                <w:szCs w:val="21"/>
                <w:highlight w:val="none"/>
              </w:rPr>
              <w:t>0</w:t>
            </w:r>
            <w:r>
              <w:rPr>
                <w:rFonts w:hint="eastAsia"/>
                <w:b/>
                <w:color w:val="auto"/>
                <w:sz w:val="21"/>
                <w:szCs w:val="21"/>
                <w:highlight w:val="none"/>
              </w:rPr>
              <w:t>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lang w:val="en-US" w:eastAsia="zh-CN"/>
              </w:rPr>
              <w:t>9</w:t>
            </w:r>
          </w:p>
        </w:tc>
        <w:tc>
          <w:tcPr>
            <w:tcW w:w="992"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2.7.2</w:t>
            </w:r>
          </w:p>
        </w:tc>
        <w:tc>
          <w:tcPr>
            <w:tcW w:w="1701"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color w:val="auto"/>
                <w:kern w:val="0"/>
                <w:sz w:val="21"/>
                <w:szCs w:val="21"/>
                <w:highlight w:val="none"/>
              </w:rPr>
              <w:t>资格审查方式</w:t>
            </w:r>
          </w:p>
        </w:tc>
        <w:tc>
          <w:tcPr>
            <w:tcW w:w="6088"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color w:val="auto"/>
                <w:kern w:val="0"/>
                <w:sz w:val="21"/>
                <w:szCs w:val="21"/>
                <w:highlight w:val="none"/>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10" w:type="dxa"/>
          </w:tcPr>
          <w:p>
            <w:pPr>
              <w:keepNext w:val="0"/>
              <w:keepLines w:val="0"/>
              <w:pageBreakBefore w:val="0"/>
              <w:widowControl w:val="0"/>
              <w:kinsoku/>
              <w:wordWrap w:val="0"/>
              <w:overflowPunct/>
              <w:topLinePunct w:val="0"/>
              <w:bidi w:val="0"/>
              <w:spacing w:before="164" w:beforeLines="50" w:after="164" w:afterLines="50" w:line="240" w:lineRule="auto"/>
              <w:jc w:val="center"/>
              <w:rPr>
                <w:rFonts w:hint="default" w:eastAsia="宋体"/>
                <w:color w:val="auto"/>
                <w:szCs w:val="21"/>
                <w:highlight w:val="none"/>
                <w:lang w:val="en-US" w:eastAsia="zh-CN"/>
              </w:rPr>
            </w:pPr>
            <w:r>
              <w:rPr>
                <w:rFonts w:hint="eastAsia"/>
                <w:color w:val="auto"/>
                <w:szCs w:val="21"/>
                <w:highlight w:val="none"/>
                <w:lang w:val="en-US" w:eastAsia="zh-CN"/>
              </w:rPr>
              <w:t>10</w:t>
            </w:r>
          </w:p>
        </w:tc>
        <w:tc>
          <w:tcPr>
            <w:tcW w:w="992" w:type="dxa"/>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2.7.3</w:t>
            </w:r>
          </w:p>
        </w:tc>
        <w:tc>
          <w:tcPr>
            <w:tcW w:w="1701" w:type="dxa"/>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color w:val="auto"/>
                <w:kern w:val="0"/>
                <w:sz w:val="21"/>
                <w:szCs w:val="21"/>
                <w:highlight w:val="none"/>
              </w:rPr>
              <w:t>评标办法</w:t>
            </w:r>
          </w:p>
        </w:tc>
        <w:tc>
          <w:tcPr>
            <w:tcW w:w="6088" w:type="dxa"/>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color w:val="auto"/>
                <w:kern w:val="0"/>
                <w:sz w:val="21"/>
                <w:szCs w:val="21"/>
                <w:highlight w:val="none"/>
              </w:rPr>
              <w:t>综合评分法，先评商务和技术部分，再评报价部分。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default" w:eastAsia="宋体"/>
                <w:color w:val="auto"/>
                <w:szCs w:val="21"/>
                <w:highlight w:val="none"/>
                <w:lang w:val="en-US" w:eastAsia="zh-CN"/>
              </w:rPr>
            </w:pPr>
            <w:r>
              <w:rPr>
                <w:rFonts w:hint="eastAsia"/>
                <w:color w:val="auto"/>
                <w:szCs w:val="21"/>
                <w:highlight w:val="none"/>
                <w:lang w:val="en-US" w:eastAsia="zh-CN"/>
              </w:rPr>
              <w:t>11</w:t>
            </w:r>
          </w:p>
        </w:tc>
        <w:tc>
          <w:tcPr>
            <w:tcW w:w="992"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2.1</w:t>
            </w:r>
            <w:r>
              <w:rPr>
                <w:rFonts w:hint="eastAsia"/>
                <w:color w:val="auto"/>
                <w:szCs w:val="21"/>
                <w:highlight w:val="none"/>
              </w:rPr>
              <w:t>1</w:t>
            </w:r>
          </w:p>
        </w:tc>
        <w:tc>
          <w:tcPr>
            <w:tcW w:w="1701"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color w:val="auto"/>
                <w:kern w:val="0"/>
                <w:sz w:val="21"/>
                <w:szCs w:val="21"/>
                <w:highlight w:val="none"/>
              </w:rPr>
              <w:t>预算</w:t>
            </w:r>
            <w:r>
              <w:rPr>
                <w:rFonts w:hint="eastAsia"/>
                <w:color w:val="auto"/>
                <w:kern w:val="0"/>
                <w:sz w:val="21"/>
                <w:szCs w:val="21"/>
                <w:highlight w:val="none"/>
              </w:rPr>
              <w:t>金额</w:t>
            </w:r>
          </w:p>
        </w:tc>
        <w:tc>
          <w:tcPr>
            <w:tcW w:w="6088"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人民币</w:t>
            </w:r>
            <w:r>
              <w:rPr>
                <w:rFonts w:hint="eastAsia"/>
                <w:color w:val="auto"/>
                <w:sz w:val="21"/>
                <w:szCs w:val="21"/>
                <w:highlight w:val="none"/>
                <w:lang w:val="en-US" w:eastAsia="zh-CN"/>
              </w:rPr>
              <w:t>19.5</w:t>
            </w:r>
            <w:r>
              <w:rPr>
                <w:color w:val="auto"/>
                <w:sz w:val="21"/>
                <w:szCs w:val="21"/>
                <w:highlight w:val="none"/>
              </w:rPr>
              <w:t>万元整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rPr>
              <w:t>1</w:t>
            </w:r>
            <w:r>
              <w:rPr>
                <w:rFonts w:hint="eastAsia"/>
                <w:color w:val="auto"/>
                <w:szCs w:val="21"/>
                <w:highlight w:val="none"/>
                <w:lang w:val="en-US" w:eastAsia="zh-CN"/>
              </w:rPr>
              <w:t>2</w:t>
            </w:r>
          </w:p>
        </w:tc>
        <w:tc>
          <w:tcPr>
            <w:tcW w:w="992"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w:t>
            </w:r>
          </w:p>
        </w:tc>
        <w:tc>
          <w:tcPr>
            <w:tcW w:w="1701"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rFonts w:hint="eastAsia"/>
                <w:color w:val="auto"/>
                <w:kern w:val="0"/>
                <w:sz w:val="21"/>
                <w:szCs w:val="21"/>
                <w:highlight w:val="none"/>
                <w:lang w:val="en-US" w:eastAsia="zh-CN"/>
              </w:rPr>
              <w:t>适宜中小企业</w:t>
            </w:r>
          </w:p>
        </w:tc>
        <w:tc>
          <w:tcPr>
            <w:tcW w:w="6088" w:type="dxa"/>
            <w:vAlign w:val="center"/>
          </w:tcPr>
          <w:p>
            <w:pPr>
              <w:keepNext w:val="0"/>
              <w:keepLines w:val="0"/>
              <w:pageBreakBefore w:val="0"/>
              <w:widowControl w:val="0"/>
              <w:kinsoku/>
              <w:wordWrap w:val="0"/>
              <w:overflowPunct/>
              <w:topLinePunct w:val="0"/>
              <w:autoSpaceDE w:val="0"/>
              <w:autoSpaceDN w:val="0"/>
              <w:bidi w:val="0"/>
              <w:adjustRightInd w:val="0"/>
              <w:snapToGrid w:val="0"/>
              <w:spacing w:before="164" w:beforeLines="50" w:after="164" w:afterLines="50"/>
              <w:textAlignment w:val="baseline"/>
              <w:rPr>
                <w:rFonts w:hint="eastAsia" w:eastAsia="宋体"/>
                <w:color w:val="auto"/>
                <w:sz w:val="21"/>
                <w:szCs w:val="21"/>
                <w:highlight w:val="none"/>
                <w:lang w:eastAsia="zh-CN"/>
              </w:rPr>
            </w:pPr>
            <w:r>
              <w:rPr>
                <w:rFonts w:hint="eastAsia"/>
                <w:color w:val="auto"/>
                <w:sz w:val="21"/>
                <w:szCs w:val="21"/>
                <w:highlight w:val="none"/>
              </w:rPr>
              <w:t>1.根据《政府采购促进中小企业发展管理办法》</w:t>
            </w:r>
            <w:r>
              <w:rPr>
                <w:rFonts w:hint="eastAsia"/>
                <w:color w:val="auto"/>
                <w:sz w:val="21"/>
                <w:szCs w:val="21"/>
                <w:highlight w:val="none"/>
                <w:lang w:eastAsia="zh-CN"/>
              </w:rPr>
              <w:t>（</w:t>
            </w:r>
            <w:r>
              <w:rPr>
                <w:rFonts w:hint="eastAsia"/>
                <w:color w:val="auto"/>
                <w:sz w:val="21"/>
                <w:szCs w:val="21"/>
                <w:highlight w:val="none"/>
              </w:rPr>
              <w:t>财库〔2020〕46号</w:t>
            </w:r>
            <w:r>
              <w:rPr>
                <w:rFonts w:hint="eastAsia"/>
                <w:color w:val="auto"/>
                <w:sz w:val="21"/>
                <w:szCs w:val="21"/>
                <w:highlight w:val="none"/>
                <w:lang w:eastAsia="zh-CN"/>
              </w:rPr>
              <w:t>）</w:t>
            </w:r>
            <w:r>
              <w:rPr>
                <w:rFonts w:hint="eastAsia"/>
                <w:color w:val="auto"/>
                <w:sz w:val="21"/>
                <w:szCs w:val="21"/>
                <w:highlight w:val="none"/>
              </w:rPr>
              <w:t>的规定，本项目</w:t>
            </w:r>
            <w:r>
              <w:rPr>
                <w:rFonts w:hint="eastAsia"/>
                <w:color w:val="auto"/>
                <w:sz w:val="21"/>
                <w:szCs w:val="21"/>
                <w:highlight w:val="none"/>
                <w:u w:val="single"/>
                <w:lang w:val="en-US" w:eastAsia="zh-CN"/>
              </w:rPr>
              <w:t>属于</w:t>
            </w:r>
            <w:r>
              <w:rPr>
                <w:rFonts w:hint="eastAsia"/>
                <w:color w:val="auto"/>
                <w:sz w:val="21"/>
                <w:szCs w:val="21"/>
                <w:highlight w:val="none"/>
              </w:rPr>
              <w:t>专门面向中小企业采购。</w:t>
            </w:r>
          </w:p>
          <w:p>
            <w:pPr>
              <w:keepNext w:val="0"/>
              <w:keepLines w:val="0"/>
              <w:pageBreakBefore w:val="0"/>
              <w:widowControl w:val="0"/>
              <w:kinsoku/>
              <w:wordWrap w:val="0"/>
              <w:overflowPunct/>
              <w:topLinePunct w:val="0"/>
              <w:autoSpaceDE w:val="0"/>
              <w:autoSpaceDN w:val="0"/>
              <w:bidi w:val="0"/>
              <w:adjustRightInd w:val="0"/>
              <w:snapToGrid w:val="0"/>
              <w:spacing w:before="164" w:beforeLines="50" w:after="164" w:afterLines="50"/>
              <w:textAlignment w:val="baseline"/>
              <w:rPr>
                <w:rFonts w:hint="eastAsia"/>
                <w:color w:val="auto"/>
                <w:sz w:val="21"/>
                <w:szCs w:val="21"/>
                <w:highlight w:val="none"/>
              </w:rPr>
            </w:pPr>
            <w:r>
              <w:rPr>
                <w:rFonts w:hint="eastAsia"/>
                <w:color w:val="auto"/>
                <w:sz w:val="21"/>
                <w:szCs w:val="21"/>
                <w:highlight w:val="none"/>
                <w:lang w:val="en-US" w:eastAsia="zh-CN"/>
              </w:rPr>
              <w:t>2</w:t>
            </w:r>
            <w:r>
              <w:rPr>
                <w:rFonts w:hint="eastAsia"/>
                <w:color w:val="auto"/>
                <w:sz w:val="21"/>
                <w:szCs w:val="21"/>
                <w:highlight w:val="none"/>
              </w:rPr>
              <w:t>.根据财库〔2017〕141号的相关规定，在政府采购活动中，残疾人福利性单位视同小型、微型企业。属于享受政府采购支持政策的残疾人福利性单位，应满足财库〔2017〕141号文件第一条的规定，并在投标文件中提供残疾人福利性单位声明函（见附件）。</w:t>
            </w:r>
          </w:p>
          <w:p>
            <w:pPr>
              <w:keepNext w:val="0"/>
              <w:keepLines w:val="0"/>
              <w:pageBreakBefore w:val="0"/>
              <w:widowControl w:val="0"/>
              <w:kinsoku/>
              <w:wordWrap w:val="0"/>
              <w:overflowPunct/>
              <w:topLinePunct w:val="0"/>
              <w:autoSpaceDE w:val="0"/>
              <w:autoSpaceDN w:val="0"/>
              <w:bidi w:val="0"/>
              <w:adjustRightInd w:val="0"/>
              <w:snapToGrid w:val="0"/>
              <w:spacing w:before="164" w:beforeLines="50" w:after="164" w:afterLines="50"/>
              <w:textAlignment w:val="baseline"/>
              <w:rPr>
                <w:rFonts w:hint="eastAsia"/>
                <w:color w:val="auto"/>
                <w:sz w:val="21"/>
                <w:szCs w:val="21"/>
                <w:highlight w:val="none"/>
              </w:rPr>
            </w:pPr>
            <w:r>
              <w:rPr>
                <w:rFonts w:hint="eastAsia"/>
                <w:color w:val="auto"/>
                <w:sz w:val="21"/>
                <w:szCs w:val="21"/>
                <w:highlight w:val="none"/>
                <w:lang w:val="en-US" w:eastAsia="zh-CN"/>
              </w:rPr>
              <w:t>3</w:t>
            </w:r>
            <w:r>
              <w:rPr>
                <w:rFonts w:hint="eastAsia"/>
                <w:color w:val="auto"/>
                <w:sz w:val="21"/>
                <w:szCs w:val="21"/>
                <w:highlight w:val="none"/>
              </w:rPr>
              <w:t>.根据财库〔2014〕68号的相关规定，在政府采购活动中，监狱企业视同小型、微型企业，并在投标文件中提供由省级以上监狱管理局、戒毒管理局（含新疆生产建设兵团）出具的属于监狱企业的证明文件（格式自拟）。</w:t>
            </w:r>
          </w:p>
          <w:p>
            <w:pPr>
              <w:keepNext w:val="0"/>
              <w:keepLines w:val="0"/>
              <w:pageBreakBefore w:val="0"/>
              <w:widowControl w:val="0"/>
              <w:kinsoku/>
              <w:wordWrap w:val="0"/>
              <w:overflowPunct/>
              <w:topLinePunct w:val="0"/>
              <w:autoSpaceDE w:val="0"/>
              <w:autoSpaceDN w:val="0"/>
              <w:bidi w:val="0"/>
              <w:adjustRightInd w:val="0"/>
              <w:snapToGrid w:val="0"/>
              <w:spacing w:before="164" w:beforeLines="50" w:after="164" w:afterLines="50"/>
              <w:textAlignment w:val="baseline"/>
              <w:rPr>
                <w:rFonts w:hint="eastAsia"/>
                <w:b/>
                <w:bCs/>
                <w:color w:val="auto"/>
                <w:sz w:val="21"/>
                <w:szCs w:val="21"/>
                <w:highlight w:val="none"/>
              </w:rPr>
            </w:pPr>
            <w:r>
              <w:rPr>
                <w:rFonts w:hint="eastAsia"/>
                <w:b/>
                <w:bCs/>
                <w:color w:val="auto"/>
                <w:sz w:val="21"/>
                <w:szCs w:val="21"/>
                <w:highlight w:val="none"/>
              </w:rPr>
              <w:t>注：</w:t>
            </w:r>
            <w:r>
              <w:rPr>
                <w:rFonts w:hint="eastAsia"/>
                <w:b/>
                <w:bCs/>
                <w:color w:val="auto"/>
                <w:sz w:val="21"/>
                <w:szCs w:val="21"/>
                <w:highlight w:val="none"/>
                <w:lang w:val="en-US" w:eastAsia="zh-CN"/>
              </w:rPr>
              <w:t>①</w:t>
            </w:r>
            <w:r>
              <w:rPr>
                <w:rFonts w:hint="eastAsia"/>
                <w:b/>
                <w:bCs/>
                <w:color w:val="auto"/>
                <w:sz w:val="21"/>
                <w:szCs w:val="21"/>
                <w:highlight w:val="none"/>
              </w:rPr>
              <w:t>根据工信部等部委发布的《关于印发中小企业划型标准规定的通知》（工信部联企业〔2011〕300号），根据具体品目确定相应标准，本次采购标的对应的中小企业划分标准所属行业是：</w:t>
            </w:r>
            <w:r>
              <w:rPr>
                <w:rFonts w:hint="eastAsia"/>
                <w:b/>
                <w:bCs/>
                <w:color w:val="auto"/>
                <w:sz w:val="21"/>
                <w:szCs w:val="21"/>
                <w:highlight w:val="none"/>
                <w:u w:val="single"/>
              </w:rPr>
              <w:t>其他未列明行业</w:t>
            </w:r>
            <w:r>
              <w:rPr>
                <w:rFonts w:hint="eastAsia"/>
                <w:b/>
                <w:bCs/>
                <w:color w:val="auto"/>
                <w:sz w:val="21"/>
                <w:szCs w:val="21"/>
                <w:highlight w:val="none"/>
              </w:rPr>
              <w:t>。（各供应商可自行在工信部联企业〔2011〕300号中查找）符合上述条件的中小微型企业应按照</w:t>
            </w:r>
            <w:r>
              <w:rPr>
                <w:rFonts w:hint="eastAsia"/>
                <w:b/>
                <w:bCs/>
                <w:color w:val="auto"/>
                <w:sz w:val="21"/>
                <w:szCs w:val="21"/>
                <w:highlight w:val="none"/>
                <w:lang w:val="en-US" w:eastAsia="zh-CN"/>
              </w:rPr>
              <w:t>采购</w:t>
            </w:r>
            <w:r>
              <w:rPr>
                <w:rFonts w:hint="eastAsia"/>
                <w:b/>
                <w:bCs/>
                <w:color w:val="auto"/>
                <w:sz w:val="21"/>
                <w:szCs w:val="21"/>
                <w:highlight w:val="none"/>
              </w:rPr>
              <w:t>文件附件的格式要求提供《中小企业声明函》。</w:t>
            </w:r>
          </w:p>
          <w:p>
            <w:pPr>
              <w:keepNext w:val="0"/>
              <w:keepLines w:val="0"/>
              <w:pageBreakBefore w:val="0"/>
              <w:widowControl w:val="0"/>
              <w:kinsoku/>
              <w:wordWrap w:val="0"/>
              <w:overflowPunct/>
              <w:topLinePunct w:val="0"/>
              <w:autoSpaceDE w:val="0"/>
              <w:autoSpaceDN w:val="0"/>
              <w:bidi w:val="0"/>
              <w:adjustRightInd w:val="0"/>
              <w:snapToGrid w:val="0"/>
              <w:spacing w:before="164" w:beforeLines="50" w:after="164" w:afterLines="50"/>
              <w:textAlignment w:val="baseline"/>
              <w:rPr>
                <w:rFonts w:hint="eastAsia"/>
                <w:b/>
                <w:bCs/>
                <w:color w:val="auto"/>
                <w:sz w:val="21"/>
                <w:szCs w:val="21"/>
                <w:highlight w:val="none"/>
              </w:rPr>
            </w:pPr>
            <w:r>
              <w:rPr>
                <w:rFonts w:hint="eastAsia"/>
                <w:b/>
                <w:bCs/>
                <w:color w:val="auto"/>
                <w:sz w:val="21"/>
                <w:szCs w:val="21"/>
                <w:highlight w:val="none"/>
                <w:lang w:val="en-US" w:eastAsia="zh-CN"/>
              </w:rPr>
              <w:t>②</w:t>
            </w:r>
            <w:r>
              <w:rPr>
                <w:rFonts w:hint="eastAsia"/>
                <w:b/>
                <w:bCs/>
                <w:color w:val="auto"/>
                <w:sz w:val="21"/>
                <w:szCs w:val="21"/>
                <w:highlight w:val="none"/>
              </w:rPr>
              <w:t>小微企业认定须提供《政府采购促进中小企业发展管理办法》规定的《中小企业声明函》（或《监狱企业声明函》或《残疾人福利性单位声明函》）。</w:t>
            </w:r>
          </w:p>
          <w:p>
            <w:pPr>
              <w:keepNext w:val="0"/>
              <w:keepLines w:val="0"/>
              <w:pageBreakBefore w:val="0"/>
              <w:widowControl w:val="0"/>
              <w:kinsoku/>
              <w:wordWrap w:val="0"/>
              <w:overflowPunct/>
              <w:topLinePunct w:val="0"/>
              <w:autoSpaceDE w:val="0"/>
              <w:autoSpaceDN w:val="0"/>
              <w:bidi w:val="0"/>
              <w:adjustRightInd w:val="0"/>
              <w:snapToGrid w:val="0"/>
              <w:spacing w:before="164" w:beforeLines="50" w:after="164" w:afterLines="50"/>
              <w:textAlignment w:val="baseline"/>
              <w:rPr>
                <w:rFonts w:hint="eastAsia"/>
                <w:b/>
                <w:bCs/>
                <w:color w:val="auto"/>
                <w:sz w:val="21"/>
                <w:szCs w:val="21"/>
                <w:highlight w:val="none"/>
              </w:rPr>
            </w:pPr>
            <w:r>
              <w:rPr>
                <w:rFonts w:hint="eastAsia"/>
                <w:b/>
                <w:bCs/>
                <w:color w:val="auto"/>
                <w:sz w:val="21"/>
                <w:szCs w:val="21"/>
                <w:highlight w:val="none"/>
                <w:lang w:val="en-US" w:eastAsia="zh-CN"/>
              </w:rPr>
              <w:t>③</w:t>
            </w:r>
            <w:r>
              <w:rPr>
                <w:rFonts w:hint="eastAsia"/>
                <w:b/>
                <w:bCs/>
                <w:color w:val="auto"/>
                <w:sz w:val="21"/>
                <w:szCs w:val="21"/>
                <w:highlight w:val="none"/>
              </w:rPr>
              <w:t>《中小企业声明函》</w:t>
            </w:r>
            <w:r>
              <w:rPr>
                <w:rFonts w:hint="eastAsia"/>
                <w:b/>
                <w:bCs/>
                <w:color w:val="auto"/>
                <w:sz w:val="21"/>
                <w:szCs w:val="21"/>
                <w:highlight w:val="none"/>
                <w:lang w:val="en-US" w:eastAsia="zh-CN"/>
              </w:rPr>
              <w:t>中</w:t>
            </w:r>
            <w:r>
              <w:rPr>
                <w:rFonts w:hint="eastAsia"/>
                <w:b/>
                <w:bCs/>
                <w:color w:val="auto"/>
                <w:sz w:val="21"/>
                <w:szCs w:val="21"/>
                <w:highlight w:val="none"/>
              </w:rPr>
              <w:t>从业人员、营业收入、资产总额填报上一年度数据，无上一年度数据的新成立企业可不填报，数据未填写的视为未提供《中小企业声明函》。</w:t>
            </w:r>
          </w:p>
          <w:p>
            <w:pPr>
              <w:keepNext w:val="0"/>
              <w:keepLines w:val="0"/>
              <w:pageBreakBefore w:val="0"/>
              <w:widowControl w:val="0"/>
              <w:kinsoku/>
              <w:wordWrap w:val="0"/>
              <w:overflowPunct/>
              <w:topLinePunct w:val="0"/>
              <w:autoSpaceDE w:val="0"/>
              <w:autoSpaceDN w:val="0"/>
              <w:bidi w:val="0"/>
              <w:adjustRightInd w:val="0"/>
              <w:snapToGrid w:val="0"/>
              <w:spacing w:before="164" w:beforeLines="50" w:after="164" w:afterLines="50"/>
              <w:textAlignment w:val="baseline"/>
              <w:rPr>
                <w:rFonts w:hint="eastAsia"/>
                <w:b/>
                <w:bCs/>
                <w:color w:val="auto"/>
                <w:sz w:val="21"/>
                <w:szCs w:val="21"/>
                <w:highlight w:val="none"/>
              </w:rPr>
            </w:pPr>
            <w:r>
              <w:rPr>
                <w:rFonts w:hint="eastAsia"/>
                <w:b/>
                <w:bCs/>
                <w:color w:val="auto"/>
                <w:sz w:val="21"/>
                <w:szCs w:val="21"/>
                <w:highlight w:val="none"/>
                <w:lang w:val="en-US" w:eastAsia="zh-CN"/>
              </w:rPr>
              <w:t>④</w:t>
            </w:r>
            <w:r>
              <w:rPr>
                <w:rFonts w:hint="eastAsia"/>
                <w:b/>
                <w:bCs/>
                <w:color w:val="auto"/>
                <w:sz w:val="21"/>
                <w:szCs w:val="21"/>
                <w:highlight w:val="none"/>
              </w:rPr>
              <w:t>中标人</w:t>
            </w:r>
            <w:r>
              <w:rPr>
                <w:rFonts w:hint="eastAsia"/>
                <w:b/>
                <w:bCs/>
                <w:color w:val="auto"/>
                <w:sz w:val="21"/>
                <w:szCs w:val="21"/>
                <w:highlight w:val="none"/>
                <w:lang w:val="en-US" w:eastAsia="zh-CN"/>
              </w:rPr>
              <w:t>的</w:t>
            </w:r>
            <w:r>
              <w:rPr>
                <w:rFonts w:hint="eastAsia"/>
                <w:b/>
                <w:bCs/>
                <w:color w:val="auto"/>
                <w:sz w:val="21"/>
                <w:szCs w:val="21"/>
                <w:highlight w:val="none"/>
              </w:rPr>
              <w:t>《中小企业声明函》随中标结果同时公告。</w:t>
            </w:r>
          </w:p>
          <w:p>
            <w:pPr>
              <w:keepNext w:val="0"/>
              <w:keepLines w:val="0"/>
              <w:pageBreakBefore w:val="0"/>
              <w:widowControl w:val="0"/>
              <w:kinsoku/>
              <w:wordWrap w:val="0"/>
              <w:overflowPunct/>
              <w:topLinePunct w:val="0"/>
              <w:autoSpaceDE w:val="0"/>
              <w:autoSpaceDN w:val="0"/>
              <w:bidi w:val="0"/>
              <w:adjustRightInd w:val="0"/>
              <w:snapToGrid w:val="0"/>
              <w:spacing w:before="164" w:beforeLines="50" w:after="164" w:afterLines="50"/>
              <w:textAlignment w:val="baseline"/>
              <w:rPr>
                <w:color w:val="auto"/>
                <w:sz w:val="21"/>
                <w:szCs w:val="21"/>
                <w:highlight w:val="none"/>
              </w:rPr>
            </w:pPr>
            <w:r>
              <w:rPr>
                <w:rFonts w:hint="eastAsia"/>
                <w:b/>
                <w:bCs/>
                <w:color w:val="auto"/>
                <w:sz w:val="21"/>
                <w:szCs w:val="21"/>
                <w:highlight w:val="none"/>
                <w:lang w:val="en-US" w:eastAsia="zh-CN"/>
              </w:rPr>
              <w:t>⑤</w:t>
            </w:r>
            <w:r>
              <w:rPr>
                <w:rFonts w:hint="eastAsia"/>
                <w:b/>
                <w:bCs/>
                <w:color w:val="auto"/>
                <w:sz w:val="21"/>
                <w:szCs w:val="21"/>
                <w:highlight w:val="none"/>
              </w:rPr>
              <w:t>以上政策不重复享受</w:t>
            </w:r>
            <w:r>
              <w:rPr>
                <w:rFonts w:hint="eastAsia"/>
                <w:b/>
                <w:bCs/>
                <w:color w:val="auto"/>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rPr>
              <w:t>1</w:t>
            </w:r>
            <w:r>
              <w:rPr>
                <w:rFonts w:hint="eastAsia"/>
                <w:color w:val="auto"/>
                <w:szCs w:val="21"/>
                <w:highlight w:val="none"/>
                <w:lang w:val="en-US" w:eastAsia="zh-CN"/>
              </w:rPr>
              <w:t>3</w:t>
            </w:r>
          </w:p>
        </w:tc>
        <w:tc>
          <w:tcPr>
            <w:tcW w:w="992"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w:t>
            </w:r>
          </w:p>
        </w:tc>
        <w:tc>
          <w:tcPr>
            <w:tcW w:w="1701"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rFonts w:hint="eastAsia"/>
                <w:color w:val="auto"/>
                <w:kern w:val="0"/>
                <w:sz w:val="21"/>
                <w:szCs w:val="21"/>
                <w:highlight w:val="none"/>
              </w:rPr>
              <w:t>其他</w:t>
            </w:r>
          </w:p>
        </w:tc>
        <w:tc>
          <w:tcPr>
            <w:tcW w:w="6088"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b/>
                <w:bCs/>
                <w:color w:val="auto"/>
                <w:sz w:val="21"/>
                <w:szCs w:val="21"/>
                <w:highlight w:val="none"/>
              </w:rPr>
            </w:pPr>
            <w:r>
              <w:rPr>
                <w:rFonts w:hint="eastAsia"/>
                <w:b/>
                <w:bCs/>
                <w:color w:val="auto"/>
                <w:sz w:val="21"/>
                <w:szCs w:val="21"/>
                <w:highlight w:val="none"/>
              </w:rPr>
              <w:t>中标供应商在领取中标通知书时应提供与电子投标文件内容一致的纸质投标文件两份，装订成册。</w:t>
            </w:r>
          </w:p>
        </w:tc>
      </w:tr>
    </w:tbl>
    <w:p>
      <w:pPr>
        <w:autoSpaceDE/>
        <w:autoSpaceDN/>
        <w:adjustRightInd/>
        <w:spacing w:line="420" w:lineRule="auto"/>
        <w:ind w:left="240" w:right="-2"/>
        <w:textAlignment w:val="auto"/>
        <w:rPr>
          <w:b/>
          <w:bCs/>
          <w:color w:val="auto"/>
          <w:sz w:val="44"/>
          <w:highlight w:val="none"/>
        </w:rPr>
      </w:pPr>
      <w:r>
        <w:rPr>
          <w:b/>
          <w:bCs/>
          <w:color w:val="auto"/>
          <w:kern w:val="2"/>
          <w:sz w:val="21"/>
          <w:szCs w:val="21"/>
          <w:highlight w:val="none"/>
        </w:rPr>
        <w:t>注：以上内容如有变化将另行通知，如通知其中某一内容发生变化，其余未提及的将不作变动。</w:t>
      </w:r>
    </w:p>
    <w:p>
      <w:pPr>
        <w:spacing w:line="360" w:lineRule="auto"/>
        <w:jc w:val="center"/>
        <w:rPr>
          <w:b/>
          <w:bCs/>
          <w:color w:val="auto"/>
          <w:sz w:val="44"/>
          <w:highlight w:val="none"/>
        </w:rPr>
        <w:sectPr>
          <w:footerReference r:id="rId7" w:type="default"/>
          <w:pgSz w:w="11907" w:h="16840"/>
          <w:pgMar w:top="1418" w:right="1247" w:bottom="1418" w:left="1559" w:header="737" w:footer="851" w:gutter="0"/>
          <w:cols w:space="720" w:num="1"/>
          <w:docGrid w:linePitch="326" w:charSpace="0"/>
        </w:sectPr>
      </w:pPr>
    </w:p>
    <w:p>
      <w:pPr>
        <w:spacing w:line="360" w:lineRule="auto"/>
        <w:jc w:val="center"/>
        <w:rPr>
          <w:b/>
          <w:bCs/>
          <w:color w:val="auto"/>
          <w:sz w:val="44"/>
          <w:highlight w:val="none"/>
        </w:rPr>
      </w:pPr>
      <w:r>
        <w:rPr>
          <w:b/>
          <w:bCs/>
          <w:color w:val="auto"/>
          <w:sz w:val="44"/>
          <w:highlight w:val="none"/>
        </w:rPr>
        <w:t>投标供应商须知</w:t>
      </w:r>
    </w:p>
    <w:p>
      <w:pPr>
        <w:pStyle w:val="2"/>
        <w:rPr>
          <w:color w:val="auto"/>
          <w:highlight w:val="none"/>
        </w:rPr>
      </w:pPr>
      <w:bookmarkStart w:id="16" w:name="_Toc27108"/>
      <w:r>
        <w:rPr>
          <w:color w:val="auto"/>
          <w:highlight w:val="none"/>
        </w:rPr>
        <w:t>总则</w:t>
      </w:r>
      <w:bookmarkEnd w:id="16"/>
    </w:p>
    <w:p>
      <w:pPr>
        <w:snapToGrid w:val="0"/>
        <w:spacing w:line="360" w:lineRule="auto"/>
        <w:ind w:firstLine="480" w:firstLineChars="200"/>
        <w:jc w:val="left"/>
        <w:rPr>
          <w:color w:val="auto"/>
          <w:highlight w:val="none"/>
        </w:rPr>
      </w:pPr>
      <w:r>
        <w:rPr>
          <w:color w:val="auto"/>
          <w:highlight w:val="none"/>
        </w:rPr>
        <w:t>本采购文件仅适用于本次采购所叙述的内容。</w:t>
      </w:r>
    </w:p>
    <w:p>
      <w:pPr>
        <w:pStyle w:val="4"/>
        <w:rPr>
          <w:color w:val="auto"/>
          <w:highlight w:val="none"/>
        </w:rPr>
      </w:pPr>
      <w:r>
        <w:rPr>
          <w:color w:val="auto"/>
          <w:highlight w:val="none"/>
        </w:rPr>
        <w:t>概述</w:t>
      </w:r>
    </w:p>
    <w:p>
      <w:pPr>
        <w:snapToGrid w:val="0"/>
        <w:spacing w:line="360" w:lineRule="auto"/>
        <w:ind w:firstLine="480" w:firstLineChars="200"/>
        <w:jc w:val="left"/>
        <w:rPr>
          <w:rFonts w:hint="eastAsia" w:eastAsia="宋体"/>
          <w:color w:val="auto"/>
          <w:highlight w:val="none"/>
          <w:lang w:eastAsia="zh-CN"/>
        </w:rPr>
      </w:pPr>
      <w:r>
        <w:rPr>
          <w:color w:val="auto"/>
          <w:highlight w:val="none"/>
        </w:rPr>
        <w:t>（1）项目名称：</w:t>
      </w:r>
      <w:r>
        <w:rPr>
          <w:rFonts w:hint="eastAsia"/>
          <w:color w:val="auto"/>
          <w:highlight w:val="none"/>
          <w:lang w:eastAsia="zh-CN"/>
        </w:rPr>
        <w:t>水土保持监测管理平台运维</w:t>
      </w:r>
    </w:p>
    <w:p>
      <w:pPr>
        <w:snapToGrid w:val="0"/>
        <w:spacing w:line="360" w:lineRule="auto"/>
        <w:ind w:left="600" w:leftChars="250" w:firstLine="480" w:firstLineChars="200"/>
        <w:jc w:val="left"/>
        <w:rPr>
          <w:rFonts w:hint="eastAsia" w:eastAsia="宋体"/>
          <w:color w:val="auto"/>
          <w:highlight w:val="none"/>
          <w:lang w:eastAsia="zh-CN"/>
        </w:rPr>
      </w:pPr>
      <w:r>
        <w:rPr>
          <w:color w:val="auto"/>
          <w:highlight w:val="none"/>
        </w:rPr>
        <w:t>采购编号：</w:t>
      </w:r>
      <w:r>
        <w:rPr>
          <w:rFonts w:hint="eastAsia"/>
          <w:b/>
          <w:color w:val="auto"/>
          <w:szCs w:val="24"/>
          <w:highlight w:val="none"/>
          <w:lang w:eastAsia="zh-CN"/>
        </w:rPr>
        <w:t>ZSSJCG-202304022</w:t>
      </w:r>
    </w:p>
    <w:p>
      <w:pPr>
        <w:snapToGrid w:val="0"/>
        <w:spacing w:line="360" w:lineRule="auto"/>
        <w:ind w:firstLine="480" w:firstLineChars="200"/>
        <w:jc w:val="left"/>
        <w:rPr>
          <w:rFonts w:hint="eastAsia" w:eastAsia="宋体"/>
          <w:color w:val="auto"/>
          <w:szCs w:val="22"/>
          <w:highlight w:val="none"/>
          <w:lang w:eastAsia="zh-CN"/>
        </w:rPr>
      </w:pPr>
      <w:r>
        <w:rPr>
          <w:color w:val="auto"/>
          <w:highlight w:val="none"/>
        </w:rPr>
        <w:t>（2）采购人：</w:t>
      </w:r>
      <w:r>
        <w:rPr>
          <w:rFonts w:hint="eastAsia"/>
          <w:color w:val="auto"/>
          <w:szCs w:val="22"/>
          <w:highlight w:val="none"/>
          <w:lang w:eastAsia="zh-CN"/>
        </w:rPr>
        <w:t>浙江省水资源水电管理中心（浙江省水土保持监测中心）</w:t>
      </w:r>
    </w:p>
    <w:p>
      <w:pPr>
        <w:snapToGrid w:val="0"/>
        <w:spacing w:line="360" w:lineRule="auto"/>
        <w:ind w:firstLine="480" w:firstLineChars="200"/>
        <w:jc w:val="left"/>
        <w:rPr>
          <w:color w:val="auto"/>
          <w:highlight w:val="none"/>
        </w:rPr>
      </w:pPr>
      <w:r>
        <w:rPr>
          <w:color w:val="auto"/>
          <w:highlight w:val="none"/>
        </w:rPr>
        <w:t>（3）采购代理机构：</w:t>
      </w:r>
      <w:r>
        <w:rPr>
          <w:rFonts w:hint="eastAsia"/>
          <w:color w:val="auto"/>
          <w:highlight w:val="none"/>
        </w:rPr>
        <w:t>浙江水利水电工程审价中心有限公司</w:t>
      </w:r>
    </w:p>
    <w:p>
      <w:pPr>
        <w:snapToGrid w:val="0"/>
        <w:spacing w:line="360" w:lineRule="auto"/>
        <w:ind w:firstLine="480" w:firstLineChars="200"/>
        <w:jc w:val="left"/>
        <w:rPr>
          <w:color w:val="auto"/>
          <w:highlight w:val="none"/>
        </w:rPr>
      </w:pPr>
      <w:r>
        <w:rPr>
          <w:color w:val="auto"/>
          <w:highlight w:val="none"/>
        </w:rPr>
        <w:t>（4）投标供应商：响应本次采购，向采购人提交投标文件的投标供应商</w:t>
      </w:r>
    </w:p>
    <w:p>
      <w:pPr>
        <w:snapToGrid w:val="0"/>
        <w:spacing w:line="360" w:lineRule="auto"/>
        <w:ind w:firstLine="480" w:firstLineChars="200"/>
        <w:jc w:val="left"/>
        <w:rPr>
          <w:color w:val="auto"/>
          <w:highlight w:val="none"/>
        </w:rPr>
      </w:pPr>
      <w:bookmarkStart w:id="17" w:name="_Toc510948477"/>
      <w:r>
        <w:rPr>
          <w:color w:val="auto"/>
          <w:highlight w:val="none"/>
        </w:rPr>
        <w:t>（5）投标文件：投标供应商根据本项目采购文件编制并向采购人提交的投标文件</w:t>
      </w:r>
      <w:bookmarkEnd w:id="17"/>
    </w:p>
    <w:p>
      <w:pPr>
        <w:snapToGrid w:val="0"/>
        <w:spacing w:line="360" w:lineRule="auto"/>
        <w:ind w:firstLine="480" w:firstLineChars="200"/>
        <w:jc w:val="left"/>
        <w:rPr>
          <w:color w:val="auto"/>
          <w:highlight w:val="none"/>
        </w:rPr>
      </w:pPr>
      <w:bookmarkStart w:id="18" w:name="_Toc510948478"/>
      <w:r>
        <w:rPr>
          <w:color w:val="auto"/>
          <w:highlight w:val="none"/>
        </w:rPr>
        <w:t>（6）资金来源：</w:t>
      </w:r>
      <w:r>
        <w:rPr>
          <w:rFonts w:hint="eastAsia"/>
          <w:color w:val="auto"/>
          <w:highlight w:val="none"/>
          <w:lang w:val="en-US" w:eastAsia="zh-CN"/>
        </w:rPr>
        <w:t>政府</w:t>
      </w:r>
      <w:r>
        <w:rPr>
          <w:color w:val="auto"/>
          <w:highlight w:val="none"/>
        </w:rPr>
        <w:t>预算资金</w:t>
      </w:r>
      <w:bookmarkEnd w:id="18"/>
    </w:p>
    <w:p>
      <w:pPr>
        <w:snapToGrid w:val="0"/>
        <w:spacing w:line="360" w:lineRule="auto"/>
        <w:ind w:firstLine="480" w:firstLineChars="200"/>
        <w:jc w:val="left"/>
        <w:rPr>
          <w:color w:val="auto"/>
          <w:highlight w:val="none"/>
        </w:rPr>
      </w:pPr>
      <w:bookmarkStart w:id="19" w:name="_Toc510948479"/>
      <w:r>
        <w:rPr>
          <w:color w:val="auto"/>
          <w:highlight w:val="none"/>
        </w:rPr>
        <w:t>（7）采购方式：公开招标采购</w:t>
      </w:r>
      <w:bookmarkEnd w:id="19"/>
    </w:p>
    <w:p>
      <w:pPr>
        <w:pStyle w:val="4"/>
        <w:rPr>
          <w:color w:val="auto"/>
          <w:highlight w:val="none"/>
        </w:rPr>
      </w:pPr>
      <w:r>
        <w:rPr>
          <w:color w:val="auto"/>
          <w:highlight w:val="none"/>
        </w:rPr>
        <w:t xml:space="preserve">采购内容 </w:t>
      </w:r>
    </w:p>
    <w:p>
      <w:pPr>
        <w:snapToGrid w:val="0"/>
        <w:spacing w:line="360" w:lineRule="auto"/>
        <w:ind w:firstLine="480" w:firstLineChars="200"/>
        <w:jc w:val="left"/>
        <w:rPr>
          <w:bCs/>
          <w:color w:val="auto"/>
          <w:highlight w:val="none"/>
        </w:rPr>
      </w:pPr>
      <w:r>
        <w:rPr>
          <w:bCs/>
          <w:color w:val="auto"/>
          <w:highlight w:val="none"/>
        </w:rPr>
        <w:t>详见第四部分《采购项目指南》。</w:t>
      </w:r>
    </w:p>
    <w:p>
      <w:pPr>
        <w:pStyle w:val="4"/>
        <w:rPr>
          <w:color w:val="auto"/>
          <w:highlight w:val="none"/>
        </w:rPr>
      </w:pPr>
      <w:r>
        <w:rPr>
          <w:color w:val="auto"/>
          <w:highlight w:val="none"/>
        </w:rPr>
        <w:t xml:space="preserve">投标供应商资格  </w:t>
      </w:r>
    </w:p>
    <w:p>
      <w:pPr>
        <w:snapToGrid w:val="0"/>
        <w:spacing w:line="360" w:lineRule="auto"/>
        <w:ind w:firstLine="480" w:firstLineChars="200"/>
        <w:jc w:val="left"/>
        <w:rPr>
          <w:bCs/>
          <w:color w:val="auto"/>
          <w:highlight w:val="none"/>
        </w:rPr>
      </w:pPr>
      <w:r>
        <w:rPr>
          <w:bCs/>
          <w:color w:val="auto"/>
          <w:highlight w:val="none"/>
        </w:rPr>
        <w:t>按采购公告要求。</w:t>
      </w:r>
    </w:p>
    <w:p>
      <w:pPr>
        <w:pStyle w:val="4"/>
        <w:rPr>
          <w:color w:val="auto"/>
          <w:highlight w:val="none"/>
        </w:rPr>
      </w:pPr>
      <w:r>
        <w:rPr>
          <w:color w:val="auto"/>
          <w:highlight w:val="none"/>
        </w:rPr>
        <w:t>投标费用</w:t>
      </w:r>
    </w:p>
    <w:p>
      <w:pPr>
        <w:snapToGrid w:val="0"/>
        <w:spacing w:line="360" w:lineRule="auto"/>
        <w:ind w:firstLine="480" w:firstLineChars="200"/>
        <w:jc w:val="left"/>
        <w:rPr>
          <w:color w:val="auto"/>
          <w:highlight w:val="none"/>
        </w:rPr>
      </w:pPr>
      <w:r>
        <w:rPr>
          <w:color w:val="auto"/>
          <w:highlight w:val="none"/>
        </w:rPr>
        <w:t>无论投标过程和结果如何，投标供应商自行承担与投标有关的全部费用。</w:t>
      </w:r>
    </w:p>
    <w:p>
      <w:pPr>
        <w:pStyle w:val="4"/>
        <w:rPr>
          <w:color w:val="auto"/>
          <w:highlight w:val="none"/>
        </w:rPr>
      </w:pPr>
      <w:r>
        <w:rPr>
          <w:color w:val="auto"/>
          <w:highlight w:val="none"/>
        </w:rPr>
        <w:t>投标规则</w:t>
      </w:r>
    </w:p>
    <w:p>
      <w:pPr>
        <w:snapToGrid w:val="0"/>
        <w:spacing w:line="360" w:lineRule="auto"/>
        <w:ind w:firstLine="480" w:firstLineChars="200"/>
        <w:jc w:val="left"/>
        <w:rPr>
          <w:color w:val="auto"/>
          <w:highlight w:val="none"/>
        </w:rPr>
      </w:pPr>
      <w:r>
        <w:rPr>
          <w:color w:val="auto"/>
          <w:highlight w:val="none"/>
        </w:rPr>
        <w:t>不允许一个投标供应商对同一采购项目提交两份及以上不同的投标文件。</w:t>
      </w:r>
    </w:p>
    <w:p>
      <w:pPr>
        <w:pStyle w:val="4"/>
        <w:rPr>
          <w:color w:val="auto"/>
          <w:highlight w:val="none"/>
        </w:rPr>
      </w:pPr>
      <w:r>
        <w:rPr>
          <w:color w:val="auto"/>
          <w:highlight w:val="none"/>
        </w:rPr>
        <w:t>保密</w:t>
      </w:r>
    </w:p>
    <w:p>
      <w:pPr>
        <w:snapToGrid w:val="0"/>
        <w:spacing w:line="360" w:lineRule="auto"/>
        <w:ind w:firstLine="480" w:firstLineChars="200"/>
        <w:jc w:val="left"/>
        <w:rPr>
          <w:color w:val="auto"/>
          <w:highlight w:val="none"/>
        </w:rPr>
      </w:pPr>
      <w:r>
        <w:rPr>
          <w:rFonts w:hint="eastAsia"/>
          <w:color w:val="auto"/>
          <w:highlight w:val="none"/>
        </w:rPr>
        <w:t>采购人、供应商</w:t>
      </w:r>
      <w:r>
        <w:rPr>
          <w:color w:val="auto"/>
          <w:highlight w:val="none"/>
        </w:rPr>
        <w:t>双方应为对方在投标文件和采购文件中涉及的商业和技术等秘密保密，违者应对由此造成的后果承担责任。</w:t>
      </w:r>
    </w:p>
    <w:p>
      <w:pPr>
        <w:pStyle w:val="4"/>
        <w:rPr>
          <w:color w:val="auto"/>
          <w:highlight w:val="none"/>
        </w:rPr>
      </w:pPr>
      <w:r>
        <w:rPr>
          <w:color w:val="auto"/>
          <w:highlight w:val="none"/>
        </w:rPr>
        <w:t>转包与分包</w:t>
      </w:r>
    </w:p>
    <w:p>
      <w:pPr>
        <w:snapToGrid w:val="0"/>
        <w:spacing w:line="360" w:lineRule="auto"/>
        <w:ind w:firstLine="480" w:firstLineChars="200"/>
        <w:jc w:val="left"/>
        <w:rPr>
          <w:color w:val="auto"/>
          <w:highlight w:val="none"/>
        </w:rPr>
      </w:pPr>
      <w:r>
        <w:rPr>
          <w:rFonts w:hint="eastAsia"/>
          <w:color w:val="auto"/>
          <w:highlight w:val="none"/>
        </w:rPr>
        <w:t>（1）</w:t>
      </w:r>
      <w:r>
        <w:rPr>
          <w:color w:val="auto"/>
          <w:highlight w:val="none"/>
        </w:rPr>
        <w:t>本项目不允许转包。</w:t>
      </w:r>
    </w:p>
    <w:p>
      <w:pPr>
        <w:snapToGrid w:val="0"/>
        <w:spacing w:line="360" w:lineRule="auto"/>
        <w:ind w:firstLine="480" w:firstLineChars="200"/>
        <w:jc w:val="left"/>
        <w:rPr>
          <w:rFonts w:hint="eastAsia" w:eastAsia="宋体"/>
          <w:color w:val="auto"/>
          <w:highlight w:val="none"/>
          <w:lang w:eastAsia="zh-CN"/>
        </w:rPr>
      </w:pPr>
      <w:r>
        <w:rPr>
          <w:rFonts w:hint="eastAsia"/>
          <w:color w:val="auto"/>
          <w:highlight w:val="none"/>
        </w:rPr>
        <w:t>（2）</w:t>
      </w:r>
      <w:r>
        <w:rPr>
          <w:color w:val="auto"/>
          <w:highlight w:val="none"/>
        </w:rPr>
        <w:t>本项目不允许</w:t>
      </w:r>
      <w:r>
        <w:rPr>
          <w:rFonts w:hint="eastAsia"/>
          <w:color w:val="auto"/>
          <w:highlight w:val="none"/>
          <w:lang w:val="en-US" w:eastAsia="zh-CN"/>
        </w:rPr>
        <w:t>分包。</w:t>
      </w:r>
    </w:p>
    <w:p>
      <w:pPr>
        <w:pStyle w:val="4"/>
        <w:rPr>
          <w:color w:val="auto"/>
          <w:highlight w:val="none"/>
        </w:rPr>
      </w:pPr>
      <w:r>
        <w:rPr>
          <w:rFonts w:hint="eastAsia"/>
          <w:color w:val="auto"/>
          <w:highlight w:val="none"/>
        </w:rPr>
        <w:t>询问、</w:t>
      </w:r>
      <w:r>
        <w:rPr>
          <w:color w:val="auto"/>
          <w:highlight w:val="none"/>
        </w:rPr>
        <w:t>质疑</w:t>
      </w:r>
      <w:r>
        <w:rPr>
          <w:rFonts w:hint="eastAsia"/>
          <w:color w:val="auto"/>
          <w:highlight w:val="none"/>
        </w:rPr>
        <w:t>、</w:t>
      </w:r>
      <w:r>
        <w:rPr>
          <w:color w:val="auto"/>
          <w:highlight w:val="none"/>
        </w:rPr>
        <w:t>投诉</w:t>
      </w:r>
    </w:p>
    <w:p>
      <w:pPr>
        <w:snapToGrid w:val="0"/>
        <w:spacing w:line="360" w:lineRule="auto"/>
        <w:ind w:firstLine="480" w:firstLineChars="200"/>
        <w:jc w:val="left"/>
        <w:rPr>
          <w:color w:val="auto"/>
          <w:highlight w:val="none"/>
        </w:rPr>
      </w:pPr>
      <w:r>
        <w:rPr>
          <w:rFonts w:hint="eastAsia"/>
          <w:color w:val="auto"/>
          <w:highlight w:val="none"/>
        </w:rPr>
        <w:t>1、供应商询问</w:t>
      </w:r>
    </w:p>
    <w:p>
      <w:pPr>
        <w:snapToGrid w:val="0"/>
        <w:spacing w:line="360" w:lineRule="auto"/>
        <w:ind w:firstLine="480" w:firstLineChars="200"/>
        <w:jc w:val="left"/>
        <w:rPr>
          <w:color w:val="auto"/>
          <w:highlight w:val="none"/>
        </w:rPr>
      </w:pPr>
      <w:r>
        <w:rPr>
          <w:rFonts w:hint="eastAsia"/>
          <w:color w:val="auto"/>
          <w:highlight w:val="none"/>
        </w:rPr>
        <w:t>供应商对政府采购活动事项有疑问的，可以向采购人或采购代理机构提出询问，采购人或采购代理机构应当在3个工作日内对供应商依法提出的询问作出答复，但答复的内容不得涉及商业秘密。</w:t>
      </w:r>
    </w:p>
    <w:p>
      <w:pPr>
        <w:snapToGrid w:val="0"/>
        <w:spacing w:line="360" w:lineRule="auto"/>
        <w:ind w:firstLine="480" w:firstLineChars="200"/>
        <w:jc w:val="left"/>
        <w:rPr>
          <w:color w:val="auto"/>
          <w:highlight w:val="none"/>
        </w:rPr>
      </w:pPr>
      <w:r>
        <w:rPr>
          <w:rFonts w:hint="eastAsia"/>
          <w:color w:val="auto"/>
          <w:highlight w:val="none"/>
        </w:rPr>
        <w:t>（1）供应商提出疑问截止时间：202</w:t>
      </w:r>
      <w:r>
        <w:rPr>
          <w:rFonts w:hint="eastAsia"/>
          <w:color w:val="auto"/>
          <w:highlight w:val="none"/>
          <w:lang w:val="en-US" w:eastAsia="zh-CN"/>
        </w:rPr>
        <w:t>3</w:t>
      </w:r>
      <w:r>
        <w:rPr>
          <w:rFonts w:hint="eastAsia"/>
          <w:color w:val="auto"/>
          <w:highlight w:val="none"/>
        </w:rPr>
        <w:t>年</w:t>
      </w:r>
      <w:r>
        <w:rPr>
          <w:rFonts w:hint="eastAsia"/>
          <w:color w:val="auto"/>
          <w:highlight w:val="none"/>
          <w:lang w:val="en-US" w:eastAsia="zh-CN"/>
        </w:rPr>
        <w:t>05</w:t>
      </w:r>
      <w:r>
        <w:rPr>
          <w:rFonts w:hint="eastAsia"/>
          <w:color w:val="auto"/>
          <w:highlight w:val="none"/>
        </w:rPr>
        <w:t>月</w:t>
      </w:r>
      <w:r>
        <w:rPr>
          <w:rFonts w:hint="eastAsia"/>
          <w:color w:val="auto"/>
          <w:highlight w:val="none"/>
          <w:lang w:val="en-US" w:eastAsia="zh-CN"/>
        </w:rPr>
        <w:t>22</w:t>
      </w:r>
      <w:r>
        <w:rPr>
          <w:rFonts w:hint="eastAsia"/>
          <w:color w:val="auto"/>
          <w:highlight w:val="none"/>
        </w:rPr>
        <w:t>日。</w:t>
      </w:r>
    </w:p>
    <w:p>
      <w:pPr>
        <w:snapToGrid w:val="0"/>
        <w:spacing w:line="360" w:lineRule="auto"/>
        <w:ind w:firstLine="480" w:firstLineChars="200"/>
        <w:jc w:val="left"/>
        <w:rPr>
          <w:color w:val="auto"/>
          <w:highlight w:val="none"/>
        </w:rPr>
      </w:pPr>
      <w:r>
        <w:rPr>
          <w:rFonts w:hint="eastAsia"/>
          <w:color w:val="auto"/>
          <w:highlight w:val="none"/>
        </w:rPr>
        <w:t>（2）供应商提出问题方式：供应商请在上</w:t>
      </w:r>
      <w:bookmarkStart w:id="160" w:name="_GoBack"/>
      <w:bookmarkEnd w:id="160"/>
      <w:r>
        <w:rPr>
          <w:rFonts w:hint="eastAsia"/>
          <w:color w:val="auto"/>
          <w:highlight w:val="none"/>
        </w:rPr>
        <w:t>述时间前将所有问题一次性以邮件形式发送加盖公章的扫描件至指定邮箱：740056430@qq.com。</w:t>
      </w:r>
    </w:p>
    <w:p>
      <w:pPr>
        <w:snapToGrid w:val="0"/>
        <w:spacing w:line="360" w:lineRule="auto"/>
        <w:ind w:firstLine="480" w:firstLineChars="200"/>
        <w:jc w:val="left"/>
        <w:rPr>
          <w:color w:val="auto"/>
          <w:highlight w:val="none"/>
        </w:rPr>
      </w:pPr>
      <w:r>
        <w:rPr>
          <w:rFonts w:hint="eastAsia"/>
          <w:color w:val="auto"/>
          <w:highlight w:val="none"/>
        </w:rPr>
        <w:t>2、供应商质疑</w:t>
      </w:r>
    </w:p>
    <w:p>
      <w:pPr>
        <w:snapToGrid w:val="0"/>
        <w:spacing w:line="360" w:lineRule="auto"/>
        <w:ind w:firstLine="480" w:firstLineChars="200"/>
        <w:jc w:val="left"/>
        <w:rPr>
          <w:color w:val="auto"/>
          <w:highlight w:val="none"/>
        </w:rPr>
      </w:pPr>
      <w:r>
        <w:rPr>
          <w:rFonts w:hint="eastAsia"/>
          <w:color w:val="auto"/>
          <w:highlight w:val="none"/>
        </w:rPr>
        <w:t>（1）提出质疑的供应商应当是参与所质疑项目采购活动的供应商。</w:t>
      </w:r>
    </w:p>
    <w:p>
      <w:pPr>
        <w:snapToGrid w:val="0"/>
        <w:spacing w:line="360" w:lineRule="auto"/>
        <w:ind w:firstLine="480" w:firstLineChars="200"/>
        <w:jc w:val="left"/>
        <w:rPr>
          <w:color w:val="auto"/>
          <w:highlight w:val="none"/>
        </w:rPr>
      </w:pPr>
      <w:r>
        <w:rPr>
          <w:rFonts w:hint="eastAsia"/>
          <w:color w:val="auto"/>
          <w:highlight w:val="none"/>
        </w:rPr>
        <w:t>（2）供应商认为采购文件、采购过程和中标、成交结果使自己的权益受到损害的，可以在知道或者应知其权益受到损害之日起七个工作日内，以书面形式向采购人提出质疑，否则，采购人不予受理：</w:t>
      </w:r>
    </w:p>
    <w:p>
      <w:pPr>
        <w:snapToGrid w:val="0"/>
        <w:spacing w:line="360" w:lineRule="auto"/>
        <w:ind w:firstLine="480" w:firstLineChars="200"/>
        <w:jc w:val="left"/>
        <w:rPr>
          <w:color w:val="auto"/>
          <w:highlight w:val="none"/>
        </w:rPr>
      </w:pPr>
      <w:r>
        <w:rPr>
          <w:rFonts w:hint="eastAsia"/>
          <w:color w:val="auto"/>
          <w:highlight w:val="none"/>
        </w:rPr>
        <w:t>1）对采购文件提出质疑的，质疑期限为供应商获得采购文件之日或者采购文件公告期限届满之日起计算。</w:t>
      </w:r>
    </w:p>
    <w:p>
      <w:pPr>
        <w:snapToGrid w:val="0"/>
        <w:spacing w:line="360" w:lineRule="auto"/>
        <w:ind w:firstLine="480" w:firstLineChars="200"/>
        <w:jc w:val="left"/>
        <w:rPr>
          <w:color w:val="auto"/>
          <w:highlight w:val="none"/>
        </w:rPr>
      </w:pPr>
      <w:r>
        <w:rPr>
          <w:rFonts w:hint="eastAsia"/>
          <w:color w:val="auto"/>
          <w:highlight w:val="none"/>
        </w:rPr>
        <w:t>2）对采购过程提出质疑的，质疑期限为各采购程序环节结束之日起计算。对同一采购程序环节的质疑，供应商须一次性提出。</w:t>
      </w:r>
    </w:p>
    <w:p>
      <w:pPr>
        <w:snapToGrid w:val="0"/>
        <w:spacing w:line="360" w:lineRule="auto"/>
        <w:ind w:firstLine="480" w:firstLineChars="200"/>
        <w:jc w:val="left"/>
        <w:rPr>
          <w:color w:val="auto"/>
          <w:highlight w:val="none"/>
        </w:rPr>
      </w:pPr>
      <w:r>
        <w:rPr>
          <w:rFonts w:hint="eastAsia"/>
          <w:color w:val="auto"/>
          <w:highlight w:val="none"/>
        </w:rPr>
        <w:t>3）对中标结果提出质疑的，质疑期限自中标公告期限届满之日起计算。</w:t>
      </w:r>
    </w:p>
    <w:p>
      <w:pPr>
        <w:snapToGrid w:val="0"/>
        <w:spacing w:line="360" w:lineRule="auto"/>
        <w:ind w:firstLine="480" w:firstLineChars="200"/>
        <w:jc w:val="left"/>
        <w:rPr>
          <w:color w:val="auto"/>
          <w:highlight w:val="none"/>
        </w:rPr>
      </w:pPr>
      <w:r>
        <w:rPr>
          <w:rFonts w:hint="eastAsia"/>
          <w:color w:val="auto"/>
          <w:highlight w:val="none"/>
        </w:rPr>
        <w:t>（3）供应商提出质疑应当提交质疑函和必要的证明材料。质疑函应当包括下列内容：</w:t>
      </w:r>
    </w:p>
    <w:p>
      <w:pPr>
        <w:snapToGrid w:val="0"/>
        <w:spacing w:line="360" w:lineRule="auto"/>
        <w:ind w:firstLine="480" w:firstLineChars="200"/>
        <w:jc w:val="left"/>
        <w:rPr>
          <w:color w:val="auto"/>
          <w:highlight w:val="none"/>
        </w:rPr>
      </w:pPr>
      <w:r>
        <w:rPr>
          <w:rFonts w:hint="eastAsia"/>
          <w:color w:val="auto"/>
          <w:highlight w:val="none"/>
        </w:rPr>
        <w:t>1）供应商的姓名或者名称、地址、邮编、联系人及联系电话；</w:t>
      </w:r>
    </w:p>
    <w:p>
      <w:pPr>
        <w:snapToGrid w:val="0"/>
        <w:spacing w:line="360" w:lineRule="auto"/>
        <w:ind w:firstLine="480" w:firstLineChars="200"/>
        <w:jc w:val="left"/>
        <w:rPr>
          <w:color w:val="auto"/>
          <w:highlight w:val="none"/>
        </w:rPr>
      </w:pPr>
      <w:r>
        <w:rPr>
          <w:rFonts w:hint="eastAsia"/>
          <w:color w:val="auto"/>
          <w:highlight w:val="none"/>
        </w:rPr>
        <w:t>2）质疑项目的名称、编号；</w:t>
      </w:r>
    </w:p>
    <w:p>
      <w:pPr>
        <w:snapToGrid w:val="0"/>
        <w:spacing w:line="360" w:lineRule="auto"/>
        <w:ind w:firstLine="480" w:firstLineChars="200"/>
        <w:jc w:val="left"/>
        <w:rPr>
          <w:color w:val="auto"/>
          <w:highlight w:val="none"/>
        </w:rPr>
      </w:pPr>
      <w:r>
        <w:rPr>
          <w:rFonts w:hint="eastAsia"/>
          <w:color w:val="auto"/>
          <w:highlight w:val="none"/>
        </w:rPr>
        <w:t>3）具体、明确的质疑事项和与质疑事项相关的请求；</w:t>
      </w:r>
    </w:p>
    <w:p>
      <w:pPr>
        <w:snapToGrid w:val="0"/>
        <w:spacing w:line="360" w:lineRule="auto"/>
        <w:ind w:firstLine="480" w:firstLineChars="200"/>
        <w:jc w:val="left"/>
        <w:rPr>
          <w:color w:val="auto"/>
          <w:highlight w:val="none"/>
        </w:rPr>
      </w:pPr>
      <w:r>
        <w:rPr>
          <w:rFonts w:hint="eastAsia"/>
          <w:color w:val="auto"/>
          <w:highlight w:val="none"/>
        </w:rPr>
        <w:t>4）事实依据；</w:t>
      </w:r>
    </w:p>
    <w:p>
      <w:pPr>
        <w:snapToGrid w:val="0"/>
        <w:spacing w:line="360" w:lineRule="auto"/>
        <w:ind w:firstLine="480" w:firstLineChars="200"/>
        <w:jc w:val="left"/>
        <w:rPr>
          <w:color w:val="auto"/>
          <w:highlight w:val="none"/>
        </w:rPr>
      </w:pPr>
      <w:r>
        <w:rPr>
          <w:rFonts w:hint="eastAsia"/>
          <w:color w:val="auto"/>
          <w:highlight w:val="none"/>
        </w:rPr>
        <w:t>5）必要的法律依据；</w:t>
      </w:r>
    </w:p>
    <w:p>
      <w:pPr>
        <w:snapToGrid w:val="0"/>
        <w:spacing w:line="360" w:lineRule="auto"/>
        <w:ind w:firstLine="480" w:firstLineChars="200"/>
        <w:jc w:val="left"/>
        <w:rPr>
          <w:color w:val="auto"/>
          <w:highlight w:val="none"/>
        </w:rPr>
      </w:pPr>
      <w:r>
        <w:rPr>
          <w:rFonts w:hint="eastAsia"/>
          <w:color w:val="auto"/>
          <w:highlight w:val="none"/>
        </w:rPr>
        <w:t>6）提出质疑的日期。</w:t>
      </w:r>
    </w:p>
    <w:p>
      <w:pPr>
        <w:snapToGrid w:val="0"/>
        <w:spacing w:line="360" w:lineRule="auto"/>
        <w:ind w:firstLine="480" w:firstLineChars="200"/>
        <w:jc w:val="left"/>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snapToGrid w:val="0"/>
        <w:spacing w:line="360" w:lineRule="auto"/>
        <w:ind w:firstLine="480" w:firstLineChars="200"/>
        <w:jc w:val="left"/>
        <w:rPr>
          <w:color w:val="auto"/>
          <w:highlight w:val="none"/>
        </w:rPr>
      </w:pPr>
      <w:r>
        <w:rPr>
          <w:rFonts w:hint="eastAsia"/>
          <w:color w:val="auto"/>
          <w:highlight w:val="none"/>
        </w:rPr>
        <w:t>（4）采购人应当在收到供应商的书面质疑后七个工作日内作出答复，并以书面形式通知质疑供应商和其他与质疑处理结果有利害关系的当事人，但答复的内容不得涉及商业秘密。</w:t>
      </w:r>
    </w:p>
    <w:p>
      <w:pPr>
        <w:snapToGrid w:val="0"/>
        <w:spacing w:line="360" w:lineRule="auto"/>
        <w:ind w:firstLine="480" w:firstLineChars="200"/>
        <w:jc w:val="left"/>
        <w:rPr>
          <w:color w:val="auto"/>
          <w:highlight w:val="none"/>
        </w:rPr>
      </w:pPr>
      <w:r>
        <w:rPr>
          <w:rFonts w:hint="eastAsia"/>
          <w:color w:val="auto"/>
          <w:highlight w:val="none"/>
        </w:rPr>
        <w:t>（5）询问或者质疑事项可能影响采购结果的，采购人应当暂停签订合同，已经签订合同的，应当中止履行合同。</w:t>
      </w:r>
    </w:p>
    <w:p>
      <w:pPr>
        <w:snapToGrid w:val="0"/>
        <w:spacing w:line="360" w:lineRule="auto"/>
        <w:ind w:firstLine="480" w:firstLineChars="200"/>
        <w:jc w:val="left"/>
        <w:rPr>
          <w:color w:val="auto"/>
          <w:highlight w:val="none"/>
        </w:rPr>
      </w:pPr>
      <w:r>
        <w:rPr>
          <w:rFonts w:hint="eastAsia"/>
          <w:color w:val="auto"/>
          <w:highlight w:val="none"/>
        </w:rPr>
        <w:t>3、供应商投诉</w:t>
      </w:r>
    </w:p>
    <w:p>
      <w:pPr>
        <w:snapToGrid w:val="0"/>
        <w:spacing w:line="360" w:lineRule="auto"/>
        <w:ind w:firstLine="480" w:firstLineChars="200"/>
        <w:jc w:val="left"/>
        <w:rPr>
          <w:color w:val="auto"/>
          <w:highlight w:val="none"/>
        </w:rPr>
      </w:pPr>
      <w:r>
        <w:rPr>
          <w:rFonts w:hint="eastAsia"/>
          <w:color w:val="auto"/>
          <w:highlight w:val="none"/>
        </w:rPr>
        <w:t>（1）质疑供应商对采购人的答复不满意或者采购人未在规定的时间内作出答复的，可以在答复期满后十五个工作日内向监督单位提出投诉。</w:t>
      </w:r>
    </w:p>
    <w:p>
      <w:pPr>
        <w:snapToGrid w:val="0"/>
        <w:spacing w:line="360" w:lineRule="auto"/>
        <w:ind w:firstLine="480" w:firstLineChars="200"/>
        <w:jc w:val="left"/>
        <w:rPr>
          <w:color w:val="auto"/>
          <w:highlight w:val="none"/>
        </w:rPr>
      </w:pPr>
      <w:r>
        <w:rPr>
          <w:rFonts w:hint="eastAsia"/>
          <w:color w:val="auto"/>
          <w:highlight w:val="none"/>
        </w:rPr>
        <w:t>（2）供应商投诉的事项不得超出已质疑事项的范围，基于质疑答复内容提出的投诉事项除外。</w:t>
      </w:r>
    </w:p>
    <w:p>
      <w:pPr>
        <w:snapToGrid w:val="0"/>
        <w:spacing w:line="360" w:lineRule="auto"/>
        <w:ind w:firstLine="480" w:firstLineChars="200"/>
        <w:jc w:val="left"/>
        <w:rPr>
          <w:color w:val="auto"/>
          <w:highlight w:val="none"/>
        </w:rPr>
      </w:pPr>
      <w:r>
        <w:rPr>
          <w:rFonts w:hint="eastAsia"/>
          <w:color w:val="auto"/>
          <w:highlight w:val="none"/>
        </w:rPr>
        <w:t>（3）供应商投诉应当有明确的请求和必要的证明材料。</w:t>
      </w:r>
    </w:p>
    <w:p>
      <w:pPr>
        <w:snapToGrid w:val="0"/>
        <w:spacing w:line="360" w:lineRule="auto"/>
        <w:ind w:firstLine="480" w:firstLineChars="200"/>
        <w:jc w:val="left"/>
        <w:rPr>
          <w:color w:val="auto"/>
          <w:highlight w:val="none"/>
        </w:rPr>
      </w:pPr>
      <w:r>
        <w:rPr>
          <w:rFonts w:hint="eastAsia"/>
          <w:color w:val="auto"/>
          <w:highlight w:val="none"/>
        </w:rPr>
        <w:t>（4）以联合体形式参加政府采购活动的，其投诉应当由组成联合体的所有供应商共同提出。</w:t>
      </w:r>
    </w:p>
    <w:p>
      <w:pPr>
        <w:pStyle w:val="2"/>
        <w:rPr>
          <w:color w:val="auto"/>
          <w:highlight w:val="none"/>
        </w:rPr>
      </w:pPr>
      <w:bookmarkStart w:id="20" w:name="_Toc10436"/>
      <w:r>
        <w:rPr>
          <w:color w:val="auto"/>
          <w:highlight w:val="none"/>
        </w:rPr>
        <w:t>采购文件</w:t>
      </w:r>
      <w:bookmarkEnd w:id="20"/>
    </w:p>
    <w:p>
      <w:pPr>
        <w:pStyle w:val="4"/>
        <w:rPr>
          <w:color w:val="auto"/>
          <w:highlight w:val="none"/>
        </w:rPr>
      </w:pPr>
      <w:r>
        <w:rPr>
          <w:color w:val="auto"/>
          <w:highlight w:val="none"/>
        </w:rPr>
        <w:t>采购文件的组成</w:t>
      </w:r>
    </w:p>
    <w:p>
      <w:pPr>
        <w:snapToGrid w:val="0"/>
        <w:spacing w:line="360" w:lineRule="auto"/>
        <w:ind w:firstLine="480" w:firstLineChars="200"/>
        <w:jc w:val="left"/>
        <w:rPr>
          <w:color w:val="auto"/>
          <w:highlight w:val="none"/>
        </w:rPr>
      </w:pPr>
      <w:r>
        <w:rPr>
          <w:color w:val="auto"/>
          <w:highlight w:val="none"/>
        </w:rPr>
        <w:t>采购文件包括下列文件：</w:t>
      </w:r>
    </w:p>
    <w:p>
      <w:pPr>
        <w:snapToGrid w:val="0"/>
        <w:spacing w:line="360" w:lineRule="auto"/>
        <w:ind w:firstLine="480" w:firstLineChars="200"/>
        <w:jc w:val="left"/>
        <w:rPr>
          <w:color w:val="auto"/>
          <w:highlight w:val="none"/>
        </w:rPr>
      </w:pPr>
      <w:r>
        <w:rPr>
          <w:color w:val="auto"/>
          <w:highlight w:val="none"/>
        </w:rPr>
        <w:t>（1）采购公告；</w:t>
      </w:r>
    </w:p>
    <w:p>
      <w:pPr>
        <w:snapToGrid w:val="0"/>
        <w:spacing w:line="360" w:lineRule="auto"/>
        <w:ind w:firstLine="480" w:firstLineChars="200"/>
        <w:jc w:val="left"/>
        <w:rPr>
          <w:color w:val="auto"/>
          <w:highlight w:val="none"/>
        </w:rPr>
      </w:pPr>
      <w:r>
        <w:rPr>
          <w:color w:val="auto"/>
          <w:highlight w:val="none"/>
        </w:rPr>
        <w:t>（2）投标供应商须知；</w:t>
      </w:r>
    </w:p>
    <w:p>
      <w:pPr>
        <w:snapToGrid w:val="0"/>
        <w:spacing w:line="360" w:lineRule="auto"/>
        <w:ind w:firstLine="480" w:firstLineChars="200"/>
        <w:jc w:val="left"/>
        <w:rPr>
          <w:color w:val="auto"/>
          <w:highlight w:val="none"/>
        </w:rPr>
      </w:pPr>
      <w:r>
        <w:rPr>
          <w:color w:val="auto"/>
          <w:highlight w:val="none"/>
        </w:rPr>
        <w:t>（3）评标细则；</w:t>
      </w:r>
    </w:p>
    <w:p>
      <w:pPr>
        <w:snapToGrid w:val="0"/>
        <w:spacing w:line="360" w:lineRule="auto"/>
        <w:ind w:firstLine="480" w:firstLineChars="200"/>
        <w:jc w:val="left"/>
        <w:rPr>
          <w:color w:val="auto"/>
          <w:highlight w:val="none"/>
        </w:rPr>
      </w:pPr>
      <w:r>
        <w:rPr>
          <w:color w:val="auto"/>
          <w:highlight w:val="none"/>
        </w:rPr>
        <w:t>（4）采购项目指南；</w:t>
      </w:r>
    </w:p>
    <w:p>
      <w:pPr>
        <w:snapToGrid w:val="0"/>
        <w:spacing w:line="360" w:lineRule="auto"/>
        <w:ind w:firstLine="480" w:firstLineChars="200"/>
        <w:jc w:val="left"/>
        <w:rPr>
          <w:color w:val="auto"/>
          <w:highlight w:val="none"/>
        </w:rPr>
      </w:pPr>
      <w:r>
        <w:rPr>
          <w:color w:val="auto"/>
          <w:highlight w:val="none"/>
        </w:rPr>
        <w:t>（5）投标文件格式；</w:t>
      </w:r>
    </w:p>
    <w:p>
      <w:pPr>
        <w:snapToGrid w:val="0"/>
        <w:spacing w:line="360" w:lineRule="auto"/>
        <w:ind w:firstLine="480" w:firstLineChars="200"/>
        <w:jc w:val="left"/>
        <w:rPr>
          <w:color w:val="auto"/>
          <w:highlight w:val="none"/>
        </w:rPr>
      </w:pPr>
      <w:r>
        <w:rPr>
          <w:color w:val="auto"/>
          <w:highlight w:val="none"/>
        </w:rPr>
        <w:t>（6）</w:t>
      </w:r>
      <w:r>
        <w:rPr>
          <w:rFonts w:hint="eastAsia"/>
          <w:color w:val="auto"/>
          <w:highlight w:val="none"/>
        </w:rPr>
        <w:t>项目委托合同（样本）</w:t>
      </w:r>
      <w:r>
        <w:rPr>
          <w:color w:val="auto"/>
          <w:highlight w:val="none"/>
        </w:rPr>
        <w:t>。</w:t>
      </w:r>
    </w:p>
    <w:p>
      <w:pPr>
        <w:pStyle w:val="4"/>
        <w:rPr>
          <w:color w:val="auto"/>
          <w:highlight w:val="none"/>
        </w:rPr>
      </w:pPr>
      <w:r>
        <w:rPr>
          <w:color w:val="auto"/>
          <w:highlight w:val="none"/>
        </w:rPr>
        <w:t>采购文件的澄清和修改</w:t>
      </w:r>
    </w:p>
    <w:p>
      <w:pPr>
        <w:numPr>
          <w:ilvl w:val="0"/>
          <w:numId w:val="2"/>
        </w:numPr>
        <w:snapToGrid w:val="0"/>
        <w:spacing w:line="360" w:lineRule="auto"/>
        <w:ind w:firstLine="480" w:firstLineChars="200"/>
        <w:jc w:val="left"/>
        <w:rPr>
          <w:color w:val="auto"/>
          <w:highlight w:val="none"/>
        </w:rPr>
      </w:pPr>
      <w:r>
        <w:rPr>
          <w:color w:val="auto"/>
          <w:highlight w:val="none"/>
        </w:rPr>
        <w:t>在投标截止时间15日前，采购人或采购代理机构可以对已发出的采购文件进行必要的澄清</w:t>
      </w:r>
      <w:r>
        <w:rPr>
          <w:rFonts w:hint="eastAsia"/>
          <w:color w:val="auto"/>
          <w:highlight w:val="none"/>
        </w:rPr>
        <w:t>或者修改</w:t>
      </w:r>
      <w:r>
        <w:rPr>
          <w:color w:val="auto"/>
          <w:highlight w:val="none"/>
        </w:rPr>
        <w:t>，但不指明澄清问题的来源</w:t>
      </w:r>
      <w:r>
        <w:rPr>
          <w:rFonts w:hint="eastAsia"/>
          <w:color w:val="auto"/>
          <w:highlight w:val="none"/>
        </w:rPr>
        <w:t>。</w:t>
      </w:r>
      <w:r>
        <w:rPr>
          <w:color w:val="auto"/>
          <w:highlight w:val="none"/>
        </w:rPr>
        <w:t>如果澄清与修改采购文件的时间距投标截止时间不足15日，则顺延投标截止时间。</w:t>
      </w:r>
    </w:p>
    <w:p>
      <w:pPr>
        <w:numPr>
          <w:ilvl w:val="0"/>
          <w:numId w:val="2"/>
        </w:numPr>
        <w:snapToGrid w:val="0"/>
        <w:spacing w:line="360" w:lineRule="auto"/>
        <w:ind w:firstLine="480" w:firstLineChars="200"/>
        <w:jc w:val="left"/>
        <w:rPr>
          <w:color w:val="auto"/>
          <w:highlight w:val="none"/>
        </w:rPr>
      </w:pPr>
      <w:r>
        <w:rPr>
          <w:color w:val="auto"/>
          <w:highlight w:val="none"/>
        </w:rPr>
        <w:t>采购文件澄清</w:t>
      </w:r>
      <w:r>
        <w:rPr>
          <w:rFonts w:hint="eastAsia"/>
          <w:color w:val="auto"/>
          <w:highlight w:val="none"/>
        </w:rPr>
        <w:t>或者</w:t>
      </w:r>
      <w:r>
        <w:rPr>
          <w:color w:val="auto"/>
          <w:highlight w:val="none"/>
        </w:rPr>
        <w:t>修改的内容为采购文件的组成部分。当采购文件与采购文件的澄清</w:t>
      </w:r>
      <w:r>
        <w:rPr>
          <w:rFonts w:hint="eastAsia"/>
          <w:color w:val="auto"/>
          <w:highlight w:val="none"/>
        </w:rPr>
        <w:t>或者</w:t>
      </w:r>
      <w:r>
        <w:rPr>
          <w:color w:val="auto"/>
          <w:highlight w:val="none"/>
        </w:rPr>
        <w:t>修改就同一内容的表述不一致时，</w:t>
      </w:r>
      <w:r>
        <w:rPr>
          <w:color w:val="auto"/>
          <w:szCs w:val="22"/>
          <w:highlight w:val="none"/>
        </w:rPr>
        <w:t>以最后发出文件</w:t>
      </w:r>
      <w:r>
        <w:rPr>
          <w:rFonts w:hint="eastAsia"/>
          <w:color w:val="auto"/>
          <w:szCs w:val="22"/>
          <w:highlight w:val="none"/>
        </w:rPr>
        <w:t>明确的内容</w:t>
      </w:r>
      <w:r>
        <w:rPr>
          <w:color w:val="auto"/>
          <w:szCs w:val="22"/>
          <w:highlight w:val="none"/>
        </w:rPr>
        <w:t>为准。</w:t>
      </w:r>
    </w:p>
    <w:p>
      <w:pPr>
        <w:numPr>
          <w:ilvl w:val="0"/>
          <w:numId w:val="2"/>
        </w:numPr>
        <w:snapToGrid w:val="0"/>
        <w:spacing w:line="360" w:lineRule="auto"/>
        <w:ind w:firstLine="480" w:firstLineChars="200"/>
        <w:jc w:val="left"/>
        <w:rPr>
          <w:color w:val="auto"/>
          <w:highlight w:val="none"/>
        </w:rPr>
      </w:pPr>
      <w:r>
        <w:rPr>
          <w:rFonts w:hint="eastAsia"/>
          <w:color w:val="auto"/>
          <w:highlight w:val="none"/>
        </w:rPr>
        <w:t>投标供应商应自行关注浙江政府采购网本项目信息的变动，如有疏漏，责任自负。</w:t>
      </w:r>
    </w:p>
    <w:p>
      <w:pPr>
        <w:pStyle w:val="2"/>
        <w:rPr>
          <w:color w:val="auto"/>
          <w:highlight w:val="none"/>
        </w:rPr>
      </w:pPr>
      <w:bookmarkStart w:id="21" w:name="_Toc16583"/>
      <w:r>
        <w:rPr>
          <w:color w:val="auto"/>
          <w:highlight w:val="none"/>
        </w:rPr>
        <w:t>投标文件</w:t>
      </w:r>
      <w:bookmarkEnd w:id="21"/>
    </w:p>
    <w:p>
      <w:pPr>
        <w:pStyle w:val="4"/>
        <w:rPr>
          <w:color w:val="auto"/>
          <w:highlight w:val="none"/>
        </w:rPr>
      </w:pPr>
      <w:r>
        <w:rPr>
          <w:color w:val="auto"/>
          <w:highlight w:val="none"/>
        </w:rPr>
        <w:t>投标文件的组成</w:t>
      </w:r>
    </w:p>
    <w:p>
      <w:pPr>
        <w:snapToGrid w:val="0"/>
        <w:spacing w:line="360" w:lineRule="auto"/>
        <w:ind w:firstLine="480" w:firstLineChars="200"/>
        <w:jc w:val="left"/>
        <w:rPr>
          <w:color w:val="auto"/>
          <w:highlight w:val="none"/>
        </w:rPr>
      </w:pPr>
      <w:r>
        <w:rPr>
          <w:color w:val="auto"/>
          <w:highlight w:val="none"/>
        </w:rPr>
        <w:t>投标文件由</w:t>
      </w:r>
      <w:r>
        <w:rPr>
          <w:rFonts w:hint="eastAsia"/>
          <w:color w:val="auto"/>
          <w:highlight w:val="none"/>
        </w:rPr>
        <w:t>资格文件、</w:t>
      </w:r>
      <w:r>
        <w:rPr>
          <w:color w:val="auto"/>
          <w:highlight w:val="none"/>
        </w:rPr>
        <w:t>商务技术文件、报价文件组成。</w:t>
      </w:r>
    </w:p>
    <w:p>
      <w:pPr>
        <w:snapToGrid w:val="0"/>
        <w:spacing w:line="360" w:lineRule="auto"/>
        <w:ind w:firstLine="480" w:firstLineChars="200"/>
        <w:jc w:val="left"/>
        <w:rPr>
          <w:color w:val="auto"/>
          <w:highlight w:val="none"/>
        </w:rPr>
      </w:pPr>
      <w:r>
        <w:rPr>
          <w:color w:val="auto"/>
          <w:highlight w:val="none"/>
        </w:rPr>
        <w:t>投标供应商应按采购文件规定的内容和要求编写投标文件，其内容如下：</w:t>
      </w:r>
    </w:p>
    <w:p>
      <w:pPr>
        <w:snapToGrid w:val="0"/>
        <w:spacing w:line="360" w:lineRule="auto"/>
        <w:ind w:firstLine="482" w:firstLineChars="200"/>
        <w:jc w:val="left"/>
        <w:rPr>
          <w:b/>
          <w:color w:val="auto"/>
          <w:szCs w:val="24"/>
          <w:highlight w:val="none"/>
        </w:rPr>
      </w:pPr>
      <w:r>
        <w:rPr>
          <w:rFonts w:hint="eastAsia"/>
          <w:b/>
          <w:color w:val="auto"/>
          <w:szCs w:val="24"/>
          <w:highlight w:val="none"/>
        </w:rPr>
        <w:t>资格文件</w:t>
      </w:r>
    </w:p>
    <w:p>
      <w:pPr>
        <w:widowControl/>
        <w:snapToGrid w:val="0"/>
        <w:spacing w:line="360" w:lineRule="auto"/>
        <w:ind w:firstLine="480" w:firstLineChars="200"/>
        <w:jc w:val="left"/>
        <w:rPr>
          <w:bCs/>
          <w:color w:val="auto"/>
          <w:highlight w:val="none"/>
        </w:rPr>
      </w:pPr>
      <w:r>
        <w:rPr>
          <w:rFonts w:hint="eastAsia"/>
          <w:bCs/>
          <w:color w:val="auto"/>
          <w:highlight w:val="none"/>
        </w:rPr>
        <w:t>（1）基本资格条件：符合《中华人民共和国政府采购法》第二十二条的规定，各投标供应商须在投标文件中出具对应证明材料：</w:t>
      </w:r>
    </w:p>
    <w:p>
      <w:pPr>
        <w:widowControl/>
        <w:snapToGrid w:val="0"/>
        <w:spacing w:line="360" w:lineRule="auto"/>
        <w:ind w:firstLine="480" w:firstLineChars="200"/>
        <w:jc w:val="left"/>
        <w:rPr>
          <w:bCs/>
          <w:color w:val="auto"/>
          <w:highlight w:val="none"/>
        </w:rPr>
      </w:pPr>
      <w:r>
        <w:rPr>
          <w:rFonts w:hint="eastAsia"/>
          <w:bCs/>
          <w:color w:val="auto"/>
          <w:highlight w:val="none"/>
        </w:rPr>
        <w:t>（根据《浙江省财政厅关于简化供应商信息登记和试行供应商诚信管理的通知》（浙财函[2020]298号），供应商参加政府采购活动实行“承诺+信用管理”的准入管理制度，书面承诺符合参与政府采购活动的资格条件并且没有税收缴纳、社会保障等方面的失信记录，采购组织机构不再要求供应商提供相关财务状况、缴纳税收和社会保障资金等证明材料，政府采购交易平台自动核验信用记录。在核验功能开通前，各级财政部门、采购人、采购代理机构通过“信用中国”网站、中国政府采购网等渠道查询供应商信用记录，对不符合政府采购法相关规定资格条件的供应商，应拒绝其参与政府采购活动。）</w:t>
      </w:r>
    </w:p>
    <w:p>
      <w:pPr>
        <w:widowControl/>
        <w:snapToGrid w:val="0"/>
        <w:spacing w:line="360" w:lineRule="auto"/>
        <w:ind w:firstLine="482" w:firstLineChars="200"/>
        <w:jc w:val="left"/>
        <w:rPr>
          <w:b/>
          <w:color w:val="auto"/>
          <w:highlight w:val="none"/>
        </w:rPr>
      </w:pPr>
      <w:r>
        <w:rPr>
          <w:rFonts w:hint="eastAsia"/>
          <w:b/>
          <w:color w:val="auto"/>
          <w:highlight w:val="none"/>
        </w:rPr>
        <w:t>A.营业执照（或其他工商登记证明材料）复印件</w:t>
      </w:r>
    </w:p>
    <w:p>
      <w:pPr>
        <w:widowControl/>
        <w:snapToGrid w:val="0"/>
        <w:spacing w:line="360" w:lineRule="auto"/>
        <w:ind w:firstLine="482" w:firstLineChars="200"/>
        <w:jc w:val="left"/>
        <w:rPr>
          <w:b/>
          <w:color w:val="auto"/>
          <w:highlight w:val="none"/>
        </w:rPr>
      </w:pPr>
      <w:r>
        <w:rPr>
          <w:rFonts w:hint="eastAsia"/>
          <w:b/>
          <w:color w:val="auto"/>
          <w:highlight w:val="none"/>
        </w:rPr>
        <w:t>B.投标承诺函（格式见附件）</w:t>
      </w:r>
    </w:p>
    <w:p>
      <w:pPr>
        <w:widowControl/>
        <w:snapToGrid w:val="0"/>
        <w:spacing w:line="360" w:lineRule="auto"/>
        <w:ind w:firstLine="482" w:firstLineChars="200"/>
        <w:jc w:val="left"/>
        <w:rPr>
          <w:b/>
          <w:color w:val="auto"/>
          <w:highlight w:val="none"/>
        </w:rPr>
      </w:pPr>
      <w:r>
        <w:rPr>
          <w:rFonts w:hint="eastAsia"/>
          <w:b/>
          <w:color w:val="auto"/>
          <w:highlight w:val="none"/>
        </w:rPr>
        <w:t>C.法定代表人授权委托书（格式见附件）</w:t>
      </w:r>
    </w:p>
    <w:p>
      <w:pPr>
        <w:widowControl/>
        <w:snapToGrid w:val="0"/>
        <w:spacing w:line="360" w:lineRule="auto"/>
        <w:ind w:firstLine="482" w:firstLineChars="200"/>
        <w:jc w:val="left"/>
        <w:rPr>
          <w:b/>
          <w:color w:val="auto"/>
          <w:highlight w:val="none"/>
        </w:rPr>
      </w:pPr>
      <w:r>
        <w:rPr>
          <w:rFonts w:hint="eastAsia"/>
          <w:b/>
          <w:color w:val="auto"/>
          <w:highlight w:val="none"/>
        </w:rPr>
        <w:t>D.法定代表人身份证明（格式见附件）</w:t>
      </w:r>
    </w:p>
    <w:p>
      <w:pPr>
        <w:widowControl/>
        <w:snapToGrid w:val="0"/>
        <w:spacing w:line="360" w:lineRule="auto"/>
        <w:ind w:firstLine="482" w:firstLineChars="200"/>
        <w:jc w:val="left"/>
        <w:rPr>
          <w:b/>
          <w:bCs/>
          <w:color w:val="auto"/>
          <w:highlight w:val="none"/>
        </w:rPr>
      </w:pPr>
      <w:r>
        <w:rPr>
          <w:rFonts w:hint="eastAsia"/>
          <w:b/>
          <w:bCs/>
          <w:color w:val="auto"/>
          <w:highlight w:val="none"/>
        </w:rPr>
        <w:t>（2）落实政府采购政策需满足的资格要求：本项目专门面向中小企业采购，供应商应为中小微企业或监狱企业或残疾人福利性单位，须提供中小企业声明函或监狱企业声明函或残疾人福利性单位声明函（格式见附件）。</w:t>
      </w:r>
    </w:p>
    <w:p>
      <w:pPr>
        <w:widowControl/>
        <w:snapToGrid w:val="0"/>
        <w:spacing w:line="360" w:lineRule="auto"/>
        <w:ind w:firstLine="482" w:firstLineChars="200"/>
        <w:jc w:val="left"/>
        <w:rPr>
          <w:rFonts w:hint="eastAsia" w:eastAsia="宋体"/>
          <w:b/>
          <w:color w:val="auto"/>
          <w:highlight w:val="none"/>
          <w:lang w:val="en-US" w:eastAsia="zh-CN"/>
        </w:rPr>
      </w:pPr>
      <w:r>
        <w:rPr>
          <w:rFonts w:hint="eastAsia"/>
          <w:b/>
          <w:bCs/>
          <w:color w:val="auto"/>
          <w:highlight w:val="none"/>
        </w:rPr>
        <w:t>（3）特定资格条件：</w:t>
      </w:r>
      <w:r>
        <w:rPr>
          <w:rFonts w:hint="eastAsia"/>
          <w:b/>
          <w:bCs/>
          <w:color w:val="auto"/>
          <w:highlight w:val="none"/>
          <w:lang w:val="en-US" w:eastAsia="zh-CN"/>
        </w:rPr>
        <w:t>无</w:t>
      </w:r>
    </w:p>
    <w:p>
      <w:pPr>
        <w:pStyle w:val="15"/>
        <w:ind w:firstLine="482" w:firstLineChars="200"/>
        <w:rPr>
          <w:color w:val="auto"/>
          <w:highlight w:val="none"/>
        </w:rPr>
      </w:pPr>
      <w:r>
        <w:rPr>
          <w:rFonts w:hint="eastAsia"/>
          <w:b/>
          <w:bCs/>
          <w:color w:val="auto"/>
          <w:highlight w:val="none"/>
        </w:rPr>
        <w:t>注：以上证明材料</w:t>
      </w:r>
      <w:r>
        <w:rPr>
          <w:b/>
          <w:bCs/>
          <w:color w:val="auto"/>
          <w:highlight w:val="none"/>
        </w:rPr>
        <w:t>均须</w:t>
      </w:r>
      <w:r>
        <w:rPr>
          <w:rFonts w:hint="eastAsia"/>
          <w:b/>
          <w:bCs/>
          <w:color w:val="auto"/>
          <w:highlight w:val="none"/>
        </w:rPr>
        <w:t>加</w:t>
      </w:r>
      <w:r>
        <w:rPr>
          <w:b/>
          <w:bCs/>
          <w:color w:val="auto"/>
          <w:highlight w:val="none"/>
        </w:rPr>
        <w:t>盖电子签章。</w:t>
      </w:r>
    </w:p>
    <w:p>
      <w:pPr>
        <w:snapToGrid w:val="0"/>
        <w:spacing w:line="360" w:lineRule="auto"/>
        <w:ind w:firstLine="482" w:firstLineChars="200"/>
        <w:jc w:val="left"/>
        <w:rPr>
          <w:color w:val="auto"/>
          <w:highlight w:val="none"/>
        </w:rPr>
      </w:pPr>
      <w:r>
        <w:rPr>
          <w:b/>
          <w:color w:val="auto"/>
          <w:szCs w:val="24"/>
          <w:highlight w:val="none"/>
        </w:rPr>
        <w:t>商务</w:t>
      </w:r>
      <w:r>
        <w:rPr>
          <w:b/>
          <w:bCs/>
          <w:color w:val="auto"/>
          <w:szCs w:val="24"/>
          <w:highlight w:val="none"/>
        </w:rPr>
        <w:t>技术</w:t>
      </w:r>
      <w:r>
        <w:rPr>
          <w:b/>
          <w:color w:val="auto"/>
          <w:szCs w:val="24"/>
          <w:highlight w:val="none"/>
        </w:rPr>
        <w:t>文件</w:t>
      </w:r>
    </w:p>
    <w:p>
      <w:pPr>
        <w:snapToGrid w:val="0"/>
        <w:spacing w:line="360" w:lineRule="auto"/>
        <w:ind w:firstLine="480" w:firstLineChars="200"/>
        <w:jc w:val="left"/>
        <w:rPr>
          <w:color w:val="auto"/>
          <w:highlight w:val="none"/>
        </w:rPr>
      </w:pPr>
      <w:r>
        <w:rPr>
          <w:rFonts w:hint="eastAsia"/>
          <w:color w:val="auto"/>
          <w:highlight w:val="none"/>
        </w:rPr>
        <w:t>（1）投标供应商基本情况表（格式见附件）</w:t>
      </w:r>
    </w:p>
    <w:p>
      <w:pPr>
        <w:snapToGrid w:val="0"/>
        <w:spacing w:line="360" w:lineRule="auto"/>
        <w:ind w:firstLine="480" w:firstLineChars="200"/>
        <w:jc w:val="left"/>
        <w:rPr>
          <w:color w:val="auto"/>
          <w:highlight w:val="none"/>
        </w:rPr>
      </w:pPr>
      <w:r>
        <w:rPr>
          <w:rFonts w:hint="eastAsia"/>
          <w:color w:val="auto"/>
          <w:highlight w:val="none"/>
        </w:rPr>
        <w:t>（2）主要类似业绩情况（格式见附件）</w:t>
      </w:r>
    </w:p>
    <w:p>
      <w:pPr>
        <w:snapToGrid w:val="0"/>
        <w:spacing w:line="360" w:lineRule="auto"/>
        <w:ind w:firstLine="480" w:firstLineChars="200"/>
        <w:jc w:val="left"/>
        <w:rPr>
          <w:color w:val="auto"/>
          <w:highlight w:val="none"/>
        </w:rPr>
      </w:pPr>
      <w:r>
        <w:rPr>
          <w:rFonts w:hint="eastAsia"/>
          <w:color w:val="auto"/>
          <w:highlight w:val="none"/>
        </w:rPr>
        <w:t>（3）项目负责人简历表（格式见附件）</w:t>
      </w:r>
    </w:p>
    <w:p>
      <w:pPr>
        <w:snapToGrid w:val="0"/>
        <w:spacing w:line="360" w:lineRule="auto"/>
        <w:ind w:firstLine="480" w:firstLineChars="200"/>
        <w:jc w:val="left"/>
        <w:rPr>
          <w:color w:val="auto"/>
          <w:highlight w:val="none"/>
        </w:rPr>
      </w:pPr>
      <w:r>
        <w:rPr>
          <w:rFonts w:hint="eastAsia"/>
          <w:color w:val="auto"/>
          <w:highlight w:val="none"/>
        </w:rPr>
        <w:t>（4）拟参加本项目实施人员情况（格式见附件）</w:t>
      </w:r>
    </w:p>
    <w:p>
      <w:pPr>
        <w:snapToGrid w:val="0"/>
        <w:spacing w:line="360" w:lineRule="auto"/>
        <w:ind w:firstLine="480" w:firstLineChars="200"/>
        <w:jc w:val="left"/>
        <w:rPr>
          <w:color w:val="auto"/>
          <w:highlight w:val="none"/>
        </w:rPr>
      </w:pPr>
      <w:r>
        <w:rPr>
          <w:rFonts w:hint="eastAsia"/>
          <w:color w:val="auto"/>
          <w:highlight w:val="none"/>
        </w:rPr>
        <w:t>（5）工作方案（根据评分办法及标准结合自身情况编制）</w:t>
      </w:r>
    </w:p>
    <w:p>
      <w:pPr>
        <w:snapToGrid w:val="0"/>
        <w:spacing w:line="360" w:lineRule="auto"/>
        <w:ind w:firstLine="480" w:firstLineChars="200"/>
        <w:jc w:val="left"/>
        <w:rPr>
          <w:color w:val="auto"/>
          <w:highlight w:val="none"/>
        </w:rPr>
      </w:pPr>
      <w:r>
        <w:rPr>
          <w:rFonts w:hint="eastAsia"/>
          <w:color w:val="auto"/>
          <w:highlight w:val="none"/>
        </w:rPr>
        <w:t>（6）技术偏离表（格式见附件）</w:t>
      </w:r>
    </w:p>
    <w:p>
      <w:pPr>
        <w:snapToGrid w:val="0"/>
        <w:spacing w:line="360" w:lineRule="auto"/>
        <w:ind w:firstLine="480" w:firstLineChars="200"/>
        <w:jc w:val="left"/>
        <w:rPr>
          <w:color w:val="auto"/>
          <w:highlight w:val="none"/>
        </w:rPr>
      </w:pPr>
      <w:r>
        <w:rPr>
          <w:rFonts w:hint="eastAsia"/>
          <w:color w:val="auto"/>
          <w:highlight w:val="none"/>
        </w:rPr>
        <w:t>（7）投标供应商认为需要的其他文件和说明</w:t>
      </w:r>
      <w:r>
        <w:rPr>
          <w:color w:val="auto"/>
          <w:highlight w:val="none"/>
        </w:rPr>
        <w:t>（格式自拟）</w:t>
      </w:r>
    </w:p>
    <w:p>
      <w:pPr>
        <w:snapToGrid w:val="0"/>
        <w:spacing w:line="360" w:lineRule="auto"/>
        <w:ind w:firstLine="482" w:firstLineChars="200"/>
        <w:jc w:val="left"/>
        <w:rPr>
          <w:color w:val="auto"/>
          <w:highlight w:val="none"/>
        </w:rPr>
      </w:pPr>
      <w:r>
        <w:rPr>
          <w:b/>
          <w:color w:val="auto"/>
          <w:highlight w:val="none"/>
        </w:rPr>
        <w:t>报价文件</w:t>
      </w:r>
    </w:p>
    <w:p>
      <w:pPr>
        <w:snapToGrid w:val="0"/>
        <w:spacing w:line="360" w:lineRule="auto"/>
        <w:ind w:firstLine="480" w:firstLineChars="200"/>
        <w:jc w:val="left"/>
        <w:rPr>
          <w:color w:val="auto"/>
          <w:highlight w:val="none"/>
        </w:rPr>
      </w:pPr>
      <w:r>
        <w:rPr>
          <w:rFonts w:hint="eastAsia"/>
          <w:color w:val="auto"/>
          <w:highlight w:val="none"/>
        </w:rPr>
        <w:t>（1）投标函（格式见附件）</w:t>
      </w:r>
    </w:p>
    <w:p>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rPr>
        <w:t>2</w:t>
      </w:r>
      <w:r>
        <w:rPr>
          <w:color w:val="auto"/>
          <w:highlight w:val="none"/>
        </w:rPr>
        <w:t>）开标一览表</w:t>
      </w:r>
      <w:r>
        <w:rPr>
          <w:rFonts w:hint="eastAsia"/>
          <w:color w:val="auto"/>
          <w:highlight w:val="none"/>
        </w:rPr>
        <w:t>（格式见附件）</w:t>
      </w:r>
    </w:p>
    <w:p>
      <w:pPr>
        <w:snapToGrid w:val="0"/>
        <w:spacing w:line="360" w:lineRule="auto"/>
        <w:ind w:firstLine="480" w:firstLineChars="200"/>
        <w:jc w:val="left"/>
        <w:rPr>
          <w:color w:val="auto"/>
          <w:highlight w:val="none"/>
        </w:rPr>
      </w:pPr>
      <w:r>
        <w:rPr>
          <w:color w:val="auto"/>
          <w:highlight w:val="none"/>
        </w:rPr>
        <w:t>（3）报价明细表</w:t>
      </w:r>
      <w:r>
        <w:rPr>
          <w:rFonts w:hint="eastAsia"/>
          <w:color w:val="auto"/>
          <w:highlight w:val="none"/>
        </w:rPr>
        <w:t>（格式见附件）</w:t>
      </w:r>
    </w:p>
    <w:p>
      <w:pPr>
        <w:snapToGrid w:val="0"/>
        <w:spacing w:line="360" w:lineRule="auto"/>
        <w:ind w:firstLine="480" w:firstLineChars="200"/>
        <w:jc w:val="left"/>
        <w:rPr>
          <w:b/>
          <w:color w:val="auto"/>
          <w:highlight w:val="none"/>
        </w:rPr>
      </w:pPr>
      <w:r>
        <w:rPr>
          <w:color w:val="auto"/>
          <w:highlight w:val="none"/>
        </w:rPr>
        <w:t>（</w:t>
      </w:r>
      <w:r>
        <w:rPr>
          <w:rFonts w:hint="eastAsia"/>
          <w:color w:val="auto"/>
          <w:highlight w:val="none"/>
          <w:lang w:val="en-US" w:eastAsia="zh-CN"/>
        </w:rPr>
        <w:t>4</w:t>
      </w:r>
      <w:r>
        <w:rPr>
          <w:color w:val="auto"/>
          <w:highlight w:val="none"/>
        </w:rPr>
        <w:t>）投标供应商针对报价需要说明的其他事项（格式自拟）</w:t>
      </w:r>
    </w:p>
    <w:p>
      <w:pPr>
        <w:pStyle w:val="4"/>
        <w:rPr>
          <w:color w:val="auto"/>
          <w:highlight w:val="none"/>
        </w:rPr>
      </w:pPr>
      <w:r>
        <w:rPr>
          <w:color w:val="auto"/>
          <w:highlight w:val="none"/>
        </w:rPr>
        <w:t>投标报价</w:t>
      </w:r>
    </w:p>
    <w:p>
      <w:pPr>
        <w:snapToGrid w:val="0"/>
        <w:spacing w:line="360" w:lineRule="auto"/>
        <w:ind w:firstLine="480" w:firstLineChars="200"/>
        <w:jc w:val="left"/>
        <w:rPr>
          <w:color w:val="auto"/>
          <w:highlight w:val="none"/>
        </w:rPr>
      </w:pPr>
      <w:r>
        <w:rPr>
          <w:color w:val="auto"/>
          <w:highlight w:val="none"/>
        </w:rPr>
        <w:t>（1）投标报价以人民币为计算货币。</w:t>
      </w:r>
    </w:p>
    <w:p>
      <w:pPr>
        <w:snapToGrid w:val="0"/>
        <w:spacing w:line="360" w:lineRule="auto"/>
        <w:ind w:firstLine="480" w:firstLineChars="200"/>
        <w:jc w:val="left"/>
        <w:rPr>
          <w:color w:val="auto"/>
          <w:highlight w:val="none"/>
        </w:rPr>
      </w:pPr>
      <w:r>
        <w:rPr>
          <w:color w:val="auto"/>
          <w:highlight w:val="none"/>
        </w:rPr>
        <w:t>（2）投标报价应为完成本次投标需完成全部工作所发生的所有费用。包括供应商为本项目提供正常服务所必需的人员费、设施费、管理费、利润、税金及相应的风险金</w:t>
      </w:r>
      <w:r>
        <w:rPr>
          <w:rFonts w:hint="eastAsia"/>
          <w:color w:val="auto"/>
          <w:highlight w:val="none"/>
        </w:rPr>
        <w:t>和中标服务费等一切费用</w:t>
      </w:r>
      <w:r>
        <w:rPr>
          <w:color w:val="auto"/>
          <w:highlight w:val="none"/>
        </w:rPr>
        <w:t>。</w:t>
      </w:r>
    </w:p>
    <w:p>
      <w:pPr>
        <w:snapToGrid w:val="0"/>
        <w:spacing w:line="360" w:lineRule="auto"/>
        <w:ind w:firstLine="480" w:firstLineChars="200"/>
        <w:jc w:val="left"/>
        <w:rPr>
          <w:color w:val="auto"/>
          <w:highlight w:val="none"/>
        </w:rPr>
      </w:pPr>
      <w:r>
        <w:rPr>
          <w:color w:val="auto"/>
          <w:highlight w:val="none"/>
        </w:rPr>
        <w:t>（3）投标报价计算应包括报价依据、各报价项目计算过程和报价汇总等内容。</w:t>
      </w:r>
    </w:p>
    <w:p>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lang w:val="en-US" w:eastAsia="zh-CN"/>
        </w:rPr>
        <w:t>4</w:t>
      </w:r>
      <w:r>
        <w:rPr>
          <w:color w:val="auto"/>
          <w:highlight w:val="none"/>
        </w:rPr>
        <w:t>）投标供应商可以在投标截止时间前修改投标报价，但应同时提交修改的投标报价计算书。</w:t>
      </w:r>
    </w:p>
    <w:p>
      <w:pPr>
        <w:pStyle w:val="4"/>
        <w:rPr>
          <w:color w:val="auto"/>
          <w:highlight w:val="none"/>
        </w:rPr>
      </w:pPr>
      <w:r>
        <w:rPr>
          <w:color w:val="auto"/>
          <w:highlight w:val="none"/>
        </w:rPr>
        <w:t>投标文件有效期</w:t>
      </w:r>
    </w:p>
    <w:p>
      <w:pPr>
        <w:snapToGrid w:val="0"/>
        <w:spacing w:line="360" w:lineRule="auto"/>
        <w:ind w:firstLine="480" w:firstLineChars="200"/>
        <w:jc w:val="left"/>
        <w:rPr>
          <w:color w:val="auto"/>
          <w:highlight w:val="none"/>
        </w:rPr>
      </w:pPr>
      <w:r>
        <w:rPr>
          <w:color w:val="auto"/>
          <w:highlight w:val="none"/>
        </w:rPr>
        <w:t>（1）投标文件有效期为自投标截止时间起</w:t>
      </w:r>
      <w:r>
        <w:rPr>
          <w:rFonts w:hint="eastAsia"/>
          <w:color w:val="auto"/>
          <w:highlight w:val="none"/>
        </w:rPr>
        <w:t>9</w:t>
      </w:r>
      <w:r>
        <w:rPr>
          <w:color w:val="auto"/>
          <w:highlight w:val="none"/>
        </w:rPr>
        <w:t>0天。</w:t>
      </w:r>
    </w:p>
    <w:p>
      <w:pPr>
        <w:snapToGrid w:val="0"/>
        <w:spacing w:line="360" w:lineRule="auto"/>
        <w:ind w:firstLine="480" w:firstLineChars="200"/>
        <w:jc w:val="left"/>
        <w:rPr>
          <w:color w:val="auto"/>
          <w:szCs w:val="24"/>
          <w:highlight w:val="none"/>
        </w:rPr>
      </w:pPr>
      <w:r>
        <w:rPr>
          <w:color w:val="auto"/>
          <w:highlight w:val="none"/>
        </w:rPr>
        <w:t>（2）</w:t>
      </w:r>
      <w:r>
        <w:rPr>
          <w:color w:val="auto"/>
          <w:szCs w:val="24"/>
          <w:highlight w:val="none"/>
        </w:rPr>
        <w:t>特殊情况下，采购方可与投标供应商协商延缓投标</w:t>
      </w:r>
      <w:r>
        <w:rPr>
          <w:rFonts w:hint="eastAsia"/>
          <w:color w:val="auto"/>
          <w:szCs w:val="24"/>
          <w:highlight w:val="none"/>
          <w:lang w:val="en-US" w:eastAsia="zh-CN"/>
        </w:rPr>
        <w:t>文件</w:t>
      </w:r>
      <w:r>
        <w:rPr>
          <w:color w:val="auto"/>
          <w:szCs w:val="24"/>
          <w:highlight w:val="none"/>
        </w:rPr>
        <w:t>的有效期，这种要求和答复均以书面形式进行。</w:t>
      </w:r>
    </w:p>
    <w:p>
      <w:pPr>
        <w:snapToGrid w:val="0"/>
        <w:spacing w:line="360" w:lineRule="auto"/>
        <w:ind w:firstLine="480" w:firstLineChars="200"/>
        <w:jc w:val="left"/>
        <w:rPr>
          <w:color w:val="auto"/>
          <w:szCs w:val="24"/>
          <w:highlight w:val="none"/>
        </w:rPr>
      </w:pPr>
      <w:r>
        <w:rPr>
          <w:color w:val="auto"/>
          <w:highlight w:val="none"/>
        </w:rPr>
        <w:t>（3）</w:t>
      </w:r>
      <w:r>
        <w:rPr>
          <w:color w:val="auto"/>
          <w:szCs w:val="24"/>
          <w:highlight w:val="none"/>
        </w:rPr>
        <w:t>同意延长有效期的投标供应商不能修改投标文件。</w:t>
      </w:r>
    </w:p>
    <w:p>
      <w:pPr>
        <w:pStyle w:val="4"/>
        <w:rPr>
          <w:color w:val="auto"/>
          <w:highlight w:val="none"/>
        </w:rPr>
      </w:pPr>
      <w:r>
        <w:rPr>
          <w:color w:val="auto"/>
          <w:highlight w:val="none"/>
        </w:rPr>
        <w:t>投标文件的编制</w:t>
      </w:r>
    </w:p>
    <w:p>
      <w:pPr>
        <w:snapToGrid w:val="0"/>
        <w:spacing w:line="360" w:lineRule="auto"/>
        <w:ind w:firstLine="480" w:firstLineChars="200"/>
        <w:jc w:val="left"/>
        <w:rPr>
          <w:color w:val="auto"/>
          <w:szCs w:val="24"/>
          <w:highlight w:val="none"/>
        </w:rPr>
      </w:pPr>
      <w:r>
        <w:rPr>
          <w:rFonts w:hint="eastAsia"/>
          <w:color w:val="auto"/>
          <w:szCs w:val="24"/>
          <w:highlight w:val="none"/>
        </w:rPr>
        <w:t>投标文件分为电子投标文件以及备份投标文件两部分。电子投标文件按政采云平台服务中心-“政府采购项目电子交易管理操作指南-供应商”及本采购文件要求制作、加密并递交；加密压缩文件形式的备份投标文件，按政采云平台服务中心-“政府采购项目电子交易管理操作指南-供应商”中的电子投标文件格式，压缩加密后以电子邮件的形式提供。加密压缩文件由投标供应商决定是否递交，并自行承担不递交备份投标文件的风险。</w:t>
      </w:r>
    </w:p>
    <w:p>
      <w:pPr>
        <w:snapToGrid w:val="0"/>
        <w:spacing w:line="360" w:lineRule="auto"/>
        <w:ind w:firstLine="480" w:firstLineChars="200"/>
        <w:jc w:val="left"/>
        <w:rPr>
          <w:color w:val="auto"/>
          <w:szCs w:val="24"/>
          <w:highlight w:val="none"/>
        </w:rPr>
      </w:pPr>
      <w:r>
        <w:rPr>
          <w:rFonts w:hint="eastAsia"/>
          <w:color w:val="auto"/>
          <w:szCs w:val="24"/>
          <w:highlight w:val="none"/>
        </w:rPr>
        <w:t>投标文件的启用，按先后顺位分别为电子投标文件、备份投标文件。因网络或者其他问题造成电子投标文件无法正常解密，才能启用备份投标文件。备份投标文件一旦启用，则电子投标文件失效，不予启用。</w:t>
      </w:r>
    </w:p>
    <w:p>
      <w:pPr>
        <w:snapToGrid w:val="0"/>
        <w:spacing w:line="360" w:lineRule="auto"/>
        <w:ind w:firstLine="482" w:firstLineChars="200"/>
        <w:jc w:val="left"/>
        <w:rPr>
          <w:b/>
          <w:bCs/>
          <w:color w:val="auto"/>
          <w:szCs w:val="24"/>
          <w:highlight w:val="none"/>
        </w:rPr>
      </w:pPr>
      <w:r>
        <w:rPr>
          <w:b/>
          <w:bCs/>
          <w:color w:val="auto"/>
          <w:szCs w:val="24"/>
          <w:highlight w:val="none"/>
        </w:rPr>
        <w:t>投标文件应对采购文件有关采购内容、投标有效期、进度安排、采购要求等实质性内容作出响应。</w:t>
      </w:r>
    </w:p>
    <w:p>
      <w:pPr>
        <w:pStyle w:val="2"/>
        <w:rPr>
          <w:color w:val="auto"/>
          <w:highlight w:val="none"/>
        </w:rPr>
      </w:pPr>
      <w:bookmarkStart w:id="22" w:name="_Toc10116"/>
      <w:r>
        <w:rPr>
          <w:color w:val="auto"/>
          <w:highlight w:val="none"/>
        </w:rPr>
        <w:t>投标</w:t>
      </w:r>
      <w:bookmarkEnd w:id="22"/>
    </w:p>
    <w:p>
      <w:pPr>
        <w:pStyle w:val="4"/>
        <w:rPr>
          <w:color w:val="auto"/>
          <w:highlight w:val="none"/>
        </w:rPr>
      </w:pPr>
      <w:r>
        <w:rPr>
          <w:rFonts w:hint="eastAsia"/>
          <w:color w:val="auto"/>
          <w:highlight w:val="none"/>
        </w:rPr>
        <w:t>投标文件的签署及规定</w:t>
      </w:r>
    </w:p>
    <w:p>
      <w:pPr>
        <w:snapToGrid w:val="0"/>
        <w:spacing w:line="360" w:lineRule="auto"/>
        <w:ind w:firstLine="480" w:firstLineChars="200"/>
        <w:jc w:val="left"/>
        <w:rPr>
          <w:color w:val="auto"/>
          <w:highlight w:val="none"/>
        </w:rPr>
      </w:pPr>
      <w:r>
        <w:rPr>
          <w:rFonts w:hint="eastAsia"/>
          <w:color w:val="auto"/>
          <w:highlight w:val="none"/>
        </w:rPr>
        <w:t>（1）电子投标文件</w:t>
      </w:r>
    </w:p>
    <w:p>
      <w:pPr>
        <w:snapToGrid w:val="0"/>
        <w:spacing w:line="360" w:lineRule="auto"/>
        <w:ind w:firstLine="480" w:firstLineChars="200"/>
        <w:jc w:val="left"/>
        <w:rPr>
          <w:color w:val="auto"/>
          <w:highlight w:val="none"/>
        </w:rPr>
      </w:pPr>
      <w:r>
        <w:rPr>
          <w:rFonts w:hint="eastAsia"/>
          <w:color w:val="auto"/>
          <w:highlight w:val="none"/>
        </w:rPr>
        <w:t>电子投标文件按政采云平台服务中心</w:t>
      </w:r>
      <w:r>
        <w:rPr>
          <w:rFonts w:hint="eastAsia"/>
          <w:color w:val="auto"/>
          <w:highlight w:val="none"/>
          <w:lang w:val="en-US" w:eastAsia="zh-CN"/>
        </w:rPr>
        <w:t>-</w:t>
      </w:r>
      <w:r>
        <w:rPr>
          <w:rFonts w:hint="eastAsia"/>
          <w:color w:val="auto"/>
          <w:highlight w:val="none"/>
        </w:rPr>
        <w:t>“政府采购项目电子交易管理操作指南-供应商”及本采购文件规定的格式和顺序编制电子投标文件并进行关联定位。</w:t>
      </w:r>
    </w:p>
    <w:p>
      <w:pPr>
        <w:snapToGrid w:val="0"/>
        <w:spacing w:line="360" w:lineRule="auto"/>
        <w:ind w:firstLine="480" w:firstLineChars="200"/>
        <w:jc w:val="left"/>
        <w:rPr>
          <w:color w:val="auto"/>
          <w:highlight w:val="none"/>
        </w:rPr>
      </w:pPr>
      <w:r>
        <w:rPr>
          <w:rFonts w:hint="eastAsia"/>
          <w:color w:val="auto"/>
          <w:highlight w:val="none"/>
        </w:rPr>
        <w:t>（2）备份投标文件</w:t>
      </w:r>
    </w:p>
    <w:p>
      <w:pPr>
        <w:snapToGrid w:val="0"/>
        <w:spacing w:line="360" w:lineRule="auto"/>
        <w:ind w:firstLine="480" w:firstLineChars="200"/>
        <w:jc w:val="left"/>
        <w:rPr>
          <w:color w:val="auto"/>
          <w:highlight w:val="none"/>
        </w:rPr>
      </w:pPr>
      <w:r>
        <w:rPr>
          <w:rFonts w:hint="eastAsia"/>
          <w:color w:val="auto"/>
          <w:highlight w:val="none"/>
        </w:rPr>
        <w:t>电子投标文件的备份文件，压缩加密后以电子邮件的形式提供。</w:t>
      </w:r>
    </w:p>
    <w:p>
      <w:pPr>
        <w:snapToGrid w:val="0"/>
        <w:spacing w:line="360" w:lineRule="auto"/>
        <w:ind w:firstLine="482" w:firstLineChars="200"/>
        <w:jc w:val="left"/>
        <w:rPr>
          <w:b/>
          <w:color w:val="auto"/>
          <w:szCs w:val="24"/>
          <w:highlight w:val="none"/>
        </w:rPr>
      </w:pPr>
      <w:r>
        <w:rPr>
          <w:rFonts w:hint="eastAsia"/>
          <w:b/>
          <w:color w:val="auto"/>
          <w:szCs w:val="24"/>
          <w:highlight w:val="none"/>
        </w:rPr>
        <w:t>电子投标文件、备份电子投标文件中须加盖公章部分均采用CA签章。</w:t>
      </w:r>
    </w:p>
    <w:p>
      <w:pPr>
        <w:pStyle w:val="4"/>
        <w:rPr>
          <w:color w:val="auto"/>
          <w:highlight w:val="none"/>
        </w:rPr>
      </w:pPr>
      <w:r>
        <w:rPr>
          <w:rFonts w:hint="eastAsia"/>
          <w:color w:val="auto"/>
          <w:highlight w:val="none"/>
        </w:rPr>
        <w:t>电子投标文件的传输递交</w:t>
      </w:r>
    </w:p>
    <w:p>
      <w:pPr>
        <w:snapToGrid w:val="0"/>
        <w:spacing w:line="360" w:lineRule="auto"/>
        <w:ind w:firstLine="480" w:firstLineChars="200"/>
        <w:jc w:val="left"/>
        <w:rPr>
          <w:color w:val="auto"/>
          <w:highlight w:val="none"/>
        </w:rPr>
      </w:pPr>
      <w:r>
        <w:rPr>
          <w:color w:val="auto"/>
          <w:highlight w:val="none"/>
        </w:rPr>
        <w:t>投标截止时间为</w:t>
      </w:r>
      <w:r>
        <w:rPr>
          <w:rFonts w:hint="eastAsia"/>
          <w:color w:val="auto"/>
          <w:szCs w:val="22"/>
          <w:highlight w:val="none"/>
          <w:lang w:eastAsia="zh-CN"/>
        </w:rPr>
        <w:t>2023年05月25日14:00</w:t>
      </w:r>
      <w:r>
        <w:rPr>
          <w:rFonts w:hint="eastAsia"/>
          <w:color w:val="auto"/>
          <w:szCs w:val="22"/>
          <w:highlight w:val="none"/>
        </w:rPr>
        <w:t>（北京时间）</w:t>
      </w:r>
    </w:p>
    <w:p>
      <w:pPr>
        <w:snapToGrid w:val="0"/>
        <w:spacing w:line="360" w:lineRule="auto"/>
        <w:ind w:firstLine="480" w:firstLineChars="200"/>
        <w:jc w:val="left"/>
        <w:rPr>
          <w:color w:val="auto"/>
          <w:highlight w:val="none"/>
        </w:rPr>
      </w:pPr>
      <w:r>
        <w:rPr>
          <w:rFonts w:hint="eastAsia"/>
          <w:color w:val="auto"/>
          <w:highlight w:val="none"/>
        </w:rPr>
        <w:t>（1）电子投标文件</w:t>
      </w:r>
    </w:p>
    <w:p>
      <w:pPr>
        <w:snapToGrid w:val="0"/>
        <w:spacing w:line="360" w:lineRule="auto"/>
        <w:ind w:firstLine="480" w:firstLineChars="200"/>
        <w:jc w:val="left"/>
        <w:rPr>
          <w:color w:val="auto"/>
          <w:highlight w:val="none"/>
        </w:rPr>
      </w:pPr>
      <w:r>
        <w:rPr>
          <w:rFonts w:hint="eastAsia"/>
          <w:color w:val="auto"/>
          <w:highlight w:val="none"/>
        </w:rPr>
        <w:t>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响应文件，将被政采云平台拒收。</w:t>
      </w:r>
    </w:p>
    <w:p>
      <w:pPr>
        <w:snapToGrid w:val="0"/>
        <w:spacing w:line="360" w:lineRule="auto"/>
        <w:ind w:firstLine="480" w:firstLineChars="200"/>
        <w:jc w:val="left"/>
        <w:rPr>
          <w:color w:val="auto"/>
          <w:highlight w:val="none"/>
        </w:rPr>
      </w:pPr>
      <w:r>
        <w:rPr>
          <w:rFonts w:hint="eastAsia"/>
          <w:color w:val="auto"/>
          <w:highlight w:val="none"/>
        </w:rPr>
        <w:t>（2）备份投标文件</w:t>
      </w:r>
    </w:p>
    <w:p>
      <w:pPr>
        <w:snapToGrid w:val="0"/>
        <w:spacing w:line="360" w:lineRule="auto"/>
        <w:ind w:firstLine="480" w:firstLineChars="200"/>
        <w:jc w:val="left"/>
        <w:rPr>
          <w:color w:val="auto"/>
          <w:highlight w:val="none"/>
        </w:rPr>
      </w:pPr>
      <w:r>
        <w:rPr>
          <w:rFonts w:hint="eastAsia"/>
          <w:color w:val="auto"/>
          <w:highlight w:val="none"/>
        </w:rPr>
        <w:t>投标供应商应当在投标截止时间前提交备份投标文件（一份）。“备份投标文件”以压缩文件形式加密发送至采购代理机构邮箱（邮箱：740056430@qq.com），压缩文件命名为：投标项目编号+投标单位名称。投标供应商在接到在线解密通知后30分钟内发送压缩文件密码至采购代理机构邮箱。如投标供应商未在规定时间发送压缩文件密码，其备份投标文件视为无效。如投标供应商未在投标截止时间前完成电子投标文件的传输递交，其备份投标文件视为无效。</w:t>
      </w:r>
    </w:p>
    <w:p>
      <w:pPr>
        <w:snapToGrid w:val="0"/>
        <w:spacing w:line="360" w:lineRule="auto"/>
        <w:ind w:firstLine="480" w:firstLineChars="200"/>
        <w:jc w:val="left"/>
        <w:rPr>
          <w:color w:val="auto"/>
          <w:highlight w:val="none"/>
        </w:rPr>
      </w:pPr>
      <w:r>
        <w:rPr>
          <w:color w:val="auto"/>
          <w:highlight w:val="none"/>
        </w:rPr>
        <w:t>采购人认为有必要延后投标截止时间时，将发出补充通知。在此情况下，采购文件规定的采购人和投标供应商与投标截止时间有关的义务和权利也将运用至延长后的投标截止期。</w:t>
      </w:r>
    </w:p>
    <w:p>
      <w:pPr>
        <w:pStyle w:val="4"/>
        <w:rPr>
          <w:color w:val="auto"/>
          <w:highlight w:val="none"/>
        </w:rPr>
      </w:pPr>
      <w:r>
        <w:rPr>
          <w:color w:val="auto"/>
          <w:highlight w:val="none"/>
        </w:rPr>
        <w:t>投标文件的补充、修改和撤回</w:t>
      </w:r>
    </w:p>
    <w:p>
      <w:pPr>
        <w:snapToGrid w:val="0"/>
        <w:spacing w:line="360" w:lineRule="auto"/>
        <w:ind w:firstLine="480" w:firstLineChars="200"/>
        <w:jc w:val="left"/>
        <w:rPr>
          <w:color w:val="auto"/>
          <w:highlight w:val="none"/>
        </w:rPr>
      </w:pPr>
      <w:r>
        <w:rPr>
          <w:rFonts w:hint="eastAsia"/>
          <w:color w:val="auto"/>
          <w:highlight w:val="none"/>
        </w:rPr>
        <w:t>（1）投标供应商应当在截止时间前完成电子投标文件的传输递交，并可以补充、修改或者撤回投标文件。补充或者修改投标文件的，应当先行撤回原文件，补充、修改后重新传输递交。投标截止时间前未完成传输的，视为撤回投标文件。投标截止时间后传输的投标文件，将被政采云平台拒收。</w:t>
      </w:r>
    </w:p>
    <w:p>
      <w:pPr>
        <w:snapToGrid w:val="0"/>
        <w:spacing w:line="360" w:lineRule="auto"/>
        <w:ind w:firstLine="480" w:firstLineChars="200"/>
        <w:jc w:val="left"/>
        <w:rPr>
          <w:color w:val="auto"/>
          <w:highlight w:val="none"/>
        </w:rPr>
      </w:pPr>
      <w:r>
        <w:rPr>
          <w:color w:val="auto"/>
          <w:highlight w:val="none"/>
        </w:rPr>
        <w:t>（2）递交投标文件截止时间以后，投标文件不得更改。需对投标文件作出澄清时，必须按照本须知的规定办理。</w:t>
      </w:r>
    </w:p>
    <w:p>
      <w:pPr>
        <w:pStyle w:val="2"/>
        <w:rPr>
          <w:color w:val="auto"/>
          <w:highlight w:val="none"/>
        </w:rPr>
      </w:pPr>
      <w:bookmarkStart w:id="23" w:name="_Toc8429"/>
      <w:r>
        <w:rPr>
          <w:rFonts w:hint="eastAsia"/>
          <w:color w:val="auto"/>
          <w:highlight w:val="none"/>
        </w:rPr>
        <w:t>投标无效的情形</w:t>
      </w:r>
      <w:bookmarkEnd w:id="23"/>
    </w:p>
    <w:p>
      <w:pPr>
        <w:snapToGrid w:val="0"/>
        <w:spacing w:line="360" w:lineRule="auto"/>
        <w:ind w:firstLine="480" w:firstLineChars="200"/>
        <w:jc w:val="left"/>
        <w:rPr>
          <w:color w:val="auto"/>
          <w:highlight w:val="none"/>
        </w:rPr>
      </w:pPr>
      <w:r>
        <w:rPr>
          <w:rFonts w:hint="eastAsia"/>
          <w:color w:val="auto"/>
          <w:highlight w:val="none"/>
        </w:rPr>
        <w:t>实质上没有响应采购文件要求的投标将被视为无效投标。投标供应商不得通过修改或撤销不合要求的偏离或保留从而使其投标成为实质上响应的投标。经评标委员会认定属于投标供应商对于投标文件中含义不清、同类问题表述</w:t>
      </w:r>
      <w:r>
        <w:rPr>
          <w:color w:val="auto"/>
          <w:highlight w:val="none"/>
        </w:rPr>
        <w:t>不一致</w:t>
      </w:r>
      <w:r>
        <w:rPr>
          <w:rFonts w:hint="eastAsia"/>
          <w:color w:val="auto"/>
          <w:highlight w:val="none"/>
        </w:rPr>
        <w:t>或者有明显文字和计算错误所造成的差错，应当允许其在评标结束之前进行修改或者补正（可以是扫描件、传真件等）。修改或者补正投标文件必须按照采购文件规定进行，并应在中标结果公告之前查核原件。限期内不补正或经补正后仍不符合采购文件要求的，应认定其投标无效。投标供应商修改、补正投标文件后，不影响评标委员会对其投标文件所作的评价和评分结果。</w:t>
      </w:r>
    </w:p>
    <w:p>
      <w:pPr>
        <w:snapToGrid w:val="0"/>
        <w:spacing w:line="360" w:lineRule="auto"/>
        <w:ind w:firstLine="475" w:firstLineChars="197"/>
        <w:jc w:val="left"/>
        <w:rPr>
          <w:b/>
          <w:color w:val="auto"/>
          <w:highlight w:val="none"/>
        </w:rPr>
      </w:pPr>
      <w:r>
        <w:rPr>
          <w:b/>
          <w:color w:val="auto"/>
          <w:highlight w:val="none"/>
        </w:rPr>
        <w:t>投标供应商在符合性审查及详细评审时存在下列情况之一的，投标无效</w:t>
      </w:r>
    </w:p>
    <w:p>
      <w:pPr>
        <w:snapToGrid w:val="0"/>
        <w:spacing w:line="360" w:lineRule="auto"/>
        <w:ind w:firstLine="361" w:firstLineChars="150"/>
        <w:jc w:val="left"/>
        <w:rPr>
          <w:b/>
          <w:color w:val="auto"/>
          <w:highlight w:val="none"/>
        </w:rPr>
      </w:pPr>
      <w:r>
        <w:rPr>
          <w:b/>
          <w:color w:val="auto"/>
          <w:highlight w:val="none"/>
        </w:rPr>
        <w:t>（1）投标供应商相互串通投标，损害采购人或其他投标供应商的合法权益；</w:t>
      </w:r>
    </w:p>
    <w:p>
      <w:pPr>
        <w:snapToGrid w:val="0"/>
        <w:spacing w:line="360" w:lineRule="auto"/>
        <w:ind w:firstLine="361" w:firstLineChars="150"/>
        <w:jc w:val="left"/>
        <w:rPr>
          <w:b/>
          <w:color w:val="auto"/>
          <w:szCs w:val="22"/>
          <w:highlight w:val="none"/>
        </w:rPr>
      </w:pPr>
      <w:r>
        <w:rPr>
          <w:b/>
          <w:color w:val="auto"/>
          <w:szCs w:val="22"/>
          <w:highlight w:val="none"/>
        </w:rPr>
        <w:t>（2）投标文件未按采购文件要求签字</w:t>
      </w:r>
      <w:r>
        <w:rPr>
          <w:rFonts w:hint="eastAsia"/>
          <w:b/>
          <w:color w:val="auto"/>
          <w:szCs w:val="22"/>
          <w:highlight w:val="none"/>
        </w:rPr>
        <w:t>、</w:t>
      </w:r>
      <w:r>
        <w:rPr>
          <w:b/>
          <w:color w:val="auto"/>
          <w:szCs w:val="22"/>
          <w:highlight w:val="none"/>
        </w:rPr>
        <w:t>盖章</w:t>
      </w:r>
      <w:r>
        <w:rPr>
          <w:rFonts w:hint="eastAsia"/>
          <w:b/>
          <w:color w:val="auto"/>
          <w:szCs w:val="22"/>
          <w:highlight w:val="none"/>
        </w:rPr>
        <w:t>或电子签章</w:t>
      </w:r>
      <w:r>
        <w:rPr>
          <w:b/>
          <w:color w:val="auto"/>
          <w:szCs w:val="22"/>
          <w:highlight w:val="none"/>
        </w:rPr>
        <w:t>的；</w:t>
      </w:r>
    </w:p>
    <w:p>
      <w:pPr>
        <w:snapToGrid w:val="0"/>
        <w:spacing w:line="360" w:lineRule="auto"/>
        <w:ind w:firstLine="361" w:firstLineChars="150"/>
        <w:jc w:val="left"/>
        <w:rPr>
          <w:b/>
          <w:color w:val="auto"/>
          <w:szCs w:val="22"/>
          <w:highlight w:val="none"/>
        </w:rPr>
      </w:pPr>
      <w:r>
        <w:rPr>
          <w:b/>
          <w:color w:val="auto"/>
          <w:szCs w:val="22"/>
          <w:highlight w:val="none"/>
        </w:rPr>
        <w:t>（3）投标文件未提供开标一览表，或填写项目不齐全的；</w:t>
      </w:r>
    </w:p>
    <w:p>
      <w:pPr>
        <w:snapToGrid w:val="0"/>
        <w:spacing w:line="360" w:lineRule="auto"/>
        <w:ind w:firstLine="361" w:firstLineChars="150"/>
        <w:jc w:val="left"/>
        <w:rPr>
          <w:b/>
          <w:color w:val="auto"/>
          <w:szCs w:val="22"/>
          <w:highlight w:val="none"/>
        </w:rPr>
      </w:pPr>
      <w:r>
        <w:rPr>
          <w:b/>
          <w:color w:val="auto"/>
          <w:szCs w:val="22"/>
          <w:highlight w:val="none"/>
        </w:rPr>
        <w:t>（4）未响应采购文件的实质性要求和条件的；</w:t>
      </w:r>
    </w:p>
    <w:p>
      <w:pPr>
        <w:snapToGrid w:val="0"/>
        <w:spacing w:line="360" w:lineRule="auto"/>
        <w:ind w:firstLine="361" w:firstLineChars="150"/>
        <w:jc w:val="left"/>
        <w:rPr>
          <w:b/>
          <w:color w:val="auto"/>
          <w:szCs w:val="22"/>
          <w:highlight w:val="none"/>
        </w:rPr>
      </w:pPr>
      <w:r>
        <w:rPr>
          <w:b/>
          <w:color w:val="auto"/>
          <w:szCs w:val="22"/>
          <w:highlight w:val="none"/>
        </w:rPr>
        <w:t>（5）投标技术方案存在一个或以上备选（替代）投标方案的；</w:t>
      </w:r>
    </w:p>
    <w:p>
      <w:pPr>
        <w:snapToGrid w:val="0"/>
        <w:spacing w:line="360" w:lineRule="auto"/>
        <w:ind w:firstLine="361" w:firstLineChars="150"/>
        <w:jc w:val="left"/>
        <w:rPr>
          <w:b/>
          <w:color w:val="auto"/>
          <w:szCs w:val="22"/>
          <w:highlight w:val="none"/>
        </w:rPr>
      </w:pPr>
      <w:r>
        <w:rPr>
          <w:b/>
          <w:color w:val="auto"/>
          <w:szCs w:val="22"/>
          <w:highlight w:val="none"/>
        </w:rPr>
        <w:t>（6）投标文件中含有采购人不能接受的附加条件</w:t>
      </w:r>
      <w:r>
        <w:rPr>
          <w:rFonts w:hint="eastAsia"/>
          <w:b/>
          <w:color w:val="auto"/>
          <w:szCs w:val="22"/>
          <w:highlight w:val="none"/>
        </w:rPr>
        <w:t>的</w:t>
      </w:r>
      <w:r>
        <w:rPr>
          <w:b/>
          <w:color w:val="auto"/>
          <w:szCs w:val="22"/>
          <w:highlight w:val="none"/>
        </w:rPr>
        <w:t>；</w:t>
      </w:r>
    </w:p>
    <w:p>
      <w:pPr>
        <w:snapToGrid w:val="0"/>
        <w:spacing w:line="360" w:lineRule="auto"/>
        <w:ind w:firstLine="361" w:firstLineChars="150"/>
        <w:jc w:val="left"/>
        <w:rPr>
          <w:b/>
          <w:color w:val="auto"/>
          <w:szCs w:val="22"/>
          <w:highlight w:val="none"/>
        </w:rPr>
      </w:pPr>
      <w:r>
        <w:rPr>
          <w:b/>
          <w:color w:val="auto"/>
          <w:szCs w:val="22"/>
          <w:highlight w:val="none"/>
        </w:rPr>
        <w:t>（7）</w:t>
      </w:r>
      <w:r>
        <w:rPr>
          <w:rFonts w:hint="eastAsia"/>
          <w:b/>
          <w:color w:val="auto"/>
          <w:szCs w:val="22"/>
          <w:highlight w:val="none"/>
        </w:rPr>
        <w:t>投标报价超过采购预算金额或投标分项报价超出单项控制价的；</w:t>
      </w:r>
    </w:p>
    <w:p>
      <w:pPr>
        <w:snapToGrid w:val="0"/>
        <w:spacing w:line="360" w:lineRule="auto"/>
        <w:ind w:firstLine="361" w:firstLineChars="150"/>
        <w:jc w:val="left"/>
        <w:rPr>
          <w:b/>
          <w:color w:val="auto"/>
          <w:szCs w:val="22"/>
          <w:highlight w:val="none"/>
        </w:rPr>
      </w:pPr>
      <w:r>
        <w:rPr>
          <w:rFonts w:hint="eastAsia"/>
          <w:b/>
          <w:color w:val="auto"/>
          <w:szCs w:val="22"/>
          <w:highlight w:val="none"/>
        </w:rPr>
        <w:t>（8）报价不明确，存在一个或以上备选（替代）投标方案的；</w:t>
      </w:r>
    </w:p>
    <w:p>
      <w:pPr>
        <w:snapToGrid w:val="0"/>
        <w:spacing w:line="360" w:lineRule="auto"/>
        <w:ind w:firstLine="361" w:firstLineChars="150"/>
        <w:jc w:val="left"/>
        <w:rPr>
          <w:b/>
          <w:color w:val="auto"/>
          <w:szCs w:val="22"/>
          <w:highlight w:val="none"/>
        </w:rPr>
      </w:pPr>
      <w:r>
        <w:rPr>
          <w:rFonts w:hint="eastAsia"/>
          <w:b/>
          <w:color w:val="auto"/>
          <w:szCs w:val="22"/>
          <w:highlight w:val="none"/>
        </w:rPr>
        <w:t>（9）</w:t>
      </w:r>
      <w:r>
        <w:rPr>
          <w:b/>
          <w:color w:val="auto"/>
          <w:szCs w:val="22"/>
          <w:highlight w:val="none"/>
        </w:rPr>
        <w:t>投标供应商不接受修正后的报价；</w:t>
      </w:r>
    </w:p>
    <w:p>
      <w:pPr>
        <w:snapToGrid w:val="0"/>
        <w:spacing w:line="360" w:lineRule="auto"/>
        <w:ind w:firstLine="361" w:firstLineChars="150"/>
        <w:jc w:val="left"/>
        <w:rPr>
          <w:b/>
          <w:color w:val="auto"/>
          <w:szCs w:val="22"/>
          <w:highlight w:val="none"/>
        </w:rPr>
      </w:pPr>
      <w:r>
        <w:rPr>
          <w:rFonts w:hint="eastAsia"/>
          <w:b/>
          <w:color w:val="auto"/>
          <w:szCs w:val="22"/>
          <w:highlight w:val="none"/>
        </w:rPr>
        <w:t>（</w:t>
      </w:r>
      <w:r>
        <w:rPr>
          <w:b/>
          <w:color w:val="auto"/>
          <w:szCs w:val="22"/>
          <w:highlight w:val="none"/>
        </w:rPr>
        <w:t>10</w:t>
      </w:r>
      <w:r>
        <w:rPr>
          <w:rFonts w:hint="eastAsia"/>
          <w:b/>
          <w:color w:val="auto"/>
          <w:szCs w:val="22"/>
          <w:highlight w:val="none"/>
        </w:rPr>
        <w:t>）投标报价文件未按规定进行单独制作或在投标文件资格、商务技术部分中出现投标报价信息的；</w:t>
      </w:r>
    </w:p>
    <w:p>
      <w:pPr>
        <w:snapToGrid w:val="0"/>
        <w:spacing w:line="360" w:lineRule="auto"/>
        <w:ind w:firstLine="361" w:firstLineChars="150"/>
        <w:jc w:val="left"/>
        <w:rPr>
          <w:b/>
          <w:color w:val="auto"/>
          <w:szCs w:val="22"/>
          <w:highlight w:val="none"/>
        </w:rPr>
      </w:pPr>
      <w:r>
        <w:rPr>
          <w:b/>
          <w:color w:val="auto"/>
          <w:szCs w:val="22"/>
          <w:highlight w:val="none"/>
        </w:rPr>
        <w:t>（11）投标供应商不能证明其报价合理性；</w:t>
      </w:r>
    </w:p>
    <w:p>
      <w:pPr>
        <w:snapToGrid w:val="0"/>
        <w:spacing w:line="360" w:lineRule="auto"/>
        <w:ind w:firstLine="361" w:firstLineChars="150"/>
        <w:jc w:val="left"/>
        <w:rPr>
          <w:b/>
          <w:color w:val="auto"/>
          <w:szCs w:val="22"/>
          <w:highlight w:val="none"/>
        </w:rPr>
      </w:pPr>
      <w:r>
        <w:rPr>
          <w:b/>
          <w:color w:val="auto"/>
          <w:szCs w:val="22"/>
          <w:highlight w:val="none"/>
        </w:rPr>
        <w:t>（12）投标供应商拒绝澄清或未在规定时间内递交澄清资料的；</w:t>
      </w:r>
    </w:p>
    <w:p>
      <w:pPr>
        <w:snapToGrid w:val="0"/>
        <w:spacing w:line="360" w:lineRule="auto"/>
        <w:ind w:firstLine="361" w:firstLineChars="150"/>
        <w:jc w:val="left"/>
        <w:rPr>
          <w:b/>
          <w:color w:val="auto"/>
          <w:szCs w:val="22"/>
          <w:highlight w:val="none"/>
        </w:rPr>
      </w:pPr>
      <w:r>
        <w:rPr>
          <w:b/>
          <w:color w:val="auto"/>
          <w:szCs w:val="22"/>
          <w:highlight w:val="none"/>
        </w:rPr>
        <w:t>（13）以向采购人或者评标委员会成员行贿的手段谋取中标的；</w:t>
      </w:r>
    </w:p>
    <w:p>
      <w:pPr>
        <w:snapToGrid w:val="0"/>
        <w:spacing w:line="360" w:lineRule="auto"/>
        <w:ind w:firstLine="361" w:firstLineChars="150"/>
        <w:jc w:val="left"/>
        <w:rPr>
          <w:b/>
          <w:bCs/>
          <w:color w:val="auto"/>
          <w:highlight w:val="none"/>
        </w:rPr>
      </w:pPr>
      <w:r>
        <w:rPr>
          <w:b/>
          <w:color w:val="auto"/>
          <w:szCs w:val="22"/>
          <w:highlight w:val="none"/>
        </w:rPr>
        <w:t>（14）法律、法规和采购文件规定的其他无效情形。</w:t>
      </w:r>
    </w:p>
    <w:p>
      <w:pPr>
        <w:pStyle w:val="2"/>
        <w:rPr>
          <w:color w:val="auto"/>
          <w:highlight w:val="none"/>
        </w:rPr>
      </w:pPr>
      <w:bookmarkStart w:id="24" w:name="_Toc15876"/>
      <w:r>
        <w:rPr>
          <w:rFonts w:hint="eastAsia"/>
          <w:color w:val="auto"/>
          <w:highlight w:val="none"/>
        </w:rPr>
        <w:t>中止电子交易活动的情形</w:t>
      </w:r>
      <w:bookmarkEnd w:id="24"/>
    </w:p>
    <w:p>
      <w:pPr>
        <w:snapToGrid w:val="0"/>
        <w:spacing w:line="360" w:lineRule="auto"/>
        <w:ind w:firstLine="480" w:firstLineChars="200"/>
        <w:jc w:val="left"/>
        <w:rPr>
          <w:color w:val="auto"/>
          <w:highlight w:val="none"/>
        </w:rPr>
      </w:pPr>
      <w:r>
        <w:rPr>
          <w:rFonts w:hint="eastAsia"/>
          <w:color w:val="auto"/>
          <w:highlight w:val="none"/>
        </w:rPr>
        <w:t>出现以下情形，导致电子交易平台无法正常运行，或者无法保证电子交易的公平、公正和安全时，中止电子交易活动：</w:t>
      </w:r>
    </w:p>
    <w:p>
      <w:pPr>
        <w:snapToGrid w:val="0"/>
        <w:spacing w:line="360" w:lineRule="auto"/>
        <w:ind w:firstLine="480" w:firstLineChars="200"/>
        <w:jc w:val="left"/>
        <w:rPr>
          <w:color w:val="auto"/>
          <w:highlight w:val="none"/>
        </w:rPr>
      </w:pPr>
      <w:r>
        <w:rPr>
          <w:rFonts w:hint="eastAsia"/>
          <w:color w:val="auto"/>
          <w:highlight w:val="none"/>
        </w:rPr>
        <w:t>（一）电子交易平台发生故障而无法登录访问的；</w:t>
      </w:r>
    </w:p>
    <w:p>
      <w:pPr>
        <w:snapToGrid w:val="0"/>
        <w:spacing w:line="360" w:lineRule="auto"/>
        <w:ind w:firstLine="480" w:firstLineChars="200"/>
        <w:jc w:val="left"/>
        <w:rPr>
          <w:color w:val="auto"/>
          <w:highlight w:val="none"/>
        </w:rPr>
      </w:pPr>
      <w:r>
        <w:rPr>
          <w:rFonts w:hint="eastAsia"/>
          <w:color w:val="auto"/>
          <w:highlight w:val="none"/>
        </w:rPr>
        <w:t>（二）电子交易平台应用或数据库出现错误，不能进行正常操作的；</w:t>
      </w:r>
    </w:p>
    <w:p>
      <w:pPr>
        <w:snapToGrid w:val="0"/>
        <w:spacing w:line="360" w:lineRule="auto"/>
        <w:ind w:firstLine="480" w:firstLineChars="200"/>
        <w:jc w:val="left"/>
        <w:rPr>
          <w:color w:val="auto"/>
          <w:highlight w:val="none"/>
        </w:rPr>
      </w:pPr>
      <w:r>
        <w:rPr>
          <w:rFonts w:hint="eastAsia"/>
          <w:color w:val="auto"/>
          <w:highlight w:val="none"/>
        </w:rPr>
        <w:t>（三）电子交易平台发现严重安全漏洞，有潜在泄密危险的；</w:t>
      </w:r>
    </w:p>
    <w:p>
      <w:pPr>
        <w:snapToGrid w:val="0"/>
        <w:spacing w:line="360" w:lineRule="auto"/>
        <w:ind w:firstLine="480" w:firstLineChars="200"/>
        <w:jc w:val="left"/>
        <w:rPr>
          <w:color w:val="auto"/>
          <w:highlight w:val="none"/>
        </w:rPr>
      </w:pPr>
      <w:r>
        <w:rPr>
          <w:rFonts w:hint="eastAsia"/>
          <w:color w:val="auto"/>
          <w:highlight w:val="none"/>
        </w:rPr>
        <w:t>（四）病毒发作导致不能进行正常操作的；</w:t>
      </w:r>
    </w:p>
    <w:p>
      <w:pPr>
        <w:snapToGrid w:val="0"/>
        <w:spacing w:line="360" w:lineRule="auto"/>
        <w:ind w:firstLine="480" w:firstLineChars="200"/>
        <w:jc w:val="left"/>
        <w:rPr>
          <w:color w:val="auto"/>
          <w:highlight w:val="none"/>
        </w:rPr>
      </w:pPr>
      <w:r>
        <w:rPr>
          <w:rFonts w:hint="eastAsia"/>
          <w:color w:val="auto"/>
          <w:highlight w:val="none"/>
        </w:rPr>
        <w:t>（五）其他无法保证电子交易的公平、公正和安全的情况。</w:t>
      </w:r>
    </w:p>
    <w:p>
      <w:pPr>
        <w:snapToGrid w:val="0"/>
        <w:spacing w:line="360" w:lineRule="auto"/>
        <w:ind w:firstLine="480" w:firstLineChars="200"/>
        <w:jc w:val="left"/>
        <w:rPr>
          <w:color w:val="auto"/>
          <w:highlight w:val="none"/>
        </w:rPr>
      </w:pPr>
      <w:r>
        <w:rPr>
          <w:rFonts w:hint="eastAsia"/>
          <w:color w:val="auto"/>
          <w:highlight w:val="none"/>
        </w:rPr>
        <w:t>出现前款规定情形，影响或可能影响采购公平、公正性的，重新采购。</w:t>
      </w:r>
    </w:p>
    <w:p>
      <w:pPr>
        <w:pStyle w:val="2"/>
        <w:rPr>
          <w:color w:val="auto"/>
          <w:highlight w:val="none"/>
        </w:rPr>
      </w:pPr>
      <w:bookmarkStart w:id="25" w:name="_Toc21557"/>
      <w:r>
        <w:rPr>
          <w:color w:val="auto"/>
          <w:highlight w:val="none"/>
        </w:rPr>
        <w:t>开标与评标</w:t>
      </w:r>
      <w:bookmarkEnd w:id="25"/>
    </w:p>
    <w:p>
      <w:pPr>
        <w:pStyle w:val="4"/>
        <w:rPr>
          <w:color w:val="auto"/>
          <w:highlight w:val="none"/>
        </w:rPr>
      </w:pPr>
      <w:r>
        <w:rPr>
          <w:color w:val="auto"/>
          <w:highlight w:val="none"/>
        </w:rPr>
        <w:t>开标</w:t>
      </w:r>
    </w:p>
    <w:p>
      <w:pPr>
        <w:snapToGrid w:val="0"/>
        <w:spacing w:line="360" w:lineRule="auto"/>
        <w:ind w:firstLine="480" w:firstLineChars="200"/>
        <w:jc w:val="left"/>
        <w:rPr>
          <w:color w:val="auto"/>
          <w:highlight w:val="none"/>
        </w:rPr>
      </w:pPr>
      <w:r>
        <w:rPr>
          <w:rFonts w:hint="eastAsia"/>
          <w:color w:val="auto"/>
          <w:highlight w:val="none"/>
        </w:rPr>
        <w:t>采购代理机构将按照采购文件规定的时间、地点和程序组织开标，各投标供应商无须参加现场开标会议，请自行登录政采云平台关注开标信息。</w:t>
      </w:r>
    </w:p>
    <w:p>
      <w:pPr>
        <w:snapToGrid w:val="0"/>
        <w:spacing w:line="360" w:lineRule="auto"/>
        <w:ind w:firstLine="480" w:firstLineChars="200"/>
        <w:jc w:val="left"/>
        <w:rPr>
          <w:color w:val="auto"/>
          <w:highlight w:val="none"/>
        </w:rPr>
      </w:pPr>
      <w:r>
        <w:rPr>
          <w:rFonts w:hint="eastAsia"/>
          <w:color w:val="auto"/>
          <w:highlight w:val="none"/>
        </w:rPr>
        <w:t>（1）开标时间：</w:t>
      </w:r>
      <w:r>
        <w:rPr>
          <w:rFonts w:hint="eastAsia"/>
          <w:color w:val="auto"/>
          <w:highlight w:val="none"/>
          <w:lang w:eastAsia="zh-CN"/>
        </w:rPr>
        <w:t>2023年05月25日14:00</w:t>
      </w:r>
      <w:r>
        <w:rPr>
          <w:rFonts w:hint="eastAsia"/>
          <w:color w:val="auto"/>
          <w:highlight w:val="none"/>
        </w:rPr>
        <w:t>（北京时间）</w:t>
      </w:r>
    </w:p>
    <w:p>
      <w:pPr>
        <w:pStyle w:val="15"/>
        <w:spacing w:after="0" w:line="360" w:lineRule="auto"/>
        <w:ind w:firstLine="480" w:firstLineChars="200"/>
        <w:rPr>
          <w:color w:val="auto"/>
          <w:highlight w:val="none"/>
        </w:rPr>
      </w:pPr>
      <w:r>
        <w:rPr>
          <w:rFonts w:hint="eastAsia"/>
          <w:color w:val="auto"/>
          <w:highlight w:val="none"/>
        </w:rPr>
        <w:t xml:space="preserve">（2）开标地点：政府采购云平台，网址：www.zcygov.cn  </w:t>
      </w:r>
    </w:p>
    <w:p>
      <w:pPr>
        <w:snapToGrid w:val="0"/>
        <w:spacing w:line="360" w:lineRule="auto"/>
        <w:ind w:firstLine="480" w:firstLineChars="200"/>
        <w:jc w:val="left"/>
        <w:rPr>
          <w:color w:val="auto"/>
          <w:highlight w:val="none"/>
        </w:rPr>
      </w:pPr>
      <w:r>
        <w:rPr>
          <w:rFonts w:hint="eastAsia"/>
          <w:color w:val="auto"/>
          <w:highlight w:val="none"/>
        </w:rPr>
        <w:t>（3）开标时间起，投标供应商登录政采云平台，用“项目采购-开标评标”功能对电子投标文件进行在线解密。在线解密电子投标文件时间为开标时间起半个小时内。规定时间内所有投标供应商全部成功解密的，提前进入下一环节。</w:t>
      </w:r>
    </w:p>
    <w:p>
      <w:pPr>
        <w:pStyle w:val="15"/>
        <w:spacing w:after="0" w:line="360" w:lineRule="auto"/>
        <w:ind w:firstLine="480" w:firstLineChars="200"/>
        <w:rPr>
          <w:color w:val="auto"/>
          <w:highlight w:val="none"/>
        </w:rPr>
      </w:pPr>
      <w:r>
        <w:rPr>
          <w:rFonts w:hint="eastAsia"/>
          <w:color w:val="auto"/>
          <w:highlight w:val="none"/>
        </w:rPr>
        <w:t>（4）通过资格审查的投标文件进入详细评审阶段，未通过资格审查的，告知其原因并不再参与后续详细评审。通过资格审查的投标供应商不足3家的，不得评标。</w:t>
      </w:r>
    </w:p>
    <w:p>
      <w:pPr>
        <w:pStyle w:val="15"/>
        <w:spacing w:after="0" w:line="360" w:lineRule="auto"/>
        <w:ind w:firstLine="480" w:firstLineChars="200"/>
        <w:rPr>
          <w:color w:val="auto"/>
          <w:highlight w:val="none"/>
        </w:rPr>
      </w:pPr>
      <w:r>
        <w:rPr>
          <w:rFonts w:hint="eastAsia"/>
          <w:color w:val="auto"/>
          <w:highlight w:val="none"/>
        </w:rPr>
        <w:t>（5）资格审查和商务技术评审结束后，采购代理机构在线开启报价文件。</w:t>
      </w:r>
    </w:p>
    <w:p>
      <w:pPr>
        <w:pStyle w:val="15"/>
        <w:spacing w:after="0" w:line="360" w:lineRule="auto"/>
        <w:ind w:firstLine="480" w:firstLineChars="200"/>
        <w:rPr>
          <w:color w:val="auto"/>
          <w:highlight w:val="none"/>
        </w:rPr>
      </w:pPr>
      <w:r>
        <w:rPr>
          <w:rFonts w:hint="eastAsia"/>
          <w:color w:val="auto"/>
          <w:highlight w:val="none"/>
        </w:rPr>
        <w:t>（6）报价文件开启后，由评审小组对报价的符合性、合理性、准确性等进行审查核实。</w:t>
      </w:r>
    </w:p>
    <w:p>
      <w:pPr>
        <w:snapToGrid w:val="0"/>
        <w:spacing w:line="360" w:lineRule="auto"/>
        <w:ind w:firstLine="480" w:firstLineChars="200"/>
        <w:jc w:val="left"/>
        <w:rPr>
          <w:color w:val="auto"/>
          <w:highlight w:val="none"/>
        </w:rPr>
      </w:pPr>
      <w:r>
        <w:rPr>
          <w:rFonts w:hint="eastAsia"/>
          <w:color w:val="auto"/>
          <w:highlight w:val="none"/>
        </w:rPr>
        <w:t>特别说明：</w:t>
      </w:r>
    </w:p>
    <w:p>
      <w:pPr>
        <w:snapToGrid w:val="0"/>
        <w:spacing w:line="360" w:lineRule="auto"/>
        <w:ind w:firstLine="480" w:firstLineChars="200"/>
        <w:jc w:val="left"/>
        <w:rPr>
          <w:color w:val="auto"/>
          <w:highlight w:val="none"/>
        </w:rPr>
      </w:pPr>
      <w:r>
        <w:rPr>
          <w:rFonts w:hint="eastAsia"/>
          <w:color w:val="auto"/>
          <w:highlight w:val="none"/>
        </w:rPr>
        <w:t>（1）政采云公司如对电子化开标及评审程序有调整的，按调整后的程序操作。</w:t>
      </w:r>
    </w:p>
    <w:p>
      <w:pPr>
        <w:snapToGrid w:val="0"/>
        <w:spacing w:line="360" w:lineRule="auto"/>
        <w:ind w:firstLine="480" w:firstLineChars="200"/>
        <w:jc w:val="left"/>
        <w:rPr>
          <w:color w:val="auto"/>
          <w:highlight w:val="none"/>
        </w:rPr>
      </w:pPr>
      <w:r>
        <w:rPr>
          <w:rFonts w:hint="eastAsia"/>
          <w:color w:val="auto"/>
          <w:highlight w:val="none"/>
        </w:rPr>
        <w:t>（2）目前政府采购全流程电子化交易，投标供应商须在规定时间内自行解密。</w:t>
      </w:r>
    </w:p>
    <w:p>
      <w:pPr>
        <w:snapToGrid w:val="0"/>
        <w:spacing w:line="360" w:lineRule="auto"/>
        <w:ind w:firstLine="480" w:firstLineChars="200"/>
        <w:jc w:val="left"/>
        <w:rPr>
          <w:color w:val="auto"/>
          <w:highlight w:val="none"/>
        </w:rPr>
      </w:pPr>
      <w:r>
        <w:rPr>
          <w:rFonts w:hint="eastAsia"/>
          <w:color w:val="auto"/>
          <w:highlight w:val="none"/>
        </w:rPr>
        <w:t>投标文件启用顺序和效力。投标文件的启用，按先后顺位分别为电子投标文件、备份投标文件。顺位在先的投标文件已按时解密的，备份投标文件自动失效。在下一顺位的投标文件启用时，前一顺位的投标文件自动失效。</w:t>
      </w:r>
    </w:p>
    <w:p>
      <w:pPr>
        <w:pStyle w:val="4"/>
        <w:rPr>
          <w:color w:val="auto"/>
          <w:highlight w:val="none"/>
        </w:rPr>
      </w:pPr>
      <w:r>
        <w:rPr>
          <w:color w:val="auto"/>
          <w:highlight w:val="none"/>
        </w:rPr>
        <w:t>资格审查方式：资格后审。</w:t>
      </w:r>
    </w:p>
    <w:p>
      <w:pPr>
        <w:widowControl/>
        <w:snapToGrid w:val="0"/>
        <w:spacing w:line="360" w:lineRule="auto"/>
        <w:ind w:firstLine="480" w:firstLineChars="200"/>
        <w:jc w:val="left"/>
        <w:rPr>
          <w:color w:val="auto"/>
          <w:szCs w:val="24"/>
          <w:highlight w:val="none"/>
        </w:rPr>
      </w:pPr>
      <w:r>
        <w:rPr>
          <w:color w:val="auto"/>
          <w:szCs w:val="24"/>
          <w:highlight w:val="none"/>
        </w:rPr>
        <w:t>投标文件解密成功后，由采购代理机构依法对投标供应商的资格文件在系统上进行审查。</w:t>
      </w:r>
      <w:r>
        <w:rPr>
          <w:rFonts w:hint="eastAsia"/>
          <w:bCs/>
          <w:color w:val="auto"/>
          <w:highlight w:val="none"/>
        </w:rPr>
        <w:t>对未按采购文件要求提供相应的资格证明文件进行资格审查的或不符合采购文件标明的资格要求的</w:t>
      </w:r>
      <w:r>
        <w:rPr>
          <w:bCs/>
          <w:color w:val="auto"/>
          <w:highlight w:val="none"/>
        </w:rPr>
        <w:t>，视为未通过资格审查。</w:t>
      </w:r>
    </w:p>
    <w:p>
      <w:pPr>
        <w:widowControl/>
        <w:snapToGrid w:val="0"/>
        <w:spacing w:line="360" w:lineRule="auto"/>
        <w:ind w:firstLine="480" w:firstLineChars="200"/>
        <w:jc w:val="left"/>
        <w:rPr>
          <w:b/>
          <w:color w:val="auto"/>
          <w:szCs w:val="24"/>
          <w:highlight w:val="none"/>
        </w:rPr>
      </w:pPr>
      <w:r>
        <w:rPr>
          <w:color w:val="auto"/>
          <w:szCs w:val="24"/>
          <w:highlight w:val="none"/>
        </w:rPr>
        <w:t>对未通过资格审查的投标供应商，告知其未通过的原因。</w:t>
      </w:r>
      <w:r>
        <w:rPr>
          <w:b/>
          <w:color w:val="auto"/>
          <w:szCs w:val="24"/>
          <w:highlight w:val="none"/>
        </w:rPr>
        <w:t>合格投标供应商不足3家的，不得评标。</w:t>
      </w:r>
    </w:p>
    <w:p>
      <w:pPr>
        <w:pStyle w:val="4"/>
        <w:rPr>
          <w:color w:val="auto"/>
          <w:highlight w:val="none"/>
        </w:rPr>
      </w:pPr>
      <w:r>
        <w:rPr>
          <w:color w:val="auto"/>
          <w:highlight w:val="none"/>
        </w:rPr>
        <w:t>评标</w:t>
      </w:r>
    </w:p>
    <w:p>
      <w:pPr>
        <w:snapToGrid w:val="0"/>
        <w:spacing w:line="360" w:lineRule="auto"/>
        <w:ind w:firstLine="360" w:firstLineChars="150"/>
        <w:jc w:val="left"/>
        <w:rPr>
          <w:color w:val="auto"/>
          <w:highlight w:val="none"/>
        </w:rPr>
      </w:pPr>
      <w:r>
        <w:rPr>
          <w:color w:val="auto"/>
          <w:highlight w:val="none"/>
        </w:rPr>
        <w:t>（1）由采购人依法组建的评标委员会，依据采购文件规定的评标办法对所有投标文件进行评审，并向采购人书面提出评标报告。</w:t>
      </w:r>
    </w:p>
    <w:p>
      <w:pPr>
        <w:snapToGrid w:val="0"/>
        <w:spacing w:line="360" w:lineRule="auto"/>
        <w:ind w:firstLine="360" w:firstLineChars="150"/>
        <w:jc w:val="left"/>
        <w:rPr>
          <w:color w:val="auto"/>
          <w:highlight w:val="none"/>
        </w:rPr>
      </w:pPr>
      <w:r>
        <w:rPr>
          <w:color w:val="auto"/>
          <w:highlight w:val="none"/>
        </w:rPr>
        <w:t>（2）评标委员会将遵循公平、公正、科学的原则，对供应商提交的投标文件进行综合评审，评标委员会按照采购文件规定的评标细则（附后）进行评分，按综合评分高低推荐中标候选供应商名单。</w:t>
      </w:r>
    </w:p>
    <w:p>
      <w:pPr>
        <w:snapToGrid w:val="0"/>
        <w:spacing w:line="360" w:lineRule="auto"/>
        <w:ind w:firstLine="360" w:firstLineChars="150"/>
        <w:jc w:val="left"/>
        <w:rPr>
          <w:color w:val="auto"/>
          <w:highlight w:val="none"/>
        </w:rPr>
      </w:pPr>
      <w:r>
        <w:rPr>
          <w:color w:val="auto"/>
          <w:highlight w:val="none"/>
        </w:rPr>
        <w:t>（3）本次评标采用</w:t>
      </w:r>
      <w:r>
        <w:rPr>
          <w:color w:val="auto"/>
          <w:highlight w:val="none"/>
          <w:u w:val="single"/>
        </w:rPr>
        <w:t>综合评分法</w:t>
      </w:r>
      <w:r>
        <w:rPr>
          <w:color w:val="auto"/>
          <w:highlight w:val="none"/>
        </w:rPr>
        <w:t>，详见第三部分评标细则。</w:t>
      </w:r>
    </w:p>
    <w:p>
      <w:pPr>
        <w:snapToGrid w:val="0"/>
        <w:spacing w:line="360" w:lineRule="auto"/>
        <w:ind w:firstLine="361" w:firstLineChars="150"/>
        <w:jc w:val="left"/>
        <w:rPr>
          <w:b/>
          <w:bCs/>
          <w:color w:val="auto"/>
          <w:highlight w:val="none"/>
        </w:rPr>
      </w:pPr>
      <w:r>
        <w:rPr>
          <w:b/>
          <w:bCs/>
          <w:color w:val="auto"/>
          <w:highlight w:val="none"/>
        </w:rPr>
        <w:t>（4）</w:t>
      </w:r>
      <w:r>
        <w:rPr>
          <w:b/>
          <w:bCs/>
          <w:color w:val="auto"/>
          <w:szCs w:val="24"/>
          <w:highlight w:val="none"/>
        </w:rPr>
        <w:t>评标委员会认为投标供应商的报价明显低于其他通过符合性审查投标供应商的报价，有可能影响产品质量或者不能诚信履约的，应当要求其在评标现场合理的时间内提供书面说明，必要时提交相关证明材料</w:t>
      </w:r>
      <w:r>
        <w:rPr>
          <w:rFonts w:hint="eastAsia"/>
          <w:b/>
          <w:bCs/>
          <w:color w:val="auto"/>
          <w:szCs w:val="24"/>
          <w:highlight w:val="none"/>
        </w:rPr>
        <w:t>。</w:t>
      </w:r>
    </w:p>
    <w:p>
      <w:pPr>
        <w:snapToGrid w:val="0"/>
        <w:spacing w:line="360" w:lineRule="auto"/>
        <w:ind w:firstLine="361" w:firstLineChars="150"/>
        <w:jc w:val="left"/>
        <w:rPr>
          <w:b/>
          <w:bCs/>
          <w:color w:val="auto"/>
          <w:highlight w:val="none"/>
        </w:rPr>
      </w:pPr>
      <w:r>
        <w:rPr>
          <w:b/>
          <w:bCs/>
          <w:color w:val="auto"/>
          <w:highlight w:val="none"/>
        </w:rPr>
        <w:t>（5）开标后至采购人公布中标结果之前，有关投标文件的检查、澄清、评比和决标等信息，对与本过程无关的投标供应商及其他人员应保密。投标供应商不应对采购人或有关人员施加影响和试图获取评标信息，违者可能导致被取消中标资格。</w:t>
      </w:r>
    </w:p>
    <w:p>
      <w:pPr>
        <w:pStyle w:val="4"/>
        <w:rPr>
          <w:color w:val="auto"/>
          <w:highlight w:val="none"/>
        </w:rPr>
      </w:pPr>
      <w:r>
        <w:rPr>
          <w:color w:val="auto"/>
          <w:highlight w:val="none"/>
        </w:rPr>
        <w:t>开标、评标过程的监控</w:t>
      </w:r>
    </w:p>
    <w:p>
      <w:pPr>
        <w:pStyle w:val="19"/>
        <w:spacing w:line="360" w:lineRule="auto"/>
        <w:ind w:firstLine="480" w:firstLineChars="200"/>
        <w:rPr>
          <w:rFonts w:ascii="Times New Roman" w:hAnsi="Times New Roman"/>
          <w:color w:val="auto"/>
          <w:sz w:val="24"/>
          <w:szCs w:val="24"/>
          <w:highlight w:val="none"/>
        </w:rPr>
      </w:pPr>
      <w:r>
        <w:rPr>
          <w:rFonts w:ascii="Times New Roman" w:hAnsi="Times New Roman"/>
          <w:color w:val="auto"/>
          <w:sz w:val="24"/>
          <w:szCs w:val="24"/>
          <w:highlight w:val="none"/>
        </w:rPr>
        <w:t>本项目评标过程实行全程录音、录像监控，投标供应商在评标过程中所进行的试图影响评标结果的不公正活动，可能导致其投标被拒绝。</w:t>
      </w:r>
    </w:p>
    <w:p>
      <w:pPr>
        <w:pStyle w:val="4"/>
        <w:rPr>
          <w:color w:val="auto"/>
          <w:highlight w:val="none"/>
        </w:rPr>
      </w:pPr>
      <w:r>
        <w:rPr>
          <w:color w:val="auto"/>
          <w:highlight w:val="none"/>
        </w:rPr>
        <w:t>算术性修正</w:t>
      </w:r>
      <w:bookmarkStart w:id="26" w:name="_Toc233452572"/>
    </w:p>
    <w:bookmarkEnd w:id="26"/>
    <w:p>
      <w:pPr>
        <w:snapToGrid w:val="0"/>
        <w:spacing w:line="360" w:lineRule="auto"/>
        <w:ind w:firstLine="480" w:firstLineChars="200"/>
        <w:jc w:val="left"/>
        <w:rPr>
          <w:color w:val="auto"/>
          <w:highlight w:val="none"/>
        </w:rPr>
      </w:pPr>
      <w:r>
        <w:rPr>
          <w:color w:val="auto"/>
          <w:highlight w:val="none"/>
        </w:rPr>
        <w:t>（1）对实质上响应采购文件要求的投标文件，评标委员会将校核其投标</w:t>
      </w:r>
      <w:bookmarkStart w:id="27" w:name="_Toc233452573"/>
      <w:r>
        <w:rPr>
          <w:color w:val="auto"/>
          <w:highlight w:val="none"/>
        </w:rPr>
        <w:t>报价是否存在算术错误。修正错误的原则为：</w:t>
      </w:r>
      <w:bookmarkEnd w:id="27"/>
    </w:p>
    <w:p>
      <w:pPr>
        <w:widowControl/>
        <w:snapToGrid w:val="0"/>
        <w:spacing w:line="360" w:lineRule="auto"/>
        <w:ind w:firstLine="480" w:firstLineChars="200"/>
        <w:jc w:val="left"/>
        <w:rPr>
          <w:color w:val="auto"/>
          <w:szCs w:val="24"/>
          <w:highlight w:val="none"/>
        </w:rPr>
      </w:pPr>
      <w:r>
        <w:rPr>
          <w:color w:val="auto"/>
          <w:szCs w:val="24"/>
          <w:highlight w:val="none"/>
        </w:rPr>
        <w:t>1）投标文件中开标一览表内容与投标文件中相应内容不一致的，以开标一览表为准；</w:t>
      </w:r>
    </w:p>
    <w:p>
      <w:pPr>
        <w:widowControl/>
        <w:snapToGrid w:val="0"/>
        <w:spacing w:line="360" w:lineRule="auto"/>
        <w:ind w:firstLine="480" w:firstLineChars="200"/>
        <w:jc w:val="left"/>
        <w:rPr>
          <w:color w:val="auto"/>
          <w:szCs w:val="24"/>
          <w:highlight w:val="none"/>
        </w:rPr>
      </w:pPr>
      <w:r>
        <w:rPr>
          <w:color w:val="auto"/>
          <w:szCs w:val="24"/>
          <w:highlight w:val="none"/>
        </w:rPr>
        <w:t>2）大写金额和小写金额不一致的，以大写金额为准；</w:t>
      </w:r>
    </w:p>
    <w:p>
      <w:pPr>
        <w:widowControl/>
        <w:snapToGrid w:val="0"/>
        <w:spacing w:line="360" w:lineRule="auto"/>
        <w:ind w:firstLine="480" w:firstLineChars="200"/>
        <w:jc w:val="left"/>
        <w:rPr>
          <w:color w:val="auto"/>
          <w:szCs w:val="24"/>
          <w:highlight w:val="none"/>
        </w:rPr>
      </w:pPr>
      <w:r>
        <w:rPr>
          <w:color w:val="auto"/>
          <w:szCs w:val="24"/>
          <w:highlight w:val="none"/>
        </w:rPr>
        <w:t>3）单价金额小数点或者百分比有明显错位的，以开标一览表的总价为准，并修改单价；</w:t>
      </w:r>
    </w:p>
    <w:p>
      <w:pPr>
        <w:widowControl/>
        <w:snapToGrid w:val="0"/>
        <w:spacing w:line="360" w:lineRule="auto"/>
        <w:ind w:firstLine="480" w:firstLineChars="200"/>
        <w:jc w:val="left"/>
        <w:rPr>
          <w:color w:val="auto"/>
          <w:szCs w:val="24"/>
          <w:highlight w:val="none"/>
        </w:rPr>
      </w:pPr>
      <w:r>
        <w:rPr>
          <w:color w:val="auto"/>
          <w:szCs w:val="24"/>
          <w:highlight w:val="none"/>
        </w:rPr>
        <w:t>4）总价金额与按单价汇总金额不一致的，以单价金额计算结果为准；</w:t>
      </w:r>
    </w:p>
    <w:p>
      <w:pPr>
        <w:widowControl/>
        <w:snapToGrid w:val="0"/>
        <w:spacing w:line="360" w:lineRule="auto"/>
        <w:ind w:firstLine="480" w:firstLineChars="200"/>
        <w:jc w:val="left"/>
        <w:rPr>
          <w:color w:val="auto"/>
          <w:highlight w:val="none"/>
        </w:rPr>
      </w:pPr>
      <w:r>
        <w:rPr>
          <w:color w:val="auto"/>
          <w:szCs w:val="24"/>
          <w:highlight w:val="none"/>
        </w:rPr>
        <w:t>5）</w:t>
      </w:r>
      <w:r>
        <w:rPr>
          <w:color w:val="auto"/>
          <w:highlight w:val="none"/>
        </w:rPr>
        <w:t>对不同文字文本投标文件的解释发生异议的，以中文文本为准。</w:t>
      </w:r>
    </w:p>
    <w:p>
      <w:pPr>
        <w:widowControl/>
        <w:snapToGrid w:val="0"/>
        <w:spacing w:line="360" w:lineRule="auto"/>
        <w:ind w:firstLine="480" w:firstLineChars="200"/>
        <w:jc w:val="left"/>
        <w:rPr>
          <w:color w:val="auto"/>
          <w:szCs w:val="24"/>
          <w:highlight w:val="none"/>
        </w:rPr>
      </w:pPr>
      <w:r>
        <w:rPr>
          <w:color w:val="auto"/>
          <w:szCs w:val="24"/>
          <w:highlight w:val="none"/>
        </w:rPr>
        <w:t>同时出现两种以上不一致的，按照前款规定的顺序修正。</w:t>
      </w:r>
    </w:p>
    <w:p>
      <w:pPr>
        <w:snapToGrid w:val="0"/>
        <w:spacing w:line="360" w:lineRule="auto"/>
        <w:ind w:firstLine="472" w:firstLineChars="196"/>
        <w:jc w:val="left"/>
        <w:rPr>
          <w:b/>
          <w:bCs/>
          <w:color w:val="auto"/>
          <w:highlight w:val="none"/>
        </w:rPr>
      </w:pPr>
      <w:r>
        <w:rPr>
          <w:b/>
          <w:bCs/>
          <w:color w:val="auto"/>
          <w:highlight w:val="none"/>
        </w:rPr>
        <w:t>（2）评标委员会将按上述算术性修正原则修正投标供应商的投标报价，并</w:t>
      </w:r>
      <w:r>
        <w:rPr>
          <w:rFonts w:hint="eastAsia"/>
          <w:b/>
          <w:bCs/>
          <w:color w:val="auto"/>
          <w:highlight w:val="none"/>
        </w:rPr>
        <w:t>在线</w:t>
      </w:r>
      <w:r>
        <w:rPr>
          <w:b/>
          <w:bCs/>
          <w:color w:val="auto"/>
          <w:highlight w:val="none"/>
        </w:rPr>
        <w:t>通知投标供应商确认。如投标供应商确认，修正后的报价对投标供应商起约束作用。</w:t>
      </w:r>
    </w:p>
    <w:p>
      <w:pPr>
        <w:pStyle w:val="4"/>
        <w:rPr>
          <w:color w:val="auto"/>
          <w:highlight w:val="none"/>
        </w:rPr>
      </w:pPr>
      <w:r>
        <w:rPr>
          <w:color w:val="auto"/>
          <w:highlight w:val="none"/>
        </w:rPr>
        <w:t>投标文件的澄清、说明或者补正</w:t>
      </w:r>
    </w:p>
    <w:p>
      <w:pPr>
        <w:widowControl/>
        <w:snapToGrid w:val="0"/>
        <w:spacing w:line="360" w:lineRule="auto"/>
        <w:ind w:firstLine="480" w:firstLineChars="200"/>
        <w:jc w:val="left"/>
        <w:rPr>
          <w:color w:val="auto"/>
          <w:szCs w:val="24"/>
          <w:highlight w:val="none"/>
        </w:rPr>
      </w:pPr>
      <w:r>
        <w:rPr>
          <w:color w:val="auto"/>
          <w:highlight w:val="none"/>
        </w:rPr>
        <w:t>（1）评标过程中，评标委员会</w:t>
      </w:r>
      <w:r>
        <w:rPr>
          <w:rFonts w:hint="eastAsia"/>
          <w:color w:val="auto"/>
          <w:highlight w:val="none"/>
        </w:rPr>
        <w:t>可以</w:t>
      </w:r>
      <w:r>
        <w:rPr>
          <w:color w:val="auto"/>
          <w:highlight w:val="none"/>
        </w:rPr>
        <w:t>要求投标供应商</w:t>
      </w:r>
      <w:r>
        <w:rPr>
          <w:color w:val="auto"/>
          <w:szCs w:val="24"/>
          <w:highlight w:val="none"/>
        </w:rPr>
        <w:t>对于投标文件中含义不明确、同类问题表述不一致或者有明显文字和计算错误的内容，作出必要的澄清、说明或者补正。</w:t>
      </w:r>
    </w:p>
    <w:p>
      <w:pPr>
        <w:snapToGrid w:val="0"/>
        <w:spacing w:line="360" w:lineRule="auto"/>
        <w:ind w:firstLine="480" w:firstLineChars="200"/>
        <w:jc w:val="left"/>
        <w:rPr>
          <w:color w:val="auto"/>
          <w:highlight w:val="none"/>
        </w:rPr>
      </w:pPr>
      <w:r>
        <w:rPr>
          <w:color w:val="auto"/>
          <w:highlight w:val="none"/>
        </w:rPr>
        <w:t>（2）评审中需要供应商对投标、响应文件作出澄清、说明或者补正的，评审小组和供应商应当通过电子交易平台交换数据电文。给予供应商提交澄清说明或补正的时间为半小时，供应商已经明确表示澄清说明或补正完毕的除外。</w:t>
      </w:r>
    </w:p>
    <w:p>
      <w:pPr>
        <w:pStyle w:val="2"/>
        <w:rPr>
          <w:color w:val="auto"/>
          <w:highlight w:val="none"/>
        </w:rPr>
      </w:pPr>
      <w:bookmarkStart w:id="28" w:name="_Toc27890"/>
      <w:r>
        <w:rPr>
          <w:color w:val="auto"/>
          <w:highlight w:val="none"/>
        </w:rPr>
        <w:t>中标</w:t>
      </w:r>
      <w:bookmarkEnd w:id="28"/>
    </w:p>
    <w:p>
      <w:pPr>
        <w:pStyle w:val="4"/>
        <w:rPr>
          <w:color w:val="auto"/>
          <w:highlight w:val="none"/>
        </w:rPr>
      </w:pPr>
      <w:r>
        <w:rPr>
          <w:color w:val="auto"/>
          <w:highlight w:val="none"/>
        </w:rPr>
        <w:t>中标供应商的确定</w:t>
      </w:r>
    </w:p>
    <w:p>
      <w:pPr>
        <w:snapToGrid w:val="0"/>
        <w:spacing w:line="360" w:lineRule="auto"/>
        <w:ind w:firstLine="480" w:firstLineChars="200"/>
        <w:jc w:val="left"/>
        <w:rPr>
          <w:color w:val="auto"/>
          <w:highlight w:val="none"/>
        </w:rPr>
      </w:pPr>
      <w:r>
        <w:rPr>
          <w:color w:val="auto"/>
          <w:highlight w:val="none"/>
        </w:rPr>
        <w:t>（1）采购人根据评标委员会提出的评标报告确定中标供应商。</w:t>
      </w:r>
    </w:p>
    <w:p>
      <w:pPr>
        <w:snapToGrid w:val="0"/>
        <w:spacing w:line="360" w:lineRule="auto"/>
        <w:ind w:firstLine="480" w:firstLineChars="200"/>
        <w:jc w:val="left"/>
        <w:rPr>
          <w:color w:val="auto"/>
          <w:highlight w:val="none"/>
        </w:rPr>
      </w:pPr>
      <w:r>
        <w:rPr>
          <w:color w:val="auto"/>
          <w:highlight w:val="none"/>
        </w:rPr>
        <w:t>（2）采购人不保证投标报价最低的投标供应商中标，也无义务对未中标的投标供应商作任何解释和说明。</w:t>
      </w:r>
    </w:p>
    <w:p>
      <w:pPr>
        <w:snapToGrid w:val="0"/>
        <w:spacing w:line="360" w:lineRule="auto"/>
        <w:ind w:firstLine="480" w:firstLineChars="200"/>
        <w:jc w:val="left"/>
        <w:rPr>
          <w:color w:val="auto"/>
          <w:highlight w:val="none"/>
        </w:rPr>
      </w:pPr>
      <w:r>
        <w:rPr>
          <w:color w:val="auto"/>
          <w:highlight w:val="none"/>
        </w:rPr>
        <w:t>（3）采购人原则上应当确定第一中标候选人为中标供应商。当第一中标候选人放弃中标、或因不可抗力提出不能履行合同，采购人可以确定第二中标候选人为中标供应商。当第二中标候选人放弃中标、或因不可抗力提出不能履行合同，采购人可以确定第三中标候选人为中标供应商。当第三中标候选人仍因上述原因不能履行合同时，应当重新采购。</w:t>
      </w:r>
    </w:p>
    <w:p>
      <w:pPr>
        <w:pStyle w:val="4"/>
        <w:rPr>
          <w:color w:val="auto"/>
          <w:highlight w:val="none"/>
        </w:rPr>
      </w:pPr>
      <w:r>
        <w:rPr>
          <w:color w:val="auto"/>
          <w:highlight w:val="none"/>
        </w:rPr>
        <w:t>中标通知</w:t>
      </w:r>
    </w:p>
    <w:p>
      <w:pPr>
        <w:snapToGrid w:val="0"/>
        <w:spacing w:line="360" w:lineRule="auto"/>
        <w:ind w:firstLine="480" w:firstLineChars="200"/>
        <w:jc w:val="left"/>
        <w:rPr>
          <w:color w:val="auto"/>
          <w:highlight w:val="none"/>
        </w:rPr>
      </w:pPr>
      <w:r>
        <w:rPr>
          <w:color w:val="auto"/>
          <w:highlight w:val="none"/>
        </w:rPr>
        <w:t>在本须知第2.3.3条规定的投标文件有效期内，采购代理机构应向中标人发出中标通知书，并同时将中标结果通知所有未中标的投标供应商。</w:t>
      </w:r>
    </w:p>
    <w:p>
      <w:pPr>
        <w:pStyle w:val="2"/>
        <w:rPr>
          <w:color w:val="auto"/>
          <w:highlight w:val="none"/>
        </w:rPr>
      </w:pPr>
      <w:bookmarkStart w:id="29" w:name="_Toc26042"/>
      <w:r>
        <w:rPr>
          <w:color w:val="auto"/>
          <w:highlight w:val="none"/>
        </w:rPr>
        <w:t>重新采购</w:t>
      </w:r>
      <w:bookmarkEnd w:id="29"/>
    </w:p>
    <w:p>
      <w:pPr>
        <w:snapToGrid w:val="0"/>
        <w:spacing w:line="360" w:lineRule="auto"/>
        <w:ind w:firstLine="480" w:firstLineChars="200"/>
        <w:jc w:val="left"/>
        <w:rPr>
          <w:color w:val="auto"/>
          <w:highlight w:val="none"/>
        </w:rPr>
      </w:pPr>
      <w:r>
        <w:rPr>
          <w:color w:val="auto"/>
          <w:highlight w:val="none"/>
        </w:rPr>
        <w:t>（1）在采购中，出现下列情形之一的，将重新采购：</w:t>
      </w:r>
    </w:p>
    <w:p>
      <w:pPr>
        <w:snapToGrid w:val="0"/>
        <w:spacing w:line="360" w:lineRule="auto"/>
        <w:ind w:firstLine="480" w:firstLineChars="200"/>
        <w:jc w:val="left"/>
        <w:rPr>
          <w:color w:val="auto"/>
          <w:highlight w:val="none"/>
        </w:rPr>
      </w:pPr>
      <w:r>
        <w:rPr>
          <w:color w:val="auto"/>
          <w:highlight w:val="none"/>
        </w:rPr>
        <w:t>1）符合专业条件的供应商或者对</w:t>
      </w:r>
      <w:r>
        <w:rPr>
          <w:rFonts w:hint="eastAsia"/>
          <w:color w:val="auto"/>
          <w:highlight w:val="none"/>
        </w:rPr>
        <w:t>采购</w:t>
      </w:r>
      <w:r>
        <w:rPr>
          <w:color w:val="auto"/>
          <w:highlight w:val="none"/>
        </w:rPr>
        <w:t>文件作实质响应的供应商不足三家的；</w:t>
      </w:r>
    </w:p>
    <w:p>
      <w:pPr>
        <w:snapToGrid w:val="0"/>
        <w:spacing w:line="360" w:lineRule="auto"/>
        <w:ind w:firstLine="480" w:firstLineChars="200"/>
        <w:jc w:val="left"/>
        <w:rPr>
          <w:color w:val="auto"/>
          <w:highlight w:val="none"/>
        </w:rPr>
      </w:pPr>
      <w:r>
        <w:rPr>
          <w:color w:val="auto"/>
          <w:highlight w:val="none"/>
        </w:rPr>
        <w:t>2）出现影响采购公正的违法、违规行为的；</w:t>
      </w:r>
    </w:p>
    <w:p>
      <w:pPr>
        <w:snapToGrid w:val="0"/>
        <w:spacing w:line="360" w:lineRule="auto"/>
        <w:ind w:firstLine="480" w:firstLineChars="200"/>
        <w:jc w:val="left"/>
        <w:rPr>
          <w:color w:val="auto"/>
          <w:highlight w:val="none"/>
        </w:rPr>
      </w:pPr>
      <w:r>
        <w:rPr>
          <w:color w:val="auto"/>
          <w:highlight w:val="none"/>
        </w:rPr>
        <w:t>3）投标供应商的报价均超过了采购预算，采购人不能支付的；</w:t>
      </w:r>
    </w:p>
    <w:p>
      <w:pPr>
        <w:snapToGrid w:val="0"/>
        <w:spacing w:line="360" w:lineRule="auto"/>
        <w:ind w:firstLine="480" w:firstLineChars="200"/>
        <w:jc w:val="left"/>
        <w:rPr>
          <w:color w:val="auto"/>
          <w:highlight w:val="none"/>
        </w:rPr>
      </w:pPr>
      <w:r>
        <w:rPr>
          <w:color w:val="auto"/>
          <w:highlight w:val="none"/>
        </w:rPr>
        <w:t>4）因重大变故，采购任务取消的。</w:t>
      </w:r>
    </w:p>
    <w:p>
      <w:pPr>
        <w:pStyle w:val="2"/>
        <w:rPr>
          <w:color w:val="auto"/>
          <w:highlight w:val="none"/>
        </w:rPr>
      </w:pPr>
      <w:bookmarkStart w:id="30" w:name="_Toc29590"/>
      <w:r>
        <w:rPr>
          <w:color w:val="auto"/>
          <w:highlight w:val="none"/>
        </w:rPr>
        <w:t>签订合同</w:t>
      </w:r>
      <w:bookmarkEnd w:id="30"/>
    </w:p>
    <w:p>
      <w:pPr>
        <w:snapToGrid w:val="0"/>
        <w:spacing w:line="360" w:lineRule="auto"/>
        <w:ind w:firstLine="570"/>
        <w:jc w:val="left"/>
        <w:rPr>
          <w:color w:val="auto"/>
          <w:highlight w:val="none"/>
        </w:rPr>
      </w:pPr>
      <w:r>
        <w:rPr>
          <w:color w:val="auto"/>
          <w:highlight w:val="none"/>
        </w:rPr>
        <w:t>2.1</w:t>
      </w:r>
      <w:r>
        <w:rPr>
          <w:rFonts w:hint="eastAsia"/>
          <w:color w:val="auto"/>
          <w:highlight w:val="none"/>
        </w:rPr>
        <w:t>0</w:t>
      </w:r>
      <w:r>
        <w:rPr>
          <w:color w:val="auto"/>
          <w:highlight w:val="none"/>
        </w:rPr>
        <w:t>.1 采购人与中标供应商自中标通知书发出之日起</w:t>
      </w:r>
      <w:r>
        <w:rPr>
          <w:color w:val="auto"/>
          <w:highlight w:val="none"/>
          <w:u w:val="single"/>
        </w:rPr>
        <w:t xml:space="preserve"> 30 </w:t>
      </w:r>
      <w:r>
        <w:rPr>
          <w:color w:val="auto"/>
          <w:highlight w:val="none"/>
        </w:rPr>
        <w:t>天内，订立书面合同。</w:t>
      </w:r>
    </w:p>
    <w:p>
      <w:pPr>
        <w:snapToGrid w:val="0"/>
        <w:spacing w:line="360" w:lineRule="auto"/>
        <w:ind w:firstLine="570"/>
        <w:jc w:val="left"/>
        <w:rPr>
          <w:color w:val="auto"/>
          <w:highlight w:val="none"/>
        </w:rPr>
      </w:pPr>
      <w:r>
        <w:rPr>
          <w:color w:val="auto"/>
          <w:highlight w:val="none"/>
        </w:rPr>
        <w:t>2.1</w:t>
      </w:r>
      <w:r>
        <w:rPr>
          <w:rFonts w:hint="eastAsia"/>
          <w:color w:val="auto"/>
          <w:highlight w:val="none"/>
        </w:rPr>
        <w:t>0</w:t>
      </w:r>
      <w:r>
        <w:rPr>
          <w:color w:val="auto"/>
          <w:highlight w:val="none"/>
        </w:rPr>
        <w:t>.2 中标供应商在规定时间内不与采购人签订合同，又无正当理由，采购人可取消其中标资格。在此情况下，采购人可依序与确定的其他中标候选供应商签订合同。</w:t>
      </w:r>
    </w:p>
    <w:p>
      <w:pPr>
        <w:pStyle w:val="2"/>
        <w:rPr>
          <w:color w:val="auto"/>
          <w:highlight w:val="none"/>
        </w:rPr>
      </w:pPr>
      <w:bookmarkStart w:id="31" w:name="_Toc24023"/>
      <w:r>
        <w:rPr>
          <w:color w:val="auto"/>
          <w:highlight w:val="none"/>
        </w:rPr>
        <w:t>其他</w:t>
      </w:r>
      <w:bookmarkEnd w:id="31"/>
    </w:p>
    <w:p>
      <w:pPr>
        <w:snapToGrid w:val="0"/>
        <w:spacing w:line="360" w:lineRule="auto"/>
        <w:ind w:firstLine="480" w:firstLineChars="200"/>
        <w:jc w:val="left"/>
        <w:rPr>
          <w:color w:val="auto"/>
          <w:highlight w:val="none"/>
        </w:rPr>
      </w:pPr>
      <w:r>
        <w:rPr>
          <w:color w:val="auto"/>
          <w:highlight w:val="none"/>
        </w:rPr>
        <w:t>2.1</w:t>
      </w:r>
      <w:r>
        <w:rPr>
          <w:rFonts w:hint="eastAsia"/>
          <w:color w:val="auto"/>
          <w:highlight w:val="none"/>
        </w:rPr>
        <w:t>1</w:t>
      </w:r>
      <w:r>
        <w:rPr>
          <w:color w:val="auto"/>
          <w:highlight w:val="none"/>
        </w:rPr>
        <w:t>.1 特别声明：价格是评标的重要因素之一，但最低报价不是中标的唯一依据。</w:t>
      </w:r>
    </w:p>
    <w:p>
      <w:pPr>
        <w:snapToGrid w:val="0"/>
        <w:spacing w:line="360" w:lineRule="auto"/>
        <w:ind w:firstLine="480" w:firstLineChars="200"/>
        <w:jc w:val="left"/>
        <w:rPr>
          <w:b/>
          <w:bCs/>
          <w:color w:val="auto"/>
          <w:highlight w:val="none"/>
        </w:rPr>
      </w:pPr>
      <w:r>
        <w:rPr>
          <w:color w:val="auto"/>
          <w:highlight w:val="none"/>
        </w:rPr>
        <w:t>2.1</w:t>
      </w:r>
      <w:r>
        <w:rPr>
          <w:rFonts w:hint="eastAsia"/>
          <w:color w:val="auto"/>
          <w:highlight w:val="none"/>
        </w:rPr>
        <w:t>1</w:t>
      </w:r>
      <w:r>
        <w:rPr>
          <w:color w:val="auto"/>
          <w:highlight w:val="none"/>
        </w:rPr>
        <w:t>.2 采购人根据有关规定计算得出的承担本项目所需的经费，即本次公开采购所设的预算控制价，</w:t>
      </w:r>
      <w:r>
        <w:rPr>
          <w:b/>
          <w:bCs/>
          <w:color w:val="auto"/>
          <w:highlight w:val="none"/>
        </w:rPr>
        <w:t>为人民币</w:t>
      </w:r>
      <w:r>
        <w:rPr>
          <w:rFonts w:hint="eastAsia"/>
          <w:b/>
          <w:bCs/>
          <w:color w:val="auto"/>
          <w:highlight w:val="none"/>
          <w:u w:val="single"/>
          <w:lang w:val="en-US" w:eastAsia="zh-CN"/>
        </w:rPr>
        <w:t>19.5</w:t>
      </w:r>
      <w:r>
        <w:rPr>
          <w:rFonts w:hint="eastAsia"/>
          <w:b/>
          <w:bCs/>
          <w:color w:val="auto"/>
          <w:highlight w:val="none"/>
        </w:rPr>
        <w:t>万元</w:t>
      </w:r>
      <w:r>
        <w:rPr>
          <w:b/>
          <w:bCs/>
          <w:color w:val="auto"/>
          <w:highlight w:val="none"/>
        </w:rPr>
        <w:t>整</w:t>
      </w:r>
      <w:r>
        <w:rPr>
          <w:rFonts w:hint="eastAsia"/>
          <w:b/>
          <w:bCs/>
          <w:color w:val="auto"/>
          <w:highlight w:val="none"/>
        </w:rPr>
        <w:t>。</w:t>
      </w:r>
    </w:p>
    <w:p>
      <w:pPr>
        <w:pStyle w:val="19"/>
        <w:spacing w:line="360" w:lineRule="auto"/>
        <w:ind w:firstLine="480" w:firstLineChars="200"/>
        <w:rPr>
          <w:rFonts w:ascii="Times New Roman" w:hAnsi="Times New Roman"/>
          <w:color w:val="auto"/>
          <w:kern w:val="0"/>
          <w:sz w:val="24"/>
          <w:szCs w:val="22"/>
          <w:highlight w:val="none"/>
        </w:rPr>
      </w:pPr>
      <w:r>
        <w:rPr>
          <w:rFonts w:ascii="Times New Roman" w:hAnsi="Times New Roman"/>
          <w:color w:val="auto"/>
          <w:kern w:val="0"/>
          <w:sz w:val="24"/>
          <w:szCs w:val="22"/>
          <w:highlight w:val="none"/>
        </w:rPr>
        <w:t>2.11.3 中标服务费</w:t>
      </w:r>
    </w:p>
    <w:p>
      <w:pPr>
        <w:snapToGrid w:val="0"/>
        <w:spacing w:line="360" w:lineRule="auto"/>
        <w:ind w:firstLine="564" w:firstLineChars="235"/>
        <w:jc w:val="left"/>
        <w:rPr>
          <w:color w:val="auto"/>
          <w:highlight w:val="none"/>
        </w:rPr>
      </w:pPr>
      <w:r>
        <w:rPr>
          <w:color w:val="auto"/>
          <w:highlight w:val="none"/>
        </w:rPr>
        <w:t>（1）中标供应商须向采购代理机构按如下标准交纳中标服务费：</w:t>
      </w:r>
    </w:p>
    <w:p>
      <w:pPr>
        <w:snapToGrid w:val="0"/>
        <w:spacing w:line="360" w:lineRule="auto"/>
        <w:ind w:firstLine="564" w:firstLineChars="235"/>
        <w:jc w:val="left"/>
        <w:rPr>
          <w:color w:val="auto"/>
          <w:highlight w:val="none"/>
        </w:rPr>
      </w:pPr>
      <w:r>
        <w:rPr>
          <w:color w:val="auto"/>
          <w:highlight w:val="none"/>
        </w:rPr>
        <w:t>参照《国家发展改革委关于进一步放开建设项目专业服务价格的通知》（发改价格〔2015〕299号）文件执行。以中标通知书中确定的中标总金额作为收费的计算基数，分段计算：</w:t>
      </w:r>
      <w:r>
        <w:rPr>
          <w:rFonts w:hint="eastAsia"/>
          <w:color w:val="auto"/>
          <w:highlight w:val="none"/>
        </w:rPr>
        <w:t>①</w:t>
      </w:r>
      <w:r>
        <w:rPr>
          <w:color w:val="auto"/>
          <w:highlight w:val="none"/>
        </w:rPr>
        <w:t>服务类，100万元以下按1.5%，100～500万元按0.8%计算，500～1000万元按0.45%计算，1000~5000万元按0.</w:t>
      </w:r>
      <w:r>
        <w:rPr>
          <w:rFonts w:hint="eastAsia"/>
          <w:color w:val="auto"/>
          <w:highlight w:val="none"/>
        </w:rPr>
        <w:t>25</w:t>
      </w:r>
      <w:r>
        <w:rPr>
          <w:color w:val="auto"/>
          <w:highlight w:val="none"/>
        </w:rPr>
        <w:t>%计算；</w:t>
      </w:r>
      <w:r>
        <w:rPr>
          <w:rFonts w:hint="eastAsia"/>
          <w:color w:val="auto"/>
          <w:highlight w:val="none"/>
        </w:rPr>
        <w:t>②</w:t>
      </w:r>
      <w:r>
        <w:rPr>
          <w:color w:val="auto"/>
          <w:highlight w:val="none"/>
        </w:rPr>
        <w:t>货物类，100万元以下按1.5%，100～500万元按1.1%计算，500～1000万元按0.8%计算；</w:t>
      </w:r>
      <w:r>
        <w:rPr>
          <w:rFonts w:hint="eastAsia" w:ascii="宋体" w:hAnsi="宋体" w:cs="宋体"/>
          <w:color w:val="auto"/>
          <w:highlight w:val="none"/>
          <w:lang w:eastAsia="ja-JP"/>
        </w:rPr>
        <w:t>③</w:t>
      </w:r>
      <w:r>
        <w:rPr>
          <w:color w:val="auto"/>
          <w:highlight w:val="none"/>
        </w:rPr>
        <w:t>工程类，100万元以下按1.0%，100～500万元按0.7%计算，500～1000万元按0.55%计算。</w:t>
      </w:r>
      <w:r>
        <w:rPr>
          <w:rFonts w:hint="eastAsia"/>
          <w:color w:val="auto"/>
          <w:highlight w:val="none"/>
        </w:rPr>
        <w:t>④</w:t>
      </w:r>
      <w:r>
        <w:rPr>
          <w:color w:val="auto"/>
          <w:highlight w:val="none"/>
        </w:rPr>
        <w:t>不足5000元的按5000元计。</w:t>
      </w:r>
    </w:p>
    <w:p>
      <w:pPr>
        <w:snapToGrid w:val="0"/>
        <w:spacing w:line="360" w:lineRule="auto"/>
        <w:ind w:firstLine="564" w:firstLineChars="235"/>
        <w:jc w:val="left"/>
        <w:rPr>
          <w:color w:val="auto"/>
          <w:highlight w:val="none"/>
        </w:rPr>
      </w:pPr>
      <w:r>
        <w:rPr>
          <w:color w:val="auto"/>
          <w:highlight w:val="none"/>
        </w:rPr>
        <w:t>本项目按</w:t>
      </w:r>
      <w:r>
        <w:rPr>
          <w:color w:val="auto"/>
          <w:highlight w:val="none"/>
          <w:u w:val="single"/>
        </w:rPr>
        <w:t>条款</w:t>
      </w:r>
      <w:r>
        <w:rPr>
          <w:rFonts w:hint="eastAsia" w:ascii="宋体" w:hAnsi="宋体" w:cs="宋体"/>
          <w:color w:val="auto"/>
          <w:highlight w:val="none"/>
          <w:u w:val="single"/>
          <w:lang w:val="en-US" w:eastAsia="zh-CN"/>
        </w:rPr>
        <w:t>①</w:t>
      </w:r>
      <w:r>
        <w:rPr>
          <w:color w:val="auto"/>
          <w:highlight w:val="none"/>
        </w:rPr>
        <w:t>计取</w:t>
      </w:r>
      <w:r>
        <w:rPr>
          <w:rFonts w:hint="eastAsia"/>
          <w:color w:val="auto"/>
          <w:highlight w:val="none"/>
          <w:lang w:eastAsia="zh-CN"/>
        </w:rPr>
        <w:t>，</w:t>
      </w:r>
      <w:r>
        <w:rPr>
          <w:color w:val="auto"/>
          <w:highlight w:val="none"/>
        </w:rPr>
        <w:t>不足5000元的按5000元计。</w:t>
      </w:r>
    </w:p>
    <w:p>
      <w:pPr>
        <w:numPr>
          <w:ilvl w:val="0"/>
          <w:numId w:val="3"/>
        </w:numPr>
        <w:snapToGrid w:val="0"/>
        <w:spacing w:line="360" w:lineRule="auto"/>
        <w:ind w:firstLine="564" w:firstLineChars="235"/>
        <w:jc w:val="left"/>
        <w:rPr>
          <w:color w:val="auto"/>
          <w:highlight w:val="none"/>
        </w:rPr>
      </w:pPr>
      <w:r>
        <w:rPr>
          <w:color w:val="auto"/>
          <w:highlight w:val="none"/>
        </w:rPr>
        <w:t>中标服务费缴纳时间及方式：</w:t>
      </w:r>
    </w:p>
    <w:p>
      <w:pPr>
        <w:snapToGrid w:val="0"/>
        <w:spacing w:line="360" w:lineRule="auto"/>
        <w:ind w:firstLine="480" w:firstLineChars="200"/>
        <w:jc w:val="left"/>
        <w:rPr>
          <w:color w:val="auto"/>
          <w:highlight w:val="none"/>
        </w:rPr>
      </w:pPr>
      <w:r>
        <w:rPr>
          <w:color w:val="auto"/>
          <w:highlight w:val="none"/>
        </w:rPr>
        <w:t>中标服务费应在中标通知书发出之日以现金、电汇、网银形式汇入以下账户，</w:t>
      </w:r>
      <w:r>
        <w:rPr>
          <w:b/>
          <w:bCs/>
          <w:color w:val="auto"/>
          <w:highlight w:val="none"/>
        </w:rPr>
        <w:t>并注明采购编号，</w:t>
      </w:r>
      <w:r>
        <w:rPr>
          <w:color w:val="auto"/>
          <w:highlight w:val="none"/>
        </w:rPr>
        <w:t>账户信息如下：</w:t>
      </w:r>
    </w:p>
    <w:p>
      <w:pPr>
        <w:snapToGrid w:val="0"/>
        <w:spacing w:line="360" w:lineRule="auto"/>
        <w:ind w:firstLine="482" w:firstLineChars="200"/>
        <w:jc w:val="left"/>
        <w:rPr>
          <w:b/>
          <w:bCs/>
          <w:color w:val="auto"/>
          <w:highlight w:val="none"/>
        </w:rPr>
      </w:pPr>
      <w:r>
        <w:rPr>
          <w:b/>
          <w:bCs/>
          <w:color w:val="auto"/>
          <w:highlight w:val="none"/>
        </w:rPr>
        <w:t>单位全称：</w:t>
      </w:r>
      <w:r>
        <w:rPr>
          <w:rFonts w:hint="eastAsia"/>
          <w:b/>
          <w:bCs/>
          <w:color w:val="auto"/>
          <w:highlight w:val="none"/>
        </w:rPr>
        <w:t>浙江水利水电工程审价中心有限公司</w:t>
      </w:r>
    </w:p>
    <w:p>
      <w:pPr>
        <w:snapToGrid w:val="0"/>
        <w:spacing w:line="360" w:lineRule="auto"/>
        <w:ind w:firstLine="482" w:firstLineChars="200"/>
        <w:jc w:val="left"/>
        <w:rPr>
          <w:b/>
          <w:bCs/>
          <w:color w:val="auto"/>
          <w:highlight w:val="none"/>
        </w:rPr>
      </w:pPr>
      <w:r>
        <w:rPr>
          <w:b/>
          <w:bCs/>
          <w:color w:val="auto"/>
          <w:highlight w:val="none"/>
        </w:rPr>
        <w:t>账号：1202009709900000706</w:t>
      </w:r>
    </w:p>
    <w:p>
      <w:pPr>
        <w:spacing w:line="300" w:lineRule="auto"/>
        <w:ind w:firstLine="482" w:firstLineChars="200"/>
        <w:rPr>
          <w:b/>
          <w:bCs/>
          <w:color w:val="auto"/>
          <w:highlight w:val="none"/>
        </w:rPr>
      </w:pPr>
      <w:r>
        <w:rPr>
          <w:b/>
          <w:bCs/>
          <w:color w:val="auto"/>
          <w:highlight w:val="none"/>
        </w:rPr>
        <w:t>开户行：工商银行杭州景芳支行</w:t>
      </w:r>
    </w:p>
    <w:p>
      <w:pPr>
        <w:spacing w:line="300" w:lineRule="auto"/>
        <w:rPr>
          <w:b/>
          <w:bCs/>
          <w:color w:val="auto"/>
          <w:highlight w:val="none"/>
        </w:rPr>
        <w:sectPr>
          <w:pgSz w:w="11907" w:h="16840"/>
          <w:pgMar w:top="1418" w:right="1417" w:bottom="1418" w:left="1531" w:header="737" w:footer="851" w:gutter="0"/>
          <w:cols w:space="720" w:num="1"/>
          <w:docGrid w:linePitch="326" w:charSpace="0"/>
        </w:sectPr>
      </w:pPr>
    </w:p>
    <w:p>
      <w:pPr>
        <w:pStyle w:val="3"/>
        <w:rPr>
          <w:color w:val="auto"/>
          <w:highlight w:val="none"/>
        </w:rPr>
      </w:pPr>
      <w:bookmarkStart w:id="32" w:name="_Toc11850"/>
      <w:r>
        <w:rPr>
          <w:color w:val="auto"/>
          <w:highlight w:val="none"/>
        </w:rPr>
        <w:t>评标细则</w:t>
      </w:r>
      <w:bookmarkEnd w:id="32"/>
    </w:p>
    <w:p>
      <w:pPr>
        <w:pStyle w:val="2"/>
        <w:rPr>
          <w:color w:val="auto"/>
          <w:highlight w:val="none"/>
        </w:rPr>
      </w:pPr>
      <w:bookmarkStart w:id="33" w:name="_Toc28476"/>
      <w:r>
        <w:rPr>
          <w:color w:val="auto"/>
          <w:highlight w:val="none"/>
        </w:rPr>
        <w:t>评标组织</w:t>
      </w:r>
      <w:bookmarkEnd w:id="33"/>
    </w:p>
    <w:p>
      <w:pPr>
        <w:spacing w:line="360" w:lineRule="auto"/>
        <w:ind w:firstLine="480" w:firstLineChars="200"/>
        <w:rPr>
          <w:color w:val="auto"/>
          <w:highlight w:val="none"/>
        </w:rPr>
      </w:pPr>
      <w:r>
        <w:rPr>
          <w:color w:val="auto"/>
          <w:highlight w:val="none"/>
        </w:rPr>
        <w:t>评标工作由采购人依法组建的评标委员会负责。</w:t>
      </w:r>
    </w:p>
    <w:p>
      <w:pPr>
        <w:widowControl/>
        <w:snapToGrid w:val="0"/>
        <w:spacing w:line="360" w:lineRule="auto"/>
        <w:ind w:firstLine="480" w:firstLineChars="200"/>
        <w:jc w:val="left"/>
        <w:rPr>
          <w:color w:val="auto"/>
          <w:szCs w:val="24"/>
          <w:highlight w:val="none"/>
        </w:rPr>
      </w:pPr>
      <w:r>
        <w:rPr>
          <w:color w:val="auto"/>
          <w:highlight w:val="none"/>
        </w:rPr>
        <w:t>评标委员会成员为五人，由采购人代表和有关技术、经济等方面的专家组成。其中,技术、经济等方面的专家不得少于成员总数的三分之二。评标专家</w:t>
      </w:r>
      <w:r>
        <w:rPr>
          <w:color w:val="auto"/>
          <w:szCs w:val="24"/>
          <w:highlight w:val="none"/>
        </w:rPr>
        <w:t>从省级财政部门设立的政府采购评审专家库中，通过随机方式抽取。</w:t>
      </w:r>
    </w:p>
    <w:p>
      <w:pPr>
        <w:widowControl/>
        <w:snapToGrid w:val="0"/>
        <w:spacing w:line="360" w:lineRule="auto"/>
        <w:ind w:firstLine="480" w:firstLineChars="200"/>
        <w:jc w:val="left"/>
        <w:rPr>
          <w:color w:val="auto"/>
          <w:szCs w:val="24"/>
          <w:highlight w:val="none"/>
        </w:rPr>
      </w:pPr>
      <w:r>
        <w:rPr>
          <w:color w:val="auto"/>
          <w:szCs w:val="24"/>
          <w:highlight w:val="none"/>
        </w:rPr>
        <w:t>评标中因评标委员会成员缺席、回避或者健康等特殊原因导致评标委员会组成不符合本办法规定的，采购人或者采购代理机构应当依法补足后继续评标。被更换的评标委员会成员所作出的评标意见无效。</w:t>
      </w:r>
    </w:p>
    <w:p>
      <w:pPr>
        <w:widowControl/>
        <w:snapToGrid w:val="0"/>
        <w:spacing w:line="360" w:lineRule="auto"/>
        <w:ind w:firstLine="480" w:firstLineChars="200"/>
        <w:jc w:val="left"/>
        <w:rPr>
          <w:color w:val="auto"/>
          <w:szCs w:val="24"/>
          <w:highlight w:val="none"/>
        </w:rPr>
      </w:pPr>
      <w:r>
        <w:rPr>
          <w:color w:val="auto"/>
          <w:szCs w:val="24"/>
          <w:highlight w:val="none"/>
        </w:rPr>
        <w:t>无法及时补足评标委员会成员的，采购人或者采购代理机构应当停止评标活动，封存所有投标文件和开标、评标资料，依法重新组建评标委员会进行评标。原评标委员会所作出的评标意见无效。</w:t>
      </w:r>
    </w:p>
    <w:p>
      <w:pPr>
        <w:widowControl/>
        <w:snapToGrid w:val="0"/>
        <w:spacing w:line="360" w:lineRule="auto"/>
        <w:ind w:firstLine="480" w:firstLineChars="200"/>
        <w:jc w:val="left"/>
        <w:rPr>
          <w:color w:val="auto"/>
          <w:szCs w:val="24"/>
          <w:highlight w:val="none"/>
        </w:rPr>
      </w:pPr>
      <w:r>
        <w:rPr>
          <w:color w:val="auto"/>
          <w:szCs w:val="24"/>
          <w:highlight w:val="none"/>
        </w:rPr>
        <w:t>变更、重新组建评标委员会的情况予以书面记录，并随采购文件一并存档。</w:t>
      </w:r>
    </w:p>
    <w:p>
      <w:pPr>
        <w:spacing w:line="360" w:lineRule="auto"/>
        <w:ind w:firstLine="480" w:firstLineChars="200"/>
        <w:rPr>
          <w:color w:val="auto"/>
          <w:highlight w:val="none"/>
        </w:rPr>
      </w:pPr>
      <w:r>
        <w:rPr>
          <w:color w:val="auto"/>
          <w:highlight w:val="none"/>
        </w:rPr>
        <w:t>评标委员会对投标文件进行审查、评估和比较。</w:t>
      </w:r>
      <w:r>
        <w:rPr>
          <w:rFonts w:hint="eastAsia"/>
          <w:color w:val="auto"/>
          <w:highlight w:val="none"/>
        </w:rPr>
        <w:t>评审中需要供应商对投标、响应文件作出澄清、说明或者补正的，评审小组和供应商应当通过电子交易平台交换电文。给予供应商提交澄清说明或者补正的时间为半小时，供应商已经明确表示澄清说明或补正完毕的除外。</w:t>
      </w:r>
    </w:p>
    <w:p>
      <w:pPr>
        <w:spacing w:line="360" w:lineRule="auto"/>
        <w:ind w:firstLine="480" w:firstLineChars="200"/>
        <w:rPr>
          <w:color w:val="auto"/>
          <w:highlight w:val="none"/>
        </w:rPr>
      </w:pPr>
      <w:r>
        <w:rPr>
          <w:color w:val="auto"/>
          <w:highlight w:val="none"/>
        </w:rPr>
        <w:t xml:space="preserve">询标期间，投标供应商所留联系方式无法联系上、在规定的时限内投标供应商不予答复的，由评标委员会决定是否继续评审。 </w:t>
      </w:r>
    </w:p>
    <w:p>
      <w:pPr>
        <w:pStyle w:val="2"/>
        <w:rPr>
          <w:color w:val="auto"/>
          <w:highlight w:val="none"/>
        </w:rPr>
      </w:pPr>
      <w:bookmarkStart w:id="34" w:name="_Toc13750"/>
      <w:r>
        <w:rPr>
          <w:color w:val="auto"/>
          <w:highlight w:val="none"/>
        </w:rPr>
        <w:t>评标原则与方法</w:t>
      </w:r>
      <w:bookmarkEnd w:id="34"/>
    </w:p>
    <w:p>
      <w:pPr>
        <w:spacing w:line="360" w:lineRule="auto"/>
        <w:ind w:firstLine="470" w:firstLineChars="196"/>
        <w:rPr>
          <w:color w:val="auto"/>
          <w:highlight w:val="none"/>
        </w:rPr>
      </w:pPr>
      <w:r>
        <w:rPr>
          <w:color w:val="auto"/>
          <w:highlight w:val="none"/>
        </w:rPr>
        <w:t>（1）评标办法：综合评分法。</w:t>
      </w:r>
    </w:p>
    <w:p>
      <w:pPr>
        <w:spacing w:line="360" w:lineRule="auto"/>
        <w:ind w:firstLine="480" w:firstLineChars="200"/>
        <w:rPr>
          <w:color w:val="auto"/>
          <w:highlight w:val="none"/>
        </w:rPr>
      </w:pPr>
      <w:r>
        <w:rPr>
          <w:color w:val="auto"/>
          <w:highlight w:val="none"/>
        </w:rPr>
        <w:t>（2）评标委员会将遵循公平、公正、科学、择优的原则，根据采购文件的有关规定，对投标文件的商务技术、报价分别进行评审评分，投标文件的综合评分为商务技术与报价评分之和。按综合得分从高到低进行排序，综合评分第一名至第三名的投标供应商，推荐为中标候选供应商。</w:t>
      </w:r>
    </w:p>
    <w:p>
      <w:pPr>
        <w:spacing w:line="360" w:lineRule="auto"/>
        <w:ind w:firstLine="480" w:firstLineChars="200"/>
        <w:rPr>
          <w:color w:val="auto"/>
          <w:highlight w:val="none"/>
        </w:rPr>
      </w:pPr>
      <w:r>
        <w:rPr>
          <w:color w:val="auto"/>
          <w:highlight w:val="none"/>
        </w:rPr>
        <w:t>（3）在开标、评标期间，投标供应商不得向评标委员会成员询问评标情况，不得进行旨在影响评标结果的活动，否则将废除其投标资格。</w:t>
      </w:r>
    </w:p>
    <w:p>
      <w:pPr>
        <w:spacing w:line="360" w:lineRule="auto"/>
        <w:ind w:firstLine="480" w:firstLineChars="200"/>
        <w:rPr>
          <w:color w:val="auto"/>
          <w:highlight w:val="none"/>
        </w:rPr>
      </w:pPr>
      <w:r>
        <w:rPr>
          <w:color w:val="auto"/>
          <w:highlight w:val="none"/>
        </w:rPr>
        <w:t>（4）在评标过程中，评标委员会成员不得与投标供应商私下交换意见。在采购工作结束后，凡与评标情况有接触的人不得将评标情况扩散出外。</w:t>
      </w:r>
    </w:p>
    <w:p>
      <w:pPr>
        <w:pStyle w:val="2"/>
        <w:rPr>
          <w:color w:val="auto"/>
          <w:highlight w:val="none"/>
        </w:rPr>
      </w:pPr>
      <w:bookmarkStart w:id="35" w:name="_Toc9670"/>
      <w:r>
        <w:rPr>
          <w:color w:val="auto"/>
          <w:highlight w:val="none"/>
        </w:rPr>
        <w:t>评标程序和内容</w:t>
      </w:r>
      <w:bookmarkEnd w:id="35"/>
    </w:p>
    <w:p>
      <w:pPr>
        <w:spacing w:line="360" w:lineRule="auto"/>
        <w:ind w:firstLine="480" w:firstLineChars="200"/>
        <w:rPr>
          <w:color w:val="auto"/>
          <w:highlight w:val="none"/>
        </w:rPr>
      </w:pPr>
      <w:r>
        <w:rPr>
          <w:color w:val="auto"/>
          <w:highlight w:val="none"/>
        </w:rPr>
        <w:t>评标的一般程序为：</w:t>
      </w:r>
    </w:p>
    <w:p>
      <w:pPr>
        <w:spacing w:line="360" w:lineRule="auto"/>
        <w:ind w:firstLine="480" w:firstLineChars="200"/>
        <w:rPr>
          <w:color w:val="auto"/>
          <w:highlight w:val="none"/>
        </w:rPr>
      </w:pPr>
      <w:r>
        <w:rPr>
          <w:color w:val="auto"/>
          <w:highlight w:val="none"/>
        </w:rPr>
        <w:t>（1）熟悉采购文件和评标办法；</w:t>
      </w:r>
    </w:p>
    <w:p>
      <w:pPr>
        <w:pStyle w:val="15"/>
        <w:ind w:firstLine="480" w:firstLineChars="200"/>
        <w:rPr>
          <w:color w:val="auto"/>
          <w:highlight w:val="none"/>
        </w:rPr>
      </w:pPr>
      <w:r>
        <w:rPr>
          <w:rFonts w:hint="eastAsia"/>
          <w:color w:val="auto"/>
          <w:highlight w:val="none"/>
        </w:rPr>
        <w:t>（</w:t>
      </w:r>
      <w:r>
        <w:rPr>
          <w:color w:val="auto"/>
          <w:highlight w:val="none"/>
        </w:rPr>
        <w:t>2</w:t>
      </w:r>
      <w:r>
        <w:rPr>
          <w:rFonts w:hint="eastAsia"/>
          <w:color w:val="auto"/>
          <w:highlight w:val="none"/>
        </w:rPr>
        <w:t>）</w:t>
      </w:r>
      <w:r>
        <w:rPr>
          <w:color w:val="auto"/>
          <w:highlight w:val="none"/>
        </w:rPr>
        <w:t>投标文件的符合性评审；</w:t>
      </w:r>
    </w:p>
    <w:p>
      <w:pPr>
        <w:spacing w:line="360" w:lineRule="auto"/>
        <w:ind w:firstLine="480" w:firstLineChars="200"/>
        <w:rPr>
          <w:color w:val="auto"/>
          <w:highlight w:val="none"/>
        </w:rPr>
      </w:pPr>
      <w:r>
        <w:rPr>
          <w:color w:val="auto"/>
          <w:highlight w:val="none"/>
        </w:rPr>
        <w:t>（3）投标文件详细评审；</w:t>
      </w:r>
    </w:p>
    <w:p>
      <w:pPr>
        <w:spacing w:line="360" w:lineRule="auto"/>
        <w:ind w:firstLine="480" w:firstLineChars="200"/>
        <w:rPr>
          <w:color w:val="auto"/>
          <w:highlight w:val="none"/>
        </w:rPr>
      </w:pPr>
      <w:r>
        <w:rPr>
          <w:color w:val="auto"/>
          <w:highlight w:val="none"/>
        </w:rPr>
        <w:t>（4）投标文件的澄清和补正；</w:t>
      </w:r>
    </w:p>
    <w:p>
      <w:pPr>
        <w:spacing w:line="360" w:lineRule="auto"/>
        <w:ind w:firstLine="480" w:firstLineChars="200"/>
        <w:rPr>
          <w:color w:val="auto"/>
          <w:highlight w:val="none"/>
        </w:rPr>
      </w:pPr>
      <w:r>
        <w:rPr>
          <w:color w:val="auto"/>
          <w:highlight w:val="none"/>
        </w:rPr>
        <w:t>（5）评审评分，推荐中标候选供应商；</w:t>
      </w:r>
    </w:p>
    <w:p>
      <w:pPr>
        <w:spacing w:line="360" w:lineRule="auto"/>
        <w:ind w:firstLine="480" w:firstLineChars="200"/>
        <w:rPr>
          <w:color w:val="auto"/>
          <w:highlight w:val="none"/>
        </w:rPr>
      </w:pPr>
      <w:r>
        <w:rPr>
          <w:color w:val="auto"/>
          <w:highlight w:val="none"/>
        </w:rPr>
        <w:t>（6）提交评标报告。</w:t>
      </w:r>
    </w:p>
    <w:p>
      <w:pPr>
        <w:pStyle w:val="2"/>
        <w:rPr>
          <w:color w:val="auto"/>
          <w:highlight w:val="none"/>
        </w:rPr>
      </w:pPr>
      <w:bookmarkStart w:id="36" w:name="_Toc11471"/>
      <w:bookmarkStart w:id="37" w:name="_Toc295337118"/>
      <w:bookmarkStart w:id="38" w:name="_Toc320543194"/>
      <w:r>
        <w:rPr>
          <w:color w:val="auto"/>
          <w:highlight w:val="none"/>
        </w:rPr>
        <w:t>投标文件的</w:t>
      </w:r>
      <w:r>
        <w:rPr>
          <w:rFonts w:hint="eastAsia"/>
          <w:color w:val="auto"/>
          <w:highlight w:val="none"/>
        </w:rPr>
        <w:t>符合性评审</w:t>
      </w:r>
      <w:bookmarkEnd w:id="36"/>
    </w:p>
    <w:p>
      <w:pPr>
        <w:spacing w:line="360" w:lineRule="auto"/>
        <w:ind w:firstLine="480" w:firstLineChars="200"/>
        <w:rPr>
          <w:color w:val="auto"/>
          <w:highlight w:val="none"/>
        </w:rPr>
      </w:pPr>
      <w:r>
        <w:rPr>
          <w:color w:val="auto"/>
          <w:highlight w:val="none"/>
        </w:rPr>
        <w:t>评标委员会应依照采购文件的要求和规定，首先对投标供应商的投标文件进行</w:t>
      </w:r>
      <w:r>
        <w:rPr>
          <w:b/>
          <w:color w:val="auto"/>
          <w:highlight w:val="none"/>
        </w:rPr>
        <w:t>符合性</w:t>
      </w:r>
      <w:r>
        <w:rPr>
          <w:color w:val="auto"/>
          <w:highlight w:val="none"/>
        </w:rPr>
        <w:t>评审。投标供应商不得通过补充、修改或撤消投标文件中的内容使其成为实质性响应的投标。投标供应商在投标截止以后不得提交任何资料作为评标依据。</w:t>
      </w:r>
    </w:p>
    <w:p>
      <w:pPr>
        <w:spacing w:line="360" w:lineRule="auto"/>
        <w:ind w:firstLine="480" w:firstLineChars="200"/>
        <w:rPr>
          <w:color w:val="auto"/>
          <w:highlight w:val="none"/>
        </w:rPr>
      </w:pPr>
      <w:r>
        <w:rPr>
          <w:color w:val="auto"/>
          <w:highlight w:val="none"/>
        </w:rPr>
        <w:t>如存在以下情况之一的，经评标委员会判定，将视为</w:t>
      </w:r>
      <w:r>
        <w:rPr>
          <w:b/>
          <w:color w:val="auto"/>
          <w:highlight w:val="none"/>
        </w:rPr>
        <w:t>符合性</w:t>
      </w:r>
      <w:r>
        <w:rPr>
          <w:color w:val="auto"/>
          <w:highlight w:val="none"/>
        </w:rPr>
        <w:t>审查未通过，则其投标将作为无效标处理，不再进行</w:t>
      </w:r>
      <w:r>
        <w:rPr>
          <w:rFonts w:hint="eastAsia"/>
          <w:color w:val="auto"/>
          <w:highlight w:val="none"/>
        </w:rPr>
        <w:t>商务</w:t>
      </w:r>
      <w:r>
        <w:rPr>
          <w:color w:val="auto"/>
          <w:highlight w:val="none"/>
        </w:rPr>
        <w:t>技术的评审。</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（1）投标供应商相互串通投标，损害采购人或其他投标供应商的合法权益；</w:t>
      </w:r>
    </w:p>
    <w:p>
      <w:pPr>
        <w:pStyle w:val="19"/>
        <w:spacing w:line="360" w:lineRule="auto"/>
        <w:ind w:firstLine="723" w:firstLineChars="300"/>
        <w:rPr>
          <w:rFonts w:ascii="Times New Roman" w:hAnsi="Times New Roman"/>
          <w:b/>
          <w:color w:val="auto"/>
          <w:kern w:val="0"/>
          <w:sz w:val="24"/>
          <w:highlight w:val="none"/>
        </w:rPr>
      </w:pPr>
      <w:r>
        <w:rPr>
          <w:rFonts w:hint="eastAsia" w:ascii="Times New Roman" w:hAnsi="Times New Roman"/>
          <w:b/>
          <w:color w:val="auto"/>
          <w:kern w:val="0"/>
          <w:sz w:val="24"/>
          <w:highlight w:val="none"/>
        </w:rPr>
        <w:t>1）不同投标供应商的投标文件由同一单位或者个人编制；</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2）不同投标供应商委托同一单位或者个人办理投标事宜；</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3）不同投标供应商的投标文件载明的项目管理成员或者联系人员为同一人；</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4）不同投标供应商的投标文件异常一致或者投标报价呈规律性差异。</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（2）投标文件未按采购文件要求签字、盖章或电子签章的；</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（3）投标文件未提供开标一览表，或填写项目不齐全的；</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（4）未响应采购文件的实质性要求和条件的；</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（5）投标技术方案存在一个或以上备选（替代）投标方案的；</w:t>
      </w:r>
    </w:p>
    <w:p>
      <w:pPr>
        <w:pStyle w:val="19"/>
        <w:spacing w:line="360" w:lineRule="auto"/>
        <w:ind w:firstLine="482" w:firstLineChars="200"/>
        <w:rPr>
          <w:rFonts w:ascii="Times New Roman" w:hAnsi="Times New Roman"/>
          <w:color w:val="auto"/>
          <w:highlight w:val="none"/>
        </w:rPr>
      </w:pPr>
      <w:r>
        <w:rPr>
          <w:rFonts w:hint="eastAsia" w:ascii="Times New Roman" w:hAnsi="Times New Roman"/>
          <w:b/>
          <w:color w:val="auto"/>
          <w:kern w:val="0"/>
          <w:sz w:val="24"/>
          <w:highlight w:val="none"/>
        </w:rPr>
        <w:t>（6）投标文件中含有采购人不能接受的附加条件的。</w:t>
      </w:r>
    </w:p>
    <w:p>
      <w:pPr>
        <w:pStyle w:val="2"/>
        <w:rPr>
          <w:color w:val="auto"/>
          <w:highlight w:val="none"/>
        </w:rPr>
      </w:pPr>
      <w:bookmarkStart w:id="39" w:name="_Toc27893"/>
      <w:r>
        <w:rPr>
          <w:rFonts w:hint="eastAsia"/>
          <w:color w:val="auto"/>
          <w:highlight w:val="none"/>
        </w:rPr>
        <w:t>投标</w:t>
      </w:r>
      <w:r>
        <w:rPr>
          <w:color w:val="auto"/>
          <w:highlight w:val="none"/>
        </w:rPr>
        <w:t>文件的详细评审</w:t>
      </w:r>
      <w:bookmarkEnd w:id="39"/>
    </w:p>
    <w:p>
      <w:pPr>
        <w:spacing w:line="360" w:lineRule="auto"/>
        <w:ind w:firstLine="480" w:firstLineChars="200"/>
        <w:rPr>
          <w:color w:val="auto"/>
          <w:highlight w:val="none"/>
        </w:rPr>
      </w:pPr>
      <w:r>
        <w:rPr>
          <w:color w:val="auto"/>
          <w:highlight w:val="none"/>
        </w:rPr>
        <w:t>评标委员会的专家应对</w:t>
      </w:r>
      <w:r>
        <w:rPr>
          <w:b/>
          <w:color w:val="auto"/>
          <w:highlight w:val="none"/>
        </w:rPr>
        <w:t>符合性</w:t>
      </w:r>
      <w:r>
        <w:rPr>
          <w:color w:val="auto"/>
          <w:highlight w:val="none"/>
        </w:rPr>
        <w:t>审查通过的投标文件进行详细评审。</w:t>
      </w:r>
    </w:p>
    <w:p>
      <w:pPr>
        <w:spacing w:line="360" w:lineRule="auto"/>
        <w:ind w:firstLine="480" w:firstLineChars="200"/>
        <w:rPr>
          <w:rFonts w:ascii="Times New Roman" w:hAnsi="Times New Roman" w:cs="Times New Roman"/>
          <w:color w:val="auto"/>
          <w:highlight w:val="none"/>
        </w:rPr>
      </w:pPr>
      <w:r>
        <w:rPr>
          <w:rFonts w:hint="eastAsia" w:ascii="Times New Roman" w:hAnsi="Times New Roman" w:cs="Times New Roman"/>
          <w:color w:val="auto"/>
          <w:highlight w:val="none"/>
        </w:rPr>
        <w:t>（1）商务技术文件部分：</w:t>
      </w:r>
    </w:p>
    <w:p>
      <w:pPr>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商务评分：评标委员会按照商务评分标准对</w:t>
      </w:r>
      <w:r>
        <w:rPr>
          <w:rFonts w:hint="eastAsia" w:ascii="Times New Roman" w:hAnsi="Times New Roman" w:cs="Times New Roman"/>
          <w:color w:val="auto"/>
          <w:highlight w:val="none"/>
        </w:rPr>
        <w:t>投标供应商综合实力</w:t>
      </w:r>
      <w:r>
        <w:rPr>
          <w:rFonts w:hint="eastAsia" w:cs="Times New Roman"/>
          <w:color w:val="auto"/>
          <w:highlight w:val="none"/>
          <w:lang w:eastAsia="zh-CN"/>
        </w:rPr>
        <w:t>、</w:t>
      </w:r>
      <w:r>
        <w:rPr>
          <w:rFonts w:hint="eastAsia" w:ascii="Times New Roman" w:hAnsi="Times New Roman" w:cs="Times New Roman"/>
          <w:color w:val="auto"/>
          <w:highlight w:val="none"/>
        </w:rPr>
        <w:t>类似</w:t>
      </w:r>
      <w:r>
        <w:rPr>
          <w:rFonts w:hint="eastAsia" w:cs="Times New Roman"/>
          <w:color w:val="auto"/>
          <w:highlight w:val="none"/>
          <w:lang w:val="en-US" w:eastAsia="zh-CN"/>
        </w:rPr>
        <w:t>业绩、</w:t>
      </w:r>
      <w:r>
        <w:rPr>
          <w:rFonts w:hint="eastAsia" w:ascii="Times New Roman" w:hAnsi="Times New Roman" w:cs="Times New Roman"/>
          <w:color w:val="auto"/>
          <w:highlight w:val="none"/>
        </w:rPr>
        <w:t>项目负责人</w:t>
      </w:r>
      <w:r>
        <w:rPr>
          <w:rFonts w:hint="eastAsia" w:cs="Times New Roman"/>
          <w:color w:val="auto"/>
          <w:highlight w:val="none"/>
          <w:lang w:eastAsia="zh-CN"/>
        </w:rPr>
        <w:t>、</w:t>
      </w:r>
      <w:r>
        <w:rPr>
          <w:rFonts w:hint="eastAsia" w:cs="Times New Roman"/>
          <w:color w:val="auto"/>
          <w:highlight w:val="none"/>
          <w:lang w:val="en-US" w:eastAsia="zh-CN"/>
        </w:rPr>
        <w:t>项目组人员</w:t>
      </w:r>
      <w:r>
        <w:rPr>
          <w:rFonts w:ascii="Times New Roman" w:hAnsi="Times New Roman" w:cs="Times New Roman"/>
          <w:color w:val="auto"/>
          <w:highlight w:val="none"/>
        </w:rPr>
        <w:t>等方面进行评审，采用集体评议的方法进行；</w:t>
      </w:r>
    </w:p>
    <w:p>
      <w:pPr>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技术评分：评标委员会按照技术评分标准对</w:t>
      </w:r>
      <w:r>
        <w:rPr>
          <w:rFonts w:hint="eastAsia" w:cs="Times New Roman"/>
          <w:color w:val="auto"/>
          <w:highlight w:val="none"/>
          <w:lang w:val="en-US" w:eastAsia="zh-CN"/>
        </w:rPr>
        <w:t>工作方案、工作重点、工作方法、预期成果管理、进度控制、质量保证、售后服务</w:t>
      </w:r>
      <w:r>
        <w:rPr>
          <w:rFonts w:ascii="Times New Roman" w:hAnsi="Times New Roman" w:cs="Times New Roman"/>
          <w:color w:val="auto"/>
          <w:highlight w:val="none"/>
        </w:rPr>
        <w:t>等方面进行评审，采用记名方式各自评分。如评分超过评分标准所规定的分值范围，则该评分表无效。投标单位技术得分为评标委员会全体成员的有效评分的算术平均值，评分及计分时保留小数2位，第三位四舍五入。</w:t>
      </w:r>
    </w:p>
    <w:p>
      <w:pPr>
        <w:spacing w:line="360" w:lineRule="auto"/>
        <w:ind w:firstLine="480" w:firstLineChars="200"/>
        <w:rPr>
          <w:rFonts w:ascii="Times New Roman" w:hAnsi="Times New Roman" w:cs="Times New Roman"/>
          <w:color w:val="auto"/>
          <w:highlight w:val="none"/>
        </w:rPr>
      </w:pPr>
      <w:r>
        <w:rPr>
          <w:rFonts w:hint="eastAsia" w:ascii="Times New Roman" w:hAnsi="Times New Roman" w:cs="Times New Roman"/>
          <w:color w:val="auto"/>
          <w:highlight w:val="none"/>
        </w:rPr>
        <w:t>（2）报价文件部分：</w:t>
      </w:r>
    </w:p>
    <w:p>
      <w:pPr>
        <w:spacing w:line="360" w:lineRule="auto"/>
        <w:ind w:firstLine="482" w:firstLineChars="200"/>
        <w:rPr>
          <w:b/>
          <w:bCs/>
          <w:color w:val="auto"/>
          <w:highlight w:val="none"/>
        </w:rPr>
      </w:pPr>
      <w:r>
        <w:rPr>
          <w:rFonts w:hint="eastAsia" w:ascii="宋体" w:hAnsi="宋体" w:cs="宋体"/>
          <w:b/>
          <w:bCs/>
          <w:color w:val="auto"/>
          <w:highlight w:val="none"/>
          <w:lang w:eastAsia="ja-JP"/>
        </w:rPr>
        <w:t>①</w:t>
      </w:r>
      <w:r>
        <w:rPr>
          <w:b/>
          <w:bCs/>
          <w:color w:val="auto"/>
          <w:highlight w:val="none"/>
        </w:rPr>
        <w:t>报价文件符合性审查：如存在以下情况之一的，经评标委员会判定，将视为报价文件符合性审查未通过，其投标作无效标处理，不再进行报价评分。</w:t>
      </w:r>
    </w:p>
    <w:p>
      <w:pPr>
        <w:spacing w:line="360" w:lineRule="auto"/>
        <w:ind w:firstLine="482" w:firstLineChars="200"/>
        <w:rPr>
          <w:b/>
          <w:bCs/>
          <w:color w:val="auto"/>
          <w:highlight w:val="none"/>
        </w:rPr>
      </w:pPr>
      <w:r>
        <w:rPr>
          <w:rFonts w:hint="eastAsia"/>
          <w:b/>
          <w:bCs/>
          <w:color w:val="auto"/>
          <w:highlight w:val="none"/>
        </w:rPr>
        <w:t>1）未按采购文件要求签字、盖章或电子签章的；</w:t>
      </w:r>
    </w:p>
    <w:p>
      <w:pPr>
        <w:spacing w:line="360" w:lineRule="auto"/>
        <w:ind w:firstLine="482" w:firstLineChars="200"/>
        <w:rPr>
          <w:b/>
          <w:bCs/>
          <w:color w:val="auto"/>
          <w:highlight w:val="none"/>
        </w:rPr>
      </w:pPr>
      <w:r>
        <w:rPr>
          <w:b/>
          <w:bCs/>
          <w:color w:val="auto"/>
          <w:highlight w:val="none"/>
        </w:rPr>
        <w:t>2</w:t>
      </w:r>
      <w:r>
        <w:rPr>
          <w:rFonts w:hint="eastAsia"/>
          <w:b/>
          <w:bCs/>
          <w:color w:val="auto"/>
          <w:highlight w:val="none"/>
        </w:rPr>
        <w:t>）未响应采购文件的实质性要求和条件的；</w:t>
      </w:r>
    </w:p>
    <w:p>
      <w:pPr>
        <w:spacing w:line="360" w:lineRule="auto"/>
        <w:ind w:firstLine="482" w:firstLineChars="200"/>
        <w:rPr>
          <w:b/>
          <w:bCs/>
          <w:color w:val="auto"/>
          <w:highlight w:val="none"/>
        </w:rPr>
      </w:pPr>
      <w:r>
        <w:rPr>
          <w:b/>
          <w:bCs/>
          <w:color w:val="auto"/>
          <w:highlight w:val="none"/>
        </w:rPr>
        <w:t>3</w:t>
      </w:r>
      <w:r>
        <w:rPr>
          <w:rFonts w:hint="eastAsia"/>
          <w:b/>
          <w:bCs/>
          <w:color w:val="auto"/>
          <w:highlight w:val="none"/>
        </w:rPr>
        <w:t>）投标报价超过采购预算金额或投标分项报价超出单项控制价的，项目预算金额为</w:t>
      </w:r>
      <w:r>
        <w:rPr>
          <w:rFonts w:hint="eastAsia"/>
          <w:b/>
          <w:bCs/>
          <w:color w:val="auto"/>
          <w:highlight w:val="none"/>
          <w:u w:val="single"/>
        </w:rPr>
        <w:t>人民币</w:t>
      </w:r>
      <w:r>
        <w:rPr>
          <w:rFonts w:hint="eastAsia"/>
          <w:b/>
          <w:bCs/>
          <w:color w:val="auto"/>
          <w:highlight w:val="none"/>
          <w:u w:val="single"/>
          <w:lang w:val="en-US" w:eastAsia="zh-CN"/>
        </w:rPr>
        <w:t>19.5</w:t>
      </w:r>
      <w:r>
        <w:rPr>
          <w:rFonts w:hint="eastAsia"/>
          <w:b/>
          <w:bCs/>
          <w:color w:val="auto"/>
          <w:highlight w:val="none"/>
          <w:u w:val="single"/>
        </w:rPr>
        <w:t>万元</w:t>
      </w:r>
      <w:r>
        <w:rPr>
          <w:rFonts w:hint="eastAsia"/>
          <w:b/>
          <w:bCs/>
          <w:color w:val="auto"/>
          <w:highlight w:val="none"/>
        </w:rPr>
        <w:t>整；</w:t>
      </w:r>
    </w:p>
    <w:p>
      <w:pPr>
        <w:spacing w:line="360" w:lineRule="auto"/>
        <w:ind w:firstLine="482" w:firstLineChars="200"/>
        <w:rPr>
          <w:b/>
          <w:bCs/>
          <w:color w:val="auto"/>
          <w:highlight w:val="none"/>
        </w:rPr>
      </w:pPr>
      <w:r>
        <w:rPr>
          <w:b/>
          <w:bCs/>
          <w:color w:val="auto"/>
          <w:highlight w:val="none"/>
        </w:rPr>
        <w:t>4</w:t>
      </w:r>
      <w:r>
        <w:rPr>
          <w:rFonts w:hint="eastAsia"/>
          <w:b/>
          <w:bCs/>
          <w:color w:val="auto"/>
          <w:highlight w:val="none"/>
        </w:rPr>
        <w:t>）报价不明确，存在一个或以上备选（替代）投标方案的；</w:t>
      </w:r>
    </w:p>
    <w:p>
      <w:pPr>
        <w:spacing w:line="360" w:lineRule="auto"/>
        <w:ind w:firstLine="482" w:firstLineChars="200"/>
        <w:rPr>
          <w:b/>
          <w:bCs/>
          <w:color w:val="auto"/>
          <w:highlight w:val="none"/>
        </w:rPr>
      </w:pPr>
      <w:r>
        <w:rPr>
          <w:b/>
          <w:bCs/>
          <w:color w:val="auto"/>
          <w:highlight w:val="none"/>
        </w:rPr>
        <w:t>5</w:t>
      </w:r>
      <w:r>
        <w:rPr>
          <w:rFonts w:hint="eastAsia"/>
          <w:b/>
          <w:bCs/>
          <w:color w:val="auto"/>
          <w:highlight w:val="none"/>
        </w:rPr>
        <w:t>）投标供应商不接受修正后的报价的；</w:t>
      </w:r>
    </w:p>
    <w:p>
      <w:pPr>
        <w:spacing w:line="360" w:lineRule="auto"/>
        <w:ind w:firstLine="482" w:firstLineChars="200"/>
        <w:rPr>
          <w:b/>
          <w:bCs/>
          <w:color w:val="auto"/>
          <w:highlight w:val="none"/>
        </w:rPr>
      </w:pPr>
      <w:r>
        <w:rPr>
          <w:rFonts w:hint="eastAsia"/>
          <w:b/>
          <w:bCs/>
          <w:color w:val="auto"/>
          <w:highlight w:val="none"/>
        </w:rPr>
        <w:t>6）投标报价文件未按规定进行单独制作或在投标文件资格、商务技术部分中出现投标报价信息的；</w:t>
      </w:r>
    </w:p>
    <w:p>
      <w:pPr>
        <w:spacing w:line="360" w:lineRule="auto"/>
        <w:ind w:firstLine="482" w:firstLineChars="200"/>
        <w:rPr>
          <w:b/>
          <w:bCs/>
          <w:color w:val="auto"/>
          <w:highlight w:val="none"/>
        </w:rPr>
      </w:pPr>
      <w:r>
        <w:rPr>
          <w:rFonts w:hint="eastAsia"/>
          <w:b/>
          <w:bCs/>
          <w:color w:val="auto"/>
          <w:highlight w:val="none"/>
        </w:rPr>
        <w:t>7）投标供应商不能证明其报价合理性。</w:t>
      </w:r>
    </w:p>
    <w:p>
      <w:pPr>
        <w:spacing w:line="360" w:lineRule="auto"/>
        <w:ind w:firstLine="480" w:firstLineChars="200"/>
        <w:rPr>
          <w:bCs/>
          <w:color w:val="auto"/>
          <w:szCs w:val="24"/>
          <w:highlight w:val="none"/>
        </w:rPr>
      </w:pPr>
      <w:r>
        <w:rPr>
          <w:rFonts w:hint="eastAsia" w:ascii="宋体" w:hAnsi="宋体" w:cs="宋体"/>
          <w:bCs/>
          <w:color w:val="auto"/>
          <w:szCs w:val="24"/>
          <w:highlight w:val="none"/>
          <w:lang w:eastAsia="ja-JP"/>
        </w:rPr>
        <w:t>②</w:t>
      </w:r>
      <w:r>
        <w:rPr>
          <w:bCs/>
          <w:color w:val="auto"/>
          <w:szCs w:val="24"/>
          <w:highlight w:val="none"/>
        </w:rPr>
        <w:t>报价评分</w:t>
      </w:r>
    </w:p>
    <w:p>
      <w:pPr>
        <w:spacing w:line="360" w:lineRule="auto"/>
        <w:ind w:firstLine="480" w:firstLineChars="200"/>
        <w:rPr>
          <w:color w:val="auto"/>
          <w:highlight w:val="none"/>
        </w:rPr>
      </w:pPr>
      <w:r>
        <w:rPr>
          <w:color w:val="auto"/>
          <w:highlight w:val="none"/>
        </w:rPr>
        <w:t>评标委员会应对报价的范围、数量、费用组成和总价等进行全面审阅和对比分析，找出报价差异的原因及存在的问题。对报价口径范围不一致的，凡属采购文件原因造成的应予以调整并作为评标价。</w:t>
      </w:r>
    </w:p>
    <w:p>
      <w:pPr>
        <w:snapToGrid w:val="0"/>
        <w:spacing w:line="360" w:lineRule="auto"/>
        <w:ind w:firstLine="480" w:firstLineChars="200"/>
        <w:rPr>
          <w:b/>
          <w:snapToGrid w:val="0"/>
          <w:color w:val="auto"/>
          <w:highlight w:val="none"/>
        </w:rPr>
      </w:pPr>
      <w:r>
        <w:rPr>
          <w:color w:val="auto"/>
          <w:highlight w:val="none"/>
        </w:rPr>
        <w:t>报价计分办法：</w:t>
      </w:r>
      <w:r>
        <w:rPr>
          <w:rFonts w:hint="eastAsia"/>
          <w:color w:val="auto"/>
          <w:highlight w:val="none"/>
        </w:rPr>
        <w:t>所有通过以上评审的投标报价为有效报价</w:t>
      </w:r>
      <w:r>
        <w:rPr>
          <w:color w:val="auto"/>
          <w:highlight w:val="none"/>
        </w:rPr>
        <w:t>，对所有有效投标报价进行报价评分，满分</w:t>
      </w:r>
      <w:r>
        <w:rPr>
          <w:rFonts w:hint="eastAsia"/>
          <w:color w:val="auto"/>
          <w:highlight w:val="none"/>
          <w:lang w:val="en-US" w:eastAsia="zh-CN"/>
        </w:rPr>
        <w:t>1</w:t>
      </w:r>
      <w:r>
        <w:rPr>
          <w:rFonts w:hint="eastAsia"/>
          <w:color w:val="auto"/>
          <w:highlight w:val="none"/>
        </w:rPr>
        <w:t>0</w:t>
      </w:r>
      <w:r>
        <w:rPr>
          <w:color w:val="auto"/>
          <w:highlight w:val="none"/>
        </w:rPr>
        <w:t>分。</w:t>
      </w:r>
    </w:p>
    <w:p>
      <w:pPr>
        <w:spacing w:line="360" w:lineRule="auto"/>
        <w:ind w:firstLine="480" w:firstLineChars="200"/>
        <w:rPr>
          <w:color w:val="auto"/>
          <w:highlight w:val="none"/>
        </w:rPr>
      </w:pPr>
      <w:r>
        <w:rPr>
          <w:color w:val="auto"/>
          <w:highlight w:val="none"/>
        </w:rPr>
        <w:t>所有有效投标报价的最低价为评标基准价，得满分</w:t>
      </w:r>
      <w:r>
        <w:rPr>
          <w:rFonts w:hint="eastAsia"/>
          <w:color w:val="auto"/>
          <w:highlight w:val="none"/>
          <w:lang w:val="en-US" w:eastAsia="zh-CN"/>
        </w:rPr>
        <w:t>1</w:t>
      </w:r>
      <w:r>
        <w:rPr>
          <w:rFonts w:hint="eastAsia"/>
          <w:color w:val="auto"/>
          <w:highlight w:val="none"/>
        </w:rPr>
        <w:t>0</w:t>
      </w:r>
      <w:r>
        <w:rPr>
          <w:color w:val="auto"/>
          <w:highlight w:val="none"/>
        </w:rPr>
        <w:t>分，其他的报价得分为：（评标基准价/投标报价）×</w:t>
      </w:r>
      <w:r>
        <w:rPr>
          <w:rFonts w:hint="eastAsia"/>
          <w:color w:val="auto"/>
          <w:highlight w:val="none"/>
          <w:lang w:val="en-US" w:eastAsia="zh-CN"/>
        </w:rPr>
        <w:t>1</w:t>
      </w:r>
      <w:r>
        <w:rPr>
          <w:rFonts w:hint="eastAsia"/>
          <w:color w:val="auto"/>
          <w:highlight w:val="none"/>
        </w:rPr>
        <w:t>0</w:t>
      </w:r>
      <w:r>
        <w:rPr>
          <w:color w:val="auto"/>
          <w:highlight w:val="none"/>
        </w:rPr>
        <w:t>。报价得分计算保留小数2位，第三位四舍五入。</w:t>
      </w:r>
    </w:p>
    <w:p>
      <w:pPr>
        <w:spacing w:line="360" w:lineRule="auto"/>
        <w:ind w:firstLine="482" w:firstLineChars="200"/>
        <w:rPr>
          <w:b/>
          <w:bCs/>
          <w:color w:val="auto"/>
          <w:szCs w:val="24"/>
          <w:highlight w:val="none"/>
        </w:rPr>
      </w:pPr>
      <w:r>
        <w:rPr>
          <w:b/>
          <w:bCs/>
          <w:color w:val="auto"/>
          <w:szCs w:val="24"/>
          <w:highlight w:val="none"/>
        </w:rPr>
        <w:t>评标委员会认为投标供应商的报价明显低于其他通过符合性审查投标供应商的报价，有可能影响产品质量或者不能诚信履约的，应当要求其在评标现场合理的时间内提供书面说明，必要时提交相关证明材料。</w:t>
      </w:r>
    </w:p>
    <w:bookmarkEnd w:id="37"/>
    <w:bookmarkEnd w:id="38"/>
    <w:p>
      <w:pPr>
        <w:pStyle w:val="2"/>
        <w:rPr>
          <w:color w:val="auto"/>
          <w:highlight w:val="none"/>
        </w:rPr>
      </w:pPr>
      <w:bookmarkStart w:id="40" w:name="_Toc23534"/>
      <w:r>
        <w:rPr>
          <w:color w:val="auto"/>
          <w:highlight w:val="none"/>
        </w:rPr>
        <w:t>澄清和补正</w:t>
      </w:r>
      <w:bookmarkEnd w:id="40"/>
      <w:r>
        <w:rPr>
          <w:color w:val="auto"/>
          <w:highlight w:val="none"/>
        </w:rPr>
        <w:t xml:space="preserve"> </w:t>
      </w:r>
    </w:p>
    <w:p>
      <w:pPr>
        <w:spacing w:line="360" w:lineRule="auto"/>
        <w:ind w:firstLine="480" w:firstLineChars="200"/>
        <w:rPr>
          <w:color w:val="auto"/>
          <w:highlight w:val="none"/>
        </w:rPr>
      </w:pPr>
      <w:r>
        <w:rPr>
          <w:color w:val="auto"/>
          <w:highlight w:val="none"/>
        </w:rPr>
        <w:t>评标委员会可以要求投标供应商对投标文件中含义不明确、同类问题表述不一致或者有明显文字和计算错误的内容作出必要的澄清、说明或者补正，投标供应商不得拒绝。</w:t>
      </w:r>
    </w:p>
    <w:p>
      <w:pPr>
        <w:spacing w:line="360" w:lineRule="auto"/>
        <w:ind w:firstLine="480" w:firstLineChars="200"/>
        <w:rPr>
          <w:color w:val="auto"/>
          <w:highlight w:val="none"/>
        </w:rPr>
      </w:pPr>
      <w:r>
        <w:rPr>
          <w:rFonts w:hint="eastAsia"/>
          <w:color w:val="auto"/>
          <w:highlight w:val="none"/>
        </w:rPr>
        <w:t>投标文件的</w:t>
      </w:r>
      <w:r>
        <w:rPr>
          <w:color w:val="auto"/>
          <w:highlight w:val="none"/>
        </w:rPr>
        <w:t>澄清、说明或者补正</w:t>
      </w:r>
      <w:r>
        <w:rPr>
          <w:rFonts w:hint="eastAsia"/>
          <w:color w:val="auto"/>
          <w:highlight w:val="none"/>
        </w:rPr>
        <w:t>，</w:t>
      </w:r>
      <w:r>
        <w:rPr>
          <w:color w:val="auto"/>
          <w:highlight w:val="none"/>
        </w:rPr>
        <w:t>评审小组和供应商应当通过电子交易平台交换数据电文。给予供应商提交澄清说明或补正的时间为半小时，供应商已经明确表示澄清说明或补正完毕的除外。</w:t>
      </w:r>
    </w:p>
    <w:p>
      <w:pPr>
        <w:spacing w:line="360" w:lineRule="auto"/>
        <w:ind w:firstLine="482" w:firstLineChars="200"/>
        <w:rPr>
          <w:b/>
          <w:color w:val="auto"/>
          <w:szCs w:val="22"/>
          <w:highlight w:val="none"/>
        </w:rPr>
      </w:pPr>
      <w:r>
        <w:rPr>
          <w:b/>
          <w:color w:val="auto"/>
          <w:szCs w:val="22"/>
          <w:highlight w:val="none"/>
        </w:rPr>
        <w:t>以向采购人或者评标委员会成员行贿的手段谋取中标的投标将被取消中标资格。</w:t>
      </w:r>
    </w:p>
    <w:p>
      <w:pPr>
        <w:pStyle w:val="2"/>
        <w:rPr>
          <w:color w:val="auto"/>
          <w:highlight w:val="none"/>
        </w:rPr>
      </w:pPr>
      <w:bookmarkStart w:id="41" w:name="_Toc13110"/>
      <w:r>
        <w:rPr>
          <w:color w:val="auto"/>
          <w:highlight w:val="none"/>
        </w:rPr>
        <w:t>评审计分内容和分值范围</w:t>
      </w:r>
      <w:bookmarkEnd w:id="41"/>
    </w:p>
    <w:p>
      <w:pPr>
        <w:spacing w:line="360" w:lineRule="auto"/>
        <w:ind w:firstLine="360" w:firstLineChars="150"/>
        <w:rPr>
          <w:color w:val="auto"/>
          <w:highlight w:val="none"/>
        </w:rPr>
      </w:pPr>
      <w:r>
        <w:rPr>
          <w:color w:val="auto"/>
          <w:highlight w:val="none"/>
        </w:rPr>
        <w:t>（1）综合评分满分100分。</w:t>
      </w:r>
    </w:p>
    <w:p>
      <w:pPr>
        <w:spacing w:line="360" w:lineRule="auto"/>
        <w:ind w:firstLine="360" w:firstLineChars="150"/>
        <w:rPr>
          <w:color w:val="auto"/>
          <w:highlight w:val="none"/>
        </w:rPr>
      </w:pPr>
      <w:r>
        <w:rPr>
          <w:color w:val="auto"/>
          <w:highlight w:val="none"/>
        </w:rPr>
        <w:t>（2）评分标准：</w:t>
      </w:r>
    </w:p>
    <w:p>
      <w:pPr>
        <w:rPr>
          <w:b/>
          <w:color w:val="auto"/>
          <w:sz w:val="32"/>
          <w:szCs w:val="32"/>
          <w:highlight w:val="none"/>
        </w:rPr>
      </w:pPr>
    </w:p>
    <w:p>
      <w:pPr>
        <w:rPr>
          <w:b/>
          <w:color w:val="auto"/>
          <w:sz w:val="32"/>
          <w:szCs w:val="32"/>
          <w:highlight w:val="none"/>
        </w:rPr>
      </w:pPr>
    </w:p>
    <w:p>
      <w:pPr>
        <w:rPr>
          <w:b/>
          <w:color w:val="auto"/>
          <w:sz w:val="32"/>
          <w:szCs w:val="32"/>
          <w:highlight w:val="none"/>
        </w:rPr>
      </w:pPr>
    </w:p>
    <w:p>
      <w:pPr>
        <w:rPr>
          <w:color w:val="auto"/>
          <w:highlight w:val="none"/>
        </w:rPr>
      </w:pPr>
      <w:r>
        <w:rPr>
          <w:color w:val="auto"/>
          <w:highlight w:val="none"/>
        </w:rPr>
        <w:br w:type="page"/>
      </w:r>
      <w:bookmarkStart w:id="42" w:name="_Toc12935"/>
      <w:bookmarkStart w:id="43" w:name="_Toc61532607"/>
      <w:bookmarkStart w:id="44" w:name="_Toc23792"/>
      <w:bookmarkStart w:id="45" w:name="_Toc9075"/>
      <w:bookmarkStart w:id="46" w:name="_Toc29834"/>
      <w:bookmarkStart w:id="47" w:name="_Toc29308"/>
      <w:bookmarkStart w:id="48" w:name="_Toc23330"/>
      <w:bookmarkStart w:id="49" w:name="_Toc71305522"/>
    </w:p>
    <w:p>
      <w:pPr>
        <w:pStyle w:val="26"/>
        <w:rPr>
          <w:rFonts w:ascii="Times New Roman" w:hAnsi="Times New Roman"/>
          <w:color w:val="auto"/>
          <w:highlight w:val="none"/>
        </w:rPr>
      </w:pPr>
      <w:bookmarkStart w:id="50" w:name="_Toc28562"/>
      <w:bookmarkStart w:id="51" w:name="_Toc17361"/>
      <w:bookmarkStart w:id="52" w:name="_Toc1862"/>
      <w:bookmarkStart w:id="53" w:name="_Toc15658"/>
      <w:bookmarkStart w:id="54" w:name="_Toc830"/>
      <w:bookmarkStart w:id="55" w:name="_Toc26426"/>
      <w:bookmarkStart w:id="56" w:name="_Toc16969"/>
      <w:bookmarkStart w:id="57" w:name="_Toc15384"/>
      <w:bookmarkStart w:id="58" w:name="_Toc17646"/>
      <w:bookmarkStart w:id="59" w:name="_Toc3254"/>
      <w:bookmarkStart w:id="60" w:name="_Toc12156"/>
      <w:bookmarkStart w:id="61" w:name="_Toc29105"/>
      <w:bookmarkStart w:id="62" w:name="_Toc14733"/>
      <w:bookmarkStart w:id="63" w:name="_Toc23228"/>
      <w:bookmarkStart w:id="64" w:name="_Toc19171"/>
      <w:bookmarkStart w:id="65" w:name="_Toc1078"/>
      <w:bookmarkStart w:id="66" w:name="_Toc23948"/>
      <w:bookmarkStart w:id="67" w:name="_Toc20212"/>
      <w:bookmarkStart w:id="68" w:name="_Toc21536"/>
      <w:bookmarkStart w:id="69" w:name="_Toc15313"/>
      <w:bookmarkStart w:id="70" w:name="_Toc4479"/>
      <w:bookmarkStart w:id="71" w:name="_Toc15856"/>
      <w:bookmarkStart w:id="72" w:name="_Toc26364"/>
      <w:bookmarkStart w:id="73" w:name="_Toc30811"/>
      <w:bookmarkStart w:id="74" w:name="_Toc11179"/>
      <w:bookmarkStart w:id="75" w:name="_Toc7900"/>
      <w:bookmarkStart w:id="76" w:name="_Toc30376"/>
      <w:bookmarkStart w:id="77" w:name="_Toc5354"/>
      <w:bookmarkStart w:id="78" w:name="_Toc31278"/>
      <w:bookmarkStart w:id="79" w:name="_Toc13608"/>
      <w:bookmarkStart w:id="80" w:name="_Toc24163"/>
      <w:bookmarkStart w:id="81" w:name="_Toc26998"/>
      <w:bookmarkStart w:id="82" w:name="_Toc12265"/>
      <w:bookmarkStart w:id="83" w:name="_Toc19472"/>
      <w:bookmarkStart w:id="84" w:name="_Toc26672"/>
      <w:bookmarkStart w:id="85" w:name="_Toc26568"/>
      <w:bookmarkStart w:id="86" w:name="_Toc2178"/>
      <w:r>
        <w:rPr>
          <w:rFonts w:ascii="Times New Roman" w:hAnsi="Times New Roman"/>
          <w:color w:val="auto"/>
          <w:highlight w:val="none"/>
        </w:rPr>
        <w:t>商务</w:t>
      </w:r>
      <w:r>
        <w:rPr>
          <w:rFonts w:hint="eastAsia" w:ascii="Times New Roman" w:hAnsi="Times New Roman"/>
          <w:color w:val="auto"/>
          <w:highlight w:val="none"/>
        </w:rPr>
        <w:t>及技术</w:t>
      </w:r>
      <w:r>
        <w:rPr>
          <w:rFonts w:ascii="Times New Roman" w:hAnsi="Times New Roman"/>
          <w:color w:val="auto"/>
          <w:highlight w:val="none"/>
        </w:rPr>
        <w:t>评分标准</w:t>
      </w:r>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p>
    <w:tbl>
      <w:tblPr>
        <w:tblStyle w:val="33"/>
        <w:tblW w:w="920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51"/>
        <w:gridCol w:w="976"/>
        <w:gridCol w:w="1560"/>
        <w:gridCol w:w="4425"/>
        <w:gridCol w:w="99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125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b/>
                <w:bCs/>
                <w:color w:val="auto"/>
                <w:highlight w:val="none"/>
              </w:rPr>
            </w:pPr>
            <w:r>
              <w:rPr>
                <w:rFonts w:ascii="Times New Roman" w:hAnsi="Times New Roman" w:eastAsia="宋体" w:cs="Times New Roman"/>
                <w:b/>
                <w:bCs/>
                <w:color w:val="auto"/>
                <w:highlight w:val="none"/>
              </w:rPr>
              <w:t>评分类型</w:t>
            </w:r>
          </w:p>
        </w:tc>
        <w:tc>
          <w:tcPr>
            <w:tcW w:w="976"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b/>
                <w:color w:val="auto"/>
                <w:highlight w:val="none"/>
              </w:rPr>
            </w:pPr>
            <w:r>
              <w:rPr>
                <w:rFonts w:ascii="Times New Roman" w:hAnsi="Times New Roman" w:eastAsia="宋体" w:cs="Times New Roman"/>
                <w:b/>
                <w:bCs/>
                <w:color w:val="auto"/>
                <w:highlight w:val="none"/>
              </w:rPr>
              <w:t>序号</w:t>
            </w:r>
          </w:p>
        </w:tc>
        <w:tc>
          <w:tcPr>
            <w:tcW w:w="156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b/>
                <w:bCs/>
                <w:color w:val="auto"/>
                <w:highlight w:val="none"/>
              </w:rPr>
            </w:pPr>
            <w:r>
              <w:rPr>
                <w:rFonts w:ascii="Times New Roman" w:hAnsi="Times New Roman" w:eastAsia="宋体" w:cs="Times New Roman"/>
                <w:b/>
                <w:bCs/>
                <w:color w:val="auto"/>
                <w:highlight w:val="none"/>
              </w:rPr>
              <w:t>评议内容</w:t>
            </w:r>
          </w:p>
        </w:tc>
        <w:tc>
          <w:tcPr>
            <w:tcW w:w="5415" w:type="dxa"/>
            <w:gridSpan w:val="2"/>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b/>
                <w:bCs/>
                <w:color w:val="auto"/>
                <w:highlight w:val="none"/>
              </w:rPr>
            </w:pPr>
            <w:r>
              <w:rPr>
                <w:rFonts w:ascii="Times New Roman" w:hAnsi="Times New Roman" w:eastAsia="宋体" w:cs="Times New Roman"/>
                <w:b/>
                <w:bCs/>
                <w:color w:val="auto"/>
                <w:highlight w:val="none"/>
              </w:rPr>
              <w:t>评议标准和分值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rPr>
            </w:pPr>
            <w:r>
              <w:rPr>
                <w:rFonts w:ascii="Times New Roman" w:hAnsi="Times New Roman" w:eastAsia="宋体" w:cs="Times New Roman"/>
                <w:color w:val="auto"/>
                <w:sz w:val="21"/>
                <w:szCs w:val="21"/>
                <w:highlight w:val="none"/>
              </w:rPr>
              <w:t>商务部分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8"/>
                <w:szCs w:val="21"/>
                <w:highlight w:val="none"/>
              </w:rPr>
            </w:pPr>
            <w:r>
              <w:rPr>
                <w:rFonts w:ascii="Times New Roman" w:hAnsi="Times New Roman" w:eastAsia="宋体" w:cs="Times New Roman"/>
                <w:color w:val="auto"/>
                <w:sz w:val="21"/>
                <w:szCs w:val="21"/>
                <w:highlight w:val="none"/>
              </w:rPr>
              <w:t>（</w:t>
            </w:r>
            <w:r>
              <w:rPr>
                <w:rFonts w:hint="eastAsia" w:cs="Times New Roman"/>
                <w:color w:val="auto"/>
                <w:sz w:val="21"/>
                <w:szCs w:val="21"/>
                <w:highlight w:val="none"/>
                <w:lang w:val="en-US" w:eastAsia="zh-CN"/>
              </w:rPr>
              <w:t>21</w:t>
            </w:r>
            <w:r>
              <w:rPr>
                <w:rFonts w:ascii="Times New Roman" w:hAnsi="Times New Roman" w:eastAsia="宋体" w:cs="Times New Roman"/>
                <w:color w:val="auto"/>
                <w:sz w:val="21"/>
                <w:szCs w:val="21"/>
                <w:highlight w:val="none"/>
              </w:rPr>
              <w:t>分）</w:t>
            </w:r>
          </w:p>
        </w:tc>
        <w:tc>
          <w:tcPr>
            <w:tcW w:w="976"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w:t>
            </w:r>
          </w:p>
        </w:tc>
        <w:tc>
          <w:tcPr>
            <w:tcW w:w="156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投标供应商综合实力</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具有ITSS信息技术服务运行维护标准符合性证书</w:t>
            </w:r>
            <w:r>
              <w:rPr>
                <w:rFonts w:hint="default" w:ascii="Times New Roman" w:hAnsi="Times New Roman" w:eastAsia="宋体" w:cs="Times New Roman"/>
                <w:color w:val="auto"/>
                <w:sz w:val="21"/>
                <w:szCs w:val="21"/>
                <w:highlight w:val="none"/>
                <w:lang w:val="en-US" w:eastAsia="zh-CN"/>
              </w:rPr>
              <w:t>的得1分；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具有 CMMI5级</w:t>
            </w:r>
            <w:r>
              <w:rPr>
                <w:rFonts w:hint="eastAsia" w:cs="Times New Roman"/>
                <w:color w:val="auto"/>
                <w:sz w:val="21"/>
                <w:szCs w:val="21"/>
                <w:highlight w:val="none"/>
                <w:lang w:val="en-US" w:eastAsia="zh-CN"/>
              </w:rPr>
              <w:t>认证</w:t>
            </w:r>
            <w:r>
              <w:rPr>
                <w:rFonts w:hint="default" w:ascii="Times New Roman" w:hAnsi="Times New Roman" w:eastAsia="宋体" w:cs="Times New Roman"/>
                <w:color w:val="auto"/>
                <w:sz w:val="21"/>
                <w:szCs w:val="21"/>
                <w:highlight w:val="none"/>
                <w:lang w:val="en-US" w:eastAsia="zh-CN"/>
              </w:rPr>
              <w:t>证书的得1分。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【证明材料：</w:t>
            </w:r>
            <w:r>
              <w:rPr>
                <w:rFonts w:hint="default" w:ascii="Times New Roman" w:hAnsi="Times New Roman" w:eastAsia="宋体" w:cs="Times New Roman"/>
                <w:color w:val="auto"/>
                <w:sz w:val="21"/>
                <w:szCs w:val="21"/>
                <w:highlight w:val="none"/>
                <w:lang w:val="en-US" w:eastAsia="zh-CN"/>
              </w:rPr>
              <w:t>有效期内的证书</w:t>
            </w:r>
            <w:r>
              <w:rPr>
                <w:rFonts w:hint="default" w:ascii="Times New Roman" w:hAnsi="Times New Roman" w:eastAsia="宋体" w:cs="Times New Roman"/>
                <w:color w:val="auto"/>
                <w:sz w:val="21"/>
                <w:szCs w:val="21"/>
                <w:highlight w:val="none"/>
              </w:rPr>
              <w:t>】</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rPr>
            </w:pPr>
          </w:p>
        </w:tc>
        <w:tc>
          <w:tcPr>
            <w:tcW w:w="976"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p>
        </w:tc>
        <w:tc>
          <w:tcPr>
            <w:tcW w:w="156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具有ISO质量管理体系认证证书、环境管理体系认证证书、职业健康安全管理体系认证证书的（体系范围需涵盖电子与智能化工程专业承包、计算机信息系统集成和软件开发与服务），每项得1分，最高得3分。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【证明材料：</w:t>
            </w:r>
            <w:r>
              <w:rPr>
                <w:rFonts w:hint="default" w:ascii="Times New Roman" w:hAnsi="Times New Roman" w:eastAsia="宋体" w:cs="Times New Roman"/>
                <w:color w:val="auto"/>
                <w:sz w:val="21"/>
                <w:szCs w:val="21"/>
                <w:highlight w:val="none"/>
                <w:lang w:val="en-US" w:eastAsia="zh-CN"/>
              </w:rPr>
              <w:t>有效期内的证书</w:t>
            </w:r>
            <w:r>
              <w:rPr>
                <w:rFonts w:hint="default" w:ascii="Times New Roman" w:hAnsi="Times New Roman" w:eastAsia="宋体" w:cs="Times New Roman"/>
                <w:color w:val="auto"/>
                <w:sz w:val="21"/>
                <w:szCs w:val="21"/>
                <w:highlight w:val="none"/>
              </w:rPr>
              <w:t>】</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0-3分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rPr>
            </w:pPr>
          </w:p>
        </w:tc>
        <w:tc>
          <w:tcPr>
            <w:tcW w:w="976"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w:t>
            </w:r>
          </w:p>
        </w:tc>
        <w:tc>
          <w:tcPr>
            <w:tcW w:w="156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eastAsia="zh-CN"/>
              </w:rPr>
              <w:t>类似</w:t>
            </w:r>
            <w:r>
              <w:rPr>
                <w:rFonts w:hint="default" w:ascii="Times New Roman" w:hAnsi="Times New Roman" w:eastAsia="宋体" w:cs="Times New Roman"/>
                <w:color w:val="auto"/>
                <w:sz w:val="21"/>
                <w:szCs w:val="21"/>
                <w:highlight w:val="none"/>
                <w:lang w:val="en-US" w:eastAsia="zh-CN"/>
              </w:rPr>
              <w:t>业绩</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自2019年1月1日以来</w:t>
            </w:r>
            <w:r>
              <w:rPr>
                <w:rFonts w:hint="default" w:ascii="Times New Roman" w:hAnsi="Times New Roman" w:eastAsia="宋体" w:cs="Times New Roman"/>
                <w:color w:val="auto"/>
                <w:sz w:val="21"/>
                <w:szCs w:val="21"/>
                <w:highlight w:val="none"/>
              </w:rPr>
              <w:t>（</w:t>
            </w:r>
            <w:r>
              <w:rPr>
                <w:rFonts w:hint="default" w:ascii="Times New Roman" w:hAnsi="Times New Roman" w:eastAsia="宋体" w:cs="Times New Roman"/>
                <w:color w:val="auto"/>
                <w:sz w:val="21"/>
                <w:szCs w:val="21"/>
                <w:highlight w:val="none"/>
                <w:lang w:val="en-US" w:eastAsia="zh-CN"/>
              </w:rPr>
              <w:t>以合同或委托协议书签订时间为准</w:t>
            </w:r>
            <w:r>
              <w:rPr>
                <w:rFonts w:hint="default" w:ascii="Times New Roman" w:hAnsi="Times New Roman" w:eastAsia="宋体" w:cs="Times New Roman"/>
                <w:color w:val="auto"/>
                <w:sz w:val="21"/>
                <w:szCs w:val="21"/>
                <w:highlight w:val="none"/>
              </w:rPr>
              <w:t>）</w:t>
            </w:r>
            <w:r>
              <w:rPr>
                <w:rFonts w:hint="default" w:ascii="Times New Roman" w:hAnsi="Times New Roman" w:eastAsia="宋体"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eastAsia="zh-CN"/>
              </w:rPr>
              <w:t>投标</w:t>
            </w:r>
            <w:r>
              <w:rPr>
                <w:rFonts w:hint="eastAsia" w:cs="Times New Roman"/>
                <w:color w:val="auto"/>
                <w:sz w:val="21"/>
                <w:szCs w:val="21"/>
                <w:highlight w:val="none"/>
                <w:lang w:val="en-US" w:eastAsia="zh-CN"/>
              </w:rPr>
              <w:t>人</w:t>
            </w:r>
            <w:r>
              <w:rPr>
                <w:rFonts w:hint="default" w:ascii="Times New Roman" w:hAnsi="Times New Roman" w:eastAsia="宋体" w:cs="Times New Roman"/>
                <w:color w:val="auto"/>
                <w:sz w:val="21"/>
                <w:szCs w:val="21"/>
                <w:highlight w:val="none"/>
              </w:rPr>
              <w:t>承</w:t>
            </w:r>
            <w:r>
              <w:rPr>
                <w:rFonts w:hint="default" w:ascii="Times New Roman" w:hAnsi="Times New Roman" w:eastAsia="宋体" w:cs="Times New Roman"/>
                <w:color w:val="auto"/>
                <w:sz w:val="21"/>
                <w:szCs w:val="21"/>
                <w:highlight w:val="none"/>
                <w:lang w:val="en-US" w:eastAsia="zh-CN"/>
              </w:rPr>
              <w:t>接过省（部）级及以上信息平台运行维护</w:t>
            </w:r>
            <w:r>
              <w:rPr>
                <w:rFonts w:hint="eastAsia" w:cs="Times New Roman"/>
                <w:color w:val="auto"/>
                <w:sz w:val="21"/>
                <w:szCs w:val="21"/>
                <w:highlight w:val="none"/>
                <w:lang w:val="en-US" w:eastAsia="zh-CN"/>
              </w:rPr>
              <w:t>项目</w:t>
            </w:r>
            <w:r>
              <w:rPr>
                <w:rFonts w:hint="default" w:ascii="Times New Roman" w:hAnsi="Times New Roman" w:eastAsia="宋体" w:cs="Times New Roman"/>
                <w:color w:val="auto"/>
                <w:sz w:val="21"/>
                <w:szCs w:val="21"/>
                <w:highlight w:val="none"/>
                <w:lang w:val="en-US" w:eastAsia="zh-CN"/>
              </w:rPr>
              <w:t>的</w:t>
            </w:r>
            <w:r>
              <w:rPr>
                <w:rFonts w:hint="default" w:ascii="Times New Roman" w:hAnsi="Times New Roman" w:eastAsia="宋体" w:cs="Times New Roman"/>
                <w:color w:val="auto"/>
                <w:sz w:val="21"/>
                <w:szCs w:val="21"/>
                <w:highlight w:val="none"/>
              </w:rPr>
              <w:t>得</w:t>
            </w:r>
            <w:r>
              <w:rPr>
                <w:rFonts w:hint="default" w:ascii="Times New Roman" w:hAnsi="Times New Roman" w:eastAsia="宋体"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rPr>
              <w:t>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【证明材料：合同或委托协议书】</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0-1分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8"/>
                <w:szCs w:val="21"/>
                <w:highlight w:val="none"/>
              </w:rPr>
            </w:pPr>
          </w:p>
        </w:tc>
        <w:tc>
          <w:tcPr>
            <w:tcW w:w="976"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3</w:t>
            </w:r>
          </w:p>
        </w:tc>
        <w:tc>
          <w:tcPr>
            <w:tcW w:w="156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项目负责人</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具有水利</w:t>
            </w:r>
            <w:r>
              <w:rPr>
                <w:rFonts w:hint="default" w:ascii="Times New Roman" w:hAnsi="Times New Roman" w:eastAsia="宋体" w:cs="Times New Roman"/>
                <w:color w:val="auto"/>
                <w:sz w:val="21"/>
                <w:szCs w:val="21"/>
                <w:highlight w:val="none"/>
                <w:lang w:val="en-US" w:eastAsia="zh-CN"/>
              </w:rPr>
              <w:t>相关专业</w:t>
            </w:r>
            <w:r>
              <w:rPr>
                <w:rFonts w:hint="default" w:ascii="Times New Roman" w:hAnsi="Times New Roman" w:eastAsia="宋体" w:cs="Times New Roman"/>
                <w:color w:val="auto"/>
                <w:sz w:val="21"/>
                <w:szCs w:val="21"/>
                <w:highlight w:val="none"/>
              </w:rPr>
              <w:t>副高级</w:t>
            </w:r>
            <w:r>
              <w:rPr>
                <w:rFonts w:hint="default" w:ascii="Times New Roman" w:hAnsi="Times New Roman" w:eastAsia="宋体" w:cs="Times New Roman"/>
                <w:color w:val="auto"/>
                <w:sz w:val="21"/>
                <w:szCs w:val="21"/>
                <w:highlight w:val="none"/>
                <w:lang w:val="en-US" w:eastAsia="zh-CN"/>
              </w:rPr>
              <w:t>及以上</w:t>
            </w:r>
            <w:r>
              <w:rPr>
                <w:rFonts w:hint="default" w:ascii="Times New Roman" w:hAnsi="Times New Roman" w:eastAsia="宋体" w:cs="Times New Roman"/>
                <w:color w:val="auto"/>
                <w:sz w:val="21"/>
                <w:szCs w:val="21"/>
                <w:highlight w:val="none"/>
              </w:rPr>
              <w:t>职称的得</w:t>
            </w:r>
            <w:r>
              <w:rPr>
                <w:rFonts w:hint="default" w:ascii="Times New Roman" w:hAnsi="Times New Roman" w:eastAsia="宋体" w:cs="Times New Roman"/>
                <w:color w:val="auto"/>
                <w:sz w:val="21"/>
                <w:szCs w:val="21"/>
                <w:highlight w:val="none"/>
                <w:lang w:val="en-US" w:eastAsia="zh-CN"/>
              </w:rPr>
              <w:t>3</w:t>
            </w:r>
            <w:r>
              <w:rPr>
                <w:rFonts w:hint="default" w:ascii="Times New Roman" w:hAnsi="Times New Roman" w:eastAsia="宋体" w:cs="Times New Roman"/>
                <w:color w:val="auto"/>
                <w:sz w:val="21"/>
                <w:szCs w:val="21"/>
                <w:highlight w:val="none"/>
              </w:rPr>
              <w:t>分</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中级职称的得</w:t>
            </w:r>
            <w:r>
              <w:rPr>
                <w:rFonts w:hint="default" w:ascii="Times New Roman" w:hAnsi="Times New Roman" w:eastAsia="宋体"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分</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其余不得分</w:t>
            </w:r>
            <w:r>
              <w:rPr>
                <w:rFonts w:hint="default" w:ascii="Times New Roman" w:hAnsi="Times New Roman" w:eastAsia="宋体" w:cs="Times New Roman"/>
                <w:color w:val="auto"/>
                <w:sz w:val="21"/>
                <w:szCs w:val="21"/>
                <w:highlight w:val="none"/>
              </w:rPr>
              <w:t>。</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【证明材料：职称证书】</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default" w:ascii="Times New Roman" w:hAnsi="Times New Roman" w:eastAsia="宋体" w:cs="Times New Roman"/>
                <w:color w:val="auto"/>
                <w:sz w:val="21"/>
                <w:szCs w:val="21"/>
                <w:highlight w:val="none"/>
                <w:lang w:val="en-US" w:eastAsia="zh-CN"/>
              </w:rPr>
              <w:t>3</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8"/>
                <w:szCs w:val="21"/>
                <w:highlight w:val="none"/>
              </w:rPr>
            </w:pPr>
          </w:p>
        </w:tc>
        <w:tc>
          <w:tcPr>
            <w:tcW w:w="976"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p>
        </w:tc>
        <w:tc>
          <w:tcPr>
            <w:tcW w:w="156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具有水利水电专业咨询工程师职业资格的，得3分</w:t>
            </w:r>
            <w:r>
              <w:rPr>
                <w:rFonts w:hint="default" w:ascii="Times New Roman" w:hAnsi="Times New Roman" w:eastAsia="宋体" w:cs="Times New Roman"/>
                <w:color w:val="auto"/>
                <w:sz w:val="21"/>
                <w:szCs w:val="21"/>
                <w:highlight w:val="none"/>
                <w:lang w:eastAsia="zh-CN"/>
              </w:rPr>
              <w:t>。</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【证明材料：</w:t>
            </w:r>
            <w:r>
              <w:rPr>
                <w:rFonts w:hint="default" w:ascii="Times New Roman" w:hAnsi="Times New Roman" w:eastAsia="宋体" w:cs="Times New Roman"/>
                <w:color w:val="auto"/>
                <w:sz w:val="21"/>
                <w:szCs w:val="21"/>
                <w:highlight w:val="none"/>
                <w:lang w:val="en-US" w:eastAsia="zh-CN"/>
              </w:rPr>
              <w:t>执业资格证书</w:t>
            </w:r>
            <w:r>
              <w:rPr>
                <w:rFonts w:hint="default" w:ascii="Times New Roman" w:hAnsi="Times New Roman" w:eastAsia="宋体" w:cs="Times New Roman"/>
                <w:color w:val="auto"/>
                <w:sz w:val="21"/>
                <w:szCs w:val="21"/>
                <w:highlight w:val="none"/>
              </w:rPr>
              <w:t>】</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0-3分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8"/>
                <w:szCs w:val="21"/>
                <w:highlight w:val="none"/>
                <w:lang w:bidi="ar"/>
              </w:rPr>
            </w:pPr>
          </w:p>
        </w:tc>
        <w:tc>
          <w:tcPr>
            <w:tcW w:w="976"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bidi="ar"/>
              </w:rPr>
              <w:t>4</w:t>
            </w:r>
          </w:p>
        </w:tc>
        <w:tc>
          <w:tcPr>
            <w:tcW w:w="156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bidi="ar"/>
              </w:rPr>
              <w:t>项目组</w:t>
            </w:r>
            <w:r>
              <w:rPr>
                <w:rFonts w:hint="default" w:ascii="Times New Roman" w:hAnsi="Times New Roman" w:eastAsia="宋体" w:cs="Times New Roman"/>
                <w:color w:val="auto"/>
                <w:sz w:val="21"/>
                <w:szCs w:val="21"/>
                <w:highlight w:val="none"/>
                <w:lang w:val="en-US" w:eastAsia="zh-CN" w:bidi="ar"/>
              </w:rPr>
              <w:t>人</w:t>
            </w:r>
            <w:r>
              <w:rPr>
                <w:rFonts w:hint="default" w:ascii="Times New Roman" w:hAnsi="Times New Roman" w:eastAsia="宋体" w:cs="Times New Roman"/>
                <w:color w:val="auto"/>
                <w:sz w:val="21"/>
                <w:szCs w:val="21"/>
                <w:highlight w:val="none"/>
                <w:lang w:bidi="ar"/>
              </w:rPr>
              <w:t>员</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拟派项目组</w:t>
            </w:r>
            <w:r>
              <w:rPr>
                <w:rFonts w:hint="default" w:ascii="Times New Roman" w:hAnsi="Times New Roman" w:eastAsia="宋体" w:cs="Times New Roman"/>
                <w:color w:val="auto"/>
                <w:sz w:val="21"/>
                <w:szCs w:val="21"/>
                <w:highlight w:val="none"/>
                <w:lang w:val="en-US" w:eastAsia="zh-CN"/>
              </w:rPr>
              <w:t>人</w:t>
            </w:r>
            <w:r>
              <w:rPr>
                <w:rFonts w:hint="default" w:ascii="Times New Roman" w:hAnsi="Times New Roman" w:eastAsia="宋体" w:cs="Times New Roman"/>
                <w:color w:val="auto"/>
                <w:sz w:val="21"/>
                <w:szCs w:val="21"/>
                <w:highlight w:val="none"/>
              </w:rPr>
              <w:t>员（除项目负责人</w:t>
            </w:r>
            <w:r>
              <w:rPr>
                <w:rFonts w:hint="default" w:ascii="Times New Roman" w:hAnsi="Times New Roman" w:eastAsia="宋体" w:cs="Times New Roman"/>
                <w:color w:val="auto"/>
                <w:sz w:val="21"/>
                <w:szCs w:val="21"/>
                <w:highlight w:val="none"/>
                <w:lang w:val="en-US" w:eastAsia="zh-CN"/>
              </w:rPr>
              <w:t>外</w:t>
            </w:r>
            <w:r>
              <w:rPr>
                <w:rFonts w:hint="default" w:ascii="Times New Roman" w:hAnsi="Times New Roman" w:eastAsia="宋体" w:cs="Times New Roman"/>
                <w:color w:val="auto"/>
                <w:sz w:val="21"/>
                <w:szCs w:val="21"/>
                <w:highlight w:val="none"/>
              </w:rPr>
              <w:t>）</w:t>
            </w:r>
            <w:r>
              <w:rPr>
                <w:rFonts w:hint="default" w:ascii="Times New Roman" w:hAnsi="Times New Roman" w:eastAsia="宋体" w:cs="Times New Roman"/>
                <w:color w:val="auto"/>
                <w:sz w:val="21"/>
                <w:szCs w:val="21"/>
                <w:highlight w:val="none"/>
                <w:lang w:val="en-US" w:eastAsia="zh-CN"/>
              </w:rPr>
              <w:t>具有信息系统项目管理师证书的得3分；具有电子、信息工程专业咨询工程师职业资格的得2分；具有数据库工程师证书的得2分；具有网络工程师证书的得2分。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本项最高得9分</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同</w:t>
            </w:r>
            <w:r>
              <w:rPr>
                <w:rFonts w:hint="default" w:ascii="Times New Roman" w:hAnsi="Times New Roman" w:eastAsia="宋体" w:cs="Times New Roman"/>
                <w:color w:val="auto"/>
                <w:sz w:val="21"/>
                <w:szCs w:val="21"/>
                <w:highlight w:val="none"/>
                <w:lang w:val="en-US" w:eastAsia="zh-CN"/>
              </w:rPr>
              <w:t>一</w:t>
            </w:r>
            <w:r>
              <w:rPr>
                <w:rFonts w:hint="default" w:ascii="Times New Roman" w:hAnsi="Times New Roman" w:eastAsia="宋体" w:cs="Times New Roman"/>
                <w:color w:val="auto"/>
                <w:sz w:val="21"/>
                <w:szCs w:val="21"/>
                <w:highlight w:val="none"/>
              </w:rPr>
              <w:t>人</w:t>
            </w:r>
            <w:r>
              <w:rPr>
                <w:rFonts w:hint="eastAsia" w:cs="Times New Roman"/>
                <w:color w:val="auto"/>
                <w:sz w:val="21"/>
                <w:szCs w:val="21"/>
                <w:highlight w:val="none"/>
                <w:lang w:val="en-US" w:eastAsia="zh-CN"/>
              </w:rPr>
              <w:t>具有多项证书的，按分值高的计分</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【证明材料：</w:t>
            </w:r>
            <w:r>
              <w:rPr>
                <w:rFonts w:hint="default" w:ascii="Times New Roman" w:hAnsi="Times New Roman" w:eastAsia="宋体" w:cs="Times New Roman"/>
                <w:color w:val="auto"/>
                <w:sz w:val="21"/>
                <w:szCs w:val="21"/>
                <w:highlight w:val="none"/>
                <w:lang w:val="en-US" w:eastAsia="zh-CN"/>
              </w:rPr>
              <w:t>执业资格证书</w:t>
            </w:r>
            <w:r>
              <w:rPr>
                <w:rFonts w:hint="default" w:ascii="Times New Roman" w:hAnsi="Times New Roman" w:eastAsia="宋体" w:cs="Times New Roman"/>
                <w:color w:val="auto"/>
                <w:sz w:val="21"/>
                <w:szCs w:val="21"/>
                <w:highlight w:val="none"/>
              </w:rPr>
              <w:t>】</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bidi="ar"/>
              </w:rPr>
              <w:t>0-</w:t>
            </w:r>
            <w:r>
              <w:rPr>
                <w:rFonts w:hint="default" w:ascii="Times New Roman" w:hAnsi="Times New Roman" w:eastAsia="宋体" w:cs="Times New Roman"/>
                <w:color w:val="auto"/>
                <w:sz w:val="21"/>
                <w:szCs w:val="21"/>
                <w:highlight w:val="none"/>
                <w:lang w:val="en-US" w:eastAsia="zh-CN" w:bidi="ar"/>
              </w:rPr>
              <w:t>9</w:t>
            </w:r>
            <w:r>
              <w:rPr>
                <w:rFonts w:hint="default" w:ascii="Times New Roman" w:hAnsi="Times New Roman" w:eastAsia="宋体" w:cs="Times New Roman"/>
                <w:color w:val="auto"/>
                <w:sz w:val="21"/>
                <w:szCs w:val="21"/>
                <w:highlight w:val="none"/>
                <w:lang w:bidi="ar"/>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rPr>
            </w:pPr>
            <w:r>
              <w:rPr>
                <w:rFonts w:ascii="Times New Roman" w:hAnsi="Times New Roman" w:eastAsia="宋体" w:cs="Times New Roman"/>
                <w:color w:val="auto"/>
                <w:sz w:val="21"/>
                <w:szCs w:val="21"/>
                <w:highlight w:val="none"/>
              </w:rPr>
              <w:t>技术部分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rPr>
              <w:t>（</w:t>
            </w:r>
            <w:r>
              <w:rPr>
                <w:rFonts w:hint="eastAsia" w:cs="Times New Roman"/>
                <w:color w:val="auto"/>
                <w:sz w:val="21"/>
                <w:szCs w:val="21"/>
                <w:highlight w:val="none"/>
                <w:lang w:val="en-US" w:eastAsia="zh-CN"/>
              </w:rPr>
              <w:t>69</w:t>
            </w:r>
            <w:r>
              <w:rPr>
                <w:rFonts w:hint="eastAsia" w:ascii="Times New Roman" w:hAnsi="Times New Roman" w:eastAsia="宋体" w:cs="Times New Roman"/>
                <w:color w:val="auto"/>
                <w:sz w:val="21"/>
                <w:szCs w:val="21"/>
                <w:highlight w:val="none"/>
              </w:rPr>
              <w:t>分）</w:t>
            </w:r>
          </w:p>
        </w:tc>
        <w:tc>
          <w:tcPr>
            <w:tcW w:w="976"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bidi="ar"/>
              </w:rPr>
              <w:t>5</w:t>
            </w:r>
          </w:p>
        </w:tc>
        <w:tc>
          <w:tcPr>
            <w:tcW w:w="156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bidi="ar"/>
              </w:rPr>
              <w:t>工作方案</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对浙江省水土保持管理的理解程度。</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default" w:ascii="Times New Roman" w:hAnsi="Times New Roman" w:eastAsia="宋体" w:cs="Times New Roman"/>
                <w:color w:val="auto"/>
                <w:sz w:val="21"/>
                <w:szCs w:val="21"/>
                <w:highlight w:val="none"/>
                <w:lang w:val="en-US" w:eastAsia="zh-CN"/>
              </w:rPr>
              <w:t>5</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eastAsia" w:ascii="Times New Roman" w:hAnsi="Times New Roman" w:eastAsia="宋体" w:cs="Times New Roman"/>
                <w:color w:val="auto"/>
                <w:sz w:val="21"/>
                <w:szCs w:val="21"/>
                <w:highlight w:val="none"/>
              </w:rPr>
            </w:pPr>
          </w:p>
        </w:tc>
        <w:tc>
          <w:tcPr>
            <w:tcW w:w="976"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156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对相关系统的熟悉程度（包括系统总体框架、功能模块、数据情况、运行环境熟悉情况等）。</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default" w:ascii="Times New Roman" w:hAnsi="Times New Roman" w:eastAsia="宋体" w:cs="Times New Roman"/>
                <w:color w:val="auto"/>
                <w:sz w:val="21"/>
                <w:szCs w:val="21"/>
                <w:highlight w:val="none"/>
                <w:lang w:val="en-US" w:eastAsia="zh-CN"/>
              </w:rPr>
              <w:t>5</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eastAsia" w:ascii="Times New Roman" w:hAnsi="Times New Roman" w:eastAsia="宋体" w:cs="Times New Roman"/>
                <w:color w:val="auto"/>
                <w:sz w:val="21"/>
                <w:szCs w:val="21"/>
                <w:highlight w:val="none"/>
              </w:rPr>
            </w:pPr>
          </w:p>
        </w:tc>
        <w:tc>
          <w:tcPr>
            <w:tcW w:w="976"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156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运行维护</w:t>
            </w:r>
            <w:r>
              <w:rPr>
                <w:rFonts w:hint="default" w:ascii="Times New Roman" w:hAnsi="Times New Roman" w:eastAsia="宋体" w:cs="Times New Roman"/>
                <w:color w:val="auto"/>
                <w:sz w:val="21"/>
                <w:szCs w:val="21"/>
                <w:highlight w:val="none"/>
              </w:rPr>
              <w:t>方案的完整性（包括方案内容是否齐全、结构是否完整、条理是否清晰，方案与需求的吻合程度等）。</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default" w:ascii="Times New Roman" w:hAnsi="Times New Roman" w:eastAsia="宋体" w:cs="Times New Roman"/>
                <w:color w:val="auto"/>
                <w:sz w:val="21"/>
                <w:szCs w:val="21"/>
                <w:highlight w:val="none"/>
                <w:lang w:val="en-US" w:eastAsia="zh-CN"/>
              </w:rPr>
              <w:t>5</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eastAsia" w:ascii="Times New Roman" w:hAnsi="Times New Roman" w:eastAsia="宋体" w:cs="Times New Roman"/>
                <w:color w:val="auto"/>
                <w:sz w:val="21"/>
                <w:szCs w:val="21"/>
                <w:highlight w:val="none"/>
              </w:rPr>
            </w:pPr>
          </w:p>
        </w:tc>
        <w:tc>
          <w:tcPr>
            <w:tcW w:w="976"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156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left"/>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平台日常运维实施方案合理性和可行性。</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default" w:ascii="Times New Roman" w:hAnsi="Times New Roman" w:eastAsia="宋体" w:cs="Times New Roman"/>
                <w:color w:val="auto"/>
                <w:sz w:val="21"/>
                <w:szCs w:val="21"/>
                <w:highlight w:val="none"/>
                <w:lang w:val="en-US" w:eastAsia="zh-CN"/>
              </w:rPr>
              <w:t>5</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eastAsia" w:ascii="Times New Roman" w:hAnsi="Times New Roman" w:eastAsia="宋体" w:cs="Times New Roman"/>
                <w:color w:val="auto"/>
                <w:sz w:val="21"/>
                <w:szCs w:val="21"/>
                <w:highlight w:val="none"/>
              </w:rPr>
            </w:pPr>
          </w:p>
        </w:tc>
        <w:tc>
          <w:tcPr>
            <w:tcW w:w="976"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156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left"/>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与省水利数据仓对接方案的技术可实现性、合理性。</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default" w:ascii="Times New Roman" w:hAnsi="Times New Roman" w:eastAsia="宋体" w:cs="Times New Roman"/>
                <w:color w:val="auto"/>
                <w:sz w:val="21"/>
                <w:szCs w:val="21"/>
                <w:highlight w:val="none"/>
                <w:lang w:val="en-US" w:eastAsia="zh-CN"/>
              </w:rPr>
              <w:t>5</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eastAsia" w:ascii="Times New Roman" w:hAnsi="Times New Roman" w:eastAsia="宋体" w:cs="Times New Roman"/>
                <w:color w:val="auto"/>
                <w:sz w:val="21"/>
                <w:szCs w:val="21"/>
                <w:highlight w:val="none"/>
              </w:rPr>
            </w:pPr>
          </w:p>
        </w:tc>
        <w:tc>
          <w:tcPr>
            <w:tcW w:w="976"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156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left"/>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应用迭代更新方案的可行性、合理性，等级保护测评方案的可行性、合理性。</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default" w:ascii="Times New Roman" w:hAnsi="Times New Roman" w:eastAsia="宋体" w:cs="Times New Roman"/>
                <w:color w:val="auto"/>
                <w:sz w:val="21"/>
                <w:szCs w:val="21"/>
                <w:highlight w:val="none"/>
                <w:lang w:val="en-US" w:eastAsia="zh-CN"/>
              </w:rPr>
              <w:t>5</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lang w:bidi="ar"/>
              </w:rPr>
            </w:pPr>
          </w:p>
        </w:tc>
        <w:tc>
          <w:tcPr>
            <w:tcW w:w="976"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6</w:t>
            </w:r>
          </w:p>
        </w:tc>
        <w:tc>
          <w:tcPr>
            <w:tcW w:w="156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105" w:leftChars="0" w:hanging="105" w:firstLineChars="0"/>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rPr>
              <w:t>工作重点</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对项目重点、难点的分析及解决方案的合理性。</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lang w:bidi="ar"/>
              </w:rPr>
            </w:pPr>
          </w:p>
        </w:tc>
        <w:tc>
          <w:tcPr>
            <w:tcW w:w="976"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7</w:t>
            </w:r>
          </w:p>
        </w:tc>
        <w:tc>
          <w:tcPr>
            <w:tcW w:w="156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105" w:leftChars="0" w:hanging="105" w:firstLine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工作方法</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工作方法与手段</w:t>
            </w:r>
            <w:r>
              <w:rPr>
                <w:rFonts w:hint="default" w:ascii="Times New Roman" w:hAnsi="Times New Roman" w:eastAsia="宋体" w:cs="Times New Roman"/>
                <w:color w:val="auto"/>
                <w:sz w:val="21"/>
                <w:szCs w:val="21"/>
                <w:highlight w:val="none"/>
                <w:lang w:val="en-US" w:eastAsia="zh-CN"/>
              </w:rPr>
              <w:t>安排</w:t>
            </w:r>
            <w:r>
              <w:rPr>
                <w:rFonts w:hint="default" w:ascii="Times New Roman" w:hAnsi="Times New Roman" w:eastAsia="宋体" w:cs="Times New Roman"/>
                <w:color w:val="auto"/>
                <w:sz w:val="21"/>
                <w:szCs w:val="21"/>
                <w:highlight w:val="none"/>
              </w:rPr>
              <w:t>合理，</w:t>
            </w:r>
            <w:r>
              <w:rPr>
                <w:rFonts w:hint="default" w:ascii="Times New Roman" w:hAnsi="Times New Roman" w:eastAsia="宋体" w:cs="Times New Roman"/>
                <w:color w:val="auto"/>
                <w:sz w:val="21"/>
                <w:szCs w:val="21"/>
                <w:highlight w:val="none"/>
                <w:lang w:val="en-US" w:eastAsia="zh-CN"/>
              </w:rPr>
              <w:t>具有可操作性，</w:t>
            </w:r>
            <w:r>
              <w:rPr>
                <w:rFonts w:hint="default" w:ascii="Times New Roman" w:hAnsi="Times New Roman" w:eastAsia="宋体" w:cs="Times New Roman"/>
                <w:color w:val="auto"/>
                <w:sz w:val="21"/>
                <w:szCs w:val="21"/>
                <w:highlight w:val="none"/>
              </w:rPr>
              <w:t>符合本项目实际情况和工作开展的要求。</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lang w:bidi="ar"/>
              </w:rPr>
            </w:pPr>
          </w:p>
        </w:tc>
        <w:tc>
          <w:tcPr>
            <w:tcW w:w="976"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8</w:t>
            </w:r>
          </w:p>
        </w:tc>
        <w:tc>
          <w:tcPr>
            <w:tcW w:w="156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预期成果管理</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对预期成果管理的制度保障、保存、交付的规范化程度。</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lang w:bidi="ar"/>
              </w:rPr>
            </w:pPr>
          </w:p>
        </w:tc>
        <w:tc>
          <w:tcPr>
            <w:tcW w:w="976"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bidi="ar"/>
              </w:rPr>
              <w:t>9</w:t>
            </w:r>
          </w:p>
        </w:tc>
        <w:tc>
          <w:tcPr>
            <w:tcW w:w="156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72" w:leftChars="30" w:right="72" w:rightChars="3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bidi="ar"/>
              </w:rPr>
              <w:t>进度控制</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总体进度安排满足</w:t>
            </w:r>
            <w:r>
              <w:rPr>
                <w:rFonts w:hint="default" w:ascii="Times New Roman" w:hAnsi="Times New Roman" w:eastAsia="宋体" w:cs="Times New Roman"/>
                <w:color w:val="auto"/>
                <w:sz w:val="21"/>
                <w:szCs w:val="21"/>
                <w:highlight w:val="none"/>
                <w:lang w:val="en-US" w:eastAsia="zh-CN"/>
              </w:rPr>
              <w:t>采购</w:t>
            </w:r>
            <w:r>
              <w:rPr>
                <w:rFonts w:hint="default" w:ascii="Times New Roman" w:hAnsi="Times New Roman" w:eastAsia="宋体" w:cs="Times New Roman"/>
                <w:color w:val="auto"/>
                <w:sz w:val="21"/>
                <w:szCs w:val="21"/>
                <w:highlight w:val="none"/>
              </w:rPr>
              <w:t>文件要求。</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0-</w:t>
            </w:r>
            <w:r>
              <w:rPr>
                <w:rFonts w:hint="default" w:ascii="Times New Roman" w:hAnsi="Times New Roman" w:eastAsia="宋体" w:cs="Times New Roman"/>
                <w:color w:val="auto"/>
                <w:sz w:val="21"/>
                <w:szCs w:val="21"/>
                <w:highlight w:val="none"/>
                <w:lang w:val="en-US" w:eastAsia="zh-CN" w:bidi="ar"/>
              </w:rPr>
              <w:t>5</w:t>
            </w:r>
            <w:r>
              <w:rPr>
                <w:rFonts w:hint="default" w:ascii="Times New Roman" w:hAnsi="Times New Roman" w:eastAsia="宋体" w:cs="Times New Roman"/>
                <w:color w:val="auto"/>
                <w:sz w:val="21"/>
                <w:szCs w:val="21"/>
                <w:highlight w:val="none"/>
                <w:lang w:bidi="ar"/>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lang w:bidi="ar"/>
              </w:rPr>
            </w:pPr>
          </w:p>
        </w:tc>
        <w:tc>
          <w:tcPr>
            <w:tcW w:w="976"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p>
        </w:tc>
        <w:tc>
          <w:tcPr>
            <w:tcW w:w="156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72" w:leftChars="30" w:right="72" w:rightChars="30"/>
              <w:jc w:val="center"/>
              <w:textAlignment w:val="baseline"/>
              <w:rPr>
                <w:rFonts w:hint="default" w:ascii="Times New Roman" w:hAnsi="Times New Roman" w:eastAsia="宋体" w:cs="Times New Roman"/>
                <w:color w:val="auto"/>
                <w:sz w:val="21"/>
                <w:szCs w:val="21"/>
                <w:highlight w:val="none"/>
                <w:lang w:bidi="ar"/>
              </w:rPr>
            </w:pP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节点进度细化合理、有利于项目开展。</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0"/>
                <w:highlight w:val="none"/>
              </w:rPr>
            </w:pPr>
          </w:p>
        </w:tc>
        <w:tc>
          <w:tcPr>
            <w:tcW w:w="976"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10</w:t>
            </w:r>
          </w:p>
        </w:tc>
        <w:tc>
          <w:tcPr>
            <w:tcW w:w="156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72" w:leftChars="30" w:right="72" w:rightChars="30"/>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质量保证</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单位内部质量管理制度齐全。</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0-</w:t>
            </w:r>
            <w:r>
              <w:rPr>
                <w:rFonts w:hint="default" w:ascii="Times New Roman" w:hAnsi="Times New Roman" w:eastAsia="宋体" w:cs="Times New Roman"/>
                <w:color w:val="auto"/>
                <w:sz w:val="21"/>
                <w:szCs w:val="21"/>
                <w:highlight w:val="none"/>
                <w:lang w:val="en-US" w:eastAsia="zh-CN" w:bidi="ar"/>
              </w:rPr>
              <w:t>5</w:t>
            </w:r>
            <w:r>
              <w:rPr>
                <w:rFonts w:hint="default" w:ascii="Times New Roman" w:hAnsi="Times New Roman" w:eastAsia="宋体" w:cs="Times New Roman"/>
                <w:color w:val="auto"/>
                <w:sz w:val="21"/>
                <w:szCs w:val="21"/>
                <w:highlight w:val="none"/>
                <w:lang w:bidi="ar"/>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lang w:bidi="ar"/>
              </w:rPr>
            </w:pPr>
          </w:p>
        </w:tc>
        <w:tc>
          <w:tcPr>
            <w:tcW w:w="976"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rPr>
            </w:pPr>
          </w:p>
        </w:tc>
        <w:tc>
          <w:tcPr>
            <w:tcW w:w="156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72" w:leftChars="30" w:right="72" w:rightChars="30"/>
              <w:jc w:val="center"/>
              <w:textAlignment w:val="baseline"/>
              <w:rPr>
                <w:rFonts w:hint="default" w:ascii="Times New Roman" w:hAnsi="Times New Roman" w:eastAsia="宋体" w:cs="Times New Roman"/>
                <w:color w:val="auto"/>
                <w:sz w:val="21"/>
                <w:szCs w:val="21"/>
                <w:highlight w:val="none"/>
                <w:lang w:bidi="ar"/>
              </w:rPr>
            </w:pP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结合采购需求，有针对性地建立了项目质量保障工作机制及措施，满足采购需求对质量保证的要求。</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lang w:bidi="ar"/>
              </w:rPr>
            </w:pPr>
          </w:p>
        </w:tc>
        <w:tc>
          <w:tcPr>
            <w:tcW w:w="976"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11</w:t>
            </w:r>
          </w:p>
        </w:tc>
        <w:tc>
          <w:tcPr>
            <w:tcW w:w="156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72" w:leftChars="30" w:right="72" w:rightChars="30"/>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val="en-US" w:eastAsia="zh-CN"/>
              </w:rPr>
              <w:t>售后服务</w:t>
            </w: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售后服务方案满足本项目采购需求</w:t>
            </w:r>
            <w:r>
              <w:rPr>
                <w:rFonts w:hint="default" w:ascii="Times New Roman" w:hAnsi="Times New Roman" w:eastAsia="宋体" w:cs="Times New Roman"/>
                <w:color w:val="auto"/>
                <w:sz w:val="21"/>
                <w:szCs w:val="21"/>
                <w:highlight w:val="none"/>
                <w:lang w:eastAsia="zh-CN"/>
              </w:rPr>
              <w:t>。</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0-2分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1" w:type="dxa"/>
            <w:vMerge w:val="continue"/>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lang w:bidi="ar"/>
              </w:rPr>
            </w:pPr>
          </w:p>
        </w:tc>
        <w:tc>
          <w:tcPr>
            <w:tcW w:w="976"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rPr>
            </w:pPr>
          </w:p>
        </w:tc>
        <w:tc>
          <w:tcPr>
            <w:tcW w:w="156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72" w:leftChars="30" w:right="72" w:rightChars="30"/>
              <w:jc w:val="center"/>
              <w:textAlignment w:val="baseline"/>
              <w:rPr>
                <w:rFonts w:hint="default" w:ascii="Times New Roman" w:hAnsi="Times New Roman" w:eastAsia="宋体" w:cs="Times New Roman"/>
                <w:color w:val="auto"/>
                <w:sz w:val="21"/>
                <w:szCs w:val="21"/>
                <w:highlight w:val="none"/>
                <w:lang w:bidi="ar"/>
              </w:rPr>
            </w:pPr>
          </w:p>
        </w:tc>
        <w:tc>
          <w:tcPr>
            <w:tcW w:w="4425"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售后服务承诺以及服务承诺落实的保障措施完善，具有技术支持和维护能力。</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0-2分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212" w:type="dxa"/>
            <w:gridSpan w:val="4"/>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rPr>
            </w:pPr>
            <w:r>
              <w:rPr>
                <w:rFonts w:ascii="Times New Roman" w:hAnsi="Times New Roman" w:eastAsia="宋体" w:cs="Times New Roman"/>
                <w:b/>
                <w:bCs/>
                <w:color w:val="auto"/>
                <w:sz w:val="21"/>
                <w:szCs w:val="21"/>
                <w:highlight w:val="none"/>
              </w:rPr>
              <w:t>合计</w:t>
            </w:r>
          </w:p>
        </w:tc>
        <w:tc>
          <w:tcPr>
            <w:tcW w:w="99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jc w:val="center"/>
              <w:textAlignment w:val="baseline"/>
              <w:rPr>
                <w:rFonts w:ascii="Times New Roman" w:hAnsi="Times New Roman" w:eastAsia="宋体" w:cs="Times New Roman"/>
                <w:color w:val="auto"/>
                <w:sz w:val="21"/>
                <w:szCs w:val="21"/>
                <w:highlight w:val="none"/>
                <w:lang w:bidi="ar"/>
              </w:rPr>
            </w:pPr>
            <w:r>
              <w:rPr>
                <w:rFonts w:ascii="Times New Roman" w:hAnsi="Times New Roman" w:eastAsia="宋体" w:cs="Times New Roman"/>
                <w:b/>
                <w:bCs/>
                <w:color w:val="auto"/>
                <w:sz w:val="21"/>
                <w:szCs w:val="21"/>
                <w:highlight w:val="none"/>
                <w:lang w:bidi="ar"/>
              </w:rPr>
              <w:t>0-</w:t>
            </w:r>
            <w:r>
              <w:rPr>
                <w:rFonts w:hint="eastAsia" w:cs="Times New Roman"/>
                <w:b/>
                <w:bCs/>
                <w:color w:val="auto"/>
                <w:sz w:val="21"/>
                <w:szCs w:val="21"/>
                <w:highlight w:val="none"/>
                <w:lang w:val="en-US" w:eastAsia="zh-CN" w:bidi="ar"/>
              </w:rPr>
              <w:t>9</w:t>
            </w:r>
            <w:r>
              <w:rPr>
                <w:rFonts w:ascii="Times New Roman" w:hAnsi="Times New Roman" w:eastAsia="宋体" w:cs="Times New Roman"/>
                <w:b/>
                <w:bCs/>
                <w:color w:val="auto"/>
                <w:sz w:val="21"/>
                <w:szCs w:val="21"/>
                <w:highlight w:val="none"/>
                <w:lang w:bidi="ar"/>
              </w:rPr>
              <w:t>0分</w:t>
            </w:r>
          </w:p>
        </w:tc>
      </w:tr>
    </w:tbl>
    <w:p>
      <w:pPr>
        <w:rPr>
          <w:color w:val="auto"/>
          <w:highlight w:val="none"/>
        </w:rPr>
      </w:pPr>
    </w:p>
    <w:p>
      <w:pPr>
        <w:pStyle w:val="26"/>
        <w:rPr>
          <w:rFonts w:ascii="Times New Roman" w:hAnsi="Times New Roman"/>
          <w:color w:val="auto"/>
          <w:highlight w:val="none"/>
        </w:rPr>
      </w:pPr>
      <w:bookmarkStart w:id="87" w:name="_Toc3265"/>
      <w:bookmarkStart w:id="88" w:name="_Toc21165"/>
      <w:bookmarkStart w:id="89" w:name="_Toc16264"/>
      <w:bookmarkStart w:id="90" w:name="_Toc11310"/>
      <w:bookmarkStart w:id="91" w:name="_Toc14943"/>
      <w:bookmarkStart w:id="92" w:name="_Toc4209"/>
      <w:bookmarkStart w:id="93" w:name="_Toc6405"/>
      <w:bookmarkStart w:id="94" w:name="_Toc23238"/>
      <w:bookmarkStart w:id="95" w:name="_Toc12834"/>
      <w:bookmarkStart w:id="96" w:name="_Toc29460"/>
      <w:bookmarkStart w:id="97" w:name="_Toc7210"/>
      <w:bookmarkStart w:id="98" w:name="_Toc22621"/>
      <w:bookmarkStart w:id="99" w:name="_Toc27394"/>
      <w:bookmarkStart w:id="100" w:name="_Toc71305523"/>
      <w:bookmarkStart w:id="101" w:name="_Toc6548"/>
      <w:bookmarkStart w:id="102" w:name="_Toc7465"/>
      <w:bookmarkStart w:id="103" w:name="_Toc16151"/>
      <w:bookmarkStart w:id="104" w:name="_Toc61532608"/>
      <w:bookmarkStart w:id="105" w:name="_Toc26233"/>
      <w:bookmarkStart w:id="106" w:name="_Toc14826"/>
      <w:bookmarkStart w:id="107" w:name="_Toc1129"/>
      <w:bookmarkStart w:id="108" w:name="_Toc7556"/>
      <w:bookmarkStart w:id="109" w:name="_Toc6247"/>
      <w:bookmarkStart w:id="110" w:name="_Toc32451"/>
      <w:bookmarkStart w:id="111" w:name="_Toc27019"/>
      <w:bookmarkStart w:id="112" w:name="_Toc10945"/>
      <w:bookmarkStart w:id="113" w:name="_Toc30333"/>
      <w:bookmarkStart w:id="114" w:name="_Toc19539"/>
      <w:bookmarkStart w:id="115" w:name="_Toc22662"/>
      <w:bookmarkStart w:id="116" w:name="_Toc4823"/>
      <w:bookmarkStart w:id="117" w:name="_Toc28782"/>
      <w:bookmarkStart w:id="118" w:name="_Toc4788"/>
      <w:bookmarkStart w:id="119" w:name="_Toc5218"/>
      <w:bookmarkStart w:id="120" w:name="_Toc15813"/>
      <w:bookmarkStart w:id="121" w:name="_Toc9625"/>
      <w:bookmarkStart w:id="122" w:name="_Toc3666"/>
      <w:bookmarkStart w:id="123" w:name="_Toc14722"/>
      <w:bookmarkStart w:id="124" w:name="_Toc18795"/>
      <w:bookmarkStart w:id="125" w:name="_Toc3065"/>
      <w:bookmarkStart w:id="126" w:name="_Toc14410"/>
      <w:bookmarkStart w:id="127" w:name="_Toc21510"/>
      <w:bookmarkStart w:id="128" w:name="_Toc15062"/>
      <w:bookmarkStart w:id="129" w:name="_Toc24679"/>
      <w:bookmarkStart w:id="130" w:name="_Toc6854"/>
      <w:bookmarkStart w:id="131" w:name="_Toc19545"/>
      <w:r>
        <w:rPr>
          <w:rFonts w:ascii="Times New Roman" w:hAnsi="Times New Roman"/>
          <w:color w:val="auto"/>
          <w:highlight w:val="none"/>
        </w:rPr>
        <w:t>报价部分评分标准</w:t>
      </w:r>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p>
    <w:tbl>
      <w:tblPr>
        <w:tblStyle w:val="33"/>
        <w:tblW w:w="92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1988"/>
        <w:gridCol w:w="5418"/>
        <w:gridCol w:w="180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1405" w:hRule="atLeast"/>
          <w:jc w:val="center"/>
        </w:trPr>
        <w:tc>
          <w:tcPr>
            <w:tcW w:w="1988" w:type="dxa"/>
            <w:vAlign w:val="center"/>
          </w:tcPr>
          <w:p>
            <w:pPr>
              <w:snapToGrid w:val="0"/>
              <w:spacing w:before="120" w:beforeLines="50" w:after="120" w:afterLines="50"/>
              <w:ind w:left="72" w:leftChars="30" w:right="72" w:rightChars="30"/>
              <w:jc w:val="center"/>
              <w:rPr>
                <w:color w:val="auto"/>
                <w:sz w:val="21"/>
                <w:szCs w:val="21"/>
                <w:highlight w:val="none"/>
              </w:rPr>
            </w:pPr>
            <w:r>
              <w:rPr>
                <w:color w:val="auto"/>
                <w:sz w:val="21"/>
                <w:szCs w:val="21"/>
                <w:highlight w:val="none"/>
              </w:rPr>
              <w:t>报价得分</w:t>
            </w:r>
          </w:p>
          <w:p>
            <w:pPr>
              <w:snapToGrid w:val="0"/>
              <w:spacing w:before="120" w:beforeLines="50" w:after="120" w:afterLines="50"/>
              <w:ind w:left="72" w:leftChars="30" w:right="72" w:rightChars="30"/>
              <w:jc w:val="center"/>
              <w:rPr>
                <w:color w:val="auto"/>
                <w:sz w:val="21"/>
                <w:szCs w:val="21"/>
                <w:highlight w:val="none"/>
              </w:rPr>
            </w:pPr>
            <w:r>
              <w:rPr>
                <w:color w:val="auto"/>
                <w:sz w:val="21"/>
                <w:szCs w:val="21"/>
                <w:highlight w:val="none"/>
              </w:rPr>
              <w:t>（</w:t>
            </w:r>
            <w:r>
              <w:rPr>
                <w:rFonts w:hint="eastAsia"/>
                <w:color w:val="auto"/>
                <w:sz w:val="21"/>
                <w:szCs w:val="21"/>
                <w:highlight w:val="none"/>
                <w:lang w:val="en-US" w:eastAsia="zh-CN"/>
              </w:rPr>
              <w:t>1</w:t>
            </w:r>
            <w:r>
              <w:rPr>
                <w:rFonts w:hint="eastAsia"/>
                <w:color w:val="auto"/>
                <w:sz w:val="21"/>
                <w:szCs w:val="21"/>
                <w:highlight w:val="none"/>
              </w:rPr>
              <w:t>0</w:t>
            </w:r>
            <w:r>
              <w:rPr>
                <w:color w:val="auto"/>
                <w:sz w:val="21"/>
                <w:szCs w:val="21"/>
                <w:highlight w:val="none"/>
              </w:rPr>
              <w:t>分）</w:t>
            </w:r>
          </w:p>
        </w:tc>
        <w:tc>
          <w:tcPr>
            <w:tcW w:w="5418" w:type="dxa"/>
            <w:vAlign w:val="center"/>
          </w:tcPr>
          <w:p>
            <w:pPr>
              <w:snapToGrid w:val="0"/>
              <w:spacing w:before="120" w:beforeLines="50" w:after="120" w:afterLines="50" w:line="276" w:lineRule="auto"/>
              <w:ind w:left="72" w:leftChars="30" w:right="72" w:rightChars="30"/>
              <w:rPr>
                <w:color w:val="auto"/>
                <w:sz w:val="21"/>
                <w:szCs w:val="21"/>
                <w:highlight w:val="none"/>
              </w:rPr>
            </w:pPr>
            <w:r>
              <w:rPr>
                <w:color w:val="auto"/>
                <w:sz w:val="21"/>
                <w:szCs w:val="21"/>
                <w:highlight w:val="none"/>
              </w:rPr>
              <w:t>所有有效投标报价中的最低价为评标基准价，得满分</w:t>
            </w:r>
            <w:r>
              <w:rPr>
                <w:rFonts w:hint="eastAsia"/>
                <w:color w:val="auto"/>
                <w:sz w:val="21"/>
                <w:szCs w:val="21"/>
                <w:highlight w:val="none"/>
                <w:lang w:val="en-US" w:eastAsia="zh-CN"/>
              </w:rPr>
              <w:t>1</w:t>
            </w:r>
            <w:r>
              <w:rPr>
                <w:rFonts w:hint="eastAsia"/>
                <w:color w:val="auto"/>
                <w:sz w:val="21"/>
                <w:szCs w:val="21"/>
                <w:highlight w:val="none"/>
              </w:rPr>
              <w:t>0</w:t>
            </w:r>
            <w:r>
              <w:rPr>
                <w:color w:val="auto"/>
                <w:sz w:val="21"/>
                <w:szCs w:val="21"/>
                <w:highlight w:val="none"/>
              </w:rPr>
              <w:t>分，其他的报价得分为：（评标基准价/投标报价）×</w:t>
            </w:r>
            <w:r>
              <w:rPr>
                <w:rFonts w:hint="eastAsia"/>
                <w:color w:val="auto"/>
                <w:sz w:val="21"/>
                <w:szCs w:val="21"/>
                <w:highlight w:val="none"/>
                <w:lang w:val="en-US" w:eastAsia="zh-CN"/>
              </w:rPr>
              <w:t>1</w:t>
            </w:r>
            <w:r>
              <w:rPr>
                <w:rFonts w:hint="eastAsia"/>
                <w:color w:val="auto"/>
                <w:sz w:val="21"/>
                <w:szCs w:val="21"/>
                <w:highlight w:val="none"/>
              </w:rPr>
              <w:t>0</w:t>
            </w:r>
            <w:r>
              <w:rPr>
                <w:color w:val="auto"/>
                <w:sz w:val="21"/>
                <w:szCs w:val="21"/>
                <w:highlight w:val="none"/>
              </w:rPr>
              <w:t>。报价得分计算保留小数2位，第三位四舍五入。</w:t>
            </w:r>
          </w:p>
        </w:tc>
        <w:tc>
          <w:tcPr>
            <w:tcW w:w="1809" w:type="dxa"/>
            <w:tcMar>
              <w:top w:w="15" w:type="dxa"/>
              <w:left w:w="28" w:type="dxa"/>
              <w:bottom w:w="0" w:type="dxa"/>
              <w:right w:w="28" w:type="dxa"/>
            </w:tcMar>
            <w:vAlign w:val="center"/>
          </w:tcPr>
          <w:p>
            <w:pPr>
              <w:snapToGrid w:val="0"/>
              <w:spacing w:before="120" w:beforeLines="50" w:after="120" w:afterLines="50"/>
              <w:ind w:left="72" w:leftChars="30" w:right="72" w:rightChars="30"/>
              <w:jc w:val="center"/>
              <w:rPr>
                <w:color w:val="auto"/>
                <w:sz w:val="21"/>
                <w:szCs w:val="21"/>
                <w:highlight w:val="none"/>
              </w:rPr>
            </w:pPr>
            <w:r>
              <w:rPr>
                <w:color w:val="auto"/>
                <w:sz w:val="21"/>
                <w:szCs w:val="21"/>
                <w:highlight w:val="none"/>
              </w:rPr>
              <w:t>0-</w:t>
            </w:r>
            <w:r>
              <w:rPr>
                <w:rFonts w:hint="eastAsia"/>
                <w:color w:val="auto"/>
                <w:sz w:val="21"/>
                <w:szCs w:val="21"/>
                <w:highlight w:val="none"/>
                <w:lang w:val="en-US" w:eastAsia="zh-CN"/>
              </w:rPr>
              <w:t>1</w:t>
            </w:r>
            <w:r>
              <w:rPr>
                <w:rFonts w:hint="eastAsia"/>
                <w:color w:val="auto"/>
                <w:sz w:val="21"/>
                <w:szCs w:val="21"/>
                <w:highlight w:val="none"/>
              </w:rPr>
              <w:t>0</w:t>
            </w:r>
            <w:r>
              <w:rPr>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737" w:hRule="atLeast"/>
          <w:jc w:val="center"/>
        </w:trPr>
        <w:tc>
          <w:tcPr>
            <w:tcW w:w="7406" w:type="dxa"/>
            <w:gridSpan w:val="2"/>
            <w:tcMar>
              <w:top w:w="15" w:type="dxa"/>
              <w:left w:w="28" w:type="dxa"/>
              <w:bottom w:w="0" w:type="dxa"/>
              <w:right w:w="28" w:type="dxa"/>
            </w:tcMar>
            <w:vAlign w:val="center"/>
          </w:tcPr>
          <w:p>
            <w:pPr>
              <w:snapToGrid w:val="0"/>
              <w:spacing w:before="120" w:beforeLines="50" w:after="120" w:afterLines="50"/>
              <w:ind w:left="72" w:leftChars="30" w:right="72" w:rightChars="30"/>
              <w:jc w:val="center"/>
              <w:rPr>
                <w:color w:val="auto"/>
                <w:sz w:val="21"/>
                <w:szCs w:val="21"/>
                <w:highlight w:val="none"/>
              </w:rPr>
            </w:pPr>
            <w:r>
              <w:rPr>
                <w:color w:val="auto"/>
                <w:sz w:val="21"/>
                <w:szCs w:val="21"/>
                <w:highlight w:val="none"/>
              </w:rPr>
              <w:t>小计</w:t>
            </w:r>
          </w:p>
        </w:tc>
        <w:tc>
          <w:tcPr>
            <w:tcW w:w="1809" w:type="dxa"/>
            <w:vAlign w:val="center"/>
          </w:tcPr>
          <w:p>
            <w:pPr>
              <w:snapToGrid w:val="0"/>
              <w:spacing w:before="120" w:beforeLines="50" w:after="120" w:afterLines="50"/>
              <w:ind w:left="72" w:leftChars="30" w:right="72" w:rightChars="30"/>
              <w:jc w:val="center"/>
              <w:rPr>
                <w:color w:val="auto"/>
                <w:sz w:val="21"/>
                <w:szCs w:val="21"/>
                <w:highlight w:val="none"/>
              </w:rPr>
            </w:pPr>
            <w:r>
              <w:rPr>
                <w:color w:val="auto"/>
                <w:sz w:val="21"/>
                <w:szCs w:val="21"/>
                <w:highlight w:val="none"/>
              </w:rPr>
              <w:t>0-</w:t>
            </w:r>
            <w:r>
              <w:rPr>
                <w:rFonts w:hint="eastAsia"/>
                <w:color w:val="auto"/>
                <w:sz w:val="21"/>
                <w:szCs w:val="21"/>
                <w:highlight w:val="none"/>
                <w:lang w:val="en-US" w:eastAsia="zh-CN"/>
              </w:rPr>
              <w:t>1</w:t>
            </w:r>
            <w:r>
              <w:rPr>
                <w:rFonts w:hint="eastAsia"/>
                <w:color w:val="auto"/>
                <w:sz w:val="21"/>
                <w:szCs w:val="21"/>
                <w:highlight w:val="none"/>
              </w:rPr>
              <w:t>0</w:t>
            </w:r>
            <w:r>
              <w:rPr>
                <w:color w:val="auto"/>
                <w:sz w:val="21"/>
                <w:szCs w:val="21"/>
                <w:highlight w:val="none"/>
              </w:rPr>
              <w:t>分</w:t>
            </w:r>
          </w:p>
        </w:tc>
      </w:tr>
    </w:tbl>
    <w:p>
      <w:pPr>
        <w:rPr>
          <w:color w:val="auto"/>
          <w:highlight w:val="none"/>
        </w:rPr>
      </w:pPr>
    </w:p>
    <w:p>
      <w:pPr>
        <w:rPr>
          <w:rFonts w:ascii="Times New Roman" w:hAnsi="Times New Roman"/>
          <w:color w:val="auto"/>
          <w:highlight w:val="none"/>
        </w:rPr>
      </w:pPr>
      <w:bookmarkStart w:id="132" w:name="_Toc18911"/>
      <w:bookmarkStart w:id="133" w:name="_Toc7941"/>
      <w:bookmarkStart w:id="134" w:name="_Toc28141"/>
      <w:bookmarkStart w:id="135" w:name="_Toc2301"/>
      <w:bookmarkStart w:id="136" w:name="_Toc3607"/>
      <w:bookmarkStart w:id="137" w:name="_Toc23394"/>
      <w:bookmarkStart w:id="138" w:name="_Toc16868"/>
      <w:bookmarkStart w:id="139" w:name="_Toc22739"/>
      <w:bookmarkStart w:id="140" w:name="_Toc17639"/>
      <w:bookmarkStart w:id="141" w:name="_Toc31115"/>
      <w:bookmarkStart w:id="142" w:name="_Toc6199"/>
      <w:r>
        <w:rPr>
          <w:rFonts w:ascii="Times New Roman" w:hAnsi="Times New Roman"/>
          <w:color w:val="auto"/>
          <w:highlight w:val="none"/>
        </w:rPr>
        <w:br w:type="page"/>
      </w:r>
    </w:p>
    <w:p>
      <w:pPr>
        <w:pStyle w:val="26"/>
        <w:rPr>
          <w:rFonts w:ascii="Times New Roman" w:hAnsi="Times New Roman"/>
          <w:color w:val="auto"/>
          <w:highlight w:val="none"/>
        </w:rPr>
      </w:pPr>
      <w:r>
        <w:rPr>
          <w:rFonts w:ascii="Times New Roman" w:hAnsi="Times New Roman"/>
          <w:color w:val="auto"/>
          <w:highlight w:val="none"/>
        </w:rPr>
        <w:t>综合评分表</w:t>
      </w:r>
      <w:bookmarkEnd w:id="132"/>
      <w:bookmarkEnd w:id="133"/>
      <w:bookmarkEnd w:id="134"/>
      <w:bookmarkEnd w:id="135"/>
      <w:bookmarkEnd w:id="136"/>
      <w:bookmarkEnd w:id="137"/>
      <w:bookmarkEnd w:id="138"/>
      <w:bookmarkEnd w:id="139"/>
      <w:bookmarkEnd w:id="140"/>
      <w:bookmarkEnd w:id="141"/>
      <w:bookmarkEnd w:id="142"/>
    </w:p>
    <w:tbl>
      <w:tblPr>
        <w:tblStyle w:val="33"/>
        <w:tblW w:w="9040"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0" w:type="dxa"/>
          <w:bottom w:w="0" w:type="dxa"/>
          <w:right w:w="0" w:type="dxa"/>
        </w:tblCellMar>
      </w:tblPr>
      <w:tblGrid>
        <w:gridCol w:w="1008"/>
        <w:gridCol w:w="3986"/>
        <w:gridCol w:w="4046"/>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567" w:hRule="atLeast"/>
          <w:jc w:val="center"/>
        </w:trPr>
        <w:tc>
          <w:tcPr>
            <w:tcW w:w="1008" w:type="dxa"/>
            <w:tcBorders>
              <w:tl2br w:val="nil"/>
              <w:tr2bl w:val="nil"/>
            </w:tcBorders>
            <w:vAlign w:val="center"/>
          </w:tcPr>
          <w:p>
            <w:pPr>
              <w:snapToGrid w:val="0"/>
              <w:spacing w:before="120" w:beforeLines="50" w:after="120" w:afterLines="50"/>
              <w:jc w:val="center"/>
              <w:rPr>
                <w:b/>
                <w:color w:val="auto"/>
                <w:sz w:val="21"/>
                <w:highlight w:val="none"/>
              </w:rPr>
            </w:pPr>
            <w:r>
              <w:rPr>
                <w:b/>
                <w:color w:val="auto"/>
                <w:sz w:val="21"/>
                <w:highlight w:val="none"/>
              </w:rPr>
              <w:t>序号</w:t>
            </w:r>
          </w:p>
        </w:tc>
        <w:tc>
          <w:tcPr>
            <w:tcW w:w="3986" w:type="dxa"/>
            <w:tcBorders>
              <w:tl2br w:val="nil"/>
              <w:tr2bl w:val="nil"/>
            </w:tcBorders>
            <w:vAlign w:val="center"/>
          </w:tcPr>
          <w:p>
            <w:pPr>
              <w:snapToGrid w:val="0"/>
              <w:spacing w:before="120" w:beforeLines="50" w:after="120" w:afterLines="50"/>
              <w:jc w:val="center"/>
              <w:rPr>
                <w:b/>
                <w:color w:val="auto"/>
                <w:sz w:val="21"/>
                <w:highlight w:val="none"/>
              </w:rPr>
            </w:pPr>
            <w:r>
              <w:rPr>
                <w:b/>
                <w:color w:val="auto"/>
                <w:sz w:val="21"/>
                <w:highlight w:val="none"/>
              </w:rPr>
              <w:t>评分项</w:t>
            </w:r>
          </w:p>
        </w:tc>
        <w:tc>
          <w:tcPr>
            <w:tcW w:w="4046" w:type="dxa"/>
            <w:tcBorders>
              <w:tl2br w:val="nil"/>
              <w:tr2bl w:val="nil"/>
            </w:tcBorders>
            <w:vAlign w:val="center"/>
          </w:tcPr>
          <w:p>
            <w:pPr>
              <w:snapToGrid w:val="0"/>
              <w:spacing w:before="120" w:beforeLines="50" w:after="120" w:afterLines="50"/>
              <w:jc w:val="center"/>
              <w:rPr>
                <w:b/>
                <w:color w:val="auto"/>
                <w:sz w:val="21"/>
                <w:highlight w:val="none"/>
              </w:rPr>
            </w:pPr>
            <w:r>
              <w:rPr>
                <w:b/>
                <w:color w:val="auto"/>
                <w:sz w:val="21"/>
                <w:highlight w:val="none"/>
              </w:rPr>
              <w:t>评议得分</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567" w:hRule="atLeast"/>
          <w:jc w:val="center"/>
        </w:trPr>
        <w:tc>
          <w:tcPr>
            <w:tcW w:w="1008" w:type="dxa"/>
            <w:tcBorders>
              <w:tl2br w:val="nil"/>
              <w:tr2bl w:val="nil"/>
            </w:tcBorders>
            <w:vAlign w:val="center"/>
          </w:tcPr>
          <w:p>
            <w:pPr>
              <w:snapToGrid w:val="0"/>
              <w:spacing w:before="120" w:beforeLines="50" w:after="120" w:afterLines="50"/>
              <w:jc w:val="center"/>
              <w:rPr>
                <w:color w:val="auto"/>
                <w:szCs w:val="24"/>
                <w:highlight w:val="none"/>
              </w:rPr>
            </w:pPr>
            <w:r>
              <w:rPr>
                <w:color w:val="auto"/>
                <w:szCs w:val="24"/>
                <w:highlight w:val="none"/>
              </w:rPr>
              <w:t>1</w:t>
            </w:r>
          </w:p>
        </w:tc>
        <w:tc>
          <w:tcPr>
            <w:tcW w:w="3986" w:type="dxa"/>
            <w:tcBorders>
              <w:tl2br w:val="nil"/>
              <w:tr2bl w:val="nil"/>
            </w:tcBorders>
            <w:vAlign w:val="center"/>
          </w:tcPr>
          <w:p>
            <w:pPr>
              <w:snapToGrid w:val="0"/>
              <w:spacing w:before="120" w:beforeLines="50" w:after="120" w:afterLines="50"/>
              <w:jc w:val="center"/>
              <w:rPr>
                <w:color w:val="auto"/>
                <w:szCs w:val="24"/>
                <w:highlight w:val="none"/>
              </w:rPr>
            </w:pPr>
            <w:r>
              <w:rPr>
                <w:color w:val="auto"/>
                <w:szCs w:val="24"/>
                <w:highlight w:val="none"/>
              </w:rPr>
              <w:t>商务</w:t>
            </w:r>
            <w:r>
              <w:rPr>
                <w:rFonts w:hint="eastAsia"/>
                <w:color w:val="auto"/>
                <w:szCs w:val="24"/>
                <w:highlight w:val="none"/>
              </w:rPr>
              <w:t>技术</w:t>
            </w:r>
            <w:r>
              <w:rPr>
                <w:color w:val="auto"/>
                <w:szCs w:val="24"/>
                <w:highlight w:val="none"/>
              </w:rPr>
              <w:t>部分得分</w:t>
            </w:r>
          </w:p>
        </w:tc>
        <w:tc>
          <w:tcPr>
            <w:tcW w:w="4046" w:type="dxa"/>
            <w:tcBorders>
              <w:tl2br w:val="nil"/>
              <w:tr2bl w:val="nil"/>
            </w:tcBorders>
            <w:vAlign w:val="center"/>
          </w:tcPr>
          <w:p>
            <w:pPr>
              <w:snapToGrid w:val="0"/>
              <w:spacing w:before="120" w:beforeLines="50" w:after="120" w:afterLines="50"/>
              <w:ind w:firstLine="480"/>
              <w:jc w:val="center"/>
              <w:rPr>
                <w:color w:val="auto"/>
                <w:sz w:val="21"/>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567" w:hRule="atLeast"/>
          <w:jc w:val="center"/>
        </w:trPr>
        <w:tc>
          <w:tcPr>
            <w:tcW w:w="1008" w:type="dxa"/>
            <w:tcBorders>
              <w:tl2br w:val="nil"/>
              <w:tr2bl w:val="nil"/>
            </w:tcBorders>
            <w:vAlign w:val="center"/>
          </w:tcPr>
          <w:p>
            <w:pPr>
              <w:snapToGrid w:val="0"/>
              <w:spacing w:before="120" w:beforeLines="50" w:after="120" w:afterLines="50"/>
              <w:jc w:val="center"/>
              <w:rPr>
                <w:color w:val="auto"/>
                <w:szCs w:val="24"/>
                <w:highlight w:val="none"/>
              </w:rPr>
            </w:pPr>
            <w:r>
              <w:rPr>
                <w:color w:val="auto"/>
                <w:szCs w:val="24"/>
                <w:highlight w:val="none"/>
              </w:rPr>
              <w:t>2</w:t>
            </w:r>
          </w:p>
        </w:tc>
        <w:tc>
          <w:tcPr>
            <w:tcW w:w="3986" w:type="dxa"/>
            <w:tcBorders>
              <w:tl2br w:val="nil"/>
              <w:tr2bl w:val="nil"/>
            </w:tcBorders>
            <w:vAlign w:val="center"/>
          </w:tcPr>
          <w:p>
            <w:pPr>
              <w:snapToGrid w:val="0"/>
              <w:spacing w:before="120" w:beforeLines="50" w:after="120" w:afterLines="50"/>
              <w:jc w:val="center"/>
              <w:rPr>
                <w:color w:val="auto"/>
                <w:szCs w:val="24"/>
                <w:highlight w:val="none"/>
              </w:rPr>
            </w:pPr>
            <w:r>
              <w:rPr>
                <w:color w:val="auto"/>
                <w:szCs w:val="24"/>
                <w:highlight w:val="none"/>
              </w:rPr>
              <w:t>报价部分得分</w:t>
            </w:r>
          </w:p>
        </w:tc>
        <w:tc>
          <w:tcPr>
            <w:tcW w:w="4046" w:type="dxa"/>
            <w:tcBorders>
              <w:tl2br w:val="nil"/>
              <w:tr2bl w:val="nil"/>
            </w:tcBorders>
            <w:vAlign w:val="center"/>
          </w:tcPr>
          <w:p>
            <w:pPr>
              <w:snapToGrid w:val="0"/>
              <w:spacing w:before="120" w:beforeLines="50" w:after="120" w:afterLines="50"/>
              <w:ind w:firstLine="480"/>
              <w:jc w:val="center"/>
              <w:rPr>
                <w:rFonts w:eastAsia="黑体"/>
                <w:snapToGrid w:val="0"/>
                <w:color w:val="auto"/>
                <w:sz w:val="21"/>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428" w:hRule="atLeast"/>
          <w:jc w:val="center"/>
        </w:trPr>
        <w:tc>
          <w:tcPr>
            <w:tcW w:w="4994" w:type="dxa"/>
            <w:gridSpan w:val="2"/>
            <w:tcBorders>
              <w:tl2br w:val="nil"/>
              <w:tr2bl w:val="nil"/>
            </w:tcBorders>
          </w:tcPr>
          <w:p>
            <w:pPr>
              <w:snapToGrid w:val="0"/>
              <w:spacing w:before="120" w:beforeLines="50" w:after="120" w:afterLines="50"/>
              <w:jc w:val="center"/>
              <w:rPr>
                <w:color w:val="auto"/>
                <w:szCs w:val="24"/>
                <w:highlight w:val="none"/>
              </w:rPr>
            </w:pPr>
            <w:r>
              <w:rPr>
                <w:color w:val="auto"/>
                <w:szCs w:val="24"/>
                <w:highlight w:val="none"/>
              </w:rPr>
              <w:t>综合评分合计</w:t>
            </w:r>
          </w:p>
          <w:p>
            <w:pPr>
              <w:snapToGrid w:val="0"/>
              <w:spacing w:before="120" w:beforeLines="50" w:after="120" w:afterLines="50"/>
              <w:jc w:val="center"/>
              <w:rPr>
                <w:color w:val="auto"/>
                <w:szCs w:val="24"/>
                <w:highlight w:val="none"/>
              </w:rPr>
            </w:pPr>
            <w:r>
              <w:rPr>
                <w:color w:val="auto"/>
                <w:szCs w:val="24"/>
                <w:highlight w:val="none"/>
              </w:rPr>
              <w:t>（满分100分）</w:t>
            </w:r>
          </w:p>
        </w:tc>
        <w:tc>
          <w:tcPr>
            <w:tcW w:w="4046" w:type="dxa"/>
            <w:tcBorders>
              <w:tl2br w:val="nil"/>
              <w:tr2bl w:val="nil"/>
            </w:tcBorders>
            <w:vAlign w:val="center"/>
          </w:tcPr>
          <w:p>
            <w:pPr>
              <w:snapToGrid w:val="0"/>
              <w:spacing w:before="120" w:beforeLines="50" w:after="120" w:afterLines="50"/>
              <w:ind w:firstLine="480"/>
              <w:jc w:val="center"/>
              <w:rPr>
                <w:rFonts w:eastAsia="黑体"/>
                <w:snapToGrid w:val="0"/>
                <w:color w:val="auto"/>
                <w:sz w:val="21"/>
                <w:highlight w:val="none"/>
              </w:rPr>
            </w:pPr>
          </w:p>
        </w:tc>
      </w:tr>
    </w:tbl>
    <w:p>
      <w:pPr>
        <w:pStyle w:val="2"/>
        <w:rPr>
          <w:color w:val="auto"/>
          <w:highlight w:val="none"/>
        </w:rPr>
      </w:pPr>
      <w:bookmarkStart w:id="143" w:name="_Toc18683"/>
      <w:r>
        <w:rPr>
          <w:color w:val="auto"/>
          <w:highlight w:val="none"/>
        </w:rPr>
        <w:t>推荐中标候选人</w:t>
      </w:r>
      <w:bookmarkEnd w:id="143"/>
    </w:p>
    <w:p>
      <w:pPr>
        <w:spacing w:line="360" w:lineRule="auto"/>
        <w:ind w:firstLine="480" w:firstLineChars="200"/>
        <w:rPr>
          <w:color w:val="auto"/>
          <w:highlight w:val="none"/>
        </w:rPr>
      </w:pPr>
      <w:r>
        <w:rPr>
          <w:color w:val="auto"/>
          <w:highlight w:val="none"/>
        </w:rPr>
        <w:t>评标委员会根据综合评分由高到低对投标供应商进行排序，推荐</w:t>
      </w:r>
      <w:r>
        <w:rPr>
          <w:rFonts w:hint="eastAsia"/>
          <w:color w:val="auto"/>
          <w:highlight w:val="none"/>
        </w:rPr>
        <w:t>第一名</w:t>
      </w:r>
      <w:r>
        <w:rPr>
          <w:color w:val="auto"/>
          <w:highlight w:val="none"/>
        </w:rPr>
        <w:t>为中标候选供应商。评分相等时，报价低者优先。评分、报价均相等时，评标委员会根据“技术部分”得分高低决定名次；如依旧相同，则由评标委员会全体成员投票决定名次（不允许弃权）。</w:t>
      </w:r>
    </w:p>
    <w:p>
      <w:pPr>
        <w:pStyle w:val="2"/>
        <w:rPr>
          <w:color w:val="auto"/>
          <w:highlight w:val="none"/>
        </w:rPr>
      </w:pPr>
      <w:bookmarkStart w:id="144" w:name="_Toc16210"/>
      <w:r>
        <w:rPr>
          <w:color w:val="auto"/>
          <w:highlight w:val="none"/>
        </w:rPr>
        <w:t>评标报告</w:t>
      </w:r>
      <w:bookmarkEnd w:id="144"/>
    </w:p>
    <w:p>
      <w:pPr>
        <w:spacing w:line="360" w:lineRule="auto"/>
        <w:ind w:firstLine="480" w:firstLineChars="200"/>
        <w:rPr>
          <w:color w:val="auto"/>
          <w:highlight w:val="none"/>
        </w:rPr>
      </w:pPr>
      <w:r>
        <w:rPr>
          <w:color w:val="auto"/>
          <w:highlight w:val="none"/>
        </w:rPr>
        <w:t>评标委员会应根据评标情况和结果，向采购人提交评标报告。评标委员会</w:t>
      </w:r>
      <w:r>
        <w:rPr>
          <w:color w:val="auto"/>
          <w:szCs w:val="24"/>
          <w:highlight w:val="none"/>
        </w:rPr>
        <w:t>成员对需要共同认定的事项存在争议的，应当按照少数服从多数的原则作出结论。持不同意见的</w:t>
      </w:r>
      <w:r>
        <w:rPr>
          <w:color w:val="auto"/>
          <w:highlight w:val="none"/>
        </w:rPr>
        <w:t>评标委员会</w:t>
      </w:r>
      <w:r>
        <w:rPr>
          <w:color w:val="auto"/>
          <w:szCs w:val="24"/>
          <w:highlight w:val="none"/>
        </w:rPr>
        <w:t>成员应当在评标报告上签署不同意见及理由，否则视为同意评标报告。</w:t>
      </w:r>
    </w:p>
    <w:p>
      <w:pPr>
        <w:spacing w:line="360" w:lineRule="auto"/>
        <w:ind w:firstLine="480" w:firstLineChars="200"/>
        <w:rPr>
          <w:color w:val="auto"/>
          <w:highlight w:val="none"/>
        </w:rPr>
      </w:pPr>
      <w:r>
        <w:rPr>
          <w:color w:val="auto"/>
          <w:highlight w:val="none"/>
        </w:rPr>
        <w:t>评标报告内容至少应包括：</w:t>
      </w:r>
    </w:p>
    <w:p>
      <w:pPr>
        <w:spacing w:line="360" w:lineRule="auto"/>
        <w:ind w:firstLine="480" w:firstLineChars="200"/>
        <w:rPr>
          <w:color w:val="auto"/>
          <w:highlight w:val="none"/>
        </w:rPr>
      </w:pPr>
      <w:r>
        <w:rPr>
          <w:color w:val="auto"/>
          <w:szCs w:val="24"/>
          <w:highlight w:val="none"/>
        </w:rPr>
        <w:t>（一）</w:t>
      </w:r>
      <w:r>
        <w:rPr>
          <w:rFonts w:hint="eastAsia"/>
          <w:color w:val="auto"/>
          <w:szCs w:val="24"/>
          <w:highlight w:val="none"/>
        </w:rPr>
        <w:t>采购</w:t>
      </w:r>
      <w:r>
        <w:rPr>
          <w:color w:val="auto"/>
          <w:szCs w:val="24"/>
          <w:highlight w:val="none"/>
        </w:rPr>
        <w:t>公告刊登的媒体名称、开标日期和地点；</w:t>
      </w:r>
    </w:p>
    <w:p>
      <w:pPr>
        <w:widowControl/>
        <w:snapToGrid w:val="0"/>
        <w:spacing w:line="360" w:lineRule="auto"/>
        <w:ind w:firstLine="480" w:firstLineChars="200"/>
        <w:jc w:val="left"/>
        <w:rPr>
          <w:color w:val="auto"/>
          <w:szCs w:val="24"/>
          <w:highlight w:val="none"/>
        </w:rPr>
      </w:pPr>
      <w:r>
        <w:rPr>
          <w:color w:val="auto"/>
          <w:szCs w:val="24"/>
          <w:highlight w:val="none"/>
        </w:rPr>
        <w:t>（二）投标供应商名单和评标委员会成员名单；</w:t>
      </w:r>
    </w:p>
    <w:p>
      <w:pPr>
        <w:widowControl/>
        <w:snapToGrid w:val="0"/>
        <w:spacing w:line="360" w:lineRule="auto"/>
        <w:ind w:firstLine="480" w:firstLineChars="200"/>
        <w:jc w:val="left"/>
        <w:rPr>
          <w:color w:val="auto"/>
          <w:szCs w:val="24"/>
          <w:highlight w:val="none"/>
        </w:rPr>
      </w:pPr>
      <w:r>
        <w:rPr>
          <w:color w:val="auto"/>
          <w:szCs w:val="24"/>
          <w:highlight w:val="none"/>
        </w:rPr>
        <w:t>（三）评标方法和标准；</w:t>
      </w:r>
    </w:p>
    <w:p>
      <w:pPr>
        <w:widowControl/>
        <w:snapToGrid w:val="0"/>
        <w:spacing w:line="360" w:lineRule="auto"/>
        <w:ind w:firstLine="480" w:firstLineChars="200"/>
        <w:jc w:val="left"/>
        <w:rPr>
          <w:color w:val="auto"/>
          <w:szCs w:val="24"/>
          <w:highlight w:val="none"/>
        </w:rPr>
      </w:pPr>
      <w:r>
        <w:rPr>
          <w:color w:val="auto"/>
          <w:szCs w:val="24"/>
          <w:highlight w:val="none"/>
        </w:rPr>
        <w:t>（四）开标记录和评标情况及说明，包括无效投标供应商名单及原因；</w:t>
      </w:r>
    </w:p>
    <w:p>
      <w:pPr>
        <w:widowControl/>
        <w:snapToGrid w:val="0"/>
        <w:spacing w:line="360" w:lineRule="auto"/>
        <w:ind w:firstLine="480" w:firstLineChars="200"/>
        <w:jc w:val="left"/>
        <w:rPr>
          <w:color w:val="auto"/>
          <w:szCs w:val="24"/>
          <w:highlight w:val="none"/>
        </w:rPr>
      </w:pPr>
      <w:r>
        <w:rPr>
          <w:color w:val="auto"/>
          <w:szCs w:val="24"/>
          <w:highlight w:val="none"/>
        </w:rPr>
        <w:t>（五）评标结果，确定的中标候选人名单或者经采购人委托直接确定的中标人；</w:t>
      </w:r>
    </w:p>
    <w:p>
      <w:pPr>
        <w:widowControl/>
        <w:snapToGrid w:val="0"/>
        <w:spacing w:line="360" w:lineRule="auto"/>
        <w:ind w:firstLine="480" w:firstLineChars="200"/>
        <w:jc w:val="left"/>
        <w:rPr>
          <w:color w:val="auto"/>
          <w:highlight w:val="none"/>
        </w:rPr>
      </w:pPr>
      <w:r>
        <w:rPr>
          <w:color w:val="auto"/>
          <w:szCs w:val="24"/>
          <w:highlight w:val="none"/>
        </w:rPr>
        <w:t>（六）其他需要说明的情况，包括评标过程中投标供应商根据评标委员会要求进行的澄清、说明或者补正，评标委员会成员的更换等。</w:t>
      </w:r>
    </w:p>
    <w:p>
      <w:pPr>
        <w:spacing w:line="300" w:lineRule="auto"/>
        <w:jc w:val="center"/>
        <w:rPr>
          <w:b/>
          <w:bCs/>
          <w:color w:val="auto"/>
          <w:sz w:val="52"/>
          <w:szCs w:val="52"/>
          <w:highlight w:val="none"/>
        </w:rPr>
      </w:pPr>
    </w:p>
    <w:p>
      <w:pPr>
        <w:pStyle w:val="17"/>
        <w:spacing w:line="360" w:lineRule="auto"/>
        <w:ind w:firstLine="0"/>
        <w:jc w:val="center"/>
        <w:rPr>
          <w:b/>
          <w:color w:val="auto"/>
          <w:sz w:val="44"/>
          <w:szCs w:val="44"/>
          <w:highlight w:val="none"/>
        </w:rPr>
      </w:pPr>
      <w:r>
        <w:rPr>
          <w:b/>
          <w:color w:val="auto"/>
          <w:sz w:val="44"/>
          <w:szCs w:val="44"/>
          <w:highlight w:val="none"/>
        </w:rPr>
        <w:br w:type="page"/>
      </w:r>
    </w:p>
    <w:p>
      <w:pPr>
        <w:pStyle w:val="3"/>
        <w:rPr>
          <w:color w:val="auto"/>
          <w:highlight w:val="none"/>
        </w:rPr>
      </w:pPr>
      <w:bookmarkStart w:id="145" w:name="_Toc30083"/>
      <w:r>
        <w:rPr>
          <w:color w:val="auto"/>
          <w:highlight w:val="none"/>
        </w:rPr>
        <w:t>采购项目指南</w:t>
      </w:r>
      <w:bookmarkEnd w:id="145"/>
    </w:p>
    <w:p>
      <w:pPr>
        <w:pStyle w:val="2"/>
        <w:bidi w:val="0"/>
        <w:rPr>
          <w:color w:val="auto"/>
          <w:highlight w:val="none"/>
          <w:lang w:val="en-US" w:eastAsia="zh-CN"/>
        </w:rPr>
      </w:pPr>
      <w:bookmarkStart w:id="146" w:name="_Toc30456"/>
      <w:bookmarkStart w:id="147" w:name="_Toc25728"/>
      <w:r>
        <w:rPr>
          <w:rFonts w:hint="eastAsia"/>
          <w:color w:val="auto"/>
          <w:highlight w:val="none"/>
          <w:lang w:val="en-US" w:eastAsia="zh-CN"/>
        </w:rPr>
        <w:t>项目</w:t>
      </w:r>
      <w:bookmarkEnd w:id="146"/>
      <w:bookmarkEnd w:id="147"/>
      <w:r>
        <w:rPr>
          <w:rFonts w:hint="eastAsia"/>
          <w:color w:val="auto"/>
          <w:highlight w:val="none"/>
          <w:lang w:val="en-US" w:eastAsia="zh-CN"/>
        </w:rPr>
        <w:t>背景</w:t>
      </w:r>
    </w:p>
    <w:p>
      <w:pPr>
        <w:autoSpaceDE/>
        <w:autoSpaceDN/>
        <w:adjustRightInd/>
        <w:spacing w:line="360" w:lineRule="auto"/>
        <w:ind w:firstLine="480" w:firstLineChars="200"/>
        <w:jc w:val="left"/>
        <w:textAlignment w:val="auto"/>
        <w:rPr>
          <w:rFonts w:hint="eastAsia" w:ascii="Times New Roman" w:hAnsi="Times New Roman" w:eastAsia="宋体" w:cs="Times New Roman"/>
          <w:b w:val="0"/>
          <w:bCs w:val="0"/>
          <w:color w:val="auto"/>
          <w:szCs w:val="24"/>
          <w:highlight w:val="none"/>
        </w:rPr>
      </w:pPr>
      <w:r>
        <w:rPr>
          <w:rFonts w:hint="eastAsia" w:ascii="Times New Roman" w:hAnsi="Times New Roman" w:eastAsia="宋体" w:cs="Times New Roman"/>
          <w:b w:val="0"/>
          <w:bCs w:val="0"/>
          <w:color w:val="auto"/>
          <w:szCs w:val="24"/>
          <w:highlight w:val="none"/>
        </w:rPr>
        <w:t>根据水土保持信息化相关要求以及在2014年编制的《浙江省水土保持管理能力建设》总体方案，浙江省水土保持管理信息化建设已经分别于2015年、2016年和2017年完成了浙江省水土保持管理能力一期、二期和三期的建设工作，并且形成了浙江省水土保持管理信息平台，目前系统运行良好，持续发挥了作用。</w:t>
      </w:r>
    </w:p>
    <w:p>
      <w:pPr>
        <w:autoSpaceDE/>
        <w:autoSpaceDN/>
        <w:adjustRightInd/>
        <w:spacing w:line="360" w:lineRule="auto"/>
        <w:ind w:firstLine="480" w:firstLineChars="200"/>
        <w:jc w:val="left"/>
        <w:textAlignment w:val="auto"/>
        <w:rPr>
          <w:rFonts w:hint="eastAsia" w:ascii="Times New Roman" w:hAnsi="Times New Roman" w:eastAsia="宋体" w:cs="Times New Roman"/>
          <w:b w:val="0"/>
          <w:bCs w:val="0"/>
          <w:color w:val="auto"/>
          <w:szCs w:val="24"/>
          <w:highlight w:val="none"/>
        </w:rPr>
      </w:pPr>
      <w:r>
        <w:rPr>
          <w:rFonts w:hint="eastAsia" w:ascii="Times New Roman" w:hAnsi="Times New Roman" w:eastAsia="宋体" w:cs="Times New Roman"/>
          <w:b w:val="0"/>
          <w:bCs w:val="0"/>
          <w:color w:val="auto"/>
          <w:szCs w:val="24"/>
          <w:highlight w:val="none"/>
        </w:rPr>
        <w:t>软件系统的建设只是第一步，持续的运维投入才能让建好的系统平台持续性的发挥作用。对浙江省水土保持管理信息平台的运行维护的必要性和重要性主要体现在如下几个方面：</w:t>
      </w:r>
    </w:p>
    <w:p>
      <w:pPr>
        <w:autoSpaceDE/>
        <w:autoSpaceDN/>
        <w:adjustRightInd/>
        <w:spacing w:line="360" w:lineRule="auto"/>
        <w:ind w:firstLine="480" w:firstLineChars="200"/>
        <w:jc w:val="left"/>
        <w:textAlignment w:val="auto"/>
        <w:rPr>
          <w:rFonts w:hint="eastAsia" w:ascii="Times New Roman" w:hAnsi="Times New Roman" w:eastAsia="宋体" w:cs="Times New Roman"/>
          <w:b w:val="0"/>
          <w:bCs w:val="0"/>
          <w:color w:val="auto"/>
          <w:szCs w:val="24"/>
          <w:highlight w:val="none"/>
        </w:rPr>
      </w:pPr>
      <w:r>
        <w:rPr>
          <w:rFonts w:hint="eastAsia" w:ascii="Times New Roman" w:hAnsi="Times New Roman" w:eastAsia="宋体" w:cs="Times New Roman"/>
          <w:b w:val="0"/>
          <w:bCs w:val="0"/>
          <w:color w:val="auto"/>
          <w:szCs w:val="24"/>
          <w:highlight w:val="none"/>
        </w:rPr>
        <w:t>（1）平台在运行过程中，发生系统故障不可避免（故障多体现为系统bug），会在一定程度上影响水土保持业务工作的开展，因此对系统故障提前、主动的排查避免以及在发生故障时的及时、有效解决显得尤为重要。</w:t>
      </w:r>
    </w:p>
    <w:p>
      <w:pPr>
        <w:autoSpaceDE/>
        <w:autoSpaceDN/>
        <w:adjustRightInd/>
        <w:spacing w:line="360" w:lineRule="auto"/>
        <w:ind w:firstLine="480" w:firstLineChars="200"/>
        <w:jc w:val="left"/>
        <w:textAlignment w:val="auto"/>
        <w:rPr>
          <w:rFonts w:hint="eastAsia" w:ascii="Times New Roman" w:hAnsi="Times New Roman" w:eastAsia="宋体" w:cs="Times New Roman"/>
          <w:b w:val="0"/>
          <w:bCs w:val="0"/>
          <w:color w:val="auto"/>
          <w:szCs w:val="24"/>
          <w:highlight w:val="none"/>
        </w:rPr>
      </w:pPr>
      <w:r>
        <w:rPr>
          <w:rFonts w:hint="eastAsia" w:ascii="Times New Roman" w:hAnsi="Times New Roman" w:eastAsia="宋体" w:cs="Times New Roman"/>
          <w:b w:val="0"/>
          <w:bCs w:val="0"/>
          <w:color w:val="auto"/>
          <w:szCs w:val="24"/>
          <w:highlight w:val="none"/>
        </w:rPr>
        <w:t>（2）随着平台的越来越深入的使用，各级用户对于平台的需求必然会有一定程度变动，这就需要系统运维能够及时跟进，才能让平台持续的满足用户习惯和业务要求。</w:t>
      </w:r>
    </w:p>
    <w:p>
      <w:pPr>
        <w:autoSpaceDE/>
        <w:autoSpaceDN/>
        <w:adjustRightInd/>
        <w:spacing w:line="360" w:lineRule="auto"/>
        <w:ind w:firstLine="480" w:firstLineChars="200"/>
        <w:jc w:val="left"/>
        <w:textAlignment w:val="auto"/>
        <w:rPr>
          <w:rFonts w:hint="eastAsia" w:ascii="Times New Roman" w:hAnsi="Times New Roman" w:eastAsia="宋体" w:cs="Times New Roman"/>
          <w:b w:val="0"/>
          <w:bCs w:val="0"/>
          <w:color w:val="auto"/>
          <w:szCs w:val="24"/>
          <w:highlight w:val="none"/>
        </w:rPr>
      </w:pPr>
      <w:r>
        <w:rPr>
          <w:rFonts w:hint="eastAsia" w:ascii="Times New Roman" w:hAnsi="Times New Roman" w:eastAsia="宋体" w:cs="Times New Roman"/>
          <w:b w:val="0"/>
          <w:bCs w:val="0"/>
          <w:color w:val="auto"/>
          <w:szCs w:val="24"/>
          <w:highlight w:val="none"/>
        </w:rPr>
        <w:t>（3）数据安全一直以来都是各行各业的系统建设的重中之重，水利行业有关民生，更是如此。因此需加强对数据库备份的运维管理，保障数据安全。</w:t>
      </w:r>
    </w:p>
    <w:p>
      <w:pPr>
        <w:autoSpaceDE/>
        <w:autoSpaceDN/>
        <w:adjustRightInd/>
        <w:spacing w:line="360" w:lineRule="auto"/>
        <w:ind w:firstLine="480" w:firstLineChars="200"/>
        <w:jc w:val="left"/>
        <w:textAlignment w:val="auto"/>
        <w:rPr>
          <w:rFonts w:hint="eastAsia" w:ascii="Times New Roman" w:hAnsi="Times New Roman" w:eastAsia="宋体" w:cs="Times New Roman"/>
          <w:b w:val="0"/>
          <w:color w:val="auto"/>
          <w:szCs w:val="24"/>
          <w:highlight w:val="none"/>
        </w:rPr>
      </w:pPr>
      <w:r>
        <w:rPr>
          <w:rFonts w:hint="eastAsia" w:ascii="Times New Roman" w:hAnsi="Times New Roman" w:eastAsia="宋体" w:cs="Times New Roman"/>
          <w:b w:val="0"/>
          <w:bCs w:val="0"/>
          <w:color w:val="auto"/>
          <w:szCs w:val="24"/>
          <w:highlight w:val="none"/>
        </w:rPr>
        <w:t>（4）2020年1月，浙江省政府颁布浙江省深化“最多跑一次”改革推进政府数字化转型工作要点，明确要更高要求、更高质量推进政府数字化转型。浙江水利数字化转型是贯彻落实新时期治水方针的重要举措，是浙江省政府数字化转型的具体实践，是实现“补短板、强监管、走前列、推动浙江水利高质量发展”的必然途径。“推进水管理平台建设”作为水利数字化转型重要抓手，列入省政府数字化转型工作总体方案的重点工程，水土保持管理作为水利厅的一项不可获取的工作，作为一个应用纳入浙江省水管理平台中，对接水利数据仓、水管理平台。</w:t>
      </w:r>
    </w:p>
    <w:p>
      <w:pPr>
        <w:pStyle w:val="2"/>
        <w:bidi w:val="0"/>
        <w:rPr>
          <w:color w:val="auto"/>
          <w:highlight w:val="none"/>
          <w:lang w:val="en-US" w:eastAsia="zh-CN"/>
        </w:rPr>
      </w:pPr>
      <w:bookmarkStart w:id="148" w:name="_Toc2893"/>
      <w:bookmarkStart w:id="149" w:name="_Toc28682"/>
      <w:r>
        <w:rPr>
          <w:rFonts w:hint="eastAsia"/>
          <w:color w:val="auto"/>
          <w:highlight w:val="none"/>
          <w:lang w:val="en-US" w:eastAsia="zh-CN"/>
        </w:rPr>
        <w:t>项目内容</w:t>
      </w:r>
      <w:bookmarkEnd w:id="148"/>
      <w:bookmarkEnd w:id="149"/>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eastAsia="zh-CN"/>
        </w:rPr>
      </w:pPr>
      <w:r>
        <w:rPr>
          <w:rFonts w:hint="eastAsia" w:ascii="Times New Roman" w:hAnsi="Times New Roman" w:eastAsia="宋体" w:cs="Times New Roman"/>
          <w:color w:val="auto"/>
          <w:szCs w:val="24"/>
          <w:highlight w:val="none"/>
          <w:lang w:eastAsia="zh-CN"/>
        </w:rPr>
        <w:t>（1）日常运行维护。每周进行系统巡检，对出现的bug进行及时修复。每周对系统的数据库进行一次全备份，保障数据安全。对平台中出现性能降低的模块进行性能提升、保障用户使用体验。</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eastAsia="zh-CN"/>
        </w:rPr>
      </w:pPr>
      <w:r>
        <w:rPr>
          <w:rFonts w:hint="eastAsia" w:ascii="Times New Roman" w:hAnsi="Times New Roman" w:eastAsia="宋体" w:cs="Times New Roman"/>
          <w:color w:val="auto"/>
          <w:szCs w:val="24"/>
          <w:highlight w:val="none"/>
          <w:lang w:eastAsia="zh-CN"/>
        </w:rPr>
        <w:t>（2）水利数据仓对接，完成2023年度全省水土保持数据整理，按照省级水利数据仓的要求，将平台产生的相关数据推送至水利数据仓。</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eastAsia="zh-CN"/>
        </w:rPr>
      </w:pPr>
      <w:r>
        <w:rPr>
          <w:rFonts w:hint="eastAsia" w:ascii="Times New Roman" w:hAnsi="Times New Roman" w:eastAsia="宋体" w:cs="Times New Roman"/>
          <w:color w:val="auto"/>
          <w:szCs w:val="24"/>
          <w:highlight w:val="none"/>
          <w:lang w:eastAsia="zh-CN"/>
        </w:rPr>
        <w:t>（3）完善水土保持学会工作模块、完善省级专家库更新模块。</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eastAsia="zh-CN"/>
        </w:rPr>
      </w:pPr>
      <w:r>
        <w:rPr>
          <w:rFonts w:hint="eastAsia" w:ascii="Times New Roman" w:hAnsi="Times New Roman" w:eastAsia="宋体" w:cs="Times New Roman"/>
          <w:color w:val="auto"/>
          <w:szCs w:val="24"/>
          <w:highlight w:val="none"/>
          <w:lang w:eastAsia="zh-CN"/>
        </w:rPr>
        <w:t>（4）完成数据迁移。浙江省水土保持管理信息平台监测季报数据迁移至浙江省水土保持数字化管理应用平台。</w:t>
      </w:r>
    </w:p>
    <w:p>
      <w:pPr>
        <w:pStyle w:val="2"/>
        <w:bidi w:val="0"/>
        <w:rPr>
          <w:rFonts w:hint="eastAsia"/>
          <w:color w:val="auto"/>
          <w:highlight w:val="none"/>
          <w:lang w:val="en-US" w:eastAsia="zh-CN"/>
        </w:rPr>
      </w:pPr>
      <w:bookmarkStart w:id="150" w:name="_Toc13400"/>
      <w:bookmarkStart w:id="151" w:name="_Toc592"/>
      <w:r>
        <w:rPr>
          <w:rFonts w:hint="eastAsia"/>
          <w:color w:val="auto"/>
          <w:highlight w:val="none"/>
          <w:lang w:val="en-US" w:eastAsia="zh-CN"/>
        </w:rPr>
        <w:t>项目成果要求</w:t>
      </w:r>
      <w:bookmarkEnd w:id="150"/>
      <w:bookmarkEnd w:id="151"/>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szCs w:val="24"/>
          <w:highlight w:val="none"/>
        </w:rPr>
        <w:t>提交《水土保持监测管理平台运维工作报告》。</w:t>
      </w:r>
    </w:p>
    <w:p>
      <w:pPr>
        <w:pStyle w:val="2"/>
        <w:bidi w:val="0"/>
        <w:rPr>
          <w:color w:val="auto"/>
          <w:highlight w:val="none"/>
          <w:lang w:val="en-US" w:eastAsia="zh-CN"/>
        </w:rPr>
      </w:pPr>
      <w:bookmarkStart w:id="152" w:name="_Toc12816"/>
      <w:bookmarkStart w:id="153" w:name="_Toc18167"/>
      <w:r>
        <w:rPr>
          <w:rFonts w:hint="eastAsia"/>
          <w:color w:val="auto"/>
          <w:highlight w:val="none"/>
          <w:lang w:val="en-US" w:eastAsia="zh-CN"/>
        </w:rPr>
        <w:t>项目进度要求</w:t>
      </w:r>
      <w:bookmarkEnd w:id="152"/>
      <w:bookmarkEnd w:id="153"/>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rPr>
      </w:pPr>
      <w:r>
        <w:rPr>
          <w:rFonts w:hint="eastAsia" w:cs="Times New Roman"/>
          <w:color w:val="auto"/>
          <w:szCs w:val="24"/>
          <w:highlight w:val="none"/>
          <w:lang w:val="en-US" w:eastAsia="zh-CN"/>
        </w:rPr>
        <w:t>合同签订后至2023年</w:t>
      </w:r>
      <w:r>
        <w:rPr>
          <w:rFonts w:hint="eastAsia" w:ascii="Times New Roman" w:hAnsi="Times New Roman" w:eastAsia="宋体" w:cs="Times New Roman"/>
          <w:color w:val="auto"/>
          <w:szCs w:val="24"/>
          <w:highlight w:val="none"/>
        </w:rPr>
        <w:t>12月，进行日常运行维护。</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202</w:t>
      </w:r>
      <w:r>
        <w:rPr>
          <w:rFonts w:hint="eastAsia" w:ascii="Times New Roman" w:hAnsi="Times New Roman" w:eastAsia="宋体" w:cs="Times New Roman"/>
          <w:color w:val="auto"/>
          <w:szCs w:val="24"/>
          <w:highlight w:val="none"/>
          <w:lang w:val="en-US" w:eastAsia="zh-CN"/>
        </w:rPr>
        <w:t>3</w:t>
      </w:r>
      <w:r>
        <w:rPr>
          <w:rFonts w:hint="eastAsia" w:ascii="Times New Roman" w:hAnsi="Times New Roman" w:eastAsia="宋体" w:cs="Times New Roman"/>
          <w:color w:val="auto"/>
          <w:szCs w:val="24"/>
          <w:highlight w:val="none"/>
        </w:rPr>
        <w:t>年</w:t>
      </w:r>
      <w:r>
        <w:rPr>
          <w:rFonts w:hint="eastAsia" w:ascii="Times New Roman" w:hAnsi="Times New Roman" w:eastAsia="宋体" w:cs="Times New Roman"/>
          <w:color w:val="auto"/>
          <w:szCs w:val="24"/>
          <w:highlight w:val="none"/>
          <w:lang w:val="en-US" w:eastAsia="zh-CN"/>
        </w:rPr>
        <w:t>6</w:t>
      </w:r>
      <w:r>
        <w:rPr>
          <w:rFonts w:hint="eastAsia" w:ascii="Times New Roman" w:hAnsi="Times New Roman" w:eastAsia="宋体" w:cs="Times New Roman"/>
          <w:color w:val="auto"/>
          <w:szCs w:val="24"/>
          <w:highlight w:val="none"/>
        </w:rPr>
        <w:t>月底前</w:t>
      </w:r>
      <w:r>
        <w:rPr>
          <w:rFonts w:hint="eastAsia" w:ascii="Times New Roman" w:hAnsi="Times New Roman" w:eastAsia="宋体" w:cs="Times New Roman"/>
          <w:color w:val="auto"/>
          <w:szCs w:val="24"/>
          <w:highlight w:val="none"/>
          <w:lang w:eastAsia="zh-CN"/>
        </w:rPr>
        <w:t>完成</w:t>
      </w:r>
      <w:r>
        <w:rPr>
          <w:rFonts w:hint="eastAsia" w:ascii="Times New Roman" w:hAnsi="Times New Roman" w:eastAsia="宋体" w:cs="Times New Roman"/>
          <w:color w:val="auto"/>
          <w:szCs w:val="24"/>
          <w:highlight w:val="none"/>
        </w:rPr>
        <w:t>水利数据仓对接，</w:t>
      </w:r>
      <w:r>
        <w:rPr>
          <w:rFonts w:hint="eastAsia" w:ascii="Times New Roman" w:hAnsi="Times New Roman" w:eastAsia="宋体" w:cs="Times New Roman"/>
          <w:color w:val="auto"/>
          <w:szCs w:val="24"/>
          <w:highlight w:val="none"/>
          <w:lang w:eastAsia="zh-CN"/>
        </w:rPr>
        <w:t>完善省级专家库更新模块</w:t>
      </w:r>
      <w:r>
        <w:rPr>
          <w:rFonts w:hint="eastAsia" w:ascii="Times New Roman" w:hAnsi="Times New Roman" w:eastAsia="宋体" w:cs="Times New Roman"/>
          <w:color w:val="auto"/>
          <w:szCs w:val="24"/>
          <w:highlight w:val="none"/>
        </w:rPr>
        <w:t>。</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val="en-US" w:eastAsia="zh-CN"/>
        </w:rPr>
      </w:pPr>
      <w:r>
        <w:rPr>
          <w:rFonts w:hint="eastAsia" w:ascii="Times New Roman" w:hAnsi="Times New Roman" w:eastAsia="宋体" w:cs="Times New Roman"/>
          <w:color w:val="auto"/>
          <w:szCs w:val="24"/>
          <w:highlight w:val="none"/>
          <w:lang w:val="en-US" w:eastAsia="zh-CN"/>
        </w:rPr>
        <w:t>2023年8月底前</w:t>
      </w:r>
      <w:r>
        <w:rPr>
          <w:rFonts w:hint="eastAsia" w:ascii="Times New Roman" w:hAnsi="Times New Roman" w:eastAsia="宋体" w:cs="Times New Roman"/>
          <w:color w:val="auto"/>
          <w:szCs w:val="24"/>
          <w:highlight w:val="none"/>
        </w:rPr>
        <w:t>完善水土保持学会工作模块</w:t>
      </w:r>
      <w:r>
        <w:rPr>
          <w:rFonts w:hint="eastAsia" w:ascii="Times New Roman" w:hAnsi="Times New Roman" w:eastAsia="宋体" w:cs="Times New Roman"/>
          <w:color w:val="auto"/>
          <w:szCs w:val="24"/>
          <w:highlight w:val="none"/>
          <w:lang w:eastAsia="zh-CN"/>
        </w:rPr>
        <w:t>。</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202</w:t>
      </w:r>
      <w:r>
        <w:rPr>
          <w:rFonts w:hint="eastAsia" w:ascii="Times New Roman" w:hAnsi="Times New Roman" w:eastAsia="宋体" w:cs="Times New Roman"/>
          <w:color w:val="auto"/>
          <w:szCs w:val="24"/>
          <w:highlight w:val="none"/>
          <w:lang w:val="en-US" w:eastAsia="zh-CN"/>
        </w:rPr>
        <w:t>3</w:t>
      </w:r>
      <w:r>
        <w:rPr>
          <w:rFonts w:hint="eastAsia" w:ascii="Times New Roman" w:hAnsi="Times New Roman" w:eastAsia="宋体" w:cs="Times New Roman"/>
          <w:color w:val="auto"/>
          <w:szCs w:val="24"/>
          <w:highlight w:val="none"/>
        </w:rPr>
        <w:t>年</w:t>
      </w:r>
      <w:r>
        <w:rPr>
          <w:rFonts w:hint="eastAsia" w:ascii="Times New Roman" w:hAnsi="Times New Roman" w:eastAsia="宋体" w:cs="Times New Roman"/>
          <w:color w:val="auto"/>
          <w:szCs w:val="24"/>
          <w:highlight w:val="none"/>
          <w:lang w:val="en-US" w:eastAsia="zh-CN"/>
        </w:rPr>
        <w:t>10</w:t>
      </w:r>
      <w:r>
        <w:rPr>
          <w:rFonts w:hint="eastAsia" w:ascii="Times New Roman" w:hAnsi="Times New Roman" w:eastAsia="宋体" w:cs="Times New Roman"/>
          <w:color w:val="auto"/>
          <w:szCs w:val="24"/>
          <w:highlight w:val="none"/>
        </w:rPr>
        <w:t>月底前</w:t>
      </w:r>
      <w:r>
        <w:rPr>
          <w:rFonts w:hint="eastAsia" w:ascii="Times New Roman" w:hAnsi="Times New Roman" w:eastAsia="宋体" w:cs="Times New Roman"/>
          <w:color w:val="auto"/>
          <w:szCs w:val="24"/>
          <w:highlight w:val="none"/>
          <w:lang w:eastAsia="zh-CN"/>
        </w:rPr>
        <w:t>完成</w:t>
      </w:r>
      <w:r>
        <w:rPr>
          <w:rFonts w:hint="eastAsia" w:ascii="Times New Roman" w:hAnsi="Times New Roman" w:eastAsia="宋体" w:cs="Times New Roman"/>
          <w:color w:val="auto"/>
          <w:szCs w:val="24"/>
          <w:highlight w:val="none"/>
        </w:rPr>
        <w:t>省级生产建设项目水土保持</w:t>
      </w:r>
      <w:r>
        <w:rPr>
          <w:rFonts w:hint="eastAsia" w:ascii="Times New Roman" w:hAnsi="Times New Roman" w:eastAsia="宋体" w:cs="Times New Roman"/>
          <w:color w:val="auto"/>
          <w:szCs w:val="24"/>
          <w:highlight w:val="none"/>
          <w:lang w:eastAsia="zh-CN"/>
        </w:rPr>
        <w:t>监测季报</w:t>
      </w:r>
      <w:r>
        <w:rPr>
          <w:rFonts w:hint="eastAsia" w:ascii="Times New Roman" w:hAnsi="Times New Roman" w:eastAsia="宋体" w:cs="Times New Roman"/>
          <w:color w:val="auto"/>
          <w:szCs w:val="24"/>
          <w:highlight w:val="none"/>
        </w:rPr>
        <w:t>数据</w:t>
      </w:r>
      <w:r>
        <w:rPr>
          <w:rFonts w:hint="eastAsia" w:ascii="Times New Roman" w:hAnsi="Times New Roman" w:eastAsia="宋体" w:cs="Times New Roman"/>
          <w:color w:val="auto"/>
          <w:szCs w:val="24"/>
          <w:highlight w:val="none"/>
          <w:lang w:eastAsia="zh-CN"/>
        </w:rPr>
        <w:t>迁移</w:t>
      </w:r>
      <w:r>
        <w:rPr>
          <w:rFonts w:hint="eastAsia" w:ascii="Times New Roman" w:hAnsi="Times New Roman" w:eastAsia="宋体" w:cs="Times New Roman"/>
          <w:color w:val="auto"/>
          <w:szCs w:val="24"/>
          <w:highlight w:val="none"/>
        </w:rPr>
        <w:t>。</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val="en-US" w:eastAsia="zh-CN"/>
        </w:rPr>
      </w:pPr>
      <w:r>
        <w:rPr>
          <w:rFonts w:hint="eastAsia" w:ascii="Times New Roman" w:hAnsi="Times New Roman" w:eastAsia="宋体" w:cs="Times New Roman"/>
          <w:color w:val="auto"/>
          <w:szCs w:val="24"/>
          <w:highlight w:val="none"/>
        </w:rPr>
        <w:t>202</w:t>
      </w:r>
      <w:r>
        <w:rPr>
          <w:rFonts w:hint="eastAsia" w:ascii="Times New Roman" w:hAnsi="Times New Roman" w:eastAsia="宋体" w:cs="Times New Roman"/>
          <w:color w:val="auto"/>
          <w:szCs w:val="24"/>
          <w:highlight w:val="none"/>
          <w:lang w:val="en-US" w:eastAsia="zh-CN"/>
        </w:rPr>
        <w:t>3</w:t>
      </w:r>
      <w:r>
        <w:rPr>
          <w:rFonts w:hint="eastAsia" w:ascii="Times New Roman" w:hAnsi="Times New Roman" w:eastAsia="宋体" w:cs="Times New Roman"/>
          <w:color w:val="auto"/>
          <w:szCs w:val="24"/>
          <w:highlight w:val="none"/>
        </w:rPr>
        <w:t>年12月底前</w:t>
      </w:r>
      <w:r>
        <w:rPr>
          <w:rFonts w:hint="eastAsia" w:ascii="Times New Roman" w:hAnsi="Times New Roman" w:eastAsia="宋体" w:cs="Times New Roman"/>
          <w:color w:val="auto"/>
          <w:szCs w:val="24"/>
          <w:highlight w:val="none"/>
          <w:lang w:eastAsia="zh-CN"/>
        </w:rPr>
        <w:t>提交工作报告并</w:t>
      </w:r>
      <w:r>
        <w:rPr>
          <w:rFonts w:hint="eastAsia" w:ascii="Times New Roman" w:hAnsi="Times New Roman" w:eastAsia="宋体" w:cs="Times New Roman"/>
          <w:color w:val="auto"/>
          <w:szCs w:val="24"/>
          <w:highlight w:val="none"/>
        </w:rPr>
        <w:t>完成项目验收。</w:t>
      </w:r>
    </w:p>
    <w:p>
      <w:pPr>
        <w:pStyle w:val="2"/>
        <w:bidi w:val="0"/>
        <w:rPr>
          <w:color w:val="auto"/>
          <w:highlight w:val="none"/>
          <w:lang w:val="en-US" w:eastAsia="zh-CN"/>
        </w:rPr>
      </w:pPr>
      <w:bookmarkStart w:id="154" w:name="_Toc30749"/>
      <w:bookmarkStart w:id="155" w:name="_Toc3441"/>
      <w:r>
        <w:rPr>
          <w:rFonts w:hint="eastAsia"/>
          <w:color w:val="auto"/>
          <w:highlight w:val="none"/>
          <w:lang w:val="en-US" w:eastAsia="zh-CN"/>
        </w:rPr>
        <w:t>验收方式</w:t>
      </w:r>
      <w:bookmarkEnd w:id="154"/>
      <w:bookmarkEnd w:id="155"/>
    </w:p>
    <w:p>
      <w:pPr>
        <w:spacing w:line="360" w:lineRule="auto"/>
        <w:ind w:firstLine="480" w:firstLineChars="200"/>
        <w:rPr>
          <w:rFonts w:ascii="宋体" w:hAnsi="宋体" w:eastAsia="宋体" w:cs="Arial"/>
          <w:color w:val="auto"/>
          <w:szCs w:val="24"/>
          <w:highlight w:val="none"/>
        </w:rPr>
      </w:pPr>
      <w:r>
        <w:rPr>
          <w:rFonts w:hint="eastAsia" w:ascii="宋体" w:hAnsi="宋体" w:eastAsia="宋体" w:cs="Arial"/>
          <w:color w:val="auto"/>
          <w:szCs w:val="24"/>
          <w:highlight w:val="none"/>
        </w:rPr>
        <w:t>满足合同规定，采购人组织专家评审方式验收。</w:t>
      </w:r>
    </w:p>
    <w:p>
      <w:pPr>
        <w:pStyle w:val="2"/>
        <w:bidi w:val="0"/>
        <w:rPr>
          <w:color w:val="auto"/>
          <w:highlight w:val="none"/>
          <w:lang w:val="en-US" w:eastAsia="zh-CN"/>
        </w:rPr>
      </w:pPr>
      <w:bookmarkStart w:id="156" w:name="_Toc8290"/>
      <w:bookmarkStart w:id="157" w:name="_Toc13000"/>
      <w:r>
        <w:rPr>
          <w:rFonts w:hint="eastAsia"/>
          <w:color w:val="auto"/>
          <w:highlight w:val="none"/>
          <w:lang w:val="en-US" w:eastAsia="zh-CN"/>
        </w:rPr>
        <w:t>支付方式</w:t>
      </w:r>
      <w:bookmarkEnd w:id="156"/>
      <w:bookmarkEnd w:id="157"/>
    </w:p>
    <w:p>
      <w:pPr>
        <w:spacing w:line="360" w:lineRule="auto"/>
        <w:ind w:firstLine="480" w:firstLineChars="200"/>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1.合同签订生效并具备实施条件后，支付合同总额的</w:t>
      </w:r>
      <w:r>
        <w:rPr>
          <w:rFonts w:hint="eastAsia" w:ascii="Times New Roman" w:hAnsi="Times New Roman" w:eastAsia="宋体" w:cs="Times New Roman"/>
          <w:color w:val="auto"/>
          <w:szCs w:val="24"/>
          <w:highlight w:val="none"/>
          <w:lang w:val="en-US" w:eastAsia="zh-CN"/>
        </w:rPr>
        <w:t>50</w:t>
      </w:r>
      <w:r>
        <w:rPr>
          <w:rFonts w:hint="eastAsia" w:ascii="Times New Roman" w:hAnsi="Times New Roman" w:eastAsia="宋体" w:cs="Times New Roman"/>
          <w:color w:val="auto"/>
          <w:szCs w:val="24"/>
          <w:highlight w:val="none"/>
        </w:rPr>
        <w:t>%。</w:t>
      </w:r>
    </w:p>
    <w:p>
      <w:pPr>
        <w:spacing w:line="360" w:lineRule="auto"/>
        <w:ind w:firstLine="480" w:firstLineChars="200"/>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2.提交</w:t>
      </w:r>
      <w:r>
        <w:rPr>
          <w:rFonts w:hint="eastAsia" w:ascii="Times New Roman" w:hAnsi="Times New Roman" w:eastAsia="宋体" w:cs="Times New Roman"/>
          <w:color w:val="auto"/>
          <w:szCs w:val="24"/>
          <w:highlight w:val="none"/>
          <w:lang w:val="en-US" w:eastAsia="zh-CN"/>
        </w:rPr>
        <w:t>工作报告并</w:t>
      </w:r>
      <w:r>
        <w:rPr>
          <w:rFonts w:hint="eastAsia" w:ascii="Times New Roman" w:hAnsi="Times New Roman" w:eastAsia="宋体" w:cs="Times New Roman"/>
          <w:color w:val="auto"/>
          <w:szCs w:val="24"/>
          <w:highlight w:val="none"/>
        </w:rPr>
        <w:t>验收通过后，支付合同总额的</w:t>
      </w:r>
      <w:r>
        <w:rPr>
          <w:rFonts w:hint="eastAsia" w:ascii="Times New Roman" w:hAnsi="Times New Roman" w:eastAsia="宋体" w:cs="Times New Roman"/>
          <w:color w:val="auto"/>
          <w:szCs w:val="24"/>
          <w:highlight w:val="none"/>
          <w:lang w:val="en-US" w:eastAsia="zh-CN"/>
        </w:rPr>
        <w:t>50</w:t>
      </w:r>
      <w:r>
        <w:rPr>
          <w:rFonts w:hint="eastAsia" w:ascii="Times New Roman" w:hAnsi="Times New Roman" w:eastAsia="宋体" w:cs="Times New Roman"/>
          <w:color w:val="auto"/>
          <w:szCs w:val="24"/>
          <w:highlight w:val="none"/>
        </w:rPr>
        <w:t>%。</w:t>
      </w:r>
    </w:p>
    <w:p>
      <w:pPr>
        <w:pStyle w:val="2"/>
        <w:bidi w:val="0"/>
        <w:rPr>
          <w:rFonts w:hint="default"/>
          <w:color w:val="auto"/>
          <w:highlight w:val="none"/>
          <w:lang w:val="en-US" w:eastAsia="zh-CN"/>
        </w:rPr>
      </w:pPr>
      <w:r>
        <w:rPr>
          <w:rFonts w:hint="eastAsia"/>
          <w:color w:val="auto"/>
          <w:highlight w:val="none"/>
          <w:lang w:val="en-US" w:eastAsia="zh-CN"/>
        </w:rPr>
        <w:t>其他事项</w:t>
      </w:r>
    </w:p>
    <w:p>
      <w:pPr>
        <w:spacing w:line="360" w:lineRule="auto"/>
        <w:ind w:firstLine="480" w:firstLineChars="200"/>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1.项目承担单位应对提交的成果内容真实性和质量负责。</w:t>
      </w:r>
    </w:p>
    <w:p>
      <w:pPr>
        <w:spacing w:line="360" w:lineRule="auto"/>
        <w:ind w:firstLine="480" w:firstLineChars="200"/>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2.项目承担单位开展技术服务工作过程中，必须严格执行廉洁自律有关规定，不得饮酒，不得接受礼金礼卡和土特产。</w:t>
      </w:r>
    </w:p>
    <w:p>
      <w:pPr>
        <w:spacing w:line="360" w:lineRule="auto"/>
        <w:ind w:firstLine="480" w:firstLineChars="200"/>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3.根据浙江省水资源水电管理中心（浙江省水土保持监测中心）对项目支出预算管理的工作要求，项目承担单位须及时做好专项支出记录，进行专项月度支出记录统计，提交中间成果和项目验收时必须提供专项财务支出记录。</w:t>
      </w:r>
    </w:p>
    <w:p>
      <w:pPr>
        <w:spacing w:line="360" w:lineRule="auto"/>
        <w:ind w:firstLine="480" w:firstLineChars="200"/>
        <w:rPr>
          <w:rFonts w:hint="eastAsia" w:ascii="Times New Roman" w:hAnsi="Times New Roman" w:eastAsia="宋体" w:cs="Times New Roman"/>
          <w:color w:val="auto"/>
          <w:highlight w:val="none"/>
        </w:rPr>
      </w:pPr>
    </w:p>
    <w:p>
      <w:pPr>
        <w:pStyle w:val="3"/>
        <w:rPr>
          <w:color w:val="auto"/>
          <w:highlight w:val="none"/>
        </w:rPr>
      </w:pPr>
      <w:bookmarkStart w:id="158" w:name="_Toc30244"/>
      <w:r>
        <w:rPr>
          <w:rFonts w:hint="eastAsia"/>
          <w:color w:val="auto"/>
          <w:highlight w:val="none"/>
        </w:rPr>
        <w:t>投标文件格式</w:t>
      </w:r>
      <w:bookmarkEnd w:id="158"/>
    </w:p>
    <w:p>
      <w:pPr>
        <w:pStyle w:val="17"/>
        <w:spacing w:line="240" w:lineRule="auto"/>
        <w:ind w:firstLine="0"/>
        <w:jc w:val="left"/>
        <w:rPr>
          <w:b/>
          <w:bCs/>
          <w:color w:val="auto"/>
          <w:highlight w:val="none"/>
        </w:rPr>
      </w:pPr>
      <w:r>
        <w:rPr>
          <w:b/>
          <w:bCs/>
          <w:color w:val="auto"/>
          <w:highlight w:val="none"/>
        </w:rPr>
        <w:t>投标文件封面1：</w:t>
      </w:r>
    </w:p>
    <w:p>
      <w:pPr>
        <w:pStyle w:val="17"/>
        <w:spacing w:line="240" w:lineRule="auto"/>
        <w:ind w:firstLine="0"/>
        <w:jc w:val="center"/>
        <w:rPr>
          <w:color w:val="auto"/>
          <w:sz w:val="52"/>
          <w:szCs w:val="52"/>
          <w:highlight w:val="none"/>
        </w:rPr>
      </w:pPr>
    </w:p>
    <w:p>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水土保持监测管理平台运维</w:t>
      </w:r>
    </w:p>
    <w:p>
      <w:pPr>
        <w:pStyle w:val="17"/>
        <w:tabs>
          <w:tab w:val="left" w:pos="0"/>
          <w:tab w:val="clear" w:pos="3025"/>
        </w:tabs>
        <w:spacing w:line="240" w:lineRule="auto"/>
        <w:ind w:firstLine="0"/>
        <w:jc w:val="center"/>
        <w:rPr>
          <w:rFonts w:eastAsia="黑体"/>
          <w:color w:val="auto"/>
          <w:sz w:val="32"/>
          <w:szCs w:val="32"/>
          <w:highlight w:val="none"/>
        </w:rPr>
      </w:pPr>
    </w:p>
    <w:p>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lang w:eastAsia="zh-CN"/>
        </w:rPr>
        <w:t>ZSSJCG-202304022</w:t>
      </w:r>
      <w:r>
        <w:rPr>
          <w:rFonts w:eastAsia="黑体"/>
          <w:color w:val="auto"/>
          <w:sz w:val="32"/>
          <w:szCs w:val="32"/>
          <w:highlight w:val="none"/>
        </w:rPr>
        <w:t>）</w:t>
      </w: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0"/>
        <w:jc w:val="center"/>
        <w:rPr>
          <w:color w:val="auto"/>
          <w:sz w:val="52"/>
          <w:szCs w:val="52"/>
          <w:highlight w:val="none"/>
        </w:rPr>
      </w:pPr>
      <w:r>
        <w:rPr>
          <w:color w:val="auto"/>
          <w:sz w:val="52"/>
          <w:szCs w:val="52"/>
          <w:highlight w:val="none"/>
        </w:rPr>
        <w:t>投标文件</w:t>
      </w:r>
    </w:p>
    <w:p>
      <w:pPr>
        <w:pStyle w:val="17"/>
        <w:jc w:val="left"/>
        <w:rPr>
          <w:color w:val="auto"/>
          <w:sz w:val="52"/>
          <w:szCs w:val="52"/>
          <w:highlight w:val="none"/>
        </w:rPr>
      </w:pPr>
    </w:p>
    <w:p>
      <w:pPr>
        <w:pStyle w:val="17"/>
        <w:spacing w:line="600" w:lineRule="exact"/>
        <w:ind w:firstLine="0"/>
        <w:jc w:val="center"/>
        <w:rPr>
          <w:color w:val="auto"/>
          <w:sz w:val="52"/>
          <w:szCs w:val="52"/>
          <w:highlight w:val="none"/>
        </w:rPr>
      </w:pPr>
      <w:r>
        <w:rPr>
          <w:color w:val="auto"/>
          <w:sz w:val="52"/>
          <w:szCs w:val="52"/>
          <w:highlight w:val="none"/>
        </w:rPr>
        <w:t>（</w:t>
      </w:r>
      <w:r>
        <w:rPr>
          <w:rFonts w:hint="eastAsia"/>
          <w:color w:val="auto"/>
          <w:sz w:val="52"/>
          <w:szCs w:val="52"/>
          <w:highlight w:val="none"/>
        </w:rPr>
        <w:t>资格文件</w:t>
      </w:r>
      <w:r>
        <w:rPr>
          <w:color w:val="auto"/>
          <w:sz w:val="52"/>
          <w:szCs w:val="52"/>
          <w:highlight w:val="none"/>
        </w:rPr>
        <w:t>）</w:t>
      </w: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center"/>
        <w:rPr>
          <w:rFonts w:eastAsia="黑体"/>
          <w:color w:val="auto"/>
          <w:sz w:val="30"/>
          <w:szCs w:val="30"/>
          <w:highlight w:val="none"/>
          <w:u w:val="single"/>
        </w:rPr>
      </w:pPr>
      <w:r>
        <w:rPr>
          <w:color w:val="auto"/>
          <w:sz w:val="30"/>
          <w:szCs w:val="30"/>
          <w:highlight w:val="none"/>
        </w:rPr>
        <w:t>投标供应商：</w:t>
      </w:r>
      <w:r>
        <w:rPr>
          <w:rFonts w:eastAsia="黑体"/>
          <w:color w:val="auto"/>
          <w:sz w:val="30"/>
          <w:szCs w:val="30"/>
          <w:highlight w:val="none"/>
        </w:rPr>
        <w:t>（全称并盖章）</w:t>
      </w:r>
    </w:p>
    <w:p>
      <w:pPr>
        <w:pStyle w:val="17"/>
        <w:spacing w:line="240" w:lineRule="auto"/>
        <w:ind w:firstLine="0"/>
        <w:jc w:val="center"/>
        <w:rPr>
          <w:color w:val="auto"/>
          <w:highlight w:val="none"/>
        </w:rPr>
      </w:pPr>
      <w:r>
        <w:rPr>
          <w:color w:val="auto"/>
          <w:sz w:val="30"/>
          <w:szCs w:val="30"/>
          <w:highlight w:val="none"/>
        </w:rPr>
        <w:t xml:space="preserve"> 编制日期：    年    月    日</w:t>
      </w:r>
    </w:p>
    <w:p>
      <w:pPr>
        <w:pStyle w:val="17"/>
        <w:spacing w:line="240" w:lineRule="auto"/>
        <w:ind w:firstLine="1506"/>
        <w:jc w:val="left"/>
        <w:rPr>
          <w:b/>
          <w:color w:val="auto"/>
          <w:sz w:val="30"/>
          <w:szCs w:val="30"/>
          <w:highlight w:val="none"/>
        </w:rPr>
      </w:pPr>
    </w:p>
    <w:p>
      <w:pPr>
        <w:pStyle w:val="17"/>
        <w:spacing w:line="240" w:lineRule="auto"/>
        <w:ind w:firstLine="0"/>
        <w:jc w:val="left"/>
        <w:rPr>
          <w:b/>
          <w:color w:val="auto"/>
          <w:sz w:val="30"/>
          <w:szCs w:val="30"/>
          <w:highlight w:val="none"/>
        </w:rPr>
      </w:pPr>
    </w:p>
    <w:p>
      <w:pPr>
        <w:rPr>
          <w:b/>
          <w:color w:val="auto"/>
          <w:sz w:val="52"/>
          <w:szCs w:val="52"/>
          <w:highlight w:val="none"/>
        </w:rPr>
      </w:pPr>
      <w:r>
        <w:rPr>
          <w:rFonts w:hint="eastAsia"/>
          <w:b/>
          <w:color w:val="auto"/>
          <w:sz w:val="52"/>
          <w:szCs w:val="52"/>
          <w:highlight w:val="none"/>
        </w:rPr>
        <w:br w:type="page"/>
      </w:r>
    </w:p>
    <w:p>
      <w:pPr>
        <w:snapToGrid w:val="0"/>
        <w:spacing w:line="360" w:lineRule="auto"/>
        <w:jc w:val="center"/>
        <w:rPr>
          <w:color w:val="auto"/>
          <w:sz w:val="52"/>
          <w:szCs w:val="52"/>
          <w:highlight w:val="none"/>
        </w:rPr>
      </w:pPr>
      <w:r>
        <w:rPr>
          <w:rFonts w:hint="eastAsia"/>
          <w:b/>
          <w:color w:val="auto"/>
          <w:sz w:val="52"/>
          <w:szCs w:val="52"/>
          <w:highlight w:val="none"/>
        </w:rPr>
        <w:t>目录</w:t>
      </w:r>
    </w:p>
    <w:p>
      <w:pPr>
        <w:tabs>
          <w:tab w:val="left" w:pos="3720"/>
        </w:tabs>
        <w:spacing w:line="360" w:lineRule="auto"/>
        <w:jc w:val="left"/>
        <w:rPr>
          <w:color w:val="auto"/>
          <w:highlight w:val="none"/>
        </w:rPr>
      </w:pPr>
      <w:r>
        <w:rPr>
          <w:rFonts w:hint="eastAsia"/>
          <w:color w:val="auto"/>
          <w:highlight w:val="none"/>
        </w:rPr>
        <w:t>（1）营业执照（或其他工商登记证明材料）.............................................................页码</w:t>
      </w:r>
    </w:p>
    <w:p>
      <w:pPr>
        <w:tabs>
          <w:tab w:val="left" w:pos="3720"/>
        </w:tabs>
        <w:spacing w:line="360" w:lineRule="auto"/>
        <w:jc w:val="left"/>
        <w:rPr>
          <w:color w:val="auto"/>
          <w:highlight w:val="none"/>
        </w:rPr>
      </w:pPr>
      <w:r>
        <w:rPr>
          <w:rFonts w:hint="eastAsia"/>
          <w:color w:val="auto"/>
          <w:highlight w:val="none"/>
        </w:rPr>
        <w:t>（2）投标承诺函.............................................................................................................页码</w:t>
      </w:r>
    </w:p>
    <w:p>
      <w:pPr>
        <w:tabs>
          <w:tab w:val="left" w:pos="3720"/>
        </w:tabs>
        <w:spacing w:line="360" w:lineRule="auto"/>
        <w:jc w:val="left"/>
        <w:rPr>
          <w:color w:val="auto"/>
          <w:highlight w:val="none"/>
        </w:rPr>
      </w:pPr>
      <w:r>
        <w:rPr>
          <w:rFonts w:hint="eastAsia"/>
          <w:color w:val="auto"/>
          <w:highlight w:val="none"/>
        </w:rPr>
        <w:t>（3）法定代表人授权委托书.........................................................................................页码</w:t>
      </w:r>
    </w:p>
    <w:p>
      <w:pPr>
        <w:tabs>
          <w:tab w:val="left" w:pos="3720"/>
        </w:tabs>
        <w:spacing w:line="360" w:lineRule="auto"/>
        <w:jc w:val="left"/>
        <w:rPr>
          <w:color w:val="auto"/>
          <w:highlight w:val="none"/>
        </w:rPr>
      </w:pPr>
      <w:r>
        <w:rPr>
          <w:rFonts w:hint="eastAsia"/>
          <w:color w:val="auto"/>
          <w:highlight w:val="none"/>
        </w:rPr>
        <w:t>（4）法定代表人身份证明.............................................................................................页码</w:t>
      </w:r>
    </w:p>
    <w:p>
      <w:pPr>
        <w:snapToGrid w:val="0"/>
        <w:spacing w:line="360" w:lineRule="auto"/>
        <w:jc w:val="left"/>
        <w:rPr>
          <w:rFonts w:ascii="Times New Roman" w:hAnsi="Times New Roman" w:cs="Times New Roman"/>
          <w:color w:val="auto"/>
          <w:highlight w:val="none"/>
        </w:rPr>
      </w:pPr>
      <w:r>
        <w:rPr>
          <w:rFonts w:hint="eastAsia" w:ascii="Times New Roman" w:hAnsi="Times New Roman" w:cs="Times New Roman"/>
          <w:color w:val="auto"/>
          <w:highlight w:val="none"/>
        </w:rPr>
        <w:t>（</w:t>
      </w:r>
      <w:r>
        <w:rPr>
          <w:rFonts w:hint="eastAsia" w:ascii="Times New Roman" w:hAnsi="Times New Roman" w:cs="Times New Roman"/>
          <w:color w:val="auto"/>
          <w:highlight w:val="none"/>
          <w:lang w:val="en-US" w:eastAsia="zh-CN"/>
        </w:rPr>
        <w:t>5）</w:t>
      </w:r>
      <w:r>
        <w:rPr>
          <w:rFonts w:hint="eastAsia"/>
          <w:color w:val="auto"/>
          <w:highlight w:val="none"/>
        </w:rPr>
        <w:t>中小企业声明函或监狱企业声明函或残疾人福利性单位声明函</w:t>
      </w:r>
      <w:r>
        <w:rPr>
          <w:rFonts w:hint="eastAsia" w:ascii="Times New Roman" w:hAnsi="Times New Roman" w:cs="Times New Roman"/>
          <w:color w:val="auto"/>
          <w:highlight w:val="none"/>
        </w:rPr>
        <w:t>........</w:t>
      </w:r>
      <w:r>
        <w:rPr>
          <w:rFonts w:hint="eastAsia" w:ascii="Times New Roman" w:hAnsi="Times New Roman" w:cs="Times New Roman"/>
          <w:color w:val="auto"/>
          <w:highlight w:val="none"/>
          <w:lang w:val="en-US" w:eastAsia="zh-CN"/>
        </w:rPr>
        <w:t>......</w:t>
      </w:r>
      <w:r>
        <w:rPr>
          <w:rFonts w:hint="eastAsia" w:ascii="Times New Roman" w:hAnsi="Times New Roman" w:cs="Times New Roman"/>
          <w:color w:val="auto"/>
          <w:highlight w:val="none"/>
        </w:rPr>
        <w:t>.......页码</w:t>
      </w:r>
    </w:p>
    <w:p>
      <w:pPr>
        <w:pStyle w:val="16"/>
        <w:ind w:firstLine="0" w:firstLineChars="0"/>
        <w:rPr>
          <w:color w:val="auto"/>
          <w:highlight w:val="none"/>
        </w:rPr>
      </w:pPr>
    </w:p>
    <w:p>
      <w:pPr>
        <w:jc w:val="left"/>
        <w:rPr>
          <w:b/>
          <w:color w:val="auto"/>
          <w:sz w:val="30"/>
          <w:szCs w:val="30"/>
          <w:highlight w:val="none"/>
        </w:rPr>
      </w:pPr>
    </w:p>
    <w:p>
      <w:pPr>
        <w:rPr>
          <w:b/>
          <w:color w:val="auto"/>
          <w:sz w:val="30"/>
          <w:szCs w:val="30"/>
          <w:highlight w:val="none"/>
        </w:rPr>
      </w:pPr>
      <w:r>
        <w:rPr>
          <w:b/>
          <w:color w:val="auto"/>
          <w:sz w:val="30"/>
          <w:szCs w:val="30"/>
          <w:highlight w:val="none"/>
        </w:rPr>
        <w:br w:type="page"/>
      </w:r>
      <w:r>
        <w:rPr>
          <w:b/>
          <w:color w:val="auto"/>
          <w:sz w:val="30"/>
          <w:szCs w:val="30"/>
          <w:highlight w:val="none"/>
        </w:rPr>
        <w:t>附件1</w:t>
      </w:r>
    </w:p>
    <w:p>
      <w:pPr>
        <w:jc w:val="center"/>
        <w:rPr>
          <w:b/>
          <w:bCs/>
          <w:color w:val="auto"/>
          <w:sz w:val="44"/>
          <w:highlight w:val="none"/>
        </w:rPr>
      </w:pPr>
      <w:r>
        <w:rPr>
          <w:rFonts w:hint="eastAsia"/>
          <w:b/>
          <w:bCs/>
          <w:color w:val="auto"/>
          <w:sz w:val="44"/>
          <w:highlight w:val="none"/>
        </w:rPr>
        <w:t>投标承诺</w:t>
      </w:r>
      <w:r>
        <w:rPr>
          <w:b/>
          <w:bCs/>
          <w:color w:val="auto"/>
          <w:sz w:val="44"/>
          <w:highlight w:val="none"/>
        </w:rPr>
        <w:t>函</w:t>
      </w:r>
    </w:p>
    <w:p>
      <w:pPr>
        <w:ind w:left="540" w:firstLine="30"/>
        <w:rPr>
          <w:color w:val="auto"/>
          <w:sz w:val="28"/>
          <w:highlight w:val="none"/>
        </w:rPr>
      </w:pPr>
    </w:p>
    <w:p>
      <w:pPr>
        <w:widowControl/>
        <w:autoSpaceDE/>
        <w:autoSpaceDN/>
        <w:adjustRightInd/>
        <w:spacing w:line="360" w:lineRule="auto"/>
        <w:jc w:val="left"/>
        <w:textAlignment w:val="auto"/>
        <w:rPr>
          <w:rFonts w:ascii="宋体" w:hAnsi="宋体" w:cs="宋体"/>
          <w:color w:val="auto"/>
          <w:kern w:val="2"/>
          <w:szCs w:val="24"/>
          <w:highlight w:val="none"/>
        </w:rPr>
      </w:pPr>
      <w:r>
        <w:rPr>
          <w:rFonts w:hint="eastAsia" w:ascii="宋体" w:hAnsi="宋体" w:cs="宋体"/>
          <w:color w:val="auto"/>
          <w:szCs w:val="24"/>
          <w:highlight w:val="none"/>
          <w:u w:val="single"/>
          <w:lang w:bidi="ar"/>
        </w:rPr>
        <w:t>致            （采购人、采购代理机构）</w:t>
      </w:r>
      <w:r>
        <w:rPr>
          <w:rFonts w:hint="eastAsia" w:ascii="宋体" w:hAnsi="宋体" w:cs="宋体"/>
          <w:color w:val="auto"/>
          <w:szCs w:val="24"/>
          <w:highlight w:val="none"/>
          <w:lang w:bidi="ar"/>
        </w:rPr>
        <w:t xml:space="preserve">： </w:t>
      </w:r>
    </w:p>
    <w:p>
      <w:pPr>
        <w:widowControl/>
        <w:autoSpaceDE/>
        <w:autoSpaceDN/>
        <w:adjustRightInd/>
        <w:spacing w:line="360" w:lineRule="auto"/>
        <w:ind w:firstLine="480" w:firstLineChars="200"/>
        <w:jc w:val="left"/>
        <w:textAlignment w:val="auto"/>
        <w:rPr>
          <w:rFonts w:ascii="宋体" w:hAnsi="宋体" w:cs="宋体"/>
          <w:color w:val="auto"/>
          <w:kern w:val="2"/>
          <w:szCs w:val="24"/>
          <w:highlight w:val="none"/>
        </w:rPr>
      </w:pPr>
      <w:r>
        <w:rPr>
          <w:rFonts w:hint="eastAsia" w:ascii="宋体" w:hAnsi="宋体" w:cs="宋体"/>
          <w:color w:val="auto"/>
          <w:szCs w:val="24"/>
          <w:highlight w:val="none"/>
          <w:lang w:bidi="ar"/>
        </w:rPr>
        <w:t>我方</w:t>
      </w:r>
      <w:r>
        <w:rPr>
          <w:rFonts w:hint="eastAsia" w:ascii="宋体" w:hAnsi="宋体" w:cs="宋体"/>
          <w:color w:val="auto"/>
          <w:szCs w:val="24"/>
          <w:highlight w:val="none"/>
          <w:u w:val="single"/>
          <w:lang w:bidi="ar"/>
        </w:rPr>
        <w:t xml:space="preserve"> （投标供应商全称） </w:t>
      </w:r>
      <w:r>
        <w:rPr>
          <w:rFonts w:hint="eastAsia" w:ascii="宋体" w:hAnsi="宋体" w:cs="宋体"/>
          <w:color w:val="auto"/>
          <w:szCs w:val="24"/>
          <w:highlight w:val="none"/>
          <w:lang w:bidi="ar"/>
        </w:rPr>
        <w:t>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pPr>
        <w:spacing w:line="360" w:lineRule="auto"/>
        <w:ind w:firstLine="480" w:firstLineChars="200"/>
        <w:rPr>
          <w:rFonts w:ascii="宋体" w:hAnsi="宋体" w:cs="宋体"/>
          <w:color w:val="auto"/>
          <w:szCs w:val="24"/>
          <w:highlight w:val="none"/>
          <w:lang w:bidi="ar"/>
        </w:rPr>
      </w:pPr>
      <w:r>
        <w:rPr>
          <w:rFonts w:hint="eastAsia" w:ascii="宋体" w:hAnsi="宋体" w:cs="宋体"/>
          <w:color w:val="auto"/>
          <w:szCs w:val="24"/>
          <w:highlight w:val="none"/>
          <w:lang w:bidi="ar"/>
        </w:rPr>
        <w:t>特此承诺！</w:t>
      </w:r>
    </w:p>
    <w:p>
      <w:pPr>
        <w:spacing w:line="360" w:lineRule="auto"/>
        <w:ind w:firstLine="480" w:firstLineChars="200"/>
        <w:rPr>
          <w:color w:val="auto"/>
          <w:szCs w:val="24"/>
          <w:highlight w:val="none"/>
          <w:lang w:bidi="ar"/>
        </w:rPr>
      </w:pPr>
    </w:p>
    <w:p>
      <w:pPr>
        <w:spacing w:line="360" w:lineRule="auto"/>
        <w:rPr>
          <w:color w:val="auto"/>
          <w:szCs w:val="24"/>
          <w:highlight w:val="none"/>
        </w:rPr>
      </w:pPr>
    </w:p>
    <w:p>
      <w:pPr>
        <w:pStyle w:val="29"/>
        <w:spacing w:before="0" w:beforeAutospacing="0" w:after="0" w:afterAutospacing="0" w:line="360" w:lineRule="auto"/>
        <w:jc w:val="both"/>
        <w:rPr>
          <w:rFonts w:ascii="Times New Roman" w:hAnsi="Times New Roman"/>
          <w:snapToGrid w:val="0"/>
          <w:color w:val="auto"/>
          <w:highlight w:val="none"/>
        </w:rPr>
      </w:pP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（盖章）</w:t>
      </w:r>
      <w:r>
        <w:rPr>
          <w:rFonts w:ascii="Times New Roman" w:hAnsi="Times New Roman"/>
          <w:snapToGrid w:val="0"/>
          <w:color w:val="auto"/>
          <w:highlight w:val="none"/>
        </w:rPr>
        <w:t>：</w:t>
      </w: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法定代表人（或授权代表人）：</w:t>
      </w:r>
      <w:r>
        <w:rPr>
          <w:rFonts w:ascii="Times New Roman" w:hAnsi="Times New Roman"/>
          <w:snapToGrid w:val="0"/>
          <w:color w:val="auto"/>
          <w:highlight w:val="none"/>
          <w:u w:val="single"/>
        </w:rPr>
        <w:t>（签字或签章）</w:t>
      </w:r>
    </w:p>
    <w:p>
      <w:pPr>
        <w:pStyle w:val="29"/>
        <w:spacing w:before="0" w:beforeAutospacing="0" w:after="0" w:afterAutospacing="0" w:line="360" w:lineRule="auto"/>
        <w:jc w:val="right"/>
        <w:rPr>
          <w:rFonts w:ascii="Times New Roman" w:hAnsi="Times New Roman"/>
          <w:snapToGrid w:val="0"/>
          <w:color w:val="auto"/>
          <w:highlight w:val="none"/>
        </w:rPr>
      </w:pP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spacing w:line="360" w:lineRule="auto"/>
        <w:jc w:val="left"/>
        <w:rPr>
          <w:b/>
          <w:color w:val="auto"/>
          <w:sz w:val="30"/>
          <w:szCs w:val="30"/>
          <w:highlight w:val="none"/>
        </w:rPr>
      </w:pPr>
    </w:p>
    <w:p>
      <w:pPr>
        <w:jc w:val="left"/>
        <w:rPr>
          <w:b/>
          <w:color w:val="auto"/>
          <w:sz w:val="30"/>
          <w:szCs w:val="30"/>
          <w:highlight w:val="none"/>
        </w:rPr>
      </w:pPr>
      <w:r>
        <w:rPr>
          <w:b/>
          <w:color w:val="auto"/>
          <w:sz w:val="30"/>
          <w:szCs w:val="30"/>
          <w:highlight w:val="none"/>
        </w:rPr>
        <w:br w:type="page"/>
      </w:r>
      <w:r>
        <w:rPr>
          <w:b/>
          <w:color w:val="auto"/>
          <w:sz w:val="30"/>
          <w:szCs w:val="30"/>
          <w:highlight w:val="none"/>
        </w:rPr>
        <w:t>附件</w:t>
      </w:r>
      <w:r>
        <w:rPr>
          <w:rFonts w:hint="eastAsia"/>
          <w:b/>
          <w:bCs/>
          <w:color w:val="auto"/>
          <w:sz w:val="32"/>
          <w:szCs w:val="32"/>
          <w:highlight w:val="none"/>
        </w:rPr>
        <w:t>2</w:t>
      </w:r>
    </w:p>
    <w:p>
      <w:pPr>
        <w:jc w:val="center"/>
        <w:rPr>
          <w:b/>
          <w:bCs/>
          <w:color w:val="auto"/>
          <w:sz w:val="44"/>
          <w:highlight w:val="none"/>
        </w:rPr>
      </w:pPr>
      <w:r>
        <w:rPr>
          <w:b/>
          <w:bCs/>
          <w:color w:val="auto"/>
          <w:sz w:val="44"/>
          <w:highlight w:val="none"/>
        </w:rPr>
        <w:t>法定代表人授权委托书</w:t>
      </w:r>
    </w:p>
    <w:p>
      <w:pPr>
        <w:jc w:val="left"/>
        <w:rPr>
          <w:color w:val="auto"/>
          <w:sz w:val="28"/>
          <w:highlight w:val="none"/>
        </w:rPr>
      </w:pPr>
    </w:p>
    <w:p>
      <w:pPr>
        <w:spacing w:line="360" w:lineRule="auto"/>
        <w:jc w:val="left"/>
        <w:rPr>
          <w:color w:val="auto"/>
          <w:szCs w:val="24"/>
          <w:highlight w:val="none"/>
          <w:u w:val="single"/>
        </w:rPr>
      </w:pPr>
      <w:r>
        <w:rPr>
          <w:color w:val="auto"/>
          <w:szCs w:val="24"/>
          <w:highlight w:val="none"/>
        </w:rPr>
        <w:t>致：</w:t>
      </w:r>
      <w:r>
        <w:rPr>
          <w:color w:val="auto"/>
          <w:szCs w:val="24"/>
          <w:highlight w:val="none"/>
          <w:u w:val="single"/>
        </w:rPr>
        <w:t xml:space="preserve">  </w:t>
      </w:r>
      <w:r>
        <w:rPr>
          <w:rFonts w:hint="eastAsia"/>
          <w:color w:val="auto"/>
          <w:szCs w:val="24"/>
          <w:highlight w:val="none"/>
          <w:u w:val="single"/>
          <w:lang w:eastAsia="zh-CN"/>
        </w:rPr>
        <w:t>浙江省水资源水电管理中心（浙江省水土保持监测中心）</w:t>
      </w:r>
      <w:r>
        <w:rPr>
          <w:color w:val="auto"/>
          <w:szCs w:val="24"/>
          <w:highlight w:val="none"/>
          <w:u w:val="single"/>
        </w:rPr>
        <w:t xml:space="preserve">    </w:t>
      </w:r>
      <w:r>
        <w:rPr>
          <w:color w:val="auto"/>
          <w:szCs w:val="24"/>
          <w:highlight w:val="none"/>
        </w:rPr>
        <w:t>：</w:t>
      </w:r>
    </w:p>
    <w:p>
      <w:pPr>
        <w:spacing w:line="360" w:lineRule="auto"/>
        <w:jc w:val="left"/>
        <w:rPr>
          <w:color w:val="auto"/>
          <w:szCs w:val="24"/>
          <w:highlight w:val="none"/>
        </w:rPr>
      </w:pPr>
    </w:p>
    <w:p>
      <w:pPr>
        <w:spacing w:line="360" w:lineRule="auto"/>
        <w:jc w:val="left"/>
        <w:rPr>
          <w:color w:val="auto"/>
          <w:szCs w:val="24"/>
          <w:highlight w:val="none"/>
        </w:rPr>
      </w:pPr>
      <w:r>
        <w:rPr>
          <w:color w:val="auto"/>
          <w:szCs w:val="24"/>
          <w:highlight w:val="none"/>
        </w:rPr>
        <w:t xml:space="preserve">    </w:t>
      </w:r>
      <w:r>
        <w:rPr>
          <w:color w:val="auto"/>
          <w:szCs w:val="24"/>
          <w:highlight w:val="none"/>
          <w:u w:val="single"/>
        </w:rPr>
        <w:t xml:space="preserve">                                       </w:t>
      </w:r>
      <w:r>
        <w:rPr>
          <w:color w:val="auto"/>
          <w:szCs w:val="24"/>
          <w:highlight w:val="none"/>
        </w:rPr>
        <w:t>（投标供应商全称）法定代表人</w:t>
      </w:r>
      <w:r>
        <w:rPr>
          <w:color w:val="auto"/>
          <w:szCs w:val="24"/>
          <w:highlight w:val="none"/>
          <w:u w:val="single"/>
        </w:rPr>
        <w:t xml:space="preserve">              </w:t>
      </w:r>
      <w:r>
        <w:rPr>
          <w:color w:val="auto"/>
          <w:szCs w:val="24"/>
          <w:highlight w:val="none"/>
        </w:rPr>
        <w:t>授权</w:t>
      </w:r>
      <w:r>
        <w:rPr>
          <w:color w:val="auto"/>
          <w:szCs w:val="24"/>
          <w:highlight w:val="none"/>
          <w:u w:val="single"/>
        </w:rPr>
        <w:t xml:space="preserve">               </w:t>
      </w:r>
      <w:r>
        <w:rPr>
          <w:color w:val="auto"/>
          <w:szCs w:val="24"/>
          <w:highlight w:val="none"/>
        </w:rPr>
        <w:t>（授权代表名称）为授权代表，参加贵方组织的</w:t>
      </w:r>
      <w:r>
        <w:rPr>
          <w:color w:val="auto"/>
          <w:szCs w:val="24"/>
          <w:highlight w:val="none"/>
          <w:u w:val="single"/>
        </w:rPr>
        <w:t xml:space="preserve">  </w:t>
      </w:r>
      <w:r>
        <w:rPr>
          <w:rFonts w:hint="eastAsia"/>
          <w:color w:val="auto"/>
          <w:szCs w:val="24"/>
          <w:highlight w:val="none"/>
          <w:u w:val="single"/>
          <w:lang w:eastAsia="zh-CN"/>
        </w:rPr>
        <w:t>水土保持监测管理平台运维</w:t>
      </w:r>
      <w:r>
        <w:rPr>
          <w:color w:val="auto"/>
          <w:szCs w:val="24"/>
          <w:highlight w:val="none"/>
          <w:u w:val="single"/>
        </w:rPr>
        <w:t xml:space="preserve"> </w:t>
      </w:r>
      <w:r>
        <w:rPr>
          <w:color w:val="auto"/>
          <w:szCs w:val="24"/>
          <w:highlight w:val="none"/>
        </w:rPr>
        <w:t>政府采购，采购编号为</w:t>
      </w:r>
      <w:r>
        <w:rPr>
          <w:color w:val="auto"/>
          <w:szCs w:val="24"/>
          <w:highlight w:val="none"/>
          <w:u w:val="single"/>
        </w:rPr>
        <w:t xml:space="preserve">  </w:t>
      </w:r>
      <w:r>
        <w:rPr>
          <w:rFonts w:hint="eastAsia"/>
          <w:color w:val="auto"/>
          <w:szCs w:val="24"/>
          <w:highlight w:val="none"/>
          <w:u w:val="single"/>
          <w:lang w:eastAsia="zh-CN"/>
        </w:rPr>
        <w:t>ZSSJCG-202304022</w:t>
      </w:r>
      <w:r>
        <w:rPr>
          <w:color w:val="auto"/>
          <w:szCs w:val="24"/>
          <w:highlight w:val="none"/>
          <w:u w:val="single"/>
        </w:rPr>
        <w:t xml:space="preserve"> </w:t>
      </w:r>
      <w:r>
        <w:rPr>
          <w:color w:val="auto"/>
          <w:szCs w:val="24"/>
          <w:highlight w:val="none"/>
        </w:rPr>
        <w:t>，其在投标中的一切活动本单位均予承认。</w:t>
      </w:r>
    </w:p>
    <w:p>
      <w:pPr>
        <w:spacing w:line="360" w:lineRule="auto"/>
        <w:jc w:val="left"/>
        <w:rPr>
          <w:color w:val="auto"/>
          <w:szCs w:val="24"/>
          <w:highlight w:val="none"/>
        </w:rPr>
      </w:pPr>
    </w:p>
    <w:p>
      <w:pPr>
        <w:spacing w:line="360" w:lineRule="auto"/>
        <w:ind w:left="540" w:firstLine="30"/>
        <w:jc w:val="left"/>
        <w:rPr>
          <w:color w:val="auto"/>
          <w:szCs w:val="24"/>
          <w:highlight w:val="none"/>
        </w:rPr>
      </w:pPr>
      <w:r>
        <w:rPr>
          <w:color w:val="auto"/>
          <w:szCs w:val="24"/>
          <w:highlight w:val="none"/>
        </w:rPr>
        <w:t xml:space="preserve">                            法定代表人签字或盖章：</w:t>
      </w:r>
    </w:p>
    <w:p>
      <w:pPr>
        <w:spacing w:line="360" w:lineRule="auto"/>
        <w:jc w:val="left"/>
        <w:rPr>
          <w:color w:val="auto"/>
          <w:szCs w:val="24"/>
          <w:highlight w:val="none"/>
        </w:rPr>
      </w:pPr>
      <w:r>
        <w:rPr>
          <w:color w:val="auto"/>
          <w:szCs w:val="24"/>
          <w:highlight w:val="none"/>
        </w:rPr>
        <w:t xml:space="preserve">                                 </w:t>
      </w:r>
      <w:r>
        <w:rPr>
          <w:rFonts w:hint="eastAsia"/>
          <w:color w:val="auto"/>
          <w:szCs w:val="24"/>
          <w:highlight w:val="none"/>
        </w:rPr>
        <w:t xml:space="preserve">投标供应商（盖章）：                          </w:t>
      </w:r>
    </w:p>
    <w:p>
      <w:pPr>
        <w:spacing w:line="360" w:lineRule="auto"/>
        <w:jc w:val="left"/>
        <w:rPr>
          <w:color w:val="auto"/>
          <w:szCs w:val="24"/>
          <w:highlight w:val="none"/>
        </w:rPr>
      </w:pPr>
      <w:r>
        <w:rPr>
          <w:color w:val="auto"/>
          <w:szCs w:val="24"/>
          <w:highlight w:val="none"/>
        </w:rPr>
        <w:t xml:space="preserve">                                 </w:t>
      </w:r>
      <w:r>
        <w:rPr>
          <w:rFonts w:hint="eastAsia"/>
          <w:color w:val="auto"/>
          <w:szCs w:val="24"/>
          <w:highlight w:val="none"/>
          <w:u w:val="single"/>
        </w:rPr>
        <w:t xml:space="preserve">    </w:t>
      </w:r>
      <w:r>
        <w:rPr>
          <w:color w:val="auto"/>
          <w:szCs w:val="24"/>
          <w:highlight w:val="none"/>
        </w:rPr>
        <w:t>年</w:t>
      </w:r>
      <w:r>
        <w:rPr>
          <w:color w:val="auto"/>
          <w:szCs w:val="24"/>
          <w:highlight w:val="none"/>
          <w:u w:val="single"/>
        </w:rPr>
        <w:t xml:space="preserve">   </w:t>
      </w:r>
      <w:r>
        <w:rPr>
          <w:color w:val="auto"/>
          <w:szCs w:val="24"/>
          <w:highlight w:val="none"/>
        </w:rPr>
        <w:t>月</w:t>
      </w:r>
      <w:r>
        <w:rPr>
          <w:color w:val="auto"/>
          <w:szCs w:val="24"/>
          <w:highlight w:val="none"/>
          <w:u w:val="single"/>
        </w:rPr>
        <w:t xml:space="preserve">   </w:t>
      </w:r>
      <w:r>
        <w:rPr>
          <w:color w:val="auto"/>
          <w:szCs w:val="24"/>
          <w:highlight w:val="none"/>
        </w:rPr>
        <w:t>日</w:t>
      </w:r>
    </w:p>
    <w:p>
      <w:pPr>
        <w:spacing w:line="480" w:lineRule="auto"/>
        <w:jc w:val="left"/>
        <w:rPr>
          <w:color w:val="auto"/>
          <w:szCs w:val="24"/>
          <w:highlight w:val="none"/>
        </w:rPr>
      </w:pPr>
      <w:r>
        <w:rPr>
          <w:color w:val="auto"/>
          <w:szCs w:val="24"/>
          <w:highlight w:val="none"/>
        </w:rPr>
        <w:t>附：</w:t>
      </w:r>
    </w:p>
    <w:p>
      <w:pPr>
        <w:spacing w:line="480" w:lineRule="auto"/>
        <w:jc w:val="left"/>
        <w:rPr>
          <w:color w:val="auto"/>
          <w:szCs w:val="24"/>
          <w:highlight w:val="none"/>
          <w:u w:val="single"/>
        </w:rPr>
      </w:pPr>
      <w:r>
        <w:rPr>
          <w:color w:val="auto"/>
          <w:szCs w:val="24"/>
          <w:highlight w:val="none"/>
        </w:rPr>
        <w:t xml:space="preserve">    授权代表姓名：</w:t>
      </w:r>
      <w:r>
        <w:rPr>
          <w:color w:val="auto"/>
          <w:szCs w:val="24"/>
          <w:highlight w:val="none"/>
          <w:u w:val="single"/>
        </w:rPr>
        <w:t xml:space="preserve">                          </w:t>
      </w:r>
    </w:p>
    <w:p>
      <w:pPr>
        <w:spacing w:line="480" w:lineRule="auto"/>
        <w:jc w:val="left"/>
        <w:rPr>
          <w:color w:val="auto"/>
          <w:szCs w:val="24"/>
          <w:highlight w:val="none"/>
        </w:rPr>
      </w:pPr>
      <w:r>
        <w:rPr>
          <w:color w:val="auto"/>
          <w:szCs w:val="24"/>
          <w:highlight w:val="none"/>
        </w:rPr>
        <w:t xml:space="preserve">    身份证号码：</w:t>
      </w:r>
      <w:r>
        <w:rPr>
          <w:color w:val="auto"/>
          <w:szCs w:val="24"/>
          <w:highlight w:val="none"/>
          <w:u w:val="single"/>
        </w:rPr>
        <w:t xml:space="preserve">                                   </w:t>
      </w:r>
      <w:r>
        <w:rPr>
          <w:color w:val="auto"/>
          <w:szCs w:val="24"/>
          <w:highlight w:val="none"/>
        </w:rPr>
        <w:t xml:space="preserve">                                               </w:t>
      </w:r>
    </w:p>
    <w:p>
      <w:pPr>
        <w:spacing w:line="480" w:lineRule="auto"/>
        <w:jc w:val="left"/>
        <w:rPr>
          <w:color w:val="auto"/>
          <w:szCs w:val="24"/>
          <w:highlight w:val="none"/>
          <w:u w:val="single"/>
        </w:rPr>
      </w:pPr>
      <w:r>
        <w:rPr>
          <w:color w:val="auto"/>
          <w:szCs w:val="24"/>
          <w:highlight w:val="none"/>
        </w:rPr>
        <w:t xml:space="preserve">    职务：</w:t>
      </w:r>
      <w:r>
        <w:rPr>
          <w:color w:val="auto"/>
          <w:szCs w:val="24"/>
          <w:highlight w:val="none"/>
          <w:u w:val="single"/>
        </w:rPr>
        <w:t xml:space="preserve">                                         </w:t>
      </w:r>
    </w:p>
    <w:p>
      <w:pPr>
        <w:spacing w:line="480" w:lineRule="auto"/>
        <w:jc w:val="left"/>
        <w:rPr>
          <w:color w:val="auto"/>
          <w:szCs w:val="24"/>
          <w:highlight w:val="none"/>
          <w:u w:val="single"/>
        </w:rPr>
      </w:pPr>
      <w:r>
        <w:rPr>
          <w:color w:val="auto"/>
          <w:szCs w:val="24"/>
          <w:highlight w:val="none"/>
        </w:rPr>
        <w:t xml:space="preserve">    详细通讯地址：</w:t>
      </w:r>
      <w:r>
        <w:rPr>
          <w:color w:val="auto"/>
          <w:szCs w:val="24"/>
          <w:highlight w:val="none"/>
          <w:u w:val="single"/>
        </w:rPr>
        <w:t xml:space="preserve">                                  </w:t>
      </w:r>
    </w:p>
    <w:p>
      <w:pPr>
        <w:spacing w:line="480" w:lineRule="auto"/>
        <w:ind w:firstLine="480" w:firstLineChars="200"/>
        <w:jc w:val="left"/>
        <w:rPr>
          <w:color w:val="auto"/>
          <w:szCs w:val="24"/>
          <w:highlight w:val="none"/>
          <w:u w:val="single"/>
        </w:rPr>
      </w:pPr>
      <w:r>
        <w:rPr>
          <w:color w:val="auto"/>
          <w:szCs w:val="24"/>
          <w:highlight w:val="none"/>
        </w:rPr>
        <w:t>传真：</w:t>
      </w:r>
      <w:r>
        <w:rPr>
          <w:color w:val="auto"/>
          <w:szCs w:val="24"/>
          <w:highlight w:val="none"/>
          <w:u w:val="single"/>
        </w:rPr>
        <w:t xml:space="preserve">         </w:t>
      </w:r>
      <w:r>
        <w:rPr>
          <w:color w:val="auto"/>
          <w:szCs w:val="24"/>
          <w:highlight w:val="none"/>
        </w:rPr>
        <w:t xml:space="preserve"> 电话：</w:t>
      </w:r>
      <w:r>
        <w:rPr>
          <w:color w:val="auto"/>
          <w:szCs w:val="24"/>
          <w:highlight w:val="none"/>
          <w:u w:val="single"/>
        </w:rPr>
        <w:t xml:space="preserve">         </w:t>
      </w:r>
      <w:r>
        <w:rPr>
          <w:color w:val="auto"/>
          <w:szCs w:val="24"/>
          <w:highlight w:val="none"/>
        </w:rPr>
        <w:t xml:space="preserve"> 邮编：</w:t>
      </w:r>
      <w:r>
        <w:rPr>
          <w:color w:val="auto"/>
          <w:szCs w:val="24"/>
          <w:highlight w:val="none"/>
          <w:u w:val="single"/>
        </w:rPr>
        <w:t xml:space="preserve">          </w:t>
      </w:r>
    </w:p>
    <w:p>
      <w:pPr>
        <w:spacing w:line="360" w:lineRule="auto"/>
        <w:ind w:firstLine="480" w:firstLineChars="200"/>
        <w:jc w:val="left"/>
        <w:rPr>
          <w:color w:val="auto"/>
          <w:szCs w:val="24"/>
          <w:highlight w:val="none"/>
        </w:rPr>
      </w:pPr>
      <w:r>
        <w:rPr>
          <w:color w:val="auto"/>
          <w:szCs w:val="24"/>
          <w:highlight w:val="none"/>
        </w:rPr>
        <w:t>法定代表身份证复印件（正、反面）</w:t>
      </w:r>
    </w:p>
    <w:p>
      <w:pPr>
        <w:ind w:firstLine="480" w:firstLineChars="200"/>
        <w:rPr>
          <w:color w:val="auto"/>
          <w:szCs w:val="24"/>
          <w:highlight w:val="none"/>
        </w:rPr>
      </w:pPr>
      <w:r>
        <w:rPr>
          <w:color w:val="auto"/>
          <w:szCs w:val="24"/>
          <w:highlight w:val="none"/>
        </w:rPr>
        <w:t>授权代表身份证复印件（正、反面）</w:t>
      </w:r>
    </w:p>
    <w:p>
      <w:pPr>
        <w:ind w:firstLine="560" w:firstLineChars="200"/>
        <w:rPr>
          <w:color w:val="auto"/>
          <w:sz w:val="28"/>
          <w:highlight w:val="none"/>
        </w:rPr>
      </w:pPr>
    </w:p>
    <w:p>
      <w:pPr>
        <w:ind w:firstLine="560" w:firstLineChars="200"/>
        <w:rPr>
          <w:color w:val="auto"/>
          <w:sz w:val="28"/>
          <w:highlight w:val="none"/>
        </w:rPr>
      </w:pPr>
    </w:p>
    <w:p>
      <w:pPr>
        <w:pStyle w:val="17"/>
        <w:spacing w:line="240" w:lineRule="auto"/>
        <w:ind w:firstLine="422" w:firstLineChars="200"/>
        <w:jc w:val="left"/>
        <w:rPr>
          <w:rFonts w:ascii="黑体" w:hAnsi="黑体" w:eastAsia="黑体" w:cs="黑体"/>
          <w:b/>
          <w:bCs/>
          <w:color w:val="auto"/>
          <w:sz w:val="21"/>
          <w:szCs w:val="21"/>
          <w:highlight w:val="none"/>
        </w:rPr>
      </w:pPr>
    </w:p>
    <w:p>
      <w:pPr>
        <w:rPr>
          <w:b/>
          <w:color w:val="auto"/>
          <w:sz w:val="30"/>
          <w:szCs w:val="30"/>
          <w:highlight w:val="none"/>
        </w:rPr>
      </w:pPr>
      <w:r>
        <w:rPr>
          <w:b/>
          <w:color w:val="auto"/>
          <w:sz w:val="30"/>
          <w:szCs w:val="30"/>
          <w:highlight w:val="none"/>
        </w:rPr>
        <w:br w:type="page"/>
      </w:r>
    </w:p>
    <w:p>
      <w:pPr>
        <w:jc w:val="left"/>
        <w:rPr>
          <w:b/>
          <w:color w:val="auto"/>
          <w:sz w:val="30"/>
          <w:szCs w:val="30"/>
          <w:highlight w:val="none"/>
        </w:rPr>
      </w:pPr>
      <w:r>
        <w:rPr>
          <w:b/>
          <w:color w:val="auto"/>
          <w:sz w:val="30"/>
          <w:szCs w:val="30"/>
          <w:highlight w:val="none"/>
        </w:rPr>
        <w:t>附件</w:t>
      </w:r>
      <w:r>
        <w:rPr>
          <w:rFonts w:hint="eastAsia"/>
          <w:b/>
          <w:bCs/>
          <w:color w:val="auto"/>
          <w:sz w:val="32"/>
          <w:szCs w:val="32"/>
          <w:highlight w:val="none"/>
        </w:rPr>
        <w:t>3</w:t>
      </w:r>
    </w:p>
    <w:p>
      <w:pPr>
        <w:jc w:val="center"/>
        <w:rPr>
          <w:b/>
          <w:bCs/>
          <w:color w:val="auto"/>
          <w:sz w:val="44"/>
          <w:highlight w:val="none"/>
        </w:rPr>
      </w:pPr>
      <w:r>
        <w:rPr>
          <w:rFonts w:hint="eastAsia"/>
          <w:b/>
          <w:bCs/>
          <w:color w:val="auto"/>
          <w:sz w:val="44"/>
          <w:highlight w:val="none"/>
        </w:rPr>
        <w:t>法定代表人身份证明</w:t>
      </w:r>
    </w:p>
    <w:p>
      <w:pPr>
        <w:rPr>
          <w:b/>
          <w:bCs/>
          <w:color w:val="auto"/>
          <w:highlight w:val="none"/>
        </w:rPr>
      </w:pPr>
    </w:p>
    <w:p>
      <w:pPr>
        <w:spacing w:line="360" w:lineRule="auto"/>
        <w:rPr>
          <w:color w:val="auto"/>
          <w:szCs w:val="24"/>
          <w:highlight w:val="none"/>
        </w:rPr>
      </w:pPr>
      <w:r>
        <w:rPr>
          <w:color w:val="auto"/>
          <w:szCs w:val="24"/>
          <w:highlight w:val="none"/>
        </w:rPr>
        <w:t>单位名称：</w:t>
      </w:r>
    </w:p>
    <w:p>
      <w:pPr>
        <w:spacing w:line="360" w:lineRule="auto"/>
        <w:rPr>
          <w:color w:val="auto"/>
          <w:szCs w:val="24"/>
          <w:highlight w:val="none"/>
        </w:rPr>
      </w:pPr>
      <w:r>
        <w:rPr>
          <w:color w:val="auto"/>
          <w:szCs w:val="24"/>
          <w:highlight w:val="none"/>
        </w:rPr>
        <w:t>单位性质：</w:t>
      </w:r>
    </w:p>
    <w:p>
      <w:pPr>
        <w:spacing w:line="360" w:lineRule="auto"/>
        <w:rPr>
          <w:color w:val="auto"/>
          <w:szCs w:val="24"/>
          <w:highlight w:val="none"/>
          <w:u w:val="single"/>
        </w:rPr>
      </w:pPr>
      <w:r>
        <w:rPr>
          <w:color w:val="auto"/>
          <w:szCs w:val="24"/>
          <w:highlight w:val="none"/>
        </w:rPr>
        <w:t>地</w:t>
      </w:r>
      <w:r>
        <w:rPr>
          <w:rFonts w:hint="eastAsia"/>
          <w:color w:val="auto"/>
          <w:szCs w:val="24"/>
          <w:highlight w:val="none"/>
        </w:rPr>
        <w:t xml:space="preserve">    </w:t>
      </w:r>
      <w:r>
        <w:rPr>
          <w:color w:val="auto"/>
          <w:szCs w:val="24"/>
          <w:highlight w:val="none"/>
        </w:rPr>
        <w:t>址：</w:t>
      </w:r>
    </w:p>
    <w:p>
      <w:pPr>
        <w:spacing w:line="360" w:lineRule="auto"/>
        <w:rPr>
          <w:color w:val="auto"/>
          <w:szCs w:val="24"/>
          <w:highlight w:val="none"/>
        </w:rPr>
      </w:pPr>
      <w:r>
        <w:rPr>
          <w:color w:val="auto"/>
          <w:szCs w:val="24"/>
          <w:highlight w:val="none"/>
        </w:rPr>
        <w:t>成立时间：</w:t>
      </w:r>
    </w:p>
    <w:p>
      <w:pPr>
        <w:spacing w:line="360" w:lineRule="auto"/>
        <w:rPr>
          <w:color w:val="auto"/>
          <w:szCs w:val="24"/>
          <w:highlight w:val="none"/>
          <w:u w:val="single"/>
        </w:rPr>
      </w:pPr>
      <w:r>
        <w:rPr>
          <w:color w:val="auto"/>
          <w:szCs w:val="24"/>
          <w:highlight w:val="none"/>
        </w:rPr>
        <w:t>经营期限：</w:t>
      </w:r>
    </w:p>
    <w:p>
      <w:pPr>
        <w:spacing w:line="360" w:lineRule="auto"/>
        <w:rPr>
          <w:color w:val="auto"/>
          <w:szCs w:val="24"/>
          <w:highlight w:val="none"/>
        </w:rPr>
      </w:pPr>
      <w:r>
        <w:rPr>
          <w:color w:val="auto"/>
          <w:szCs w:val="24"/>
          <w:highlight w:val="none"/>
        </w:rPr>
        <w:t>姓名：</w:t>
      </w:r>
      <w:r>
        <w:rPr>
          <w:rFonts w:hint="eastAsia"/>
          <w:color w:val="auto"/>
          <w:szCs w:val="24"/>
          <w:highlight w:val="none"/>
        </w:rPr>
        <w:t xml:space="preserve">     </w:t>
      </w:r>
      <w:r>
        <w:rPr>
          <w:color w:val="auto"/>
          <w:szCs w:val="24"/>
          <w:highlight w:val="none"/>
        </w:rPr>
        <w:t xml:space="preserve">  性别</w:t>
      </w:r>
      <w:r>
        <w:rPr>
          <w:rFonts w:hint="eastAsia"/>
          <w:color w:val="auto"/>
          <w:szCs w:val="24"/>
          <w:highlight w:val="none"/>
        </w:rPr>
        <w:t xml:space="preserve">：    </w:t>
      </w:r>
      <w:r>
        <w:rPr>
          <w:color w:val="auto"/>
          <w:szCs w:val="24"/>
          <w:highlight w:val="none"/>
        </w:rPr>
        <w:t xml:space="preserve">  年龄：</w:t>
      </w:r>
      <w:r>
        <w:rPr>
          <w:rFonts w:hint="eastAsia"/>
          <w:color w:val="auto"/>
          <w:szCs w:val="24"/>
          <w:highlight w:val="none"/>
        </w:rPr>
        <w:t xml:space="preserve">    </w:t>
      </w:r>
      <w:r>
        <w:rPr>
          <w:color w:val="auto"/>
          <w:szCs w:val="24"/>
          <w:highlight w:val="none"/>
        </w:rPr>
        <w:t xml:space="preserve">  职务：</w:t>
      </w:r>
      <w:r>
        <w:rPr>
          <w:rFonts w:hint="eastAsia"/>
          <w:color w:val="auto"/>
          <w:szCs w:val="24"/>
          <w:highlight w:val="none"/>
        </w:rPr>
        <w:t xml:space="preserve">    </w:t>
      </w:r>
      <w:r>
        <w:rPr>
          <w:color w:val="auto"/>
          <w:szCs w:val="24"/>
          <w:highlight w:val="none"/>
        </w:rPr>
        <w:t xml:space="preserve">  </w:t>
      </w:r>
    </w:p>
    <w:p>
      <w:pPr>
        <w:spacing w:line="360" w:lineRule="auto"/>
        <w:rPr>
          <w:color w:val="auto"/>
          <w:szCs w:val="24"/>
          <w:highlight w:val="none"/>
        </w:rPr>
      </w:pPr>
      <w:r>
        <w:rPr>
          <w:color w:val="auto"/>
          <w:szCs w:val="24"/>
          <w:highlight w:val="none"/>
        </w:rPr>
        <w:t>系</w:t>
      </w:r>
      <w:r>
        <w:rPr>
          <w:rFonts w:hint="eastAsia"/>
          <w:color w:val="auto"/>
          <w:szCs w:val="24"/>
          <w:highlight w:val="none"/>
        </w:rPr>
        <w:t xml:space="preserve">    </w:t>
      </w:r>
      <w:r>
        <w:rPr>
          <w:color w:val="auto"/>
          <w:szCs w:val="24"/>
          <w:highlight w:val="none"/>
        </w:rPr>
        <w:t xml:space="preserve">  </w:t>
      </w:r>
      <w:r>
        <w:rPr>
          <w:rFonts w:hint="eastAsia"/>
          <w:color w:val="auto"/>
          <w:szCs w:val="24"/>
          <w:highlight w:val="none"/>
        </w:rPr>
        <w:t xml:space="preserve">    </w:t>
      </w:r>
      <w:r>
        <w:rPr>
          <w:color w:val="auto"/>
          <w:szCs w:val="24"/>
          <w:highlight w:val="none"/>
        </w:rPr>
        <w:t xml:space="preserve">  </w:t>
      </w:r>
      <w:r>
        <w:rPr>
          <w:rFonts w:hint="eastAsia"/>
          <w:color w:val="auto"/>
          <w:szCs w:val="24"/>
          <w:highlight w:val="none"/>
        </w:rPr>
        <w:t xml:space="preserve">    </w:t>
      </w:r>
      <w:r>
        <w:rPr>
          <w:color w:val="auto"/>
          <w:szCs w:val="24"/>
          <w:highlight w:val="none"/>
        </w:rPr>
        <w:t xml:space="preserve">  </w:t>
      </w:r>
      <w:r>
        <w:rPr>
          <w:rFonts w:hint="eastAsia"/>
          <w:color w:val="auto"/>
          <w:szCs w:val="24"/>
          <w:highlight w:val="none"/>
        </w:rPr>
        <w:t xml:space="preserve">    </w:t>
      </w:r>
      <w:r>
        <w:rPr>
          <w:color w:val="auto"/>
          <w:szCs w:val="24"/>
          <w:highlight w:val="none"/>
        </w:rPr>
        <w:t xml:space="preserve">  </w:t>
      </w:r>
      <w:r>
        <w:rPr>
          <w:rFonts w:hint="eastAsia"/>
          <w:color w:val="auto"/>
          <w:szCs w:val="24"/>
          <w:highlight w:val="none"/>
        </w:rPr>
        <w:t xml:space="preserve">    </w:t>
      </w:r>
      <w:r>
        <w:rPr>
          <w:color w:val="auto"/>
          <w:szCs w:val="24"/>
          <w:highlight w:val="none"/>
        </w:rPr>
        <w:t xml:space="preserve"> （投标人单位名称）的法定代表人。</w:t>
      </w:r>
    </w:p>
    <w:p>
      <w:pPr>
        <w:spacing w:line="360" w:lineRule="auto"/>
        <w:rPr>
          <w:color w:val="auto"/>
          <w:szCs w:val="24"/>
          <w:highlight w:val="none"/>
        </w:rPr>
      </w:pPr>
    </w:p>
    <w:p>
      <w:pPr>
        <w:spacing w:line="360" w:lineRule="auto"/>
        <w:rPr>
          <w:color w:val="auto"/>
          <w:szCs w:val="24"/>
          <w:highlight w:val="none"/>
        </w:rPr>
      </w:pPr>
    </w:p>
    <w:p>
      <w:pPr>
        <w:spacing w:line="360" w:lineRule="auto"/>
        <w:rPr>
          <w:color w:val="auto"/>
          <w:szCs w:val="24"/>
          <w:highlight w:val="none"/>
        </w:rPr>
      </w:pPr>
      <w:r>
        <w:rPr>
          <w:color w:val="auto"/>
          <w:szCs w:val="24"/>
          <w:highlight w:val="none"/>
        </w:rPr>
        <w:t>特此证明。</w:t>
      </w:r>
    </w:p>
    <w:p>
      <w:pPr>
        <w:rPr>
          <w:color w:val="auto"/>
          <w:szCs w:val="24"/>
          <w:highlight w:val="none"/>
        </w:rPr>
      </w:pPr>
    </w:p>
    <w:p>
      <w:pPr>
        <w:spacing w:line="360" w:lineRule="auto"/>
        <w:ind w:left="4320" w:leftChars="1800"/>
        <w:rPr>
          <w:color w:val="auto"/>
          <w:szCs w:val="24"/>
          <w:highlight w:val="none"/>
        </w:rPr>
      </w:pPr>
      <w:r>
        <w:rPr>
          <w:rFonts w:hint="eastAsia"/>
          <w:color w:val="auto"/>
          <w:szCs w:val="24"/>
          <w:highlight w:val="none"/>
        </w:rPr>
        <w:t>投标供应商（盖章）</w:t>
      </w:r>
      <w:r>
        <w:rPr>
          <w:color w:val="auto"/>
          <w:szCs w:val="24"/>
          <w:highlight w:val="none"/>
        </w:rPr>
        <w:t>：</w:t>
      </w:r>
    </w:p>
    <w:p>
      <w:pPr>
        <w:spacing w:line="360" w:lineRule="auto"/>
        <w:ind w:left="4320" w:leftChars="1800"/>
        <w:rPr>
          <w:color w:val="auto"/>
          <w:szCs w:val="24"/>
          <w:highlight w:val="none"/>
        </w:rPr>
      </w:pPr>
      <w:r>
        <w:rPr>
          <w:color w:val="auto"/>
          <w:szCs w:val="24"/>
          <w:highlight w:val="none"/>
        </w:rPr>
        <w:t>日期：</w:t>
      </w:r>
    </w:p>
    <w:p>
      <w:pPr>
        <w:rPr>
          <w:b/>
          <w:bCs/>
          <w:color w:val="auto"/>
          <w:highlight w:val="none"/>
        </w:rPr>
      </w:pPr>
    </w:p>
    <w:p>
      <w:pPr>
        <w:rPr>
          <w:b/>
          <w:bCs/>
          <w:color w:val="auto"/>
          <w:highlight w:val="none"/>
        </w:rPr>
      </w:pPr>
    </w:p>
    <w:p>
      <w:pPr>
        <w:rPr>
          <w:b/>
          <w:bCs/>
          <w:color w:val="auto"/>
          <w:highlight w:val="none"/>
        </w:rPr>
      </w:pPr>
    </w:p>
    <w:p>
      <w:pPr>
        <w:rPr>
          <w:b/>
          <w:bCs/>
          <w:color w:val="auto"/>
          <w:highlight w:val="none"/>
        </w:rPr>
      </w:pPr>
      <w:r>
        <w:rPr>
          <w:b/>
          <w:bCs/>
          <w:color w:val="auto"/>
          <w:highlight w:val="none"/>
        </w:rPr>
        <w:br w:type="page"/>
      </w:r>
    </w:p>
    <w:p>
      <w:pPr>
        <w:jc w:val="left"/>
        <w:rPr>
          <w:rFonts w:ascii="Times New Roman" w:hAnsi="Times New Roman" w:eastAsia="宋体" w:cs="Times New Roman"/>
          <w:b/>
          <w:color w:val="auto"/>
          <w:sz w:val="30"/>
          <w:szCs w:val="30"/>
          <w:highlight w:val="none"/>
        </w:rPr>
      </w:pPr>
      <w:r>
        <w:rPr>
          <w:rFonts w:ascii="Times New Roman" w:hAnsi="Times New Roman" w:eastAsia="宋体" w:cs="Times New Roman"/>
          <w:b/>
          <w:color w:val="auto"/>
          <w:sz w:val="30"/>
          <w:szCs w:val="30"/>
          <w:highlight w:val="none"/>
        </w:rPr>
        <w:t>附件</w:t>
      </w:r>
      <w:r>
        <w:rPr>
          <w:rFonts w:hint="eastAsia" w:ascii="Times New Roman" w:hAnsi="Times New Roman" w:eastAsia="宋体" w:cs="Times New Roman"/>
          <w:b/>
          <w:bCs/>
          <w:color w:val="auto"/>
          <w:sz w:val="32"/>
          <w:szCs w:val="32"/>
          <w:highlight w:val="none"/>
        </w:rPr>
        <w:t>4</w:t>
      </w:r>
    </w:p>
    <w:p>
      <w:pPr>
        <w:rPr>
          <w:rFonts w:ascii="Times New Roman" w:hAnsi="Times New Roman" w:eastAsia="宋体" w:cs="Times New Roman"/>
          <w:b/>
          <w:color w:val="auto"/>
          <w:sz w:val="30"/>
          <w:szCs w:val="30"/>
          <w:highlight w:val="none"/>
        </w:rPr>
      </w:pPr>
      <w:r>
        <w:rPr>
          <w:rFonts w:hint="eastAsia" w:ascii="Times New Roman" w:hAnsi="Times New Roman" w:eastAsia="宋体" w:cs="Times New Roman"/>
          <w:b/>
          <w:color w:val="auto"/>
          <w:sz w:val="30"/>
          <w:szCs w:val="30"/>
          <w:highlight w:val="none"/>
        </w:rPr>
        <w:t>中小企业声明函或残疾人福利性单位声明函或监狱企业声明函</w:t>
      </w:r>
    </w:p>
    <w:p>
      <w:pPr>
        <w:spacing w:line="500" w:lineRule="exact"/>
        <w:jc w:val="center"/>
        <w:rPr>
          <w:rFonts w:ascii="Times New Roman" w:hAnsi="Times New Roman" w:eastAsia="方正小标宋_GBK" w:cs="Times New Roman"/>
          <w:color w:val="auto"/>
          <w:sz w:val="36"/>
          <w:szCs w:val="36"/>
          <w:highlight w:val="none"/>
        </w:rPr>
      </w:pPr>
      <w:r>
        <w:rPr>
          <w:rFonts w:ascii="Times New Roman" w:hAnsi="Times New Roman" w:eastAsia="方正小标宋_GBK" w:cs="Times New Roman"/>
          <w:color w:val="auto"/>
          <w:sz w:val="36"/>
          <w:szCs w:val="36"/>
          <w:highlight w:val="none"/>
        </w:rPr>
        <w:t>（一）中小企业声明函</w:t>
      </w:r>
      <w:r>
        <w:rPr>
          <w:rFonts w:hint="eastAsia" w:ascii="Times New Roman" w:hAnsi="Times New Roman" w:eastAsia="方正小标宋_GBK" w:cs="Times New Roman"/>
          <w:color w:val="auto"/>
          <w:sz w:val="36"/>
          <w:szCs w:val="36"/>
          <w:highlight w:val="none"/>
        </w:rPr>
        <w:t>（服务）</w:t>
      </w:r>
    </w:p>
    <w:p>
      <w:pPr>
        <w:spacing w:line="360" w:lineRule="auto"/>
        <w:ind w:firstLine="560" w:firstLineChars="20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本公司</w:t>
      </w:r>
      <w:r>
        <w:rPr>
          <w:rFonts w:hint="eastAsia" w:ascii="Times New Roman" w:hAnsi="Times New Roman" w:eastAsia="宋体" w:cs="Times New Roman"/>
          <w:color w:val="auto"/>
          <w:sz w:val="28"/>
          <w:szCs w:val="28"/>
          <w:highlight w:val="none"/>
        </w:rPr>
        <w:t>（联合体）</w:t>
      </w:r>
      <w:r>
        <w:rPr>
          <w:rFonts w:ascii="Times New Roman" w:hAnsi="Times New Roman" w:eastAsia="宋体" w:cs="Times New Roman"/>
          <w:color w:val="auto"/>
          <w:sz w:val="28"/>
          <w:szCs w:val="28"/>
          <w:highlight w:val="none"/>
        </w:rPr>
        <w:t>郑重声明，根据《政府采购促进中小企业发展</w:t>
      </w:r>
      <w:r>
        <w:rPr>
          <w:rFonts w:hint="eastAsia" w:ascii="Times New Roman" w:hAnsi="Times New Roman" w:eastAsia="宋体" w:cs="Times New Roman"/>
          <w:color w:val="auto"/>
          <w:sz w:val="28"/>
          <w:szCs w:val="28"/>
          <w:highlight w:val="none"/>
        </w:rPr>
        <w:t>管理</w:t>
      </w:r>
      <w:r>
        <w:rPr>
          <w:rFonts w:ascii="Times New Roman" w:hAnsi="Times New Roman" w:eastAsia="宋体" w:cs="Times New Roman"/>
          <w:color w:val="auto"/>
          <w:sz w:val="28"/>
          <w:szCs w:val="28"/>
          <w:highlight w:val="none"/>
        </w:rPr>
        <w:t>办法》（财库〔20</w:t>
      </w:r>
      <w:r>
        <w:rPr>
          <w:rFonts w:hint="eastAsia" w:ascii="Times New Roman" w:hAnsi="Times New Roman" w:eastAsia="宋体" w:cs="Times New Roman"/>
          <w:color w:val="auto"/>
          <w:sz w:val="28"/>
          <w:szCs w:val="28"/>
          <w:highlight w:val="none"/>
        </w:rPr>
        <w:t>20</w:t>
      </w:r>
      <w:r>
        <w:rPr>
          <w:rFonts w:ascii="Times New Roman" w:hAnsi="Times New Roman" w:eastAsia="宋体" w:cs="Times New Roman"/>
          <w:color w:val="auto"/>
          <w:sz w:val="28"/>
          <w:szCs w:val="28"/>
          <w:highlight w:val="none"/>
        </w:rPr>
        <w:t>〕</w:t>
      </w:r>
      <w:r>
        <w:rPr>
          <w:rFonts w:hint="eastAsia" w:ascii="Times New Roman" w:hAnsi="Times New Roman" w:eastAsia="宋体" w:cs="Times New Roman"/>
          <w:color w:val="auto"/>
          <w:sz w:val="28"/>
          <w:szCs w:val="28"/>
          <w:highlight w:val="none"/>
        </w:rPr>
        <w:t>46</w:t>
      </w:r>
      <w:r>
        <w:rPr>
          <w:rFonts w:ascii="Times New Roman" w:hAnsi="Times New Roman" w:eastAsia="宋体" w:cs="Times New Roman"/>
          <w:color w:val="auto"/>
          <w:sz w:val="28"/>
          <w:szCs w:val="28"/>
          <w:highlight w:val="none"/>
        </w:rPr>
        <w:t>号）的规定，本公司</w:t>
      </w:r>
      <w:r>
        <w:rPr>
          <w:rFonts w:hint="eastAsia" w:ascii="Times New Roman" w:hAnsi="Times New Roman" w:eastAsia="宋体" w:cs="Times New Roman"/>
          <w:color w:val="auto"/>
          <w:sz w:val="28"/>
          <w:szCs w:val="28"/>
          <w:highlight w:val="none"/>
        </w:rPr>
        <w:t>（联合体）参加</w:t>
      </w:r>
      <w:r>
        <w:rPr>
          <w:rFonts w:hint="eastAsia" w:ascii="Times New Roman" w:hAnsi="Times New Roman" w:eastAsia="宋体" w:cs="Times New Roman"/>
          <w:color w:val="auto"/>
          <w:sz w:val="28"/>
          <w:szCs w:val="28"/>
          <w:highlight w:val="none"/>
          <w:u w:val="single"/>
        </w:rPr>
        <w:t>（单位名称）</w:t>
      </w:r>
      <w:r>
        <w:rPr>
          <w:rFonts w:hint="eastAsia" w:ascii="Times New Roman" w:hAnsi="Times New Roman" w:eastAsia="宋体" w:cs="Times New Roman"/>
          <w:color w:val="auto"/>
          <w:sz w:val="28"/>
          <w:szCs w:val="28"/>
          <w:highlight w:val="none"/>
        </w:rPr>
        <w:t>的</w:t>
      </w:r>
      <w:r>
        <w:rPr>
          <w:rFonts w:hint="eastAsia" w:ascii="Times New Roman" w:hAnsi="Times New Roman" w:eastAsia="宋体" w:cs="Times New Roman"/>
          <w:color w:val="auto"/>
          <w:sz w:val="28"/>
          <w:szCs w:val="28"/>
          <w:highlight w:val="none"/>
          <w:u w:val="single"/>
        </w:rPr>
        <w:t>（项目名称）</w:t>
      </w:r>
      <w:r>
        <w:rPr>
          <w:rFonts w:hint="eastAsia" w:ascii="Times New Roman" w:hAnsi="Times New Roman" w:eastAsia="宋体" w:cs="Times New Roman"/>
          <w:color w:val="auto"/>
          <w:sz w:val="28"/>
          <w:szCs w:val="28"/>
          <w:highlight w:val="none"/>
        </w:rPr>
        <w:t>采购活动，服务全部由符合政策要求的中小企业承接</w:t>
      </w:r>
      <w:r>
        <w:rPr>
          <w:rFonts w:ascii="Times New Roman" w:hAnsi="Times New Roman" w:eastAsia="宋体" w:cs="Times New Roman"/>
          <w:color w:val="auto"/>
          <w:sz w:val="28"/>
          <w:szCs w:val="28"/>
          <w:highlight w:val="none"/>
        </w:rPr>
        <w:t>。</w:t>
      </w:r>
      <w:r>
        <w:rPr>
          <w:rFonts w:hint="eastAsia" w:ascii="Times New Roman" w:hAnsi="Times New Roman" w:eastAsia="宋体" w:cs="Times New Roman"/>
          <w:color w:val="auto"/>
          <w:sz w:val="28"/>
          <w:szCs w:val="28"/>
          <w:highlight w:val="none"/>
        </w:rPr>
        <w:t>相关企业（含联合 体中的中小企业、签订分包意向协议的中小企业）的具体情况如下：</w:t>
      </w:r>
    </w:p>
    <w:p>
      <w:pPr>
        <w:spacing w:line="360" w:lineRule="auto"/>
        <w:ind w:firstLine="560" w:firstLineChars="200"/>
        <w:rPr>
          <w:rFonts w:ascii="Times New Roman" w:hAnsi="Times New Roman" w:eastAsia="宋体" w:cs="Times New Roman"/>
          <w:color w:val="auto"/>
          <w:sz w:val="28"/>
          <w:szCs w:val="28"/>
          <w:highlight w:val="none"/>
        </w:rPr>
      </w:pPr>
      <w:r>
        <w:rPr>
          <w:rFonts w:hint="eastAsia" w:ascii="Times New Roman" w:hAnsi="Times New Roman" w:eastAsia="宋体" w:cs="Times New Roman"/>
          <w:color w:val="auto"/>
          <w:sz w:val="28"/>
          <w:szCs w:val="28"/>
          <w:highlight w:val="none"/>
        </w:rPr>
        <w:t>1.</w:t>
      </w:r>
      <w:r>
        <w:rPr>
          <w:rFonts w:hint="eastAsia" w:ascii="Times New Roman" w:hAnsi="Times New Roman" w:eastAsia="宋体" w:cs="Times New Roman"/>
          <w:color w:val="auto"/>
          <w:sz w:val="28"/>
          <w:szCs w:val="28"/>
          <w:highlight w:val="none"/>
          <w:u w:val="single"/>
        </w:rPr>
        <w:t>（标的名称）</w:t>
      </w:r>
      <w:r>
        <w:rPr>
          <w:rFonts w:hint="eastAsia" w:ascii="Times New Roman" w:hAnsi="Times New Roman" w:eastAsia="宋体" w:cs="Times New Roman"/>
          <w:color w:val="auto"/>
          <w:sz w:val="28"/>
          <w:szCs w:val="28"/>
          <w:highlight w:val="none"/>
        </w:rPr>
        <w:t>，属于</w:t>
      </w:r>
      <w:r>
        <w:rPr>
          <w:rFonts w:hint="eastAsia" w:ascii="Times New Roman" w:hAnsi="Times New Roman" w:eastAsia="宋体" w:cs="Times New Roman"/>
          <w:color w:val="auto"/>
          <w:sz w:val="28"/>
          <w:szCs w:val="28"/>
          <w:highlight w:val="none"/>
          <w:u w:val="single"/>
        </w:rPr>
        <w:t>（采购文件中明确的所属行业）</w:t>
      </w:r>
      <w:r>
        <w:rPr>
          <w:rFonts w:hint="eastAsia" w:ascii="Times New Roman" w:hAnsi="Times New Roman" w:eastAsia="宋体" w:cs="Times New Roman"/>
          <w:color w:val="auto"/>
          <w:sz w:val="28"/>
          <w:szCs w:val="28"/>
          <w:highlight w:val="none"/>
        </w:rPr>
        <w:t>；承建（承接）企业为</w:t>
      </w:r>
      <w:r>
        <w:rPr>
          <w:rFonts w:hint="eastAsia" w:ascii="Times New Roman" w:hAnsi="Times New Roman" w:eastAsia="宋体" w:cs="Times New Roman"/>
          <w:color w:val="auto"/>
          <w:sz w:val="28"/>
          <w:szCs w:val="28"/>
          <w:highlight w:val="none"/>
          <w:u w:val="single"/>
        </w:rPr>
        <w:t>（企业名称）</w:t>
      </w:r>
      <w:r>
        <w:rPr>
          <w:rFonts w:hint="eastAsia" w:ascii="Times New Roman" w:hAnsi="Times New Roman" w:eastAsia="宋体" w:cs="Times New Roman"/>
          <w:color w:val="auto"/>
          <w:sz w:val="28"/>
          <w:szCs w:val="28"/>
          <w:highlight w:val="none"/>
        </w:rPr>
        <w:t>，从业人员</w:t>
      </w:r>
      <w:r>
        <w:rPr>
          <w:rFonts w:hint="eastAsia" w:ascii="Times New Roman" w:hAnsi="Times New Roman" w:eastAsia="宋体" w:cs="Times New Roman"/>
          <w:color w:val="auto"/>
          <w:sz w:val="28"/>
          <w:szCs w:val="28"/>
          <w:highlight w:val="none"/>
          <w:u w:val="single"/>
        </w:rPr>
        <w:t xml:space="preserve"> </w:t>
      </w:r>
      <w:r>
        <w:rPr>
          <w:rFonts w:hint="eastAsia" w:ascii="Times New Roman" w:hAnsi="Times New Roman" w:eastAsia="宋体" w:cs="Times New Roman"/>
          <w:color w:val="auto"/>
          <w:sz w:val="28"/>
          <w:szCs w:val="28"/>
          <w:highlight w:val="none"/>
          <w:u w:val="single"/>
        </w:rPr>
        <w:tab/>
      </w:r>
      <w:r>
        <w:rPr>
          <w:rFonts w:hint="eastAsia" w:ascii="Times New Roman" w:hAnsi="Times New Roman" w:eastAsia="宋体" w:cs="Times New Roman"/>
          <w:color w:val="auto"/>
          <w:sz w:val="28"/>
          <w:szCs w:val="28"/>
          <w:highlight w:val="none"/>
        </w:rPr>
        <w:t>人，营业收入为</w:t>
      </w:r>
      <w:r>
        <w:rPr>
          <w:rFonts w:hint="eastAsia" w:ascii="Times New Roman" w:hAnsi="Times New Roman" w:eastAsia="宋体" w:cs="Times New Roman"/>
          <w:color w:val="auto"/>
          <w:sz w:val="28"/>
          <w:szCs w:val="28"/>
          <w:highlight w:val="none"/>
          <w:u w:val="single"/>
        </w:rPr>
        <w:t xml:space="preserve"> </w:t>
      </w:r>
      <w:r>
        <w:rPr>
          <w:rFonts w:hint="eastAsia" w:ascii="Times New Roman" w:hAnsi="Times New Roman" w:eastAsia="宋体" w:cs="Times New Roman"/>
          <w:color w:val="auto"/>
          <w:sz w:val="28"/>
          <w:szCs w:val="28"/>
          <w:highlight w:val="none"/>
          <w:u w:val="single"/>
        </w:rPr>
        <w:tab/>
      </w:r>
      <w:r>
        <w:rPr>
          <w:rFonts w:hint="eastAsia" w:ascii="Times New Roman" w:hAnsi="Times New Roman" w:eastAsia="宋体" w:cs="Times New Roman"/>
          <w:color w:val="auto"/>
          <w:sz w:val="28"/>
          <w:szCs w:val="28"/>
          <w:highlight w:val="none"/>
        </w:rPr>
        <w:t xml:space="preserve">万元，资产总额为 </w:t>
      </w:r>
      <w:r>
        <w:rPr>
          <w:rFonts w:hint="eastAsia" w:ascii="Times New Roman" w:hAnsi="Times New Roman" w:eastAsia="宋体" w:cs="Times New Roman"/>
          <w:color w:val="auto"/>
          <w:sz w:val="28"/>
          <w:szCs w:val="28"/>
          <w:highlight w:val="none"/>
          <w:u w:val="single"/>
        </w:rPr>
        <w:tab/>
      </w:r>
      <w:r>
        <w:rPr>
          <w:rFonts w:hint="eastAsia" w:ascii="Times New Roman" w:hAnsi="Times New Roman" w:eastAsia="宋体" w:cs="Times New Roman"/>
          <w:color w:val="auto"/>
          <w:sz w:val="28"/>
          <w:szCs w:val="28"/>
          <w:highlight w:val="none"/>
        </w:rPr>
        <w:t>万元</w:t>
      </w:r>
      <w:r>
        <w:rPr>
          <w:rFonts w:hint="eastAsia" w:ascii="Times New Roman" w:hAnsi="Times New Roman" w:eastAsia="宋体" w:cs="Times New Roman"/>
          <w:color w:val="auto"/>
          <w:sz w:val="28"/>
          <w:szCs w:val="28"/>
          <w:highlight w:val="none"/>
          <w:vertAlign w:val="superscript"/>
        </w:rPr>
        <w:t>1</w:t>
      </w:r>
      <w:r>
        <w:rPr>
          <w:rFonts w:hint="eastAsia" w:ascii="Times New Roman" w:hAnsi="Times New Roman" w:eastAsia="宋体" w:cs="Times New Roman"/>
          <w:color w:val="auto"/>
          <w:sz w:val="28"/>
          <w:szCs w:val="28"/>
          <w:highlight w:val="none"/>
        </w:rPr>
        <w:t>，属于</w:t>
      </w:r>
      <w:r>
        <w:rPr>
          <w:rFonts w:hint="eastAsia" w:ascii="Times New Roman" w:hAnsi="Times New Roman" w:eastAsia="宋体" w:cs="Times New Roman"/>
          <w:color w:val="auto"/>
          <w:sz w:val="28"/>
          <w:szCs w:val="28"/>
          <w:highlight w:val="none"/>
          <w:u w:val="single"/>
        </w:rPr>
        <w:t>（中型企业、 小型企业、微型企业）</w:t>
      </w:r>
      <w:r>
        <w:rPr>
          <w:rFonts w:hint="eastAsia" w:ascii="Times New Roman" w:hAnsi="Times New Roman" w:eastAsia="宋体" w:cs="Times New Roman"/>
          <w:color w:val="auto"/>
          <w:sz w:val="28"/>
          <w:szCs w:val="28"/>
          <w:highlight w:val="none"/>
        </w:rPr>
        <w:t>；</w:t>
      </w:r>
    </w:p>
    <w:p>
      <w:pPr>
        <w:spacing w:line="360" w:lineRule="auto"/>
        <w:ind w:firstLine="560" w:firstLineChars="200"/>
        <w:rPr>
          <w:rFonts w:ascii="Times New Roman" w:hAnsi="Times New Roman" w:eastAsia="宋体" w:cs="Times New Roman"/>
          <w:color w:val="auto"/>
          <w:sz w:val="28"/>
          <w:szCs w:val="28"/>
          <w:highlight w:val="none"/>
        </w:rPr>
      </w:pPr>
      <w:r>
        <w:rPr>
          <w:rFonts w:hint="eastAsia" w:ascii="Times New Roman" w:hAnsi="Times New Roman" w:eastAsia="宋体" w:cs="Times New Roman"/>
          <w:color w:val="auto"/>
          <w:sz w:val="28"/>
          <w:szCs w:val="28"/>
          <w:highlight w:val="none"/>
        </w:rPr>
        <w:t>2.</w:t>
      </w:r>
      <w:r>
        <w:rPr>
          <w:rFonts w:hint="eastAsia" w:ascii="Times New Roman" w:hAnsi="Times New Roman" w:eastAsia="宋体" w:cs="Times New Roman"/>
          <w:color w:val="auto"/>
          <w:sz w:val="28"/>
          <w:szCs w:val="28"/>
          <w:highlight w:val="none"/>
          <w:u w:val="single"/>
        </w:rPr>
        <w:t>（标的名称）</w:t>
      </w:r>
      <w:r>
        <w:rPr>
          <w:rFonts w:hint="eastAsia" w:ascii="Times New Roman" w:hAnsi="Times New Roman" w:eastAsia="宋体" w:cs="Times New Roman"/>
          <w:color w:val="auto"/>
          <w:sz w:val="28"/>
          <w:szCs w:val="28"/>
          <w:highlight w:val="none"/>
        </w:rPr>
        <w:t>，属于</w:t>
      </w:r>
      <w:r>
        <w:rPr>
          <w:rFonts w:hint="eastAsia" w:ascii="Times New Roman" w:hAnsi="Times New Roman" w:eastAsia="宋体" w:cs="Times New Roman"/>
          <w:color w:val="auto"/>
          <w:sz w:val="28"/>
          <w:szCs w:val="28"/>
          <w:highlight w:val="none"/>
          <w:u w:val="single"/>
        </w:rPr>
        <w:t>（采购文件中明确的所属行业）</w:t>
      </w:r>
      <w:r>
        <w:rPr>
          <w:rFonts w:hint="eastAsia" w:ascii="Times New Roman" w:hAnsi="Times New Roman" w:eastAsia="宋体" w:cs="Times New Roman"/>
          <w:color w:val="auto"/>
          <w:sz w:val="28"/>
          <w:szCs w:val="28"/>
          <w:highlight w:val="none"/>
        </w:rPr>
        <w:t>；承建（承接）企业为</w:t>
      </w:r>
      <w:r>
        <w:rPr>
          <w:rFonts w:hint="eastAsia" w:ascii="Times New Roman" w:hAnsi="Times New Roman" w:eastAsia="宋体" w:cs="Times New Roman"/>
          <w:color w:val="auto"/>
          <w:sz w:val="28"/>
          <w:szCs w:val="28"/>
          <w:highlight w:val="none"/>
          <w:u w:val="single"/>
        </w:rPr>
        <w:t>（企业名称）</w:t>
      </w:r>
      <w:r>
        <w:rPr>
          <w:rFonts w:hint="eastAsia" w:ascii="Times New Roman" w:hAnsi="Times New Roman" w:eastAsia="宋体" w:cs="Times New Roman"/>
          <w:color w:val="auto"/>
          <w:sz w:val="28"/>
          <w:szCs w:val="28"/>
          <w:highlight w:val="none"/>
        </w:rPr>
        <w:t>，从业人员</w:t>
      </w:r>
      <w:r>
        <w:rPr>
          <w:rFonts w:hint="eastAsia" w:ascii="Times New Roman" w:hAnsi="Times New Roman" w:eastAsia="宋体" w:cs="Times New Roman"/>
          <w:color w:val="auto"/>
          <w:sz w:val="28"/>
          <w:szCs w:val="28"/>
          <w:highlight w:val="none"/>
          <w:u w:val="single"/>
        </w:rPr>
        <w:t xml:space="preserve"> </w:t>
      </w:r>
      <w:r>
        <w:rPr>
          <w:rFonts w:hint="eastAsia" w:ascii="Times New Roman" w:hAnsi="Times New Roman" w:eastAsia="宋体" w:cs="Times New Roman"/>
          <w:color w:val="auto"/>
          <w:sz w:val="28"/>
          <w:szCs w:val="28"/>
          <w:highlight w:val="none"/>
          <w:u w:val="single"/>
        </w:rPr>
        <w:tab/>
      </w:r>
      <w:r>
        <w:rPr>
          <w:rFonts w:hint="eastAsia" w:ascii="Times New Roman" w:hAnsi="Times New Roman" w:eastAsia="宋体" w:cs="Times New Roman"/>
          <w:color w:val="auto"/>
          <w:sz w:val="28"/>
          <w:szCs w:val="28"/>
          <w:highlight w:val="none"/>
        </w:rPr>
        <w:t>人，营业收入为</w:t>
      </w:r>
      <w:r>
        <w:rPr>
          <w:rFonts w:hint="eastAsia" w:ascii="Times New Roman" w:hAnsi="Times New Roman" w:eastAsia="宋体" w:cs="Times New Roman"/>
          <w:color w:val="auto"/>
          <w:sz w:val="28"/>
          <w:szCs w:val="28"/>
          <w:highlight w:val="none"/>
          <w:u w:val="single"/>
        </w:rPr>
        <w:t xml:space="preserve"> </w:t>
      </w:r>
      <w:r>
        <w:rPr>
          <w:rFonts w:hint="eastAsia" w:ascii="Times New Roman" w:hAnsi="Times New Roman" w:eastAsia="宋体" w:cs="Times New Roman"/>
          <w:color w:val="auto"/>
          <w:sz w:val="28"/>
          <w:szCs w:val="28"/>
          <w:highlight w:val="none"/>
          <w:u w:val="single"/>
        </w:rPr>
        <w:tab/>
      </w:r>
      <w:r>
        <w:rPr>
          <w:rFonts w:hint="eastAsia" w:ascii="Times New Roman" w:hAnsi="Times New Roman" w:eastAsia="宋体" w:cs="Times New Roman"/>
          <w:color w:val="auto"/>
          <w:sz w:val="28"/>
          <w:szCs w:val="28"/>
          <w:highlight w:val="none"/>
        </w:rPr>
        <w:t>万元，资产总额为</w:t>
      </w:r>
      <w:r>
        <w:rPr>
          <w:rFonts w:hint="eastAsia" w:ascii="Times New Roman" w:hAnsi="Times New Roman" w:eastAsia="宋体" w:cs="Times New Roman"/>
          <w:color w:val="auto"/>
          <w:sz w:val="28"/>
          <w:szCs w:val="28"/>
          <w:highlight w:val="none"/>
          <w:u w:val="single"/>
        </w:rPr>
        <w:t xml:space="preserve"> </w:t>
      </w:r>
      <w:r>
        <w:rPr>
          <w:rFonts w:hint="eastAsia" w:ascii="Times New Roman" w:hAnsi="Times New Roman" w:eastAsia="宋体" w:cs="Times New Roman"/>
          <w:color w:val="auto"/>
          <w:sz w:val="28"/>
          <w:szCs w:val="28"/>
          <w:highlight w:val="none"/>
          <w:u w:val="single"/>
        </w:rPr>
        <w:tab/>
      </w:r>
      <w:r>
        <w:rPr>
          <w:rFonts w:hint="eastAsia" w:ascii="Times New Roman" w:hAnsi="Times New Roman" w:eastAsia="宋体" w:cs="Times New Roman"/>
          <w:color w:val="auto"/>
          <w:sz w:val="28"/>
          <w:szCs w:val="28"/>
          <w:highlight w:val="none"/>
        </w:rPr>
        <w:t>万元，属于</w:t>
      </w:r>
      <w:r>
        <w:rPr>
          <w:rFonts w:hint="eastAsia" w:ascii="Times New Roman" w:hAnsi="Times New Roman" w:eastAsia="宋体" w:cs="Times New Roman"/>
          <w:color w:val="auto"/>
          <w:sz w:val="28"/>
          <w:szCs w:val="28"/>
          <w:highlight w:val="none"/>
          <w:u w:val="single"/>
        </w:rPr>
        <w:t>（中型企业、小型企业、微型企业）</w:t>
      </w:r>
      <w:r>
        <w:rPr>
          <w:rFonts w:hint="eastAsia" w:ascii="Times New Roman" w:hAnsi="Times New Roman" w:eastAsia="宋体" w:cs="Times New Roman"/>
          <w:color w:val="auto"/>
          <w:sz w:val="28"/>
          <w:szCs w:val="28"/>
          <w:highlight w:val="none"/>
        </w:rPr>
        <w:t>；</w:t>
      </w:r>
    </w:p>
    <w:p>
      <w:pPr>
        <w:spacing w:line="360" w:lineRule="auto"/>
        <w:ind w:firstLine="560" w:firstLineChars="200"/>
        <w:rPr>
          <w:rFonts w:ascii="Times New Roman" w:hAnsi="Times New Roman" w:eastAsia="宋体" w:cs="Times New Roman"/>
          <w:color w:val="auto"/>
          <w:sz w:val="28"/>
          <w:szCs w:val="28"/>
          <w:highlight w:val="none"/>
        </w:rPr>
      </w:pPr>
      <w:r>
        <w:rPr>
          <w:rFonts w:hint="eastAsia" w:ascii="Times New Roman" w:hAnsi="Times New Roman" w:eastAsia="宋体" w:cs="Times New Roman"/>
          <w:color w:val="auto"/>
          <w:sz w:val="28"/>
          <w:szCs w:val="28"/>
          <w:highlight w:val="none"/>
        </w:rPr>
        <w:t>……</w:t>
      </w:r>
    </w:p>
    <w:p>
      <w:pPr>
        <w:spacing w:line="360" w:lineRule="auto"/>
        <w:ind w:firstLine="560" w:firstLineChars="200"/>
        <w:rPr>
          <w:rFonts w:ascii="Times New Roman" w:hAnsi="Times New Roman" w:eastAsia="宋体" w:cs="Times New Roman"/>
          <w:color w:val="auto"/>
          <w:sz w:val="28"/>
          <w:szCs w:val="28"/>
          <w:highlight w:val="none"/>
        </w:rPr>
      </w:pPr>
      <w:r>
        <w:rPr>
          <w:rFonts w:hint="eastAsia" w:ascii="Times New Roman" w:hAnsi="Times New Roman" w:eastAsia="宋体" w:cs="Times New Roman"/>
          <w:color w:val="auto"/>
          <w:sz w:val="28"/>
          <w:szCs w:val="28"/>
          <w:highlight w:val="none"/>
        </w:rPr>
        <w:t>以上企业，不属于大企业的分支机构，不存在控股股东为大企业的情形，也不存在与大企业的负责人为同一人的情形。</w:t>
      </w:r>
    </w:p>
    <w:p>
      <w:pPr>
        <w:spacing w:line="360" w:lineRule="auto"/>
        <w:ind w:firstLine="560" w:firstLineChars="200"/>
        <w:rPr>
          <w:rFonts w:ascii="Times New Roman" w:hAnsi="Times New Roman" w:eastAsia="宋体" w:cs="Times New Roman"/>
          <w:color w:val="auto"/>
          <w:sz w:val="28"/>
          <w:szCs w:val="28"/>
          <w:highlight w:val="none"/>
        </w:rPr>
      </w:pPr>
      <w:r>
        <w:rPr>
          <w:rFonts w:hint="eastAsia" w:ascii="Times New Roman" w:hAnsi="Times New Roman" w:eastAsia="宋体" w:cs="Times New Roman"/>
          <w:color w:val="auto"/>
          <w:sz w:val="28"/>
          <w:szCs w:val="28"/>
          <w:highlight w:val="none"/>
        </w:rPr>
        <w:t>本企业对上述声明内容的真实性负责。如有虚假，将依法承担相应责任。</w:t>
      </w:r>
    </w:p>
    <w:p>
      <w:pPr>
        <w:spacing w:line="360" w:lineRule="auto"/>
        <w:ind w:firstLine="560" w:firstLineChars="200"/>
        <w:jc w:val="center"/>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 xml:space="preserve">                    企业名称（盖章）：</w:t>
      </w:r>
    </w:p>
    <w:p>
      <w:pPr>
        <w:wordWrap w:val="0"/>
        <w:spacing w:line="360" w:lineRule="auto"/>
        <w:ind w:firstLine="560" w:firstLineChars="200"/>
        <w:jc w:val="center"/>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 xml:space="preserve">                                  日  期：     </w:t>
      </w:r>
    </w:p>
    <w:p>
      <w:pPr>
        <w:rPr>
          <w:rFonts w:ascii="Times New Roman" w:hAnsi="Times New Roman" w:eastAsia="宋体" w:cs="Times New Roman"/>
          <w:b/>
          <w:bCs/>
          <w:color w:val="auto"/>
          <w:highlight w:val="none"/>
        </w:rPr>
      </w:pPr>
    </w:p>
    <w:p>
      <w:pPr>
        <w:rPr>
          <w:rFonts w:ascii="Times New Roman" w:hAnsi="Times New Roman" w:eastAsia="方正小标宋_GBK" w:cs="Times New Roman"/>
          <w:color w:val="auto"/>
          <w:sz w:val="36"/>
          <w:szCs w:val="36"/>
          <w:highlight w:val="none"/>
        </w:rPr>
      </w:pPr>
      <w:r>
        <w:rPr>
          <w:rFonts w:ascii="Times New Roman" w:hAnsi="Times New Roman" w:eastAsia="方正小标宋_GBK" w:cs="Times New Roman"/>
          <w:color w:val="auto"/>
          <w:sz w:val="36"/>
          <w:szCs w:val="36"/>
          <w:highlight w:val="none"/>
        </w:rPr>
        <w:br w:type="page"/>
      </w:r>
    </w:p>
    <w:p>
      <w:pPr>
        <w:wordWrap w:val="0"/>
        <w:spacing w:line="360" w:lineRule="auto"/>
        <w:jc w:val="center"/>
        <w:rPr>
          <w:rFonts w:ascii="Times New Roman" w:hAnsi="Times New Roman" w:eastAsia="宋体" w:cs="Times New Roman"/>
          <w:b/>
          <w:color w:val="auto"/>
          <w:spacing w:val="6"/>
          <w:sz w:val="30"/>
          <w:szCs w:val="30"/>
          <w:highlight w:val="none"/>
        </w:rPr>
      </w:pPr>
      <w:r>
        <w:rPr>
          <w:rFonts w:ascii="Times New Roman" w:hAnsi="Times New Roman" w:eastAsia="宋体" w:cs="Times New Roman"/>
          <w:color w:val="auto"/>
          <w:sz w:val="36"/>
          <w:szCs w:val="36"/>
          <w:highlight w:val="none"/>
        </w:rPr>
        <w:t>（二）残疾人福利性单位声明函</w:t>
      </w:r>
    </w:p>
    <w:p>
      <w:pPr>
        <w:snapToGrid w:val="0"/>
        <w:spacing w:line="360" w:lineRule="auto"/>
        <w:jc w:val="center"/>
        <w:rPr>
          <w:rFonts w:ascii="宋体" w:hAnsi="宋体" w:eastAsia="宋体" w:cs="宋体"/>
          <w:b/>
          <w:color w:val="auto"/>
          <w:sz w:val="40"/>
          <w:szCs w:val="21"/>
          <w:highlight w:val="none"/>
          <w:u w:val="single"/>
        </w:rPr>
      </w:pPr>
      <w:r>
        <w:rPr>
          <w:rFonts w:hint="eastAsia" w:ascii="宋体" w:hAnsi="宋体" w:eastAsia="宋体" w:cs="宋体"/>
          <w:b/>
          <w:color w:val="auto"/>
          <w:sz w:val="40"/>
          <w:szCs w:val="21"/>
          <w:highlight w:val="none"/>
          <w:u w:val="single"/>
        </w:rPr>
        <w:t>【</w:t>
      </w:r>
      <w:r>
        <w:rPr>
          <w:rFonts w:hint="eastAsia" w:ascii="宋体" w:hAnsi="宋体" w:eastAsia="宋体" w:cs="宋体"/>
          <w:b/>
          <w:color w:val="auto"/>
          <w:sz w:val="36"/>
          <w:szCs w:val="21"/>
          <w:highlight w:val="none"/>
          <w:u w:val="single"/>
        </w:rPr>
        <w:t>不属于残疾人福利性单位的无需填写、递交</w:t>
      </w:r>
      <w:r>
        <w:rPr>
          <w:rFonts w:hint="eastAsia" w:ascii="宋体" w:hAnsi="宋体" w:eastAsia="宋体" w:cs="宋体"/>
          <w:b/>
          <w:color w:val="auto"/>
          <w:sz w:val="40"/>
          <w:szCs w:val="21"/>
          <w:highlight w:val="none"/>
          <w:u w:val="single"/>
        </w:rPr>
        <w:t>】</w:t>
      </w:r>
    </w:p>
    <w:p>
      <w:pPr>
        <w:spacing w:before="240" w:beforeLines="100" w:line="360" w:lineRule="auto"/>
        <w:ind w:firstLine="560" w:firstLineChars="20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before="240" w:beforeLines="100" w:line="360" w:lineRule="auto"/>
        <w:ind w:firstLine="560" w:firstLineChars="20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本单位对上述声明的真实性负责。如有虚假，将依法承担相应责任。</w:t>
      </w:r>
    </w:p>
    <w:p>
      <w:pPr>
        <w:spacing w:before="240" w:beforeLines="100" w:line="360" w:lineRule="auto"/>
        <w:ind w:firstLine="560" w:firstLineChars="200"/>
        <w:rPr>
          <w:rFonts w:ascii="Times New Roman" w:hAnsi="Times New Roman" w:eastAsia="宋体" w:cs="Times New Roman"/>
          <w:color w:val="auto"/>
          <w:sz w:val="28"/>
          <w:szCs w:val="28"/>
          <w:highlight w:val="none"/>
        </w:rPr>
      </w:pPr>
    </w:p>
    <w:p>
      <w:pPr>
        <w:spacing w:before="240" w:beforeLines="100" w:line="360" w:lineRule="auto"/>
        <w:ind w:firstLine="560" w:firstLineChars="200"/>
        <w:rPr>
          <w:rFonts w:ascii="Times New Roman" w:hAnsi="Times New Roman" w:eastAsia="宋体" w:cs="Times New Roman"/>
          <w:color w:val="auto"/>
          <w:sz w:val="28"/>
          <w:szCs w:val="28"/>
          <w:highlight w:val="none"/>
        </w:rPr>
      </w:pPr>
    </w:p>
    <w:p>
      <w:pPr>
        <w:spacing w:line="360" w:lineRule="auto"/>
        <w:ind w:firstLine="560" w:firstLineChars="200"/>
        <w:jc w:val="center"/>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 xml:space="preserve">                 企业名称（盖章）：</w:t>
      </w:r>
    </w:p>
    <w:p>
      <w:pPr>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 xml:space="preserve">                                            日  期：  </w:t>
      </w:r>
    </w:p>
    <w:p>
      <w:pPr>
        <w:rPr>
          <w:rFonts w:ascii="Times New Roman" w:hAnsi="Times New Roman" w:eastAsia="宋体" w:cs="Times New Roman"/>
          <w:color w:val="auto"/>
          <w:sz w:val="28"/>
          <w:szCs w:val="28"/>
          <w:highlight w:val="none"/>
        </w:rPr>
      </w:pPr>
    </w:p>
    <w:p>
      <w:pPr>
        <w:rPr>
          <w:rFonts w:ascii="Times New Roman" w:hAnsi="Times New Roman" w:eastAsia="宋体" w:cs="Times New Roman"/>
          <w:color w:val="auto"/>
          <w:sz w:val="36"/>
          <w:szCs w:val="36"/>
          <w:highlight w:val="none"/>
        </w:rPr>
      </w:pPr>
      <w:r>
        <w:rPr>
          <w:rFonts w:hint="eastAsia" w:ascii="Times New Roman" w:hAnsi="Times New Roman" w:eastAsia="宋体" w:cs="Times New Roman"/>
          <w:color w:val="auto"/>
          <w:sz w:val="36"/>
          <w:szCs w:val="36"/>
          <w:highlight w:val="none"/>
        </w:rPr>
        <w:br w:type="page"/>
      </w:r>
    </w:p>
    <w:p>
      <w:pPr>
        <w:wordWrap w:val="0"/>
        <w:spacing w:line="360" w:lineRule="auto"/>
        <w:jc w:val="center"/>
        <w:rPr>
          <w:rFonts w:ascii="Times New Roman" w:hAnsi="Times New Roman" w:eastAsia="宋体" w:cs="Times New Roman"/>
          <w:color w:val="auto"/>
          <w:sz w:val="36"/>
          <w:szCs w:val="36"/>
          <w:highlight w:val="none"/>
        </w:rPr>
      </w:pPr>
      <w:r>
        <w:rPr>
          <w:rFonts w:hint="eastAsia" w:ascii="Times New Roman" w:hAnsi="Times New Roman" w:eastAsia="宋体" w:cs="Times New Roman"/>
          <w:color w:val="auto"/>
          <w:sz w:val="36"/>
          <w:szCs w:val="36"/>
          <w:highlight w:val="none"/>
        </w:rPr>
        <w:t>（三）监狱企业声明函</w:t>
      </w:r>
    </w:p>
    <w:p>
      <w:pPr>
        <w:snapToGrid w:val="0"/>
        <w:spacing w:line="360" w:lineRule="auto"/>
        <w:jc w:val="center"/>
        <w:rPr>
          <w:rFonts w:ascii="宋体" w:hAnsi="宋体" w:eastAsia="宋体" w:cs="宋体"/>
          <w:b/>
          <w:color w:val="auto"/>
          <w:sz w:val="40"/>
          <w:szCs w:val="21"/>
          <w:highlight w:val="none"/>
          <w:u w:val="single"/>
        </w:rPr>
      </w:pPr>
      <w:r>
        <w:rPr>
          <w:rFonts w:hint="eastAsia" w:ascii="宋体" w:hAnsi="宋体" w:eastAsia="宋体" w:cs="宋体"/>
          <w:b/>
          <w:color w:val="auto"/>
          <w:sz w:val="40"/>
          <w:szCs w:val="21"/>
          <w:highlight w:val="none"/>
          <w:u w:val="single"/>
        </w:rPr>
        <w:t>【不属于监狱企业的无需填写、递交】</w:t>
      </w:r>
    </w:p>
    <w:p>
      <w:pPr>
        <w:widowControl/>
        <w:snapToGrid w:val="0"/>
        <w:spacing w:line="360" w:lineRule="auto"/>
        <w:ind w:firstLine="560" w:firstLineChars="200"/>
        <w:jc w:val="left"/>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本企业郑重声明，根据《关于政府采购支持监狱企业发展有关问题的通知》（财库[2014]68号）的规定，本企业为</w:t>
      </w:r>
      <w:r>
        <w:rPr>
          <w:rFonts w:ascii="Times New Roman" w:hAnsi="Times New Roman" w:eastAsia="宋体" w:cs="Times New Roman"/>
          <w:color w:val="auto"/>
          <w:sz w:val="28"/>
          <w:szCs w:val="28"/>
          <w:highlight w:val="none"/>
          <w:u w:val="single"/>
        </w:rPr>
        <w:t>监狱企业</w:t>
      </w:r>
      <w:r>
        <w:rPr>
          <w:rFonts w:ascii="Times New Roman" w:hAnsi="Times New Roman" w:eastAsia="宋体" w:cs="Times New Roman"/>
          <w:color w:val="auto"/>
          <w:sz w:val="28"/>
          <w:szCs w:val="28"/>
          <w:highlight w:val="none"/>
        </w:rPr>
        <w:t>。</w:t>
      </w:r>
    </w:p>
    <w:p>
      <w:pPr>
        <w:widowControl/>
        <w:snapToGrid w:val="0"/>
        <w:spacing w:line="360" w:lineRule="auto"/>
        <w:ind w:firstLine="560" w:firstLineChars="200"/>
        <w:jc w:val="left"/>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根据上述标准，我企业属于</w:t>
      </w:r>
      <w:r>
        <w:rPr>
          <w:rFonts w:ascii="Times New Roman" w:hAnsi="Times New Roman" w:eastAsia="宋体" w:cs="Times New Roman"/>
          <w:color w:val="auto"/>
          <w:sz w:val="28"/>
          <w:szCs w:val="28"/>
          <w:highlight w:val="none"/>
          <w:u w:val="single"/>
        </w:rPr>
        <w:t>监狱企业</w:t>
      </w:r>
      <w:r>
        <w:rPr>
          <w:rFonts w:ascii="Times New Roman" w:hAnsi="Times New Roman" w:eastAsia="宋体" w:cs="Times New Roman"/>
          <w:color w:val="auto"/>
          <w:sz w:val="28"/>
          <w:szCs w:val="28"/>
          <w:highlight w:val="none"/>
        </w:rPr>
        <w:t>的理由为：。</w:t>
      </w:r>
    </w:p>
    <w:p>
      <w:pPr>
        <w:widowControl/>
        <w:snapToGrid w:val="0"/>
        <w:spacing w:line="360" w:lineRule="auto"/>
        <w:ind w:firstLine="560" w:firstLineChars="20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本企业为参加（项目名称）（项目编号：）采购活动提供本企业的产品(工程)。</w:t>
      </w:r>
    </w:p>
    <w:p>
      <w:pPr>
        <w:widowControl/>
        <w:snapToGrid w:val="0"/>
        <w:ind w:firstLine="562" w:firstLineChars="200"/>
        <w:rPr>
          <w:rFonts w:ascii="Times New Roman" w:hAnsi="Times New Roman" w:eastAsia="宋体" w:cs="Times New Roman"/>
          <w:b/>
          <w:color w:val="auto"/>
          <w:sz w:val="28"/>
          <w:szCs w:val="28"/>
          <w:highlight w:val="none"/>
        </w:rPr>
      </w:pPr>
      <w:r>
        <w:rPr>
          <w:rFonts w:ascii="Times New Roman" w:hAnsi="Times New Roman" w:eastAsia="宋体" w:cs="Times New Roman"/>
          <w:b/>
          <w:color w:val="auto"/>
          <w:sz w:val="28"/>
          <w:szCs w:val="28"/>
          <w:highlight w:val="none"/>
        </w:rPr>
        <w:t>本企业对上述声明的真实性负责。如有虚假，将依法承担相应责任。</w:t>
      </w:r>
    </w:p>
    <w:p>
      <w:pPr>
        <w:spacing w:after="120"/>
        <w:ind w:firstLine="240" w:firstLineChars="100"/>
        <w:rPr>
          <w:rFonts w:ascii="Times New Roman" w:hAnsi="Times New Roman" w:eastAsia="宋体" w:cs="Times New Roman"/>
          <w:color w:val="auto"/>
          <w:highlight w:val="none"/>
        </w:rPr>
      </w:pPr>
    </w:p>
    <w:p>
      <w:pPr>
        <w:spacing w:line="360" w:lineRule="auto"/>
        <w:ind w:firstLine="560" w:firstLineChars="200"/>
        <w:jc w:val="center"/>
        <w:rPr>
          <w:rFonts w:ascii="Times New Roman" w:hAnsi="Times New Roman" w:eastAsia="宋体" w:cs="Times New Roman"/>
          <w:color w:val="auto"/>
          <w:sz w:val="28"/>
          <w:szCs w:val="28"/>
          <w:highlight w:val="none"/>
        </w:rPr>
      </w:pPr>
      <w:r>
        <w:rPr>
          <w:rFonts w:hint="eastAsia" w:ascii="Times New Roman" w:hAnsi="Times New Roman" w:eastAsia="宋体" w:cs="Times New Roman"/>
          <w:color w:val="auto"/>
          <w:sz w:val="28"/>
          <w:szCs w:val="28"/>
          <w:highlight w:val="none"/>
        </w:rPr>
        <w:t xml:space="preserve">                  </w:t>
      </w:r>
      <w:r>
        <w:rPr>
          <w:rFonts w:ascii="Times New Roman" w:hAnsi="Times New Roman" w:eastAsia="宋体" w:cs="Times New Roman"/>
          <w:color w:val="auto"/>
          <w:sz w:val="28"/>
          <w:szCs w:val="28"/>
          <w:highlight w:val="none"/>
        </w:rPr>
        <w:t>企业名称（盖章）：</w:t>
      </w:r>
    </w:p>
    <w:p>
      <w:pPr>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 xml:space="preserve">                                            日  期：  </w:t>
      </w:r>
    </w:p>
    <w:p>
      <w:pPr>
        <w:rPr>
          <w:rFonts w:ascii="Times New Roman" w:hAnsi="Times New Roman" w:eastAsia="宋体" w:cs="Times New Roman"/>
          <w:color w:val="auto"/>
          <w:highlight w:val="none"/>
        </w:rPr>
      </w:pPr>
    </w:p>
    <w:p>
      <w:pPr>
        <w:spacing w:after="120"/>
        <w:ind w:firstLine="240" w:firstLineChars="100"/>
        <w:rPr>
          <w:rFonts w:ascii="Times New Roman" w:hAnsi="Times New Roman" w:eastAsia="宋体" w:cs="Times New Roman"/>
          <w:color w:val="auto"/>
          <w:highlight w:val="none"/>
        </w:rPr>
      </w:pPr>
    </w:p>
    <w:p>
      <w:pPr>
        <w:widowControl/>
        <w:snapToGrid w:val="0"/>
        <w:spacing w:line="360" w:lineRule="auto"/>
        <w:ind w:firstLine="420" w:firstLineChars="200"/>
        <w:rPr>
          <w:rFonts w:ascii="宋体" w:hAnsi="宋体" w:eastAsia="宋体" w:cs="宋体"/>
          <w:color w:val="auto"/>
          <w:sz w:val="21"/>
          <w:szCs w:val="21"/>
          <w:highlight w:val="none"/>
        </w:rPr>
      </w:pPr>
    </w:p>
    <w:p>
      <w:pPr>
        <w:widowControl/>
        <w:snapToGrid w:val="0"/>
        <w:spacing w:line="360" w:lineRule="auto"/>
        <w:ind w:firstLine="420" w:firstLineChars="200"/>
        <w:rPr>
          <w:rFonts w:ascii="宋体" w:hAnsi="宋体" w:eastAsia="宋体" w:cs="宋体"/>
          <w:color w:val="auto"/>
          <w:sz w:val="21"/>
          <w:szCs w:val="21"/>
          <w:highlight w:val="none"/>
        </w:rPr>
      </w:pPr>
    </w:p>
    <w:p>
      <w:pPr>
        <w:widowControl/>
        <w:snapToGrid w:val="0"/>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监狱企业参加政府采购活动时，应当提供由省级以上监狱管理局、戒毒管理局（含新疆生产建设兵团）出具的属于监狱企业的证明文件。</w:t>
      </w:r>
    </w:p>
    <w:p>
      <w:pPr>
        <w:rPr>
          <w:color w:val="auto"/>
          <w:highlight w:val="none"/>
        </w:rPr>
        <w:sectPr>
          <w:pgSz w:w="11907" w:h="16840"/>
          <w:pgMar w:top="1417" w:right="1417" w:bottom="1417" w:left="1531" w:header="737" w:footer="851" w:gutter="0"/>
          <w:cols w:space="0" w:num="1"/>
          <w:docGrid w:linePitch="326" w:charSpace="0"/>
        </w:sectPr>
      </w:pPr>
      <w:r>
        <w:rPr>
          <w:rFonts w:hint="eastAsia" w:ascii="宋体" w:hAnsi="宋体" w:eastAsia="宋体" w:cs="宋体"/>
          <w:color w:val="auto"/>
          <w:sz w:val="21"/>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pStyle w:val="17"/>
        <w:spacing w:line="240" w:lineRule="auto"/>
        <w:ind w:firstLine="0"/>
        <w:jc w:val="left"/>
        <w:rPr>
          <w:b/>
          <w:bCs/>
          <w:color w:val="auto"/>
          <w:highlight w:val="none"/>
        </w:rPr>
      </w:pPr>
      <w:r>
        <w:rPr>
          <w:b/>
          <w:bCs/>
          <w:color w:val="auto"/>
          <w:highlight w:val="none"/>
        </w:rPr>
        <w:t>投标文件封面2：</w:t>
      </w:r>
    </w:p>
    <w:p>
      <w:pPr>
        <w:pStyle w:val="17"/>
        <w:spacing w:line="240" w:lineRule="auto"/>
        <w:ind w:firstLine="0"/>
        <w:jc w:val="center"/>
        <w:rPr>
          <w:color w:val="auto"/>
          <w:sz w:val="52"/>
          <w:szCs w:val="52"/>
          <w:highlight w:val="none"/>
        </w:rPr>
      </w:pPr>
    </w:p>
    <w:p>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水土保持监测管理平台运维</w:t>
      </w:r>
    </w:p>
    <w:p>
      <w:pPr>
        <w:pStyle w:val="17"/>
        <w:tabs>
          <w:tab w:val="left" w:pos="0"/>
          <w:tab w:val="clear" w:pos="3025"/>
        </w:tabs>
        <w:spacing w:line="240" w:lineRule="auto"/>
        <w:ind w:firstLine="0"/>
        <w:jc w:val="center"/>
        <w:rPr>
          <w:rFonts w:eastAsia="黑体"/>
          <w:color w:val="auto"/>
          <w:sz w:val="32"/>
          <w:szCs w:val="32"/>
          <w:highlight w:val="none"/>
        </w:rPr>
      </w:pPr>
    </w:p>
    <w:p>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lang w:eastAsia="zh-CN"/>
        </w:rPr>
        <w:t>ZSSJCG-202304022</w:t>
      </w:r>
      <w:r>
        <w:rPr>
          <w:rFonts w:eastAsia="黑体"/>
          <w:color w:val="auto"/>
          <w:sz w:val="32"/>
          <w:szCs w:val="32"/>
          <w:highlight w:val="none"/>
        </w:rPr>
        <w:t>）</w:t>
      </w: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0"/>
        <w:jc w:val="center"/>
        <w:rPr>
          <w:color w:val="auto"/>
          <w:sz w:val="52"/>
          <w:szCs w:val="52"/>
          <w:highlight w:val="none"/>
        </w:rPr>
      </w:pPr>
      <w:r>
        <w:rPr>
          <w:color w:val="auto"/>
          <w:sz w:val="52"/>
          <w:szCs w:val="52"/>
          <w:highlight w:val="none"/>
        </w:rPr>
        <w:t>投标文件</w:t>
      </w:r>
    </w:p>
    <w:p>
      <w:pPr>
        <w:pStyle w:val="17"/>
        <w:jc w:val="left"/>
        <w:rPr>
          <w:color w:val="auto"/>
          <w:sz w:val="52"/>
          <w:szCs w:val="52"/>
          <w:highlight w:val="none"/>
        </w:rPr>
      </w:pPr>
    </w:p>
    <w:p>
      <w:pPr>
        <w:pStyle w:val="17"/>
        <w:spacing w:line="600" w:lineRule="exact"/>
        <w:ind w:firstLine="0"/>
        <w:jc w:val="center"/>
        <w:rPr>
          <w:color w:val="auto"/>
          <w:sz w:val="52"/>
          <w:szCs w:val="52"/>
          <w:highlight w:val="none"/>
        </w:rPr>
      </w:pPr>
      <w:r>
        <w:rPr>
          <w:color w:val="auto"/>
          <w:sz w:val="52"/>
          <w:szCs w:val="52"/>
          <w:highlight w:val="none"/>
        </w:rPr>
        <w:t>（商务</w:t>
      </w:r>
      <w:r>
        <w:rPr>
          <w:rFonts w:hint="eastAsia"/>
          <w:color w:val="auto"/>
          <w:sz w:val="52"/>
          <w:szCs w:val="52"/>
          <w:highlight w:val="none"/>
        </w:rPr>
        <w:t>技术</w:t>
      </w:r>
      <w:r>
        <w:rPr>
          <w:color w:val="auto"/>
          <w:sz w:val="52"/>
          <w:szCs w:val="52"/>
          <w:highlight w:val="none"/>
        </w:rPr>
        <w:t>文件）</w:t>
      </w: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center"/>
        <w:rPr>
          <w:rFonts w:eastAsia="黑体"/>
          <w:color w:val="auto"/>
          <w:sz w:val="30"/>
          <w:szCs w:val="30"/>
          <w:highlight w:val="none"/>
          <w:u w:val="single"/>
        </w:rPr>
      </w:pPr>
      <w:r>
        <w:rPr>
          <w:color w:val="auto"/>
          <w:sz w:val="30"/>
          <w:szCs w:val="30"/>
          <w:highlight w:val="none"/>
        </w:rPr>
        <w:t>投标供应商：</w:t>
      </w:r>
      <w:r>
        <w:rPr>
          <w:rFonts w:eastAsia="黑体"/>
          <w:color w:val="auto"/>
          <w:sz w:val="30"/>
          <w:szCs w:val="30"/>
          <w:highlight w:val="none"/>
        </w:rPr>
        <w:t>（全称并盖章）</w:t>
      </w:r>
    </w:p>
    <w:p>
      <w:pPr>
        <w:pStyle w:val="17"/>
        <w:spacing w:line="240" w:lineRule="auto"/>
        <w:ind w:firstLine="0"/>
        <w:jc w:val="center"/>
        <w:rPr>
          <w:color w:val="auto"/>
          <w:highlight w:val="none"/>
        </w:rPr>
      </w:pPr>
      <w:r>
        <w:rPr>
          <w:color w:val="auto"/>
          <w:sz w:val="30"/>
          <w:szCs w:val="30"/>
          <w:highlight w:val="none"/>
        </w:rPr>
        <w:t xml:space="preserve"> 编制日期：    年    月    日</w:t>
      </w:r>
    </w:p>
    <w:p>
      <w:pPr>
        <w:pStyle w:val="17"/>
        <w:spacing w:line="240" w:lineRule="auto"/>
        <w:ind w:firstLine="1506"/>
        <w:jc w:val="left"/>
        <w:rPr>
          <w:b/>
          <w:color w:val="auto"/>
          <w:sz w:val="30"/>
          <w:szCs w:val="30"/>
          <w:highlight w:val="none"/>
        </w:rPr>
      </w:pPr>
    </w:p>
    <w:p>
      <w:pPr>
        <w:pStyle w:val="17"/>
        <w:spacing w:line="240" w:lineRule="auto"/>
        <w:ind w:firstLine="0"/>
        <w:jc w:val="left"/>
        <w:rPr>
          <w:b/>
          <w:color w:val="auto"/>
          <w:sz w:val="30"/>
          <w:szCs w:val="30"/>
          <w:highlight w:val="none"/>
        </w:rPr>
      </w:pPr>
    </w:p>
    <w:p>
      <w:pPr>
        <w:rPr>
          <w:b/>
          <w:color w:val="auto"/>
          <w:sz w:val="52"/>
          <w:szCs w:val="52"/>
          <w:highlight w:val="none"/>
        </w:rPr>
      </w:pPr>
      <w:r>
        <w:rPr>
          <w:rFonts w:hint="eastAsia"/>
          <w:b/>
          <w:color w:val="auto"/>
          <w:sz w:val="52"/>
          <w:szCs w:val="52"/>
          <w:highlight w:val="none"/>
        </w:rPr>
        <w:br w:type="page"/>
      </w:r>
    </w:p>
    <w:p>
      <w:pPr>
        <w:snapToGrid w:val="0"/>
        <w:spacing w:line="360" w:lineRule="auto"/>
        <w:jc w:val="center"/>
        <w:rPr>
          <w:color w:val="auto"/>
          <w:sz w:val="52"/>
          <w:szCs w:val="52"/>
          <w:highlight w:val="none"/>
        </w:rPr>
      </w:pPr>
      <w:r>
        <w:rPr>
          <w:rFonts w:hint="eastAsia"/>
          <w:b/>
          <w:color w:val="auto"/>
          <w:sz w:val="52"/>
          <w:szCs w:val="52"/>
          <w:highlight w:val="none"/>
        </w:rPr>
        <w:t>目录</w:t>
      </w:r>
    </w:p>
    <w:p>
      <w:pPr>
        <w:tabs>
          <w:tab w:val="left" w:pos="3720"/>
        </w:tabs>
        <w:spacing w:line="360" w:lineRule="auto"/>
        <w:jc w:val="left"/>
        <w:rPr>
          <w:color w:val="auto"/>
          <w:highlight w:val="none"/>
        </w:rPr>
      </w:pPr>
      <w:r>
        <w:rPr>
          <w:rFonts w:hint="eastAsia"/>
          <w:color w:val="auto"/>
          <w:highlight w:val="none"/>
        </w:rPr>
        <w:t>（1）投标供应商基本情况表........................................................................................页码</w:t>
      </w:r>
    </w:p>
    <w:p>
      <w:pPr>
        <w:tabs>
          <w:tab w:val="left" w:pos="3720"/>
        </w:tabs>
        <w:spacing w:line="360" w:lineRule="auto"/>
        <w:jc w:val="left"/>
        <w:rPr>
          <w:color w:val="auto"/>
          <w:highlight w:val="none"/>
        </w:rPr>
      </w:pPr>
      <w:r>
        <w:rPr>
          <w:rFonts w:hint="eastAsia"/>
          <w:color w:val="auto"/>
          <w:highlight w:val="none"/>
        </w:rPr>
        <w:t>（2）主要类似业绩情况................................................................................................页码</w:t>
      </w:r>
    </w:p>
    <w:p>
      <w:pPr>
        <w:tabs>
          <w:tab w:val="left" w:pos="3720"/>
        </w:tabs>
        <w:spacing w:line="360" w:lineRule="auto"/>
        <w:jc w:val="left"/>
        <w:rPr>
          <w:color w:val="auto"/>
          <w:highlight w:val="none"/>
        </w:rPr>
      </w:pPr>
      <w:r>
        <w:rPr>
          <w:rFonts w:hint="eastAsia"/>
          <w:color w:val="auto"/>
          <w:highlight w:val="none"/>
        </w:rPr>
        <w:t>（3）项目负责人简历表................................................................................................页码</w:t>
      </w:r>
    </w:p>
    <w:p>
      <w:pPr>
        <w:tabs>
          <w:tab w:val="left" w:pos="3720"/>
        </w:tabs>
        <w:spacing w:line="360" w:lineRule="auto"/>
        <w:jc w:val="left"/>
        <w:rPr>
          <w:color w:val="auto"/>
          <w:highlight w:val="none"/>
        </w:rPr>
      </w:pPr>
      <w:r>
        <w:rPr>
          <w:rFonts w:hint="eastAsia"/>
          <w:color w:val="auto"/>
          <w:highlight w:val="none"/>
        </w:rPr>
        <w:t>（4）拟参加本项目实施人员情况................................................................................页码</w:t>
      </w:r>
    </w:p>
    <w:p>
      <w:pPr>
        <w:tabs>
          <w:tab w:val="left" w:pos="3720"/>
        </w:tabs>
        <w:spacing w:line="360" w:lineRule="auto"/>
        <w:jc w:val="left"/>
        <w:rPr>
          <w:color w:val="auto"/>
          <w:highlight w:val="none"/>
        </w:rPr>
      </w:pPr>
      <w:r>
        <w:rPr>
          <w:rFonts w:hint="eastAsia"/>
          <w:color w:val="auto"/>
          <w:highlight w:val="none"/>
        </w:rPr>
        <w:t>（5）工作方案................................................................................................................页码</w:t>
      </w:r>
    </w:p>
    <w:p>
      <w:pPr>
        <w:tabs>
          <w:tab w:val="left" w:pos="3720"/>
        </w:tabs>
        <w:spacing w:line="360" w:lineRule="auto"/>
        <w:jc w:val="left"/>
        <w:rPr>
          <w:color w:val="auto"/>
          <w:highlight w:val="none"/>
        </w:rPr>
      </w:pPr>
      <w:r>
        <w:rPr>
          <w:rFonts w:hint="eastAsia"/>
          <w:color w:val="auto"/>
          <w:highlight w:val="none"/>
        </w:rPr>
        <w:t>（6）技术偏离表............................................................................................................页码</w:t>
      </w:r>
    </w:p>
    <w:p>
      <w:pPr>
        <w:tabs>
          <w:tab w:val="left" w:pos="3720"/>
        </w:tabs>
        <w:spacing w:line="360" w:lineRule="auto"/>
        <w:jc w:val="left"/>
        <w:rPr>
          <w:color w:val="auto"/>
          <w:highlight w:val="none"/>
        </w:rPr>
      </w:pPr>
      <w:r>
        <w:rPr>
          <w:rFonts w:hint="eastAsia"/>
          <w:color w:val="auto"/>
          <w:highlight w:val="none"/>
        </w:rPr>
        <w:t>（7）投标供应商认为需要的其他文件和说明............................................................页码</w:t>
      </w:r>
    </w:p>
    <w:p>
      <w:pPr>
        <w:jc w:val="left"/>
        <w:rPr>
          <w:b/>
          <w:color w:val="auto"/>
          <w:sz w:val="30"/>
          <w:szCs w:val="30"/>
          <w:highlight w:val="none"/>
        </w:rPr>
      </w:pPr>
    </w:p>
    <w:p>
      <w:pPr>
        <w:jc w:val="left"/>
        <w:rPr>
          <w:b/>
          <w:color w:val="auto"/>
          <w:sz w:val="30"/>
          <w:szCs w:val="30"/>
          <w:highlight w:val="none"/>
        </w:rPr>
      </w:pPr>
    </w:p>
    <w:p>
      <w:pPr>
        <w:pStyle w:val="15"/>
        <w:rPr>
          <w:b/>
          <w:bCs/>
          <w:color w:val="auto"/>
          <w:highlight w:val="none"/>
        </w:rPr>
      </w:pPr>
      <w:r>
        <w:rPr>
          <w:b/>
          <w:color w:val="auto"/>
          <w:sz w:val="30"/>
          <w:szCs w:val="30"/>
          <w:highlight w:val="none"/>
        </w:rPr>
        <w:br w:type="page"/>
      </w:r>
    </w:p>
    <w:p>
      <w:pPr>
        <w:spacing w:line="360" w:lineRule="auto"/>
        <w:jc w:val="left"/>
        <w:rPr>
          <w:b/>
          <w:color w:val="auto"/>
          <w:sz w:val="30"/>
          <w:szCs w:val="30"/>
          <w:highlight w:val="none"/>
        </w:rPr>
      </w:pPr>
      <w:r>
        <w:rPr>
          <w:b/>
          <w:color w:val="auto"/>
          <w:sz w:val="30"/>
          <w:szCs w:val="30"/>
          <w:highlight w:val="none"/>
        </w:rPr>
        <w:t>附件</w:t>
      </w:r>
      <w:r>
        <w:rPr>
          <w:rFonts w:hint="eastAsia"/>
          <w:b/>
          <w:color w:val="auto"/>
          <w:sz w:val="30"/>
          <w:szCs w:val="30"/>
          <w:highlight w:val="none"/>
        </w:rPr>
        <w:t>5</w:t>
      </w:r>
    </w:p>
    <w:p>
      <w:pPr>
        <w:jc w:val="center"/>
        <w:rPr>
          <w:b/>
          <w:bCs/>
          <w:color w:val="auto"/>
          <w:sz w:val="44"/>
          <w:highlight w:val="none"/>
        </w:rPr>
      </w:pPr>
      <w:r>
        <w:rPr>
          <w:b/>
          <w:bCs/>
          <w:color w:val="auto"/>
          <w:sz w:val="44"/>
          <w:highlight w:val="none"/>
        </w:rPr>
        <w:t>投标供应商基本情况表（格式）</w:t>
      </w:r>
    </w:p>
    <w:p>
      <w:pPr>
        <w:pStyle w:val="15"/>
        <w:rPr>
          <w:color w:val="auto"/>
          <w:highlight w:val="none"/>
        </w:rPr>
      </w:pPr>
    </w:p>
    <w:tbl>
      <w:tblPr>
        <w:tblStyle w:val="33"/>
        <w:tblW w:w="93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4"/>
        <w:gridCol w:w="717"/>
        <w:gridCol w:w="537"/>
        <w:gridCol w:w="181"/>
        <w:gridCol w:w="356"/>
        <w:gridCol w:w="361"/>
        <w:gridCol w:w="717"/>
        <w:gridCol w:w="358"/>
        <w:gridCol w:w="717"/>
        <w:gridCol w:w="1254"/>
        <w:gridCol w:w="539"/>
        <w:gridCol w:w="716"/>
        <w:gridCol w:w="181"/>
        <w:gridCol w:w="1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971" w:type="dxa"/>
            <w:gridSpan w:val="2"/>
            <w:tcBorders>
              <w:top w:val="single" w:color="auto" w:sz="8" w:space="0"/>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单位名称</w:t>
            </w:r>
          </w:p>
        </w:tc>
        <w:tc>
          <w:tcPr>
            <w:tcW w:w="7346" w:type="dxa"/>
            <w:gridSpan w:val="12"/>
            <w:tcBorders>
              <w:top w:val="single" w:color="auto" w:sz="8" w:space="0"/>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通讯地址</w:t>
            </w:r>
          </w:p>
        </w:tc>
        <w:tc>
          <w:tcPr>
            <w:tcW w:w="1435" w:type="dxa"/>
            <w:gridSpan w:val="4"/>
            <w:tcBorders>
              <w:top w:val="nil"/>
            </w:tcBorders>
            <w:vAlign w:val="center"/>
          </w:tcPr>
          <w:p>
            <w:pPr>
              <w:widowControl/>
              <w:autoSpaceDE/>
              <w:autoSpaceDN/>
              <w:adjustRightInd/>
              <w:jc w:val="center"/>
              <w:textAlignment w:val="auto"/>
              <w:rPr>
                <w:snapToGrid w:val="0"/>
                <w:color w:val="auto"/>
                <w:szCs w:val="24"/>
                <w:highlight w:val="none"/>
              </w:rPr>
            </w:pPr>
          </w:p>
        </w:tc>
        <w:tc>
          <w:tcPr>
            <w:tcW w:w="717" w:type="dxa"/>
            <w:tcBorders>
              <w:top w:val="nil"/>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传真</w:t>
            </w:r>
          </w:p>
        </w:tc>
        <w:tc>
          <w:tcPr>
            <w:tcW w:w="2329" w:type="dxa"/>
            <w:gridSpan w:val="3"/>
            <w:tcBorders>
              <w:top w:val="nil"/>
            </w:tcBorders>
            <w:vAlign w:val="center"/>
          </w:tcPr>
          <w:p>
            <w:pPr>
              <w:widowControl/>
              <w:autoSpaceDE/>
              <w:autoSpaceDN/>
              <w:adjustRightInd/>
              <w:jc w:val="center"/>
              <w:textAlignment w:val="auto"/>
              <w:rPr>
                <w:snapToGrid w:val="0"/>
                <w:color w:val="auto"/>
                <w:szCs w:val="24"/>
                <w:highlight w:val="none"/>
              </w:rPr>
            </w:pPr>
          </w:p>
        </w:tc>
        <w:tc>
          <w:tcPr>
            <w:tcW w:w="1255" w:type="dxa"/>
            <w:gridSpan w:val="2"/>
            <w:tcBorders>
              <w:top w:val="nil"/>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邮政编码</w:t>
            </w:r>
          </w:p>
        </w:tc>
        <w:tc>
          <w:tcPr>
            <w:tcW w:w="1610" w:type="dxa"/>
            <w:gridSpan w:val="2"/>
            <w:tcBorders>
              <w:top w:val="nil"/>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4481" w:type="dxa"/>
            <w:gridSpan w:val="8"/>
            <w:vAlign w:val="center"/>
          </w:tcPr>
          <w:p>
            <w:pPr>
              <w:widowControl/>
              <w:autoSpaceDE/>
              <w:autoSpaceDN/>
              <w:adjustRightInd/>
              <w:jc w:val="center"/>
              <w:textAlignment w:val="auto"/>
              <w:rPr>
                <w:snapToGrid w:val="0"/>
                <w:color w:val="auto"/>
                <w:szCs w:val="24"/>
                <w:highlight w:val="none"/>
              </w:rPr>
            </w:pPr>
          </w:p>
        </w:tc>
        <w:tc>
          <w:tcPr>
            <w:tcW w:w="1255"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联系人</w:t>
            </w:r>
          </w:p>
        </w:tc>
        <w:tc>
          <w:tcPr>
            <w:tcW w:w="1610" w:type="dxa"/>
            <w:gridSpan w:val="2"/>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电子信箱</w:t>
            </w:r>
          </w:p>
        </w:tc>
        <w:tc>
          <w:tcPr>
            <w:tcW w:w="7346" w:type="dxa"/>
            <w:gridSpan w:val="12"/>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成立时间</w:t>
            </w:r>
          </w:p>
        </w:tc>
        <w:tc>
          <w:tcPr>
            <w:tcW w:w="7346" w:type="dxa"/>
            <w:gridSpan w:val="12"/>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法定代表人</w:t>
            </w:r>
          </w:p>
        </w:tc>
        <w:tc>
          <w:tcPr>
            <w:tcW w:w="718"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姓名</w:t>
            </w:r>
          </w:p>
        </w:tc>
        <w:tc>
          <w:tcPr>
            <w:tcW w:w="1792" w:type="dxa"/>
            <w:gridSpan w:val="4"/>
            <w:vAlign w:val="center"/>
          </w:tcPr>
          <w:p>
            <w:pPr>
              <w:widowControl/>
              <w:autoSpaceDE/>
              <w:autoSpaceDN/>
              <w:adjustRightInd/>
              <w:jc w:val="center"/>
              <w:textAlignment w:val="auto"/>
              <w:rPr>
                <w:snapToGrid w:val="0"/>
                <w:color w:val="auto"/>
                <w:szCs w:val="24"/>
                <w:highlight w:val="none"/>
              </w:rPr>
            </w:pPr>
          </w:p>
        </w:tc>
        <w:tc>
          <w:tcPr>
            <w:tcW w:w="717" w:type="dxa"/>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职称</w:t>
            </w:r>
          </w:p>
        </w:tc>
        <w:tc>
          <w:tcPr>
            <w:tcW w:w="1793" w:type="dxa"/>
            <w:gridSpan w:val="2"/>
            <w:vAlign w:val="center"/>
          </w:tcPr>
          <w:p>
            <w:pPr>
              <w:widowControl/>
              <w:autoSpaceDE/>
              <w:autoSpaceDN/>
              <w:adjustRightInd/>
              <w:jc w:val="center"/>
              <w:textAlignment w:val="auto"/>
              <w:rPr>
                <w:snapToGrid w:val="0"/>
                <w:color w:val="auto"/>
                <w:szCs w:val="24"/>
                <w:highlight w:val="none"/>
              </w:rPr>
            </w:pPr>
          </w:p>
        </w:tc>
        <w:tc>
          <w:tcPr>
            <w:tcW w:w="897"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1429" w:type="dxa"/>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技术负责人</w:t>
            </w:r>
          </w:p>
        </w:tc>
        <w:tc>
          <w:tcPr>
            <w:tcW w:w="718"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姓名</w:t>
            </w:r>
          </w:p>
        </w:tc>
        <w:tc>
          <w:tcPr>
            <w:tcW w:w="1792" w:type="dxa"/>
            <w:gridSpan w:val="4"/>
            <w:vAlign w:val="center"/>
          </w:tcPr>
          <w:p>
            <w:pPr>
              <w:widowControl/>
              <w:autoSpaceDE/>
              <w:autoSpaceDN/>
              <w:adjustRightInd/>
              <w:jc w:val="center"/>
              <w:textAlignment w:val="auto"/>
              <w:rPr>
                <w:snapToGrid w:val="0"/>
                <w:color w:val="auto"/>
                <w:szCs w:val="24"/>
                <w:highlight w:val="none"/>
              </w:rPr>
            </w:pPr>
          </w:p>
        </w:tc>
        <w:tc>
          <w:tcPr>
            <w:tcW w:w="717" w:type="dxa"/>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职称</w:t>
            </w:r>
          </w:p>
        </w:tc>
        <w:tc>
          <w:tcPr>
            <w:tcW w:w="1793" w:type="dxa"/>
            <w:gridSpan w:val="2"/>
            <w:vAlign w:val="center"/>
          </w:tcPr>
          <w:p>
            <w:pPr>
              <w:widowControl/>
              <w:autoSpaceDE/>
              <w:autoSpaceDN/>
              <w:adjustRightInd/>
              <w:jc w:val="center"/>
              <w:textAlignment w:val="auto"/>
              <w:rPr>
                <w:snapToGrid w:val="0"/>
                <w:color w:val="auto"/>
                <w:szCs w:val="24"/>
                <w:highlight w:val="none"/>
              </w:rPr>
            </w:pPr>
          </w:p>
        </w:tc>
        <w:tc>
          <w:tcPr>
            <w:tcW w:w="897"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1429" w:type="dxa"/>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专业资质等级</w:t>
            </w:r>
          </w:p>
        </w:tc>
        <w:tc>
          <w:tcPr>
            <w:tcW w:w="3227" w:type="dxa"/>
            <w:gridSpan w:val="7"/>
            <w:vAlign w:val="center"/>
          </w:tcPr>
          <w:p>
            <w:pPr>
              <w:widowControl/>
              <w:autoSpaceDE/>
              <w:autoSpaceDN/>
              <w:adjustRightInd/>
              <w:jc w:val="center"/>
              <w:textAlignment w:val="auto"/>
              <w:rPr>
                <w:snapToGrid w:val="0"/>
                <w:color w:val="auto"/>
                <w:szCs w:val="24"/>
                <w:highlight w:val="none"/>
              </w:rPr>
            </w:pPr>
          </w:p>
        </w:tc>
        <w:tc>
          <w:tcPr>
            <w:tcW w:w="1793"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资质等级证书编号</w:t>
            </w:r>
          </w:p>
        </w:tc>
        <w:tc>
          <w:tcPr>
            <w:tcW w:w="2326" w:type="dxa"/>
            <w:gridSpan w:val="3"/>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法人营业执照证号</w:t>
            </w:r>
          </w:p>
        </w:tc>
        <w:tc>
          <w:tcPr>
            <w:tcW w:w="3227" w:type="dxa"/>
            <w:gridSpan w:val="7"/>
            <w:vAlign w:val="center"/>
          </w:tcPr>
          <w:p>
            <w:pPr>
              <w:widowControl/>
              <w:autoSpaceDE/>
              <w:autoSpaceDN/>
              <w:adjustRightInd/>
              <w:jc w:val="center"/>
              <w:textAlignment w:val="auto"/>
              <w:rPr>
                <w:snapToGrid w:val="0"/>
                <w:color w:val="auto"/>
                <w:szCs w:val="24"/>
                <w:highlight w:val="none"/>
              </w:rPr>
            </w:pPr>
          </w:p>
        </w:tc>
        <w:tc>
          <w:tcPr>
            <w:tcW w:w="1793"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注册资金</w:t>
            </w:r>
          </w:p>
        </w:tc>
        <w:tc>
          <w:tcPr>
            <w:tcW w:w="2326" w:type="dxa"/>
            <w:gridSpan w:val="3"/>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开户行名称</w:t>
            </w:r>
          </w:p>
        </w:tc>
        <w:tc>
          <w:tcPr>
            <w:tcW w:w="3227" w:type="dxa"/>
            <w:gridSpan w:val="7"/>
            <w:vAlign w:val="center"/>
          </w:tcPr>
          <w:p>
            <w:pPr>
              <w:widowControl/>
              <w:autoSpaceDE/>
              <w:autoSpaceDN/>
              <w:adjustRightInd/>
              <w:jc w:val="center"/>
              <w:textAlignment w:val="auto"/>
              <w:rPr>
                <w:snapToGrid w:val="0"/>
                <w:color w:val="auto"/>
                <w:szCs w:val="24"/>
                <w:highlight w:val="none"/>
              </w:rPr>
            </w:pPr>
          </w:p>
        </w:tc>
        <w:tc>
          <w:tcPr>
            <w:tcW w:w="1793"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银行帐号</w:t>
            </w:r>
          </w:p>
        </w:tc>
        <w:tc>
          <w:tcPr>
            <w:tcW w:w="2326" w:type="dxa"/>
            <w:gridSpan w:val="3"/>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1254" w:type="dxa"/>
            <w:vMerge w:val="restart"/>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单位总人数（人）</w:t>
            </w:r>
          </w:p>
        </w:tc>
        <w:tc>
          <w:tcPr>
            <w:tcW w:w="1254" w:type="dxa"/>
            <w:gridSpan w:val="2"/>
            <w:vMerge w:val="restart"/>
            <w:vAlign w:val="center"/>
          </w:tcPr>
          <w:p>
            <w:pPr>
              <w:widowControl/>
              <w:autoSpaceDE/>
              <w:autoSpaceDN/>
              <w:adjustRightInd/>
              <w:jc w:val="center"/>
              <w:textAlignment w:val="auto"/>
              <w:rPr>
                <w:snapToGrid w:val="0"/>
                <w:color w:val="auto"/>
                <w:szCs w:val="24"/>
                <w:highlight w:val="none"/>
              </w:rPr>
            </w:pPr>
          </w:p>
        </w:tc>
        <w:tc>
          <w:tcPr>
            <w:tcW w:w="537" w:type="dxa"/>
            <w:gridSpan w:val="2"/>
            <w:vMerge w:val="restart"/>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其中</w:t>
            </w:r>
          </w:p>
        </w:tc>
        <w:tc>
          <w:tcPr>
            <w:tcW w:w="2153" w:type="dxa"/>
            <w:gridSpan w:val="4"/>
            <w:vAlign w:val="center"/>
          </w:tcPr>
          <w:p>
            <w:pPr>
              <w:widowControl/>
              <w:autoSpaceDE/>
              <w:autoSpaceDN/>
              <w:adjustRightInd/>
              <w:jc w:val="left"/>
              <w:textAlignment w:val="auto"/>
              <w:rPr>
                <w:snapToGrid w:val="0"/>
                <w:color w:val="auto"/>
                <w:szCs w:val="24"/>
                <w:highlight w:val="none"/>
              </w:rPr>
            </w:pPr>
            <w:r>
              <w:rPr>
                <w:snapToGrid w:val="0"/>
                <w:color w:val="auto"/>
                <w:szCs w:val="24"/>
                <w:highlight w:val="none"/>
              </w:rPr>
              <w:t>高级职称人员（人）</w:t>
            </w:r>
          </w:p>
        </w:tc>
        <w:tc>
          <w:tcPr>
            <w:tcW w:w="4119" w:type="dxa"/>
            <w:gridSpan w:val="5"/>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254" w:type="dxa"/>
            <w:vMerge w:val="continue"/>
            <w:tcBorders>
              <w:left w:val="single" w:color="auto" w:sz="8" w:space="0"/>
            </w:tcBorders>
            <w:vAlign w:val="center"/>
          </w:tcPr>
          <w:p>
            <w:pPr>
              <w:widowControl/>
              <w:autoSpaceDE/>
              <w:autoSpaceDN/>
              <w:adjustRightInd/>
              <w:jc w:val="center"/>
              <w:textAlignment w:val="auto"/>
              <w:rPr>
                <w:snapToGrid w:val="0"/>
                <w:color w:val="auto"/>
                <w:szCs w:val="24"/>
                <w:highlight w:val="none"/>
              </w:rPr>
            </w:pPr>
          </w:p>
        </w:tc>
        <w:tc>
          <w:tcPr>
            <w:tcW w:w="1254" w:type="dxa"/>
            <w:gridSpan w:val="2"/>
            <w:vMerge w:val="continue"/>
            <w:vAlign w:val="center"/>
          </w:tcPr>
          <w:p>
            <w:pPr>
              <w:widowControl/>
              <w:autoSpaceDE/>
              <w:autoSpaceDN/>
              <w:adjustRightInd/>
              <w:jc w:val="center"/>
              <w:textAlignment w:val="auto"/>
              <w:rPr>
                <w:snapToGrid w:val="0"/>
                <w:color w:val="auto"/>
                <w:szCs w:val="24"/>
                <w:highlight w:val="none"/>
              </w:rPr>
            </w:pPr>
          </w:p>
        </w:tc>
        <w:tc>
          <w:tcPr>
            <w:tcW w:w="537" w:type="dxa"/>
            <w:gridSpan w:val="2"/>
            <w:vMerge w:val="continue"/>
            <w:vAlign w:val="center"/>
          </w:tcPr>
          <w:p>
            <w:pPr>
              <w:widowControl/>
              <w:autoSpaceDE/>
              <w:autoSpaceDN/>
              <w:adjustRightInd/>
              <w:jc w:val="center"/>
              <w:textAlignment w:val="auto"/>
              <w:rPr>
                <w:snapToGrid w:val="0"/>
                <w:color w:val="auto"/>
                <w:szCs w:val="24"/>
                <w:highlight w:val="none"/>
              </w:rPr>
            </w:pPr>
          </w:p>
        </w:tc>
        <w:tc>
          <w:tcPr>
            <w:tcW w:w="2153" w:type="dxa"/>
            <w:gridSpan w:val="4"/>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中级职称人员（人）</w:t>
            </w:r>
          </w:p>
        </w:tc>
        <w:tc>
          <w:tcPr>
            <w:tcW w:w="4119" w:type="dxa"/>
            <w:gridSpan w:val="5"/>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254" w:type="dxa"/>
            <w:vMerge w:val="continue"/>
            <w:tcBorders>
              <w:left w:val="single" w:color="auto" w:sz="8" w:space="0"/>
            </w:tcBorders>
            <w:vAlign w:val="center"/>
          </w:tcPr>
          <w:p>
            <w:pPr>
              <w:widowControl/>
              <w:autoSpaceDE/>
              <w:autoSpaceDN/>
              <w:adjustRightInd/>
              <w:jc w:val="center"/>
              <w:textAlignment w:val="auto"/>
              <w:rPr>
                <w:snapToGrid w:val="0"/>
                <w:color w:val="auto"/>
                <w:szCs w:val="24"/>
                <w:highlight w:val="none"/>
              </w:rPr>
            </w:pPr>
          </w:p>
        </w:tc>
        <w:tc>
          <w:tcPr>
            <w:tcW w:w="1254" w:type="dxa"/>
            <w:gridSpan w:val="2"/>
            <w:vMerge w:val="continue"/>
            <w:vAlign w:val="center"/>
          </w:tcPr>
          <w:p>
            <w:pPr>
              <w:widowControl/>
              <w:autoSpaceDE/>
              <w:autoSpaceDN/>
              <w:adjustRightInd/>
              <w:jc w:val="center"/>
              <w:textAlignment w:val="auto"/>
              <w:rPr>
                <w:snapToGrid w:val="0"/>
                <w:color w:val="auto"/>
                <w:szCs w:val="24"/>
                <w:highlight w:val="none"/>
              </w:rPr>
            </w:pPr>
          </w:p>
        </w:tc>
        <w:tc>
          <w:tcPr>
            <w:tcW w:w="537" w:type="dxa"/>
            <w:gridSpan w:val="2"/>
            <w:vMerge w:val="continue"/>
            <w:vAlign w:val="center"/>
          </w:tcPr>
          <w:p>
            <w:pPr>
              <w:widowControl/>
              <w:autoSpaceDE/>
              <w:autoSpaceDN/>
              <w:adjustRightInd/>
              <w:jc w:val="center"/>
              <w:textAlignment w:val="auto"/>
              <w:rPr>
                <w:snapToGrid w:val="0"/>
                <w:color w:val="auto"/>
                <w:szCs w:val="24"/>
                <w:highlight w:val="none"/>
              </w:rPr>
            </w:pPr>
          </w:p>
        </w:tc>
        <w:tc>
          <w:tcPr>
            <w:tcW w:w="2153" w:type="dxa"/>
            <w:gridSpan w:val="4"/>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初级职称人员（人）</w:t>
            </w:r>
          </w:p>
        </w:tc>
        <w:tc>
          <w:tcPr>
            <w:tcW w:w="4119" w:type="dxa"/>
            <w:gridSpan w:val="5"/>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bl>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（盖章）</w:t>
      </w:r>
      <w:r>
        <w:rPr>
          <w:rFonts w:ascii="Times New Roman" w:hAnsi="Times New Roman"/>
          <w:snapToGrid w:val="0"/>
          <w:color w:val="auto"/>
          <w:highlight w:val="none"/>
        </w:rPr>
        <w:t>：</w:t>
      </w: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法定代表人（或授权代表人）：</w:t>
      </w:r>
      <w:r>
        <w:rPr>
          <w:rFonts w:ascii="Times New Roman" w:hAnsi="Times New Roman"/>
          <w:snapToGrid w:val="0"/>
          <w:color w:val="auto"/>
          <w:highlight w:val="none"/>
          <w:u w:val="single"/>
        </w:rPr>
        <w:t>（签字或签章）</w:t>
      </w:r>
    </w:p>
    <w:p>
      <w:pPr>
        <w:pStyle w:val="29"/>
        <w:spacing w:before="0" w:beforeAutospacing="0" w:after="0" w:afterAutospacing="0" w:line="360" w:lineRule="auto"/>
        <w:jc w:val="right"/>
        <w:rPr>
          <w:rFonts w:ascii="Times New Roman" w:hAnsi="Times New Roman"/>
          <w:snapToGrid w:val="0"/>
          <w:color w:val="auto"/>
          <w:highlight w:val="none"/>
        </w:rPr>
      </w:pP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rPr>
          <w:b/>
          <w:color w:val="auto"/>
          <w:sz w:val="30"/>
          <w:szCs w:val="30"/>
          <w:highlight w:val="none"/>
        </w:rPr>
      </w:pPr>
    </w:p>
    <w:p>
      <w:pPr>
        <w:rPr>
          <w:b/>
          <w:color w:val="auto"/>
          <w:sz w:val="30"/>
          <w:szCs w:val="30"/>
          <w:highlight w:val="none"/>
        </w:rPr>
      </w:pPr>
      <w:r>
        <w:rPr>
          <w:b/>
          <w:color w:val="auto"/>
          <w:sz w:val="30"/>
          <w:szCs w:val="30"/>
          <w:highlight w:val="none"/>
        </w:rPr>
        <w:br w:type="page"/>
      </w:r>
      <w:r>
        <w:rPr>
          <w:b/>
          <w:color w:val="auto"/>
          <w:sz w:val="30"/>
          <w:szCs w:val="30"/>
          <w:highlight w:val="none"/>
        </w:rPr>
        <w:t>附件</w:t>
      </w:r>
      <w:r>
        <w:rPr>
          <w:rFonts w:hint="eastAsia"/>
          <w:b/>
          <w:color w:val="auto"/>
          <w:sz w:val="30"/>
          <w:szCs w:val="30"/>
          <w:highlight w:val="none"/>
        </w:rPr>
        <w:t>6</w:t>
      </w:r>
    </w:p>
    <w:p>
      <w:pPr>
        <w:jc w:val="center"/>
        <w:rPr>
          <w:rFonts w:eastAsia="仿宋_GB2312"/>
          <w:b/>
          <w:color w:val="auto"/>
          <w:sz w:val="44"/>
          <w:szCs w:val="44"/>
          <w:highlight w:val="none"/>
        </w:rPr>
      </w:pPr>
      <w:r>
        <w:rPr>
          <w:rFonts w:eastAsia="仿宋_GB2312"/>
          <w:b/>
          <w:color w:val="auto"/>
          <w:sz w:val="44"/>
          <w:szCs w:val="44"/>
          <w:highlight w:val="none"/>
          <w:lang w:val="zh-CN"/>
        </w:rPr>
        <w:t>主要类似业绩</w:t>
      </w:r>
      <w:r>
        <w:rPr>
          <w:rFonts w:eastAsia="仿宋_GB2312"/>
          <w:b/>
          <w:color w:val="auto"/>
          <w:sz w:val="44"/>
          <w:szCs w:val="44"/>
          <w:highlight w:val="none"/>
        </w:rPr>
        <w:t>情况</w:t>
      </w:r>
    </w:p>
    <w:p>
      <w:pPr>
        <w:rPr>
          <w:rFonts w:eastAsia="仿宋_GB2312"/>
          <w:color w:val="auto"/>
          <w:highlight w:val="none"/>
        </w:rPr>
      </w:pPr>
    </w:p>
    <w:tbl>
      <w:tblPr>
        <w:tblStyle w:val="33"/>
        <w:tblW w:w="91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2507"/>
        <w:gridCol w:w="1826"/>
        <w:gridCol w:w="1968"/>
        <w:gridCol w:w="1011"/>
        <w:gridCol w:w="10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2" w:type="dxa"/>
            <w:vAlign w:val="center"/>
          </w:tcPr>
          <w:p>
            <w:pPr>
              <w:jc w:val="center"/>
              <w:rPr>
                <w:rFonts w:eastAsia="仿宋_GB2312"/>
                <w:b/>
                <w:color w:val="auto"/>
                <w:szCs w:val="21"/>
                <w:highlight w:val="none"/>
              </w:rPr>
            </w:pPr>
            <w:r>
              <w:rPr>
                <w:rFonts w:eastAsia="仿宋_GB2312"/>
                <w:b/>
                <w:color w:val="auto"/>
                <w:szCs w:val="21"/>
                <w:highlight w:val="none"/>
              </w:rPr>
              <w:t>序号</w:t>
            </w:r>
          </w:p>
        </w:tc>
        <w:tc>
          <w:tcPr>
            <w:tcW w:w="2507" w:type="dxa"/>
            <w:vAlign w:val="center"/>
          </w:tcPr>
          <w:p>
            <w:pPr>
              <w:jc w:val="center"/>
              <w:rPr>
                <w:rFonts w:eastAsia="仿宋_GB2312"/>
                <w:b/>
                <w:color w:val="auto"/>
                <w:szCs w:val="21"/>
                <w:highlight w:val="none"/>
              </w:rPr>
            </w:pPr>
            <w:r>
              <w:rPr>
                <w:rFonts w:eastAsia="仿宋_GB2312"/>
                <w:b/>
                <w:color w:val="auto"/>
                <w:szCs w:val="21"/>
                <w:highlight w:val="none"/>
              </w:rPr>
              <w:t>项目名称</w:t>
            </w:r>
          </w:p>
        </w:tc>
        <w:tc>
          <w:tcPr>
            <w:tcW w:w="1826" w:type="dxa"/>
            <w:vAlign w:val="center"/>
          </w:tcPr>
          <w:p>
            <w:pPr>
              <w:jc w:val="center"/>
              <w:rPr>
                <w:rFonts w:eastAsia="仿宋_GB2312"/>
                <w:b/>
                <w:color w:val="auto"/>
                <w:szCs w:val="21"/>
                <w:highlight w:val="none"/>
              </w:rPr>
            </w:pPr>
            <w:r>
              <w:rPr>
                <w:rFonts w:hint="eastAsia" w:eastAsia="仿宋_GB2312"/>
                <w:b/>
                <w:color w:val="auto"/>
                <w:szCs w:val="21"/>
                <w:highlight w:val="none"/>
              </w:rPr>
              <w:t>委托人</w:t>
            </w:r>
            <w:r>
              <w:rPr>
                <w:rFonts w:eastAsia="仿宋_GB2312"/>
                <w:b/>
                <w:color w:val="auto"/>
                <w:szCs w:val="21"/>
                <w:highlight w:val="none"/>
              </w:rPr>
              <w:t>名称</w:t>
            </w:r>
          </w:p>
        </w:tc>
        <w:tc>
          <w:tcPr>
            <w:tcW w:w="1968" w:type="dxa"/>
            <w:vAlign w:val="center"/>
          </w:tcPr>
          <w:p>
            <w:pPr>
              <w:jc w:val="center"/>
              <w:rPr>
                <w:rFonts w:eastAsia="仿宋_GB2312"/>
                <w:b/>
                <w:color w:val="auto"/>
                <w:szCs w:val="21"/>
                <w:highlight w:val="none"/>
              </w:rPr>
            </w:pPr>
            <w:r>
              <w:rPr>
                <w:rFonts w:eastAsia="仿宋_GB2312"/>
                <w:b/>
                <w:color w:val="auto"/>
                <w:szCs w:val="21"/>
                <w:highlight w:val="none"/>
              </w:rPr>
              <w:t>主要采购内容</w:t>
            </w:r>
          </w:p>
        </w:tc>
        <w:tc>
          <w:tcPr>
            <w:tcW w:w="1011" w:type="dxa"/>
            <w:vAlign w:val="center"/>
          </w:tcPr>
          <w:p>
            <w:pPr>
              <w:jc w:val="center"/>
              <w:rPr>
                <w:rFonts w:eastAsia="仿宋_GB2312"/>
                <w:b/>
                <w:color w:val="auto"/>
                <w:szCs w:val="21"/>
                <w:highlight w:val="none"/>
              </w:rPr>
            </w:pPr>
            <w:r>
              <w:rPr>
                <w:rFonts w:eastAsia="仿宋_GB2312"/>
                <w:b/>
                <w:color w:val="auto"/>
                <w:szCs w:val="21"/>
                <w:highlight w:val="none"/>
              </w:rPr>
              <w:t>合同签定时间</w:t>
            </w:r>
          </w:p>
        </w:tc>
        <w:tc>
          <w:tcPr>
            <w:tcW w:w="1077" w:type="dxa"/>
            <w:vAlign w:val="center"/>
          </w:tcPr>
          <w:p>
            <w:pPr>
              <w:jc w:val="center"/>
              <w:rPr>
                <w:rFonts w:eastAsia="仿宋_GB2312"/>
                <w:b/>
                <w:color w:val="auto"/>
                <w:szCs w:val="21"/>
                <w:highlight w:val="none"/>
              </w:rPr>
            </w:pPr>
            <w:r>
              <w:rPr>
                <w:rFonts w:eastAsia="仿宋_GB2312"/>
                <w:b/>
                <w:color w:val="auto"/>
                <w:szCs w:val="21"/>
                <w:highlight w:val="none"/>
              </w:rPr>
              <w:t>完成</w:t>
            </w:r>
          </w:p>
          <w:p>
            <w:pPr>
              <w:jc w:val="center"/>
              <w:rPr>
                <w:rFonts w:eastAsia="仿宋_GB2312"/>
                <w:b/>
                <w:color w:val="auto"/>
                <w:szCs w:val="21"/>
                <w:highlight w:val="none"/>
              </w:rPr>
            </w:pPr>
            <w:r>
              <w:rPr>
                <w:rFonts w:eastAsia="仿宋_GB2312"/>
                <w:b/>
                <w:color w:val="auto"/>
                <w:szCs w:val="21"/>
                <w:highlight w:val="none"/>
              </w:rPr>
              <w:t>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bl>
    <w:p>
      <w:pPr>
        <w:rPr>
          <w:rFonts w:eastAsia="仿宋_GB2312"/>
          <w:b/>
          <w:color w:val="auto"/>
          <w:sz w:val="30"/>
          <w:szCs w:val="30"/>
          <w:highlight w:val="none"/>
        </w:rPr>
      </w:pPr>
      <w:r>
        <w:rPr>
          <w:rFonts w:eastAsia="仿宋_GB2312"/>
          <w:b/>
          <w:color w:val="auto"/>
          <w:szCs w:val="21"/>
          <w:highlight w:val="none"/>
        </w:rPr>
        <w:t>注：需提供合同</w:t>
      </w:r>
      <w:r>
        <w:rPr>
          <w:rFonts w:hint="eastAsia" w:eastAsia="仿宋_GB2312"/>
          <w:b/>
          <w:color w:val="auto"/>
          <w:szCs w:val="21"/>
          <w:highlight w:val="none"/>
        </w:rPr>
        <w:t>扫描件</w:t>
      </w:r>
      <w:r>
        <w:rPr>
          <w:rFonts w:eastAsia="仿宋_GB2312"/>
          <w:b/>
          <w:color w:val="auto"/>
          <w:szCs w:val="21"/>
          <w:highlight w:val="none"/>
        </w:rPr>
        <w:t>。</w:t>
      </w:r>
    </w:p>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（盖章）</w:t>
      </w:r>
      <w:r>
        <w:rPr>
          <w:rFonts w:ascii="Times New Roman" w:hAnsi="Times New Roman"/>
          <w:snapToGrid w:val="0"/>
          <w:color w:val="auto"/>
          <w:highlight w:val="none"/>
        </w:rPr>
        <w:t>：</w:t>
      </w: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法定代表人（或授权代表人）：</w:t>
      </w:r>
      <w:r>
        <w:rPr>
          <w:rFonts w:ascii="Times New Roman" w:hAnsi="Times New Roman"/>
          <w:snapToGrid w:val="0"/>
          <w:color w:val="auto"/>
          <w:highlight w:val="none"/>
          <w:u w:val="single"/>
        </w:rPr>
        <w:t>（签字或签章）</w:t>
      </w:r>
    </w:p>
    <w:p>
      <w:pPr>
        <w:pStyle w:val="29"/>
        <w:spacing w:before="0" w:beforeAutospacing="0" w:after="0" w:afterAutospacing="0" w:line="360" w:lineRule="auto"/>
        <w:jc w:val="right"/>
        <w:rPr>
          <w:rFonts w:ascii="Times New Roman" w:hAnsi="Times New Roman"/>
          <w:snapToGrid w:val="0"/>
          <w:color w:val="auto"/>
          <w:highlight w:val="none"/>
        </w:rPr>
      </w:pP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rPr>
          <w:b/>
          <w:color w:val="auto"/>
          <w:sz w:val="30"/>
          <w:szCs w:val="30"/>
          <w:highlight w:val="none"/>
        </w:rPr>
      </w:pPr>
      <w:r>
        <w:rPr>
          <w:b/>
          <w:bCs/>
          <w:color w:val="auto"/>
          <w:sz w:val="44"/>
          <w:highlight w:val="none"/>
        </w:rPr>
        <w:br w:type="page"/>
      </w:r>
      <w:r>
        <w:rPr>
          <w:b/>
          <w:color w:val="auto"/>
          <w:sz w:val="30"/>
          <w:szCs w:val="30"/>
          <w:highlight w:val="none"/>
        </w:rPr>
        <w:t>附件</w:t>
      </w:r>
      <w:r>
        <w:rPr>
          <w:rFonts w:hint="eastAsia"/>
          <w:b/>
          <w:color w:val="auto"/>
          <w:sz w:val="30"/>
          <w:szCs w:val="30"/>
          <w:highlight w:val="none"/>
        </w:rPr>
        <w:t>7</w:t>
      </w:r>
    </w:p>
    <w:p>
      <w:pPr>
        <w:jc w:val="center"/>
        <w:rPr>
          <w:b/>
          <w:bCs/>
          <w:color w:val="auto"/>
          <w:sz w:val="44"/>
          <w:highlight w:val="none"/>
        </w:rPr>
      </w:pPr>
      <w:r>
        <w:rPr>
          <w:b/>
          <w:bCs/>
          <w:color w:val="auto"/>
          <w:sz w:val="44"/>
          <w:highlight w:val="none"/>
        </w:rPr>
        <w:t>项目负责人简历表</w:t>
      </w:r>
    </w:p>
    <w:p>
      <w:pPr>
        <w:rPr>
          <w:color w:val="auto"/>
          <w:highlight w:val="none"/>
        </w:rPr>
      </w:pPr>
    </w:p>
    <w:tbl>
      <w:tblPr>
        <w:tblStyle w:val="33"/>
        <w:tblW w:w="9049" w:type="dxa"/>
        <w:jc w:val="center"/>
        <w:tblLayout w:type="fixed"/>
        <w:tblCellMar>
          <w:top w:w="57" w:type="dxa"/>
          <w:left w:w="57" w:type="dxa"/>
          <w:bottom w:w="57" w:type="dxa"/>
          <w:right w:w="57" w:type="dxa"/>
        </w:tblCellMar>
      </w:tblPr>
      <w:tblGrid>
        <w:gridCol w:w="1483"/>
        <w:gridCol w:w="205"/>
        <w:gridCol w:w="1951"/>
        <w:gridCol w:w="730"/>
        <w:gridCol w:w="424"/>
        <w:gridCol w:w="296"/>
        <w:gridCol w:w="720"/>
        <w:gridCol w:w="180"/>
        <w:gridCol w:w="616"/>
        <w:gridCol w:w="644"/>
        <w:gridCol w:w="1800"/>
      </w:tblGrid>
      <w:tr>
        <w:tblPrEx>
          <w:tblCellMar>
            <w:top w:w="57" w:type="dxa"/>
            <w:left w:w="57" w:type="dxa"/>
            <w:bottom w:w="57" w:type="dxa"/>
            <w:right w:w="57" w:type="dxa"/>
          </w:tblCellMar>
        </w:tblPrEx>
        <w:trPr>
          <w:trHeight w:val="743"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pPr>
              <w:jc w:val="distribute"/>
              <w:rPr>
                <w:color w:val="auto"/>
                <w:highlight w:val="none"/>
              </w:rPr>
            </w:pPr>
            <w:r>
              <w:rPr>
                <w:color w:val="auto"/>
                <w:highlight w:val="none"/>
              </w:rPr>
              <w:t>项目负责</w:t>
            </w:r>
          </w:p>
          <w:p>
            <w:pPr>
              <w:jc w:val="distribute"/>
              <w:rPr>
                <w:color w:val="auto"/>
                <w:highlight w:val="none"/>
              </w:rPr>
            </w:pPr>
            <w:r>
              <w:rPr>
                <w:color w:val="auto"/>
                <w:highlight w:val="none"/>
              </w:rPr>
              <w:t>人姓名</w:t>
            </w:r>
          </w:p>
        </w:tc>
        <w:tc>
          <w:tcPr>
            <w:tcW w:w="2156" w:type="dxa"/>
            <w:gridSpan w:val="2"/>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性</w:t>
            </w:r>
          </w:p>
          <w:p>
            <w:pPr>
              <w:jc w:val="center"/>
              <w:rPr>
                <w:color w:val="auto"/>
                <w:highlight w:val="none"/>
              </w:rPr>
            </w:pPr>
            <w:r>
              <w:rPr>
                <w:color w:val="auto"/>
                <w:highlight w:val="none"/>
              </w:rPr>
              <w:t>别</w:t>
            </w:r>
          </w:p>
        </w:tc>
        <w:tc>
          <w:tcPr>
            <w:tcW w:w="720" w:type="dxa"/>
            <w:gridSpan w:val="2"/>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年</w:t>
            </w:r>
          </w:p>
          <w:p>
            <w:pPr>
              <w:jc w:val="center"/>
              <w:rPr>
                <w:color w:val="auto"/>
                <w:highlight w:val="none"/>
              </w:rPr>
            </w:pPr>
            <w:r>
              <w:rPr>
                <w:color w:val="auto"/>
                <w:highlight w:val="none"/>
              </w:rPr>
              <w:t>龄</w:t>
            </w:r>
          </w:p>
        </w:tc>
        <w:tc>
          <w:tcPr>
            <w:tcW w:w="796" w:type="dxa"/>
            <w:gridSpan w:val="2"/>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64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学</w:t>
            </w:r>
          </w:p>
          <w:p>
            <w:pPr>
              <w:jc w:val="center"/>
              <w:rPr>
                <w:color w:val="auto"/>
                <w:highlight w:val="none"/>
              </w:rPr>
            </w:pPr>
            <w:r>
              <w:rPr>
                <w:color w:val="auto"/>
                <w:highlight w:val="none"/>
              </w:rPr>
              <w:t>历</w:t>
            </w:r>
          </w:p>
        </w:tc>
        <w:tc>
          <w:tcPr>
            <w:tcW w:w="18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trHeight w:val="490"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pPr>
              <w:jc w:val="distribute"/>
              <w:rPr>
                <w:color w:val="auto"/>
                <w:highlight w:val="none"/>
              </w:rPr>
            </w:pPr>
            <w:r>
              <w:rPr>
                <w:color w:val="auto"/>
                <w:highlight w:val="none"/>
              </w:rPr>
              <w:t>行政职务</w:t>
            </w:r>
          </w:p>
        </w:tc>
        <w:tc>
          <w:tcPr>
            <w:tcW w:w="2156" w:type="dxa"/>
            <w:gridSpan w:val="2"/>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专业职称</w:t>
            </w:r>
          </w:p>
        </w:tc>
        <w:tc>
          <w:tcPr>
            <w:tcW w:w="1440"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专业年限</w:t>
            </w:r>
          </w:p>
        </w:tc>
        <w:tc>
          <w:tcPr>
            <w:tcW w:w="18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469"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工 作 单 位</w:t>
            </w:r>
          </w:p>
        </w:tc>
        <w:tc>
          <w:tcPr>
            <w:tcW w:w="4326" w:type="dxa"/>
            <w:gridSpan w:val="6"/>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电话</w:t>
            </w:r>
          </w:p>
        </w:tc>
        <w:tc>
          <w:tcPr>
            <w:tcW w:w="18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trHeight w:val="469"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pPr>
              <w:jc w:val="distribute"/>
              <w:rPr>
                <w:color w:val="auto"/>
                <w:highlight w:val="none"/>
              </w:rPr>
            </w:pPr>
            <w:r>
              <w:rPr>
                <w:color w:val="auto"/>
                <w:highlight w:val="none"/>
              </w:rPr>
              <w:t>通讯地址</w:t>
            </w:r>
          </w:p>
        </w:tc>
        <w:tc>
          <w:tcPr>
            <w:tcW w:w="4326" w:type="dxa"/>
            <w:gridSpan w:val="6"/>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邮编</w:t>
            </w:r>
          </w:p>
        </w:tc>
        <w:tc>
          <w:tcPr>
            <w:tcW w:w="18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551" w:hRule="atLeast"/>
          <w:jc w:val="center"/>
        </w:trPr>
        <w:tc>
          <w:tcPr>
            <w:tcW w:w="9049" w:type="dxa"/>
            <w:gridSpan w:val="11"/>
            <w:tcBorders>
              <w:top w:val="single" w:color="auto" w:sz="6" w:space="0"/>
              <w:left w:val="single" w:color="auto" w:sz="6" w:space="0"/>
              <w:bottom w:val="nil"/>
              <w:right w:val="single" w:color="auto" w:sz="6" w:space="0"/>
            </w:tcBorders>
            <w:vAlign w:val="center"/>
          </w:tcPr>
          <w:p>
            <w:pPr>
              <w:ind w:firstLine="2640" w:firstLineChars="1100"/>
              <w:rPr>
                <w:color w:val="auto"/>
                <w:highlight w:val="none"/>
              </w:rPr>
            </w:pPr>
            <w:r>
              <w:rPr>
                <w:color w:val="auto"/>
                <w:highlight w:val="none"/>
              </w:rPr>
              <w:t>类似项目工作经验</w:t>
            </w:r>
          </w:p>
        </w:tc>
      </w:tr>
      <w:tr>
        <w:tblPrEx>
          <w:tblCellMar>
            <w:top w:w="57" w:type="dxa"/>
            <w:left w:w="57" w:type="dxa"/>
            <w:bottom w:w="57" w:type="dxa"/>
            <w:right w:w="57" w:type="dxa"/>
          </w:tblCellMar>
        </w:tblPrEx>
        <w:trPr>
          <w:cantSplit/>
          <w:trHeight w:val="795" w:hRule="atLeast"/>
          <w:jc w:val="center"/>
        </w:trPr>
        <w:tc>
          <w:tcPr>
            <w:tcW w:w="1688" w:type="dxa"/>
            <w:gridSpan w:val="2"/>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时间</w:t>
            </w:r>
          </w:p>
        </w:tc>
        <w:tc>
          <w:tcPr>
            <w:tcW w:w="3105"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参加过的类似项目</w:t>
            </w:r>
          </w:p>
        </w:tc>
        <w:tc>
          <w:tcPr>
            <w:tcW w:w="1196"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担任职务</w:t>
            </w:r>
          </w:p>
        </w:tc>
        <w:tc>
          <w:tcPr>
            <w:tcW w:w="3060" w:type="dxa"/>
            <w:gridSpan w:val="3"/>
            <w:tcBorders>
              <w:top w:val="single" w:color="auto" w:sz="6" w:space="0"/>
              <w:left w:val="single" w:color="auto" w:sz="6" w:space="0"/>
              <w:bottom w:val="single" w:color="auto" w:sz="6" w:space="0"/>
              <w:right w:val="single" w:color="auto" w:sz="6" w:space="0"/>
            </w:tcBorders>
            <w:vAlign w:val="center"/>
          </w:tcPr>
          <w:p>
            <w:pPr>
              <w:ind w:firstLine="120" w:firstLineChars="50"/>
              <w:jc w:val="center"/>
              <w:rPr>
                <w:color w:val="auto"/>
                <w:highlight w:val="none"/>
              </w:rPr>
            </w:pPr>
            <w:r>
              <w:rPr>
                <w:color w:val="auto"/>
                <w:highlight w:val="none"/>
              </w:rPr>
              <w:t>采购人及联系电话</w:t>
            </w:r>
          </w:p>
        </w:tc>
      </w:tr>
      <w:tr>
        <w:tblPrEx>
          <w:tblCellMar>
            <w:top w:w="57" w:type="dxa"/>
            <w:left w:w="57" w:type="dxa"/>
            <w:bottom w:w="57" w:type="dxa"/>
            <w:right w:w="57" w:type="dxa"/>
          </w:tblCellMar>
        </w:tblPrEx>
        <w:trPr>
          <w:cantSplit/>
          <w:trHeight w:val="2833" w:hRule="atLeast"/>
          <w:jc w:val="center"/>
        </w:trPr>
        <w:tc>
          <w:tcPr>
            <w:tcW w:w="1688" w:type="dxa"/>
            <w:gridSpan w:val="2"/>
            <w:tcBorders>
              <w:top w:val="single" w:color="auto" w:sz="6" w:space="0"/>
              <w:left w:val="single" w:color="auto" w:sz="6" w:space="0"/>
              <w:bottom w:val="single" w:color="auto" w:sz="4" w:space="0"/>
              <w:right w:val="single" w:color="auto" w:sz="6" w:space="0"/>
            </w:tcBorders>
            <w:vAlign w:val="center"/>
          </w:tcPr>
          <w:p>
            <w:pPr>
              <w:jc w:val="center"/>
              <w:rPr>
                <w:color w:val="auto"/>
                <w:highlight w:val="none"/>
              </w:rPr>
            </w:pPr>
          </w:p>
          <w:p>
            <w:pPr>
              <w:jc w:val="center"/>
              <w:rPr>
                <w:color w:val="auto"/>
                <w:highlight w:val="none"/>
              </w:rPr>
            </w:pPr>
          </w:p>
          <w:p>
            <w:pPr>
              <w:jc w:val="center"/>
              <w:rPr>
                <w:color w:val="auto"/>
                <w:highlight w:val="none"/>
              </w:rPr>
            </w:pPr>
          </w:p>
          <w:p>
            <w:pPr>
              <w:jc w:val="center"/>
              <w:rPr>
                <w:color w:val="auto"/>
                <w:highlight w:val="none"/>
              </w:rPr>
            </w:pPr>
          </w:p>
          <w:p>
            <w:pPr>
              <w:jc w:val="center"/>
              <w:rPr>
                <w:color w:val="auto"/>
                <w:highlight w:val="none"/>
              </w:rPr>
            </w:pPr>
          </w:p>
          <w:p>
            <w:pPr>
              <w:jc w:val="center"/>
              <w:rPr>
                <w:color w:val="auto"/>
                <w:highlight w:val="none"/>
              </w:rPr>
            </w:pPr>
          </w:p>
        </w:tc>
        <w:tc>
          <w:tcPr>
            <w:tcW w:w="3105" w:type="dxa"/>
            <w:gridSpan w:val="3"/>
            <w:tcBorders>
              <w:top w:val="single" w:color="auto" w:sz="6" w:space="0"/>
              <w:left w:val="single" w:color="auto" w:sz="6" w:space="0"/>
              <w:bottom w:val="single" w:color="auto" w:sz="4" w:space="0"/>
              <w:right w:val="single" w:color="auto" w:sz="6" w:space="0"/>
            </w:tcBorders>
            <w:vAlign w:val="center"/>
          </w:tcPr>
          <w:p>
            <w:pPr>
              <w:jc w:val="center"/>
              <w:rPr>
                <w:color w:val="auto"/>
                <w:highlight w:val="none"/>
              </w:rPr>
            </w:pPr>
          </w:p>
        </w:tc>
        <w:tc>
          <w:tcPr>
            <w:tcW w:w="1196" w:type="dxa"/>
            <w:gridSpan w:val="3"/>
            <w:tcBorders>
              <w:top w:val="single" w:color="auto" w:sz="6" w:space="0"/>
              <w:left w:val="single" w:color="auto" w:sz="6" w:space="0"/>
              <w:bottom w:val="single" w:color="auto" w:sz="4" w:space="0"/>
              <w:right w:val="single" w:color="auto" w:sz="6" w:space="0"/>
            </w:tcBorders>
            <w:vAlign w:val="center"/>
          </w:tcPr>
          <w:p>
            <w:pPr>
              <w:jc w:val="center"/>
              <w:rPr>
                <w:color w:val="auto"/>
                <w:highlight w:val="none"/>
              </w:rPr>
            </w:pPr>
          </w:p>
        </w:tc>
        <w:tc>
          <w:tcPr>
            <w:tcW w:w="3060"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r>
    </w:tbl>
    <w:p>
      <w:pPr>
        <w:spacing w:before="77"/>
        <w:ind w:right="6" w:firstLine="482" w:firstLineChars="200"/>
        <w:rPr>
          <w:b/>
          <w:color w:val="auto"/>
          <w:highlight w:val="none"/>
        </w:rPr>
      </w:pPr>
      <w:r>
        <w:rPr>
          <w:b/>
          <w:color w:val="auto"/>
          <w:highlight w:val="none"/>
        </w:rPr>
        <w:t>注：需附人员相关证明材料</w:t>
      </w:r>
      <w:r>
        <w:rPr>
          <w:rFonts w:hint="eastAsia"/>
          <w:b/>
          <w:color w:val="auto"/>
          <w:highlight w:val="none"/>
        </w:rPr>
        <w:t>。</w:t>
      </w:r>
    </w:p>
    <w:p>
      <w:pPr>
        <w:widowControl/>
        <w:autoSpaceDE/>
        <w:autoSpaceDN/>
        <w:adjustRightInd/>
        <w:spacing w:line="360" w:lineRule="auto"/>
        <w:jc w:val="center"/>
        <w:textAlignment w:val="auto"/>
        <w:rPr>
          <w:snapToGrid w:val="0"/>
          <w:color w:val="auto"/>
          <w:szCs w:val="24"/>
          <w:highlight w:val="none"/>
        </w:rPr>
      </w:pPr>
    </w:p>
    <w:p>
      <w:pPr>
        <w:widowControl/>
        <w:autoSpaceDE/>
        <w:autoSpaceDN/>
        <w:adjustRightInd/>
        <w:spacing w:line="360" w:lineRule="auto"/>
        <w:ind w:left="3840" w:leftChars="1600"/>
        <w:jc w:val="left"/>
        <w:textAlignment w:val="auto"/>
        <w:rPr>
          <w:snapToGrid w:val="0"/>
          <w:color w:val="auto"/>
          <w:szCs w:val="24"/>
          <w:highlight w:val="none"/>
        </w:rPr>
      </w:pPr>
      <w:r>
        <w:rPr>
          <w:snapToGrid w:val="0"/>
          <w:color w:val="auto"/>
          <w:szCs w:val="24"/>
          <w:highlight w:val="none"/>
        </w:rPr>
        <w:t>投标供应商</w:t>
      </w:r>
      <w:r>
        <w:rPr>
          <w:rFonts w:hint="eastAsia"/>
          <w:snapToGrid w:val="0"/>
          <w:color w:val="auto"/>
          <w:szCs w:val="24"/>
          <w:highlight w:val="none"/>
        </w:rPr>
        <w:t>（盖章）</w:t>
      </w:r>
      <w:r>
        <w:rPr>
          <w:snapToGrid w:val="0"/>
          <w:color w:val="auto"/>
          <w:szCs w:val="24"/>
          <w:highlight w:val="none"/>
        </w:rPr>
        <w:t>：</w:t>
      </w:r>
    </w:p>
    <w:p>
      <w:pPr>
        <w:widowControl/>
        <w:autoSpaceDE/>
        <w:autoSpaceDN/>
        <w:adjustRightInd/>
        <w:spacing w:line="360" w:lineRule="auto"/>
        <w:ind w:left="3840" w:leftChars="1600"/>
        <w:jc w:val="left"/>
        <w:textAlignment w:val="auto"/>
        <w:rPr>
          <w:snapToGrid w:val="0"/>
          <w:color w:val="auto"/>
          <w:szCs w:val="24"/>
          <w:highlight w:val="none"/>
        </w:rPr>
      </w:pPr>
      <w:r>
        <w:rPr>
          <w:snapToGrid w:val="0"/>
          <w:color w:val="auto"/>
          <w:szCs w:val="24"/>
          <w:highlight w:val="none"/>
        </w:rPr>
        <w:t>法定代表人（或授权代表人）：</w:t>
      </w:r>
      <w:r>
        <w:rPr>
          <w:snapToGrid w:val="0"/>
          <w:color w:val="auto"/>
          <w:szCs w:val="24"/>
          <w:highlight w:val="none"/>
          <w:u w:val="single"/>
        </w:rPr>
        <w:t>（签字或签章）</w:t>
      </w:r>
    </w:p>
    <w:p>
      <w:pPr>
        <w:widowControl/>
        <w:autoSpaceDE/>
        <w:autoSpaceDN/>
        <w:adjustRightInd/>
        <w:jc w:val="right"/>
        <w:textAlignment w:val="auto"/>
        <w:rPr>
          <w:snapToGrid w:val="0"/>
          <w:color w:val="auto"/>
          <w:szCs w:val="24"/>
          <w:highlight w:val="none"/>
        </w:rPr>
      </w:pPr>
      <w:r>
        <w:rPr>
          <w:rFonts w:hint="eastAsia"/>
          <w:snapToGrid w:val="0"/>
          <w:color w:val="auto"/>
          <w:szCs w:val="24"/>
          <w:highlight w:val="none"/>
          <w:u w:val="single"/>
        </w:rPr>
        <w:t xml:space="preserve">    </w:t>
      </w:r>
      <w:r>
        <w:rPr>
          <w:snapToGrid w:val="0"/>
          <w:color w:val="auto"/>
          <w:szCs w:val="24"/>
          <w:highlight w:val="none"/>
        </w:rPr>
        <w:t>年</w:t>
      </w:r>
      <w:r>
        <w:rPr>
          <w:rFonts w:hint="eastAsia"/>
          <w:snapToGrid w:val="0"/>
          <w:color w:val="auto"/>
          <w:szCs w:val="24"/>
          <w:highlight w:val="none"/>
          <w:u w:val="single"/>
        </w:rPr>
        <w:t xml:space="preserve">    </w:t>
      </w:r>
      <w:r>
        <w:rPr>
          <w:snapToGrid w:val="0"/>
          <w:color w:val="auto"/>
          <w:szCs w:val="24"/>
          <w:highlight w:val="none"/>
        </w:rPr>
        <w:t>月</w:t>
      </w:r>
      <w:r>
        <w:rPr>
          <w:rFonts w:hint="eastAsia"/>
          <w:snapToGrid w:val="0"/>
          <w:color w:val="auto"/>
          <w:szCs w:val="24"/>
          <w:highlight w:val="none"/>
          <w:u w:val="single"/>
        </w:rPr>
        <w:t xml:space="preserve">    </w:t>
      </w:r>
      <w:r>
        <w:rPr>
          <w:snapToGrid w:val="0"/>
          <w:color w:val="auto"/>
          <w:szCs w:val="24"/>
          <w:highlight w:val="none"/>
        </w:rPr>
        <w:t>日</w:t>
      </w:r>
    </w:p>
    <w:p>
      <w:pPr>
        <w:rPr>
          <w:b/>
          <w:color w:val="auto"/>
          <w:sz w:val="30"/>
          <w:szCs w:val="30"/>
          <w:highlight w:val="none"/>
        </w:rPr>
      </w:pPr>
      <w:r>
        <w:rPr>
          <w:b/>
          <w:color w:val="auto"/>
          <w:sz w:val="30"/>
          <w:szCs w:val="30"/>
          <w:highlight w:val="none"/>
        </w:rPr>
        <w:br w:type="page"/>
      </w:r>
    </w:p>
    <w:p>
      <w:pPr>
        <w:rPr>
          <w:b/>
          <w:color w:val="auto"/>
          <w:sz w:val="30"/>
          <w:szCs w:val="30"/>
          <w:highlight w:val="none"/>
        </w:rPr>
      </w:pPr>
      <w:r>
        <w:rPr>
          <w:b/>
          <w:color w:val="auto"/>
          <w:sz w:val="30"/>
          <w:szCs w:val="30"/>
          <w:highlight w:val="none"/>
        </w:rPr>
        <w:t>附件</w:t>
      </w:r>
      <w:r>
        <w:rPr>
          <w:rFonts w:hint="eastAsia"/>
          <w:b/>
          <w:color w:val="auto"/>
          <w:sz w:val="30"/>
          <w:szCs w:val="30"/>
          <w:highlight w:val="none"/>
        </w:rPr>
        <w:t>8</w:t>
      </w:r>
    </w:p>
    <w:p>
      <w:pPr>
        <w:jc w:val="center"/>
        <w:rPr>
          <w:b/>
          <w:bCs/>
          <w:color w:val="auto"/>
          <w:sz w:val="44"/>
          <w:highlight w:val="none"/>
        </w:rPr>
      </w:pPr>
      <w:r>
        <w:rPr>
          <w:b/>
          <w:bCs/>
          <w:color w:val="auto"/>
          <w:sz w:val="44"/>
          <w:highlight w:val="none"/>
        </w:rPr>
        <w:t>拟参加本项目实施人员情况</w:t>
      </w:r>
    </w:p>
    <w:p>
      <w:pPr>
        <w:spacing w:after="120"/>
        <w:rPr>
          <w:color w:val="auto"/>
          <w:highlight w:val="none"/>
        </w:rPr>
      </w:pPr>
    </w:p>
    <w:tbl>
      <w:tblPr>
        <w:tblStyle w:val="33"/>
        <w:tblW w:w="9677" w:type="dxa"/>
        <w:jc w:val="center"/>
        <w:tblLayout w:type="fixed"/>
        <w:tblCellMar>
          <w:top w:w="57" w:type="dxa"/>
          <w:left w:w="57" w:type="dxa"/>
          <w:bottom w:w="57" w:type="dxa"/>
          <w:right w:w="57" w:type="dxa"/>
        </w:tblCellMar>
      </w:tblPr>
      <w:tblGrid>
        <w:gridCol w:w="635"/>
        <w:gridCol w:w="748"/>
        <w:gridCol w:w="804"/>
        <w:gridCol w:w="720"/>
        <w:gridCol w:w="1080"/>
        <w:gridCol w:w="900"/>
        <w:gridCol w:w="728"/>
        <w:gridCol w:w="2232"/>
        <w:gridCol w:w="1125"/>
        <w:gridCol w:w="705"/>
      </w:tblGrid>
      <w:tr>
        <w:tblPrEx>
          <w:tblCellMar>
            <w:top w:w="57" w:type="dxa"/>
            <w:left w:w="57" w:type="dxa"/>
            <w:bottom w:w="57" w:type="dxa"/>
            <w:right w:w="57" w:type="dxa"/>
          </w:tblCellMar>
        </w:tblPrEx>
        <w:trPr>
          <w:cantSplit/>
          <w:trHeight w:val="527"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序号</w:t>
            </w: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姓名</w:t>
            </w: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性别</w:t>
            </w: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学 历</w:t>
            </w: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专业</w:t>
            </w: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职称</w:t>
            </w:r>
          </w:p>
        </w:tc>
        <w:tc>
          <w:tcPr>
            <w:tcW w:w="2232"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拟任本项目职务</w:t>
            </w:r>
          </w:p>
        </w:tc>
        <w:tc>
          <w:tcPr>
            <w:tcW w:w="1125" w:type="dxa"/>
            <w:tcBorders>
              <w:top w:val="single" w:color="auto" w:sz="6" w:space="0"/>
              <w:left w:val="single" w:color="auto" w:sz="4" w:space="0"/>
              <w:bottom w:val="single" w:color="auto" w:sz="6" w:space="0"/>
              <w:right w:val="single" w:color="auto" w:sz="6" w:space="0"/>
            </w:tcBorders>
            <w:vAlign w:val="center"/>
          </w:tcPr>
          <w:p>
            <w:pPr>
              <w:jc w:val="center"/>
              <w:rPr>
                <w:rFonts w:hint="eastAsia" w:eastAsia="宋体"/>
                <w:color w:val="auto"/>
                <w:highlight w:val="none"/>
                <w:lang w:val="en-US" w:eastAsia="zh-CN"/>
              </w:rPr>
            </w:pPr>
            <w:r>
              <w:rPr>
                <w:rFonts w:hint="eastAsia"/>
                <w:color w:val="auto"/>
                <w:highlight w:val="none"/>
                <w:lang w:val="en-US" w:eastAsia="zh-CN"/>
              </w:rPr>
              <w:t>执业资格</w:t>
            </w:r>
          </w:p>
        </w:tc>
        <w:tc>
          <w:tcPr>
            <w:tcW w:w="70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r>
              <w:rPr>
                <w:color w:val="auto"/>
                <w:highlight w:val="none"/>
              </w:rPr>
              <w:t>备注</w:t>
            </w: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rFonts w:hint="eastAsia"/>
                <w:color w:val="auto"/>
                <w:highlight w:val="none"/>
              </w:rPr>
              <w:t>1</w:t>
            </w: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rFonts w:hint="eastAsia"/>
                <w:color w:val="auto"/>
                <w:highlight w:val="none"/>
              </w:rPr>
              <w:t>2</w:t>
            </w: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rFonts w:hint="eastAsia"/>
                <w:color w:val="auto"/>
                <w:highlight w:val="none"/>
              </w:rPr>
              <w:t>3</w:t>
            </w: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rFonts w:hint="eastAsia"/>
                <w:color w:val="auto"/>
                <w:highlight w:val="none"/>
              </w:rPr>
              <w:t>......</w:t>
            </w: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bl>
    <w:p>
      <w:pPr>
        <w:spacing w:before="77"/>
        <w:ind w:right="6"/>
        <w:rPr>
          <w:b/>
          <w:color w:val="auto"/>
          <w:highlight w:val="none"/>
        </w:rPr>
      </w:pPr>
      <w:r>
        <w:rPr>
          <w:b/>
          <w:color w:val="auto"/>
          <w:highlight w:val="none"/>
        </w:rPr>
        <w:t>注：需附相关证明材料</w:t>
      </w:r>
      <w:r>
        <w:rPr>
          <w:rFonts w:hint="eastAsia"/>
          <w:b/>
          <w:color w:val="auto"/>
          <w:highlight w:val="none"/>
        </w:rPr>
        <w:t>。</w:t>
      </w:r>
    </w:p>
    <w:p>
      <w:pPr>
        <w:widowControl/>
        <w:autoSpaceDE/>
        <w:autoSpaceDN/>
        <w:adjustRightInd/>
        <w:spacing w:line="360" w:lineRule="auto"/>
        <w:ind w:left="3840" w:leftChars="1600"/>
        <w:textAlignment w:val="auto"/>
        <w:rPr>
          <w:snapToGrid w:val="0"/>
          <w:color w:val="auto"/>
          <w:szCs w:val="24"/>
          <w:highlight w:val="none"/>
        </w:rPr>
      </w:pPr>
    </w:p>
    <w:p>
      <w:pPr>
        <w:widowControl/>
        <w:autoSpaceDE/>
        <w:autoSpaceDN/>
        <w:adjustRightInd/>
        <w:spacing w:line="360" w:lineRule="auto"/>
        <w:ind w:left="3840" w:leftChars="1600"/>
        <w:textAlignment w:val="auto"/>
        <w:rPr>
          <w:snapToGrid w:val="0"/>
          <w:color w:val="auto"/>
          <w:szCs w:val="24"/>
          <w:highlight w:val="none"/>
        </w:rPr>
      </w:pPr>
      <w:r>
        <w:rPr>
          <w:snapToGrid w:val="0"/>
          <w:color w:val="auto"/>
          <w:szCs w:val="24"/>
          <w:highlight w:val="none"/>
        </w:rPr>
        <w:t>投标供应商</w:t>
      </w:r>
      <w:r>
        <w:rPr>
          <w:rFonts w:hint="eastAsia"/>
          <w:snapToGrid w:val="0"/>
          <w:color w:val="auto"/>
          <w:szCs w:val="24"/>
          <w:highlight w:val="none"/>
        </w:rPr>
        <w:t>（盖章）</w:t>
      </w:r>
      <w:r>
        <w:rPr>
          <w:snapToGrid w:val="0"/>
          <w:color w:val="auto"/>
          <w:szCs w:val="24"/>
          <w:highlight w:val="none"/>
        </w:rPr>
        <w:t>：</w:t>
      </w:r>
    </w:p>
    <w:p>
      <w:pPr>
        <w:widowControl/>
        <w:autoSpaceDE/>
        <w:autoSpaceDN/>
        <w:adjustRightInd/>
        <w:spacing w:line="360" w:lineRule="auto"/>
        <w:ind w:left="3840" w:leftChars="1600"/>
        <w:textAlignment w:val="auto"/>
        <w:rPr>
          <w:snapToGrid w:val="0"/>
          <w:color w:val="auto"/>
          <w:szCs w:val="24"/>
          <w:highlight w:val="none"/>
        </w:rPr>
      </w:pPr>
      <w:r>
        <w:rPr>
          <w:snapToGrid w:val="0"/>
          <w:color w:val="auto"/>
          <w:szCs w:val="24"/>
          <w:highlight w:val="none"/>
        </w:rPr>
        <w:t>法定代表人（或授权代表人）：</w:t>
      </w:r>
      <w:r>
        <w:rPr>
          <w:snapToGrid w:val="0"/>
          <w:color w:val="auto"/>
          <w:szCs w:val="24"/>
          <w:highlight w:val="none"/>
          <w:u w:val="single"/>
        </w:rPr>
        <w:t>（签字或签章）</w:t>
      </w:r>
    </w:p>
    <w:p>
      <w:pPr>
        <w:widowControl/>
        <w:autoSpaceDE/>
        <w:autoSpaceDN/>
        <w:adjustRightInd/>
        <w:jc w:val="right"/>
        <w:textAlignment w:val="auto"/>
        <w:rPr>
          <w:snapToGrid w:val="0"/>
          <w:color w:val="auto"/>
          <w:szCs w:val="24"/>
          <w:highlight w:val="none"/>
        </w:rPr>
      </w:pPr>
      <w:r>
        <w:rPr>
          <w:rFonts w:hint="eastAsia"/>
          <w:snapToGrid w:val="0"/>
          <w:color w:val="auto"/>
          <w:szCs w:val="24"/>
          <w:highlight w:val="none"/>
          <w:u w:val="single"/>
        </w:rPr>
        <w:t xml:space="preserve">    </w:t>
      </w:r>
      <w:r>
        <w:rPr>
          <w:snapToGrid w:val="0"/>
          <w:color w:val="auto"/>
          <w:szCs w:val="24"/>
          <w:highlight w:val="none"/>
        </w:rPr>
        <w:t>年</w:t>
      </w:r>
      <w:r>
        <w:rPr>
          <w:rFonts w:hint="eastAsia"/>
          <w:snapToGrid w:val="0"/>
          <w:color w:val="auto"/>
          <w:szCs w:val="24"/>
          <w:highlight w:val="none"/>
          <w:u w:val="single"/>
        </w:rPr>
        <w:t xml:space="preserve">    </w:t>
      </w:r>
      <w:r>
        <w:rPr>
          <w:snapToGrid w:val="0"/>
          <w:color w:val="auto"/>
          <w:szCs w:val="24"/>
          <w:highlight w:val="none"/>
        </w:rPr>
        <w:t>月</w:t>
      </w:r>
      <w:r>
        <w:rPr>
          <w:rFonts w:hint="eastAsia"/>
          <w:snapToGrid w:val="0"/>
          <w:color w:val="auto"/>
          <w:szCs w:val="24"/>
          <w:highlight w:val="none"/>
          <w:u w:val="single"/>
        </w:rPr>
        <w:t xml:space="preserve">    </w:t>
      </w:r>
      <w:r>
        <w:rPr>
          <w:snapToGrid w:val="0"/>
          <w:color w:val="auto"/>
          <w:szCs w:val="24"/>
          <w:highlight w:val="none"/>
        </w:rPr>
        <w:t>日</w:t>
      </w:r>
    </w:p>
    <w:p>
      <w:pPr>
        <w:rPr>
          <w:b/>
          <w:color w:val="auto"/>
          <w:sz w:val="30"/>
          <w:szCs w:val="30"/>
          <w:highlight w:val="none"/>
        </w:rPr>
      </w:pPr>
      <w:r>
        <w:rPr>
          <w:b/>
          <w:color w:val="auto"/>
          <w:sz w:val="30"/>
          <w:szCs w:val="30"/>
          <w:highlight w:val="none"/>
        </w:rPr>
        <w:br w:type="page"/>
      </w:r>
    </w:p>
    <w:p>
      <w:pPr>
        <w:rPr>
          <w:b/>
          <w:color w:val="auto"/>
          <w:sz w:val="30"/>
          <w:szCs w:val="30"/>
          <w:highlight w:val="none"/>
        </w:rPr>
      </w:pPr>
      <w:r>
        <w:rPr>
          <w:b/>
          <w:color w:val="auto"/>
          <w:sz w:val="30"/>
          <w:szCs w:val="30"/>
          <w:highlight w:val="none"/>
        </w:rPr>
        <w:t>附件</w:t>
      </w:r>
      <w:r>
        <w:rPr>
          <w:rFonts w:hint="eastAsia"/>
          <w:b/>
          <w:color w:val="auto"/>
          <w:sz w:val="30"/>
          <w:szCs w:val="30"/>
          <w:highlight w:val="none"/>
        </w:rPr>
        <w:t>9</w:t>
      </w:r>
    </w:p>
    <w:p>
      <w:pPr>
        <w:jc w:val="center"/>
        <w:rPr>
          <w:b/>
          <w:bCs/>
          <w:color w:val="auto"/>
          <w:sz w:val="44"/>
          <w:highlight w:val="none"/>
        </w:rPr>
      </w:pPr>
      <w:r>
        <w:rPr>
          <w:b/>
          <w:bCs/>
          <w:color w:val="auto"/>
          <w:sz w:val="44"/>
          <w:highlight w:val="none"/>
        </w:rPr>
        <w:t>技术偏离表</w:t>
      </w:r>
    </w:p>
    <w:p>
      <w:pPr>
        <w:snapToGrid w:val="0"/>
        <w:spacing w:line="360" w:lineRule="auto"/>
        <w:rPr>
          <w:snapToGrid w:val="0"/>
          <w:color w:val="auto"/>
          <w:szCs w:val="24"/>
          <w:highlight w:val="none"/>
        </w:rPr>
      </w:pPr>
    </w:p>
    <w:p>
      <w:pPr>
        <w:snapToGrid w:val="0"/>
        <w:spacing w:line="360" w:lineRule="auto"/>
        <w:rPr>
          <w:snapToGrid w:val="0"/>
          <w:color w:val="auto"/>
          <w:szCs w:val="24"/>
          <w:highlight w:val="none"/>
        </w:rPr>
      </w:pPr>
      <w:r>
        <w:rPr>
          <w:snapToGrid w:val="0"/>
          <w:color w:val="auto"/>
          <w:szCs w:val="24"/>
          <w:highlight w:val="none"/>
        </w:rPr>
        <w:t>项目名称：</w:t>
      </w:r>
    </w:p>
    <w:p>
      <w:pPr>
        <w:snapToGrid w:val="0"/>
        <w:spacing w:line="360" w:lineRule="auto"/>
        <w:rPr>
          <w:snapToGrid w:val="0"/>
          <w:color w:val="auto"/>
          <w:szCs w:val="24"/>
          <w:highlight w:val="none"/>
        </w:rPr>
      </w:pPr>
      <w:r>
        <w:rPr>
          <w:snapToGrid w:val="0"/>
          <w:color w:val="auto"/>
          <w:szCs w:val="24"/>
          <w:highlight w:val="none"/>
        </w:rPr>
        <w:t>项目编号：</w:t>
      </w:r>
    </w:p>
    <w:tbl>
      <w:tblPr>
        <w:tblStyle w:val="33"/>
        <w:tblW w:w="898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23"/>
        <w:gridCol w:w="2064"/>
        <w:gridCol w:w="1959"/>
        <w:gridCol w:w="1677"/>
        <w:gridCol w:w="14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r>
              <w:rPr>
                <w:rFonts w:hint="eastAsia"/>
                <w:snapToGrid w:val="0"/>
                <w:color w:val="auto"/>
                <w:szCs w:val="24"/>
                <w:highlight w:val="none"/>
              </w:rPr>
              <w:t>名称</w:t>
            </w: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r>
              <w:rPr>
                <w:snapToGrid w:val="0"/>
                <w:color w:val="auto"/>
                <w:szCs w:val="24"/>
                <w:highlight w:val="none"/>
              </w:rPr>
              <w:t>采购要求</w:t>
            </w: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r>
              <w:rPr>
                <w:snapToGrid w:val="0"/>
                <w:color w:val="auto"/>
                <w:szCs w:val="24"/>
                <w:highlight w:val="none"/>
              </w:rPr>
              <w:t>投标响应</w:t>
            </w: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r>
              <w:rPr>
                <w:snapToGrid w:val="0"/>
                <w:color w:val="auto"/>
                <w:szCs w:val="24"/>
                <w:highlight w:val="none"/>
              </w:rPr>
              <w:t>偏离情况</w:t>
            </w: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r>
              <w:rPr>
                <w:snapToGrid w:val="0"/>
                <w:color w:val="auto"/>
                <w:szCs w:val="24"/>
                <w:highlight w:val="none"/>
              </w:rPr>
              <w:t>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bl>
    <w:p>
      <w:pPr>
        <w:pStyle w:val="14"/>
        <w:spacing w:after="0" w:line="360" w:lineRule="auto"/>
        <w:rPr>
          <w:snapToGrid w:val="0"/>
          <w:color w:val="auto"/>
          <w:sz w:val="24"/>
          <w:szCs w:val="24"/>
          <w:highlight w:val="none"/>
        </w:rPr>
      </w:pPr>
    </w:p>
    <w:p>
      <w:pPr>
        <w:spacing w:line="360" w:lineRule="auto"/>
        <w:rPr>
          <w:snapToGrid w:val="0"/>
          <w:color w:val="auto"/>
          <w:szCs w:val="24"/>
          <w:highlight w:val="none"/>
        </w:rPr>
      </w:pPr>
      <w:r>
        <w:rPr>
          <w:snapToGrid w:val="0"/>
          <w:color w:val="auto"/>
          <w:szCs w:val="24"/>
          <w:highlight w:val="none"/>
        </w:rPr>
        <w:t>注：1、在“偏离情况”栏注明“正偏离”、“负偏离”或“无偏离”。</w:t>
      </w:r>
    </w:p>
    <w:p>
      <w:pPr>
        <w:spacing w:line="360" w:lineRule="auto"/>
        <w:ind w:firstLine="480" w:firstLineChars="200"/>
        <w:rPr>
          <w:snapToGrid w:val="0"/>
          <w:color w:val="auto"/>
          <w:szCs w:val="24"/>
          <w:highlight w:val="none"/>
        </w:rPr>
      </w:pPr>
      <w:r>
        <w:rPr>
          <w:rFonts w:hint="eastAsia"/>
          <w:snapToGrid w:val="0"/>
          <w:color w:val="auto"/>
          <w:szCs w:val="24"/>
          <w:highlight w:val="none"/>
        </w:rPr>
        <w:t>2</w:t>
      </w:r>
      <w:r>
        <w:rPr>
          <w:snapToGrid w:val="0"/>
          <w:color w:val="auto"/>
          <w:szCs w:val="24"/>
          <w:highlight w:val="none"/>
        </w:rPr>
        <w:t>、</w:t>
      </w:r>
      <w:r>
        <w:rPr>
          <w:rFonts w:hint="eastAsia"/>
          <w:snapToGrid w:val="0"/>
          <w:color w:val="auto"/>
          <w:szCs w:val="24"/>
          <w:highlight w:val="none"/>
        </w:rPr>
        <w:t>若</w:t>
      </w:r>
      <w:r>
        <w:rPr>
          <w:snapToGrid w:val="0"/>
          <w:color w:val="auto"/>
          <w:szCs w:val="24"/>
          <w:highlight w:val="none"/>
        </w:rPr>
        <w:t>不填写则视为全部响应。</w:t>
      </w:r>
    </w:p>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（盖章）</w:t>
      </w:r>
      <w:r>
        <w:rPr>
          <w:rFonts w:ascii="Times New Roman" w:hAnsi="Times New Roman"/>
          <w:snapToGrid w:val="0"/>
          <w:color w:val="auto"/>
          <w:highlight w:val="none"/>
        </w:rPr>
        <w:t>：</w:t>
      </w: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法定代表人（或授权代表人）：</w:t>
      </w:r>
      <w:r>
        <w:rPr>
          <w:rFonts w:ascii="Times New Roman" w:hAnsi="Times New Roman"/>
          <w:snapToGrid w:val="0"/>
          <w:color w:val="auto"/>
          <w:highlight w:val="none"/>
          <w:u w:val="single"/>
        </w:rPr>
        <w:t>（签字或签章）</w:t>
      </w:r>
    </w:p>
    <w:p>
      <w:pPr>
        <w:pStyle w:val="29"/>
        <w:spacing w:before="0" w:beforeAutospacing="0" w:after="0" w:afterAutospacing="0" w:line="360" w:lineRule="auto"/>
        <w:jc w:val="right"/>
        <w:rPr>
          <w:rFonts w:ascii="Times New Roman" w:hAnsi="Times New Roman"/>
          <w:snapToGrid w:val="0"/>
          <w:color w:val="auto"/>
          <w:highlight w:val="none"/>
        </w:rPr>
      </w:pP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rPr>
          <w:b/>
          <w:color w:val="auto"/>
          <w:sz w:val="30"/>
          <w:szCs w:val="30"/>
          <w:highlight w:val="none"/>
        </w:rPr>
      </w:pPr>
      <w:r>
        <w:rPr>
          <w:b/>
          <w:color w:val="auto"/>
          <w:sz w:val="30"/>
          <w:szCs w:val="30"/>
          <w:highlight w:val="none"/>
        </w:rPr>
        <w:br w:type="page"/>
      </w:r>
    </w:p>
    <w:p>
      <w:pPr>
        <w:widowControl/>
        <w:autoSpaceDE/>
        <w:autoSpaceDN/>
        <w:adjustRightInd/>
        <w:jc w:val="left"/>
        <w:textAlignment w:val="auto"/>
        <w:rPr>
          <w:b/>
          <w:bCs/>
          <w:color w:val="auto"/>
          <w:highlight w:val="none"/>
        </w:rPr>
      </w:pPr>
      <w:r>
        <w:rPr>
          <w:b/>
          <w:bCs/>
          <w:color w:val="auto"/>
          <w:highlight w:val="none"/>
        </w:rPr>
        <w:t>投标文件封面3：</w:t>
      </w:r>
    </w:p>
    <w:p>
      <w:pPr>
        <w:pStyle w:val="17"/>
        <w:spacing w:line="240" w:lineRule="auto"/>
        <w:ind w:firstLine="0"/>
        <w:jc w:val="center"/>
        <w:rPr>
          <w:color w:val="auto"/>
          <w:sz w:val="52"/>
          <w:szCs w:val="52"/>
          <w:highlight w:val="none"/>
        </w:rPr>
      </w:pPr>
    </w:p>
    <w:p>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水土保持监测管理平台运维</w:t>
      </w:r>
    </w:p>
    <w:p>
      <w:pPr>
        <w:pStyle w:val="17"/>
        <w:tabs>
          <w:tab w:val="left" w:pos="0"/>
          <w:tab w:val="clear" w:pos="3025"/>
        </w:tabs>
        <w:spacing w:line="240" w:lineRule="auto"/>
        <w:ind w:firstLine="0"/>
        <w:jc w:val="center"/>
        <w:rPr>
          <w:rFonts w:eastAsia="黑体"/>
          <w:color w:val="auto"/>
          <w:sz w:val="32"/>
          <w:szCs w:val="32"/>
          <w:highlight w:val="none"/>
        </w:rPr>
      </w:pPr>
    </w:p>
    <w:p>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lang w:eastAsia="zh-CN"/>
        </w:rPr>
        <w:t>ZSSJCG-202304022</w:t>
      </w:r>
      <w:r>
        <w:rPr>
          <w:rFonts w:eastAsia="黑体"/>
          <w:color w:val="auto"/>
          <w:sz w:val="32"/>
          <w:szCs w:val="32"/>
          <w:highlight w:val="none"/>
        </w:rPr>
        <w:t>）</w:t>
      </w: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0"/>
        <w:jc w:val="center"/>
        <w:rPr>
          <w:color w:val="auto"/>
          <w:sz w:val="52"/>
          <w:szCs w:val="52"/>
          <w:highlight w:val="none"/>
        </w:rPr>
      </w:pPr>
      <w:r>
        <w:rPr>
          <w:color w:val="auto"/>
          <w:sz w:val="52"/>
          <w:szCs w:val="52"/>
          <w:highlight w:val="none"/>
        </w:rPr>
        <w:t>投标文件</w:t>
      </w:r>
    </w:p>
    <w:p>
      <w:pPr>
        <w:pStyle w:val="17"/>
        <w:jc w:val="left"/>
        <w:rPr>
          <w:color w:val="auto"/>
          <w:sz w:val="52"/>
          <w:szCs w:val="52"/>
          <w:highlight w:val="none"/>
        </w:rPr>
      </w:pPr>
    </w:p>
    <w:p>
      <w:pPr>
        <w:pStyle w:val="17"/>
        <w:spacing w:line="600" w:lineRule="exact"/>
        <w:ind w:firstLine="0"/>
        <w:jc w:val="center"/>
        <w:rPr>
          <w:color w:val="auto"/>
          <w:sz w:val="52"/>
          <w:szCs w:val="52"/>
          <w:highlight w:val="none"/>
        </w:rPr>
      </w:pPr>
      <w:r>
        <w:rPr>
          <w:color w:val="auto"/>
          <w:sz w:val="52"/>
          <w:szCs w:val="52"/>
          <w:highlight w:val="none"/>
        </w:rPr>
        <w:t>（</w:t>
      </w:r>
      <w:r>
        <w:rPr>
          <w:rFonts w:hint="eastAsia"/>
          <w:color w:val="auto"/>
          <w:sz w:val="52"/>
          <w:szCs w:val="52"/>
          <w:highlight w:val="none"/>
        </w:rPr>
        <w:t>报价</w:t>
      </w:r>
      <w:r>
        <w:rPr>
          <w:color w:val="auto"/>
          <w:sz w:val="52"/>
          <w:szCs w:val="52"/>
          <w:highlight w:val="none"/>
        </w:rPr>
        <w:t>文件）</w:t>
      </w: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center"/>
        <w:rPr>
          <w:rFonts w:eastAsia="黑体"/>
          <w:color w:val="auto"/>
          <w:sz w:val="30"/>
          <w:szCs w:val="30"/>
          <w:highlight w:val="none"/>
          <w:u w:val="single"/>
        </w:rPr>
      </w:pPr>
      <w:r>
        <w:rPr>
          <w:color w:val="auto"/>
          <w:sz w:val="30"/>
          <w:szCs w:val="30"/>
          <w:highlight w:val="none"/>
        </w:rPr>
        <w:t>投标供应商：</w:t>
      </w:r>
      <w:r>
        <w:rPr>
          <w:rFonts w:eastAsia="黑体"/>
          <w:color w:val="auto"/>
          <w:sz w:val="30"/>
          <w:szCs w:val="30"/>
          <w:highlight w:val="none"/>
        </w:rPr>
        <w:t>（全称并盖章）</w:t>
      </w:r>
    </w:p>
    <w:p>
      <w:pPr>
        <w:pStyle w:val="17"/>
        <w:spacing w:line="240" w:lineRule="auto"/>
        <w:ind w:firstLine="0"/>
        <w:jc w:val="center"/>
        <w:rPr>
          <w:color w:val="auto"/>
          <w:highlight w:val="none"/>
        </w:rPr>
      </w:pPr>
      <w:r>
        <w:rPr>
          <w:color w:val="auto"/>
          <w:sz w:val="30"/>
          <w:szCs w:val="30"/>
          <w:highlight w:val="none"/>
        </w:rPr>
        <w:t xml:space="preserve"> 编制日期：    年    月    日</w:t>
      </w:r>
    </w:p>
    <w:p>
      <w:pPr>
        <w:pStyle w:val="17"/>
        <w:spacing w:line="240" w:lineRule="auto"/>
        <w:ind w:firstLine="1506"/>
        <w:jc w:val="left"/>
        <w:rPr>
          <w:b/>
          <w:color w:val="auto"/>
          <w:sz w:val="30"/>
          <w:szCs w:val="30"/>
          <w:highlight w:val="none"/>
        </w:rPr>
      </w:pPr>
    </w:p>
    <w:p>
      <w:pPr>
        <w:pStyle w:val="17"/>
        <w:spacing w:line="240" w:lineRule="auto"/>
        <w:ind w:firstLine="0"/>
        <w:jc w:val="left"/>
        <w:rPr>
          <w:b/>
          <w:color w:val="auto"/>
          <w:sz w:val="30"/>
          <w:szCs w:val="30"/>
          <w:highlight w:val="none"/>
        </w:rPr>
      </w:pPr>
    </w:p>
    <w:p>
      <w:pPr>
        <w:rPr>
          <w:b/>
          <w:color w:val="auto"/>
          <w:sz w:val="52"/>
          <w:szCs w:val="52"/>
          <w:highlight w:val="none"/>
        </w:rPr>
      </w:pPr>
      <w:r>
        <w:rPr>
          <w:rFonts w:hint="eastAsia"/>
          <w:b/>
          <w:color w:val="auto"/>
          <w:sz w:val="52"/>
          <w:szCs w:val="52"/>
          <w:highlight w:val="none"/>
        </w:rPr>
        <w:br w:type="page"/>
      </w:r>
    </w:p>
    <w:p>
      <w:pPr>
        <w:snapToGrid w:val="0"/>
        <w:spacing w:line="360" w:lineRule="auto"/>
        <w:jc w:val="center"/>
        <w:rPr>
          <w:b/>
          <w:color w:val="auto"/>
          <w:sz w:val="52"/>
          <w:szCs w:val="52"/>
          <w:highlight w:val="none"/>
        </w:rPr>
      </w:pPr>
      <w:r>
        <w:rPr>
          <w:rFonts w:hint="eastAsia"/>
          <w:b/>
          <w:color w:val="auto"/>
          <w:sz w:val="52"/>
          <w:szCs w:val="52"/>
          <w:highlight w:val="none"/>
        </w:rPr>
        <w:t>目录</w:t>
      </w:r>
    </w:p>
    <w:p>
      <w:pPr>
        <w:snapToGrid w:val="0"/>
        <w:spacing w:line="360" w:lineRule="auto"/>
        <w:jc w:val="left"/>
        <w:rPr>
          <w:color w:val="auto"/>
          <w:highlight w:val="none"/>
        </w:rPr>
      </w:pPr>
      <w:r>
        <w:rPr>
          <w:rFonts w:hint="eastAsia"/>
          <w:color w:val="auto"/>
          <w:highlight w:val="none"/>
        </w:rPr>
        <w:t>（1）投标函.....................................................................................................................页码</w:t>
      </w:r>
    </w:p>
    <w:p>
      <w:pPr>
        <w:snapToGrid w:val="0"/>
        <w:spacing w:line="360" w:lineRule="auto"/>
        <w:jc w:val="left"/>
        <w:rPr>
          <w:color w:val="auto"/>
          <w:highlight w:val="none"/>
        </w:rPr>
      </w:pPr>
      <w:r>
        <w:rPr>
          <w:rFonts w:hint="eastAsia"/>
          <w:color w:val="auto"/>
          <w:highlight w:val="none"/>
        </w:rPr>
        <w:t>（2）开标一览表.............................................................................................................页码</w:t>
      </w:r>
    </w:p>
    <w:p>
      <w:pPr>
        <w:snapToGrid w:val="0"/>
        <w:spacing w:line="360" w:lineRule="auto"/>
        <w:jc w:val="left"/>
        <w:rPr>
          <w:color w:val="auto"/>
          <w:highlight w:val="none"/>
        </w:rPr>
      </w:pPr>
      <w:r>
        <w:rPr>
          <w:rFonts w:hint="eastAsia"/>
          <w:color w:val="auto"/>
          <w:highlight w:val="none"/>
        </w:rPr>
        <w:t>（3）报价明细表.............................................................................................................页码</w:t>
      </w:r>
    </w:p>
    <w:p>
      <w:pPr>
        <w:snapToGrid w:val="0"/>
        <w:spacing w:line="360" w:lineRule="auto"/>
        <w:jc w:val="left"/>
        <w:rPr>
          <w:b/>
          <w:color w:val="auto"/>
          <w:highlight w:val="none"/>
        </w:rPr>
      </w:pPr>
      <w:r>
        <w:rPr>
          <w:rFonts w:hint="eastAsia"/>
          <w:color w:val="auto"/>
          <w:highlight w:val="none"/>
          <w:lang w:eastAsia="zh-CN"/>
        </w:rPr>
        <w:t>（</w:t>
      </w:r>
      <w:r>
        <w:rPr>
          <w:rFonts w:hint="eastAsia"/>
          <w:color w:val="auto"/>
          <w:highlight w:val="none"/>
          <w:lang w:val="en-US" w:eastAsia="zh-CN"/>
        </w:rPr>
        <w:t>4</w:t>
      </w:r>
      <w:r>
        <w:rPr>
          <w:rFonts w:hint="eastAsia"/>
          <w:color w:val="auto"/>
          <w:highlight w:val="none"/>
          <w:lang w:eastAsia="zh-CN"/>
        </w:rPr>
        <w:t>）</w:t>
      </w:r>
      <w:r>
        <w:rPr>
          <w:rFonts w:hint="eastAsia"/>
          <w:color w:val="auto"/>
          <w:highlight w:val="none"/>
        </w:rPr>
        <w:t>投标供应商针对报价需要说明的其他事项.........................................................页码</w:t>
      </w: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r>
        <w:rPr>
          <w:b/>
          <w:color w:val="auto"/>
          <w:sz w:val="30"/>
          <w:szCs w:val="30"/>
          <w:highlight w:val="none"/>
        </w:rPr>
        <w:br w:type="page"/>
      </w:r>
    </w:p>
    <w:p>
      <w:pPr>
        <w:rPr>
          <w:b/>
          <w:color w:val="auto"/>
          <w:sz w:val="30"/>
          <w:szCs w:val="30"/>
          <w:highlight w:val="none"/>
        </w:rPr>
      </w:pPr>
      <w:r>
        <w:rPr>
          <w:b/>
          <w:color w:val="auto"/>
          <w:sz w:val="30"/>
          <w:szCs w:val="30"/>
          <w:highlight w:val="none"/>
        </w:rPr>
        <w:t>附件</w:t>
      </w:r>
      <w:r>
        <w:rPr>
          <w:rFonts w:hint="eastAsia"/>
          <w:b/>
          <w:color w:val="auto"/>
          <w:sz w:val="30"/>
          <w:szCs w:val="30"/>
          <w:highlight w:val="none"/>
        </w:rPr>
        <w:t>10</w:t>
      </w:r>
    </w:p>
    <w:p>
      <w:pPr>
        <w:jc w:val="center"/>
        <w:rPr>
          <w:b/>
          <w:bCs/>
          <w:color w:val="auto"/>
          <w:sz w:val="44"/>
          <w:highlight w:val="none"/>
        </w:rPr>
      </w:pPr>
      <w:r>
        <w:rPr>
          <w:rFonts w:hint="eastAsia"/>
          <w:b/>
          <w:bCs/>
          <w:color w:val="auto"/>
          <w:sz w:val="44"/>
          <w:highlight w:val="none"/>
        </w:rPr>
        <w:t>投标</w:t>
      </w:r>
      <w:r>
        <w:rPr>
          <w:b/>
          <w:bCs/>
          <w:color w:val="auto"/>
          <w:sz w:val="44"/>
          <w:highlight w:val="none"/>
        </w:rPr>
        <w:t>函</w:t>
      </w:r>
    </w:p>
    <w:p>
      <w:pPr>
        <w:spacing w:line="500" w:lineRule="exact"/>
        <w:jc w:val="left"/>
        <w:rPr>
          <w:color w:val="auto"/>
          <w:sz w:val="28"/>
          <w:highlight w:val="none"/>
          <w:u w:val="single"/>
        </w:rPr>
      </w:pPr>
      <w:r>
        <w:rPr>
          <w:color w:val="auto"/>
          <w:highlight w:val="none"/>
        </w:rPr>
        <w:t>致：</w:t>
      </w:r>
      <w:r>
        <w:rPr>
          <w:rFonts w:hint="eastAsia"/>
          <w:color w:val="auto"/>
          <w:highlight w:val="none"/>
          <w:u w:val="single"/>
        </w:rPr>
        <w:t xml:space="preserve">  （采购人、采购代理单位）  </w:t>
      </w:r>
    </w:p>
    <w:p>
      <w:pPr>
        <w:rPr>
          <w:snapToGrid w:val="0"/>
          <w:color w:val="auto"/>
          <w:szCs w:val="24"/>
          <w:highlight w:val="none"/>
        </w:rPr>
      </w:pPr>
    </w:p>
    <w:p>
      <w:pPr>
        <w:spacing w:line="360" w:lineRule="auto"/>
        <w:ind w:firstLine="480" w:firstLineChars="200"/>
        <w:rPr>
          <w:color w:val="auto"/>
          <w:highlight w:val="none"/>
        </w:rPr>
      </w:pPr>
      <w:r>
        <w:rPr>
          <w:rFonts w:hint="eastAsia"/>
          <w:color w:val="auto"/>
          <w:highlight w:val="none"/>
        </w:rPr>
        <w:t>我方参加你方组织</w:t>
      </w:r>
      <w:r>
        <w:rPr>
          <w:rFonts w:hint="eastAsia"/>
          <w:color w:val="auto"/>
          <w:highlight w:val="none"/>
          <w:u w:val="single"/>
        </w:rPr>
        <w:t xml:space="preserve">                         </w:t>
      </w:r>
      <w:r>
        <w:rPr>
          <w:rFonts w:hint="eastAsia"/>
          <w:color w:val="auto"/>
          <w:highlight w:val="none"/>
        </w:rPr>
        <w:t>项目【采购编号：             】的有关活动，并对此项目进行投标。为此：</w:t>
      </w:r>
    </w:p>
    <w:p>
      <w:pPr>
        <w:autoSpaceDE/>
        <w:autoSpaceDN/>
        <w:adjustRightInd/>
        <w:spacing w:line="440" w:lineRule="exact"/>
        <w:ind w:firstLine="480" w:firstLineChars="200"/>
        <w:textAlignment w:val="auto"/>
        <w:rPr>
          <w:color w:val="auto"/>
          <w:highlight w:val="none"/>
        </w:rPr>
      </w:pPr>
      <w:r>
        <w:rPr>
          <w:rFonts w:hint="eastAsia"/>
          <w:color w:val="auto"/>
          <w:highlight w:val="none"/>
        </w:rPr>
        <w:t>1、我方同意在投标人编制和提交投标文件须知规定的开标日期起遵守本</w:t>
      </w:r>
      <w:r>
        <w:rPr>
          <w:rFonts w:hint="eastAsia"/>
          <w:color w:val="auto"/>
          <w:highlight w:val="none"/>
          <w:lang w:val="en-US" w:eastAsia="zh-CN"/>
        </w:rPr>
        <w:t>投标函</w:t>
      </w:r>
      <w:r>
        <w:rPr>
          <w:rFonts w:hint="eastAsia"/>
          <w:color w:val="auto"/>
          <w:highlight w:val="none"/>
        </w:rPr>
        <w:t>中的承诺且在投标有效期满之前均具有约束力。</w:t>
      </w:r>
    </w:p>
    <w:p>
      <w:pPr>
        <w:autoSpaceDE/>
        <w:autoSpaceDN/>
        <w:adjustRightInd/>
        <w:spacing w:line="440" w:lineRule="exact"/>
        <w:ind w:firstLine="480" w:firstLineChars="200"/>
        <w:textAlignment w:val="auto"/>
        <w:rPr>
          <w:color w:val="auto"/>
          <w:highlight w:val="none"/>
        </w:rPr>
      </w:pPr>
      <w:r>
        <w:rPr>
          <w:rFonts w:hint="eastAsia"/>
          <w:color w:val="auto"/>
          <w:highlight w:val="none"/>
        </w:rPr>
        <w:t>2、我方承诺已经具备《中华人民共和国政府采购法》中规定的参加政府采购活动的投标人应当具备的条件：</w:t>
      </w:r>
    </w:p>
    <w:p>
      <w:pPr>
        <w:spacing w:line="440" w:lineRule="exact"/>
        <w:ind w:firstLine="360" w:firstLineChars="150"/>
        <w:rPr>
          <w:color w:val="auto"/>
          <w:highlight w:val="none"/>
        </w:rPr>
      </w:pPr>
      <w:r>
        <w:rPr>
          <w:color w:val="auto"/>
          <w:highlight w:val="none"/>
        </w:rPr>
        <w:t>（1）具有独立承担民事责任的能力；</w:t>
      </w:r>
    </w:p>
    <w:p>
      <w:pPr>
        <w:spacing w:line="440" w:lineRule="exact"/>
        <w:ind w:firstLine="360" w:firstLineChars="150"/>
        <w:rPr>
          <w:color w:val="auto"/>
          <w:highlight w:val="none"/>
        </w:rPr>
      </w:pPr>
      <w:r>
        <w:rPr>
          <w:color w:val="auto"/>
          <w:highlight w:val="none"/>
        </w:rPr>
        <w:t>（2）遵守国家法律、行政法规，具有良好的信誉和商业道德；</w:t>
      </w:r>
    </w:p>
    <w:p>
      <w:pPr>
        <w:spacing w:line="440" w:lineRule="exact"/>
        <w:ind w:firstLine="360" w:firstLineChars="150"/>
        <w:rPr>
          <w:color w:val="auto"/>
          <w:highlight w:val="none"/>
        </w:rPr>
      </w:pPr>
      <w:r>
        <w:rPr>
          <w:color w:val="auto"/>
          <w:highlight w:val="none"/>
        </w:rPr>
        <w:t>（3）具有履行合同的能力和良好的履行合同记录；</w:t>
      </w:r>
    </w:p>
    <w:p>
      <w:pPr>
        <w:spacing w:line="440" w:lineRule="exact"/>
        <w:ind w:firstLine="360" w:firstLineChars="150"/>
        <w:rPr>
          <w:color w:val="auto"/>
          <w:highlight w:val="none"/>
        </w:rPr>
      </w:pPr>
      <w:r>
        <w:rPr>
          <w:color w:val="auto"/>
          <w:highlight w:val="none"/>
        </w:rPr>
        <w:t>（4）良好的资金、财务状况；</w:t>
      </w:r>
    </w:p>
    <w:p>
      <w:pPr>
        <w:spacing w:line="440" w:lineRule="exact"/>
        <w:ind w:firstLine="360" w:firstLineChars="150"/>
        <w:rPr>
          <w:color w:val="auto"/>
          <w:highlight w:val="none"/>
        </w:rPr>
      </w:pPr>
      <w:r>
        <w:rPr>
          <w:rFonts w:hint="eastAsia"/>
          <w:color w:val="auto"/>
          <w:highlight w:val="none"/>
        </w:rPr>
        <w:t>（5）没有违反政府采购法规、政策的记录；</w:t>
      </w:r>
    </w:p>
    <w:p>
      <w:pPr>
        <w:spacing w:line="440" w:lineRule="exact"/>
        <w:ind w:firstLine="360" w:firstLineChars="150"/>
        <w:rPr>
          <w:color w:val="auto"/>
          <w:highlight w:val="none"/>
        </w:rPr>
      </w:pPr>
      <w:r>
        <w:rPr>
          <w:rFonts w:hint="eastAsia"/>
          <w:color w:val="auto"/>
          <w:highlight w:val="none"/>
        </w:rPr>
        <w:t>（6）没有发生重大经济纠纷和走私犯罪记录。</w:t>
      </w:r>
    </w:p>
    <w:p>
      <w:pPr>
        <w:spacing w:line="440" w:lineRule="exact"/>
        <w:ind w:firstLine="480" w:firstLineChars="200"/>
        <w:rPr>
          <w:color w:val="auto"/>
          <w:highlight w:val="none"/>
        </w:rPr>
      </w:pPr>
      <w:r>
        <w:rPr>
          <w:rFonts w:hint="eastAsia"/>
          <w:color w:val="auto"/>
          <w:highlight w:val="none"/>
        </w:rPr>
        <w:t>3、</w:t>
      </w:r>
      <w:r>
        <w:rPr>
          <w:color w:val="auto"/>
          <w:highlight w:val="none"/>
        </w:rPr>
        <w:t>我方将严格按照有关政府采购法规及采购文件规定参加投标，并理解你方不一定接受最低价的投标，对决标结果也没有解释义务。如由我方中标，在接到你方发出的中标通知书起</w:t>
      </w:r>
      <w:r>
        <w:rPr>
          <w:color w:val="auto"/>
          <w:highlight w:val="none"/>
          <w:u w:val="single"/>
        </w:rPr>
        <w:t xml:space="preserve">    </w:t>
      </w:r>
      <w:r>
        <w:rPr>
          <w:color w:val="auto"/>
          <w:highlight w:val="none"/>
        </w:rPr>
        <w:t>天内，按中标通知书、采购文件和本</w:t>
      </w:r>
      <w:r>
        <w:rPr>
          <w:rFonts w:hint="eastAsia"/>
          <w:color w:val="auto"/>
          <w:highlight w:val="none"/>
          <w:lang w:val="en-US" w:eastAsia="zh-CN"/>
        </w:rPr>
        <w:t>投标文件</w:t>
      </w:r>
      <w:r>
        <w:rPr>
          <w:color w:val="auto"/>
          <w:highlight w:val="none"/>
        </w:rPr>
        <w:t>的约定与你方签订采购合同，履行规定的一切责任和义务。</w:t>
      </w:r>
    </w:p>
    <w:p>
      <w:pPr>
        <w:spacing w:line="440" w:lineRule="exact"/>
        <w:ind w:firstLine="480" w:firstLineChars="200"/>
        <w:rPr>
          <w:color w:val="auto"/>
          <w:highlight w:val="none"/>
        </w:rPr>
      </w:pPr>
      <w:r>
        <w:rPr>
          <w:color w:val="auto"/>
          <w:highlight w:val="none"/>
        </w:rPr>
        <w:t>4</w:t>
      </w:r>
      <w:r>
        <w:rPr>
          <w:rFonts w:hint="eastAsia"/>
          <w:color w:val="auto"/>
          <w:highlight w:val="none"/>
        </w:rPr>
        <w:t>、</w:t>
      </w:r>
      <w:r>
        <w:rPr>
          <w:color w:val="auto"/>
          <w:highlight w:val="none"/>
        </w:rPr>
        <w:t>本</w:t>
      </w:r>
      <w:r>
        <w:rPr>
          <w:rFonts w:hint="eastAsia"/>
          <w:color w:val="auto"/>
          <w:highlight w:val="none"/>
          <w:lang w:val="en-US" w:eastAsia="zh-CN"/>
        </w:rPr>
        <w:t>投标文件</w:t>
      </w:r>
      <w:r>
        <w:rPr>
          <w:color w:val="auto"/>
          <w:highlight w:val="none"/>
        </w:rPr>
        <w:t>自递交你方起</w:t>
      </w:r>
      <w:r>
        <w:rPr>
          <w:color w:val="auto"/>
          <w:highlight w:val="none"/>
          <w:u w:val="single"/>
        </w:rPr>
        <w:t xml:space="preserve">    </w:t>
      </w:r>
      <w:r>
        <w:rPr>
          <w:color w:val="auto"/>
          <w:highlight w:val="none"/>
        </w:rPr>
        <w:t>天有效期内，全部条款内容对我方具有约束力。在此有效期内，我方保证不出现以下行为。（1）投标供应商在规定的投标文件有效期内</w:t>
      </w:r>
      <w:r>
        <w:rPr>
          <w:rFonts w:hint="eastAsia"/>
          <w:color w:val="auto"/>
          <w:highlight w:val="none"/>
        </w:rPr>
        <w:t>撤销</w:t>
      </w:r>
      <w:r>
        <w:rPr>
          <w:color w:val="auto"/>
          <w:highlight w:val="none"/>
        </w:rPr>
        <w:t>其投标文件；投标供应商不接受对其投标价算术错误的修正。（2）中标供应商在收到中标通知后，擅自修改或拒绝接受已经承诺确认的条款。（3）中标供应商在收到中标通知后在规定期限内拒签合同。（4）投标供应商相互串通投标、投标供应商以他人名义投标或者以其他方式弄虚作假等违反国家、省及地方有关采购投标法、政府采购法等法律、法规及规定。</w:t>
      </w:r>
    </w:p>
    <w:p>
      <w:pPr>
        <w:autoSpaceDE/>
        <w:autoSpaceDN/>
        <w:adjustRightInd/>
        <w:spacing w:line="440" w:lineRule="exact"/>
        <w:ind w:firstLine="480" w:firstLineChars="200"/>
        <w:textAlignment w:val="auto"/>
        <w:rPr>
          <w:bCs/>
          <w:color w:val="auto"/>
          <w:kern w:val="44"/>
          <w:highlight w:val="none"/>
        </w:rPr>
      </w:pPr>
      <w:r>
        <w:rPr>
          <w:color w:val="auto"/>
          <w:highlight w:val="none"/>
        </w:rPr>
        <w:t>5、提供</w:t>
      </w:r>
      <w:r>
        <w:rPr>
          <w:bCs/>
          <w:color w:val="auto"/>
          <w:kern w:val="44"/>
          <w:highlight w:val="none"/>
        </w:rPr>
        <w:t>编制和提交投标文件须知</w:t>
      </w:r>
      <w:r>
        <w:rPr>
          <w:color w:val="auto"/>
          <w:highlight w:val="none"/>
        </w:rPr>
        <w:t>规定的全部投标文件</w:t>
      </w:r>
      <w:r>
        <w:rPr>
          <w:bCs/>
          <w:color w:val="auto"/>
          <w:kern w:val="44"/>
          <w:highlight w:val="none"/>
        </w:rPr>
        <w:t>。</w:t>
      </w:r>
    </w:p>
    <w:p>
      <w:pPr>
        <w:spacing w:line="440" w:lineRule="exact"/>
        <w:ind w:firstLine="480" w:firstLineChars="200"/>
        <w:rPr>
          <w:color w:val="auto"/>
          <w:highlight w:val="none"/>
        </w:rPr>
      </w:pPr>
      <w:r>
        <w:rPr>
          <w:color w:val="auto"/>
          <w:highlight w:val="none"/>
        </w:rPr>
        <w:t>6、我方将严格遵守《中华人民共和国政府采购法》第七十七条规定，发生下列情形之一的，愿处以采购金额5‰以上10‰以下的罚款，列入不良行为记录名单，在一至三年内禁止参加政府采购活动；有违法所得的，并处没收违法所得；情节严重的，由工商行政管理机关吊销营业执照；构成犯罪的，依法追究刑事责任：</w:t>
      </w:r>
    </w:p>
    <w:p>
      <w:pPr>
        <w:autoSpaceDE/>
        <w:autoSpaceDN/>
        <w:adjustRightInd/>
        <w:spacing w:line="440" w:lineRule="exact"/>
        <w:ind w:firstLine="480" w:firstLineChars="200"/>
        <w:textAlignment w:val="auto"/>
        <w:rPr>
          <w:color w:val="auto"/>
          <w:highlight w:val="none"/>
        </w:rPr>
      </w:pPr>
      <w:r>
        <w:rPr>
          <w:color w:val="auto"/>
          <w:highlight w:val="none"/>
        </w:rPr>
        <w:t>(1)提供虚假材料谋取中标、成交的；</w:t>
      </w:r>
    </w:p>
    <w:p>
      <w:pPr>
        <w:autoSpaceDE/>
        <w:autoSpaceDN/>
        <w:adjustRightInd/>
        <w:spacing w:line="440" w:lineRule="exact"/>
        <w:ind w:firstLine="480" w:firstLineChars="200"/>
        <w:textAlignment w:val="auto"/>
        <w:rPr>
          <w:color w:val="auto"/>
          <w:highlight w:val="none"/>
        </w:rPr>
      </w:pPr>
      <w:r>
        <w:rPr>
          <w:color w:val="auto"/>
          <w:highlight w:val="none"/>
        </w:rPr>
        <w:t>(2)采取不正当手段诋毁、排挤其他投标供应商的；</w:t>
      </w:r>
    </w:p>
    <w:p>
      <w:pPr>
        <w:autoSpaceDE/>
        <w:autoSpaceDN/>
        <w:adjustRightInd/>
        <w:spacing w:line="440" w:lineRule="exact"/>
        <w:ind w:firstLine="480" w:firstLineChars="200"/>
        <w:textAlignment w:val="auto"/>
        <w:rPr>
          <w:color w:val="auto"/>
          <w:highlight w:val="none"/>
        </w:rPr>
      </w:pPr>
      <w:r>
        <w:rPr>
          <w:color w:val="auto"/>
          <w:highlight w:val="none"/>
        </w:rPr>
        <w:t>(3)与采购单位、其它投标供应商恶意串通的；</w:t>
      </w:r>
    </w:p>
    <w:p>
      <w:pPr>
        <w:autoSpaceDE/>
        <w:autoSpaceDN/>
        <w:adjustRightInd/>
        <w:spacing w:line="440" w:lineRule="exact"/>
        <w:ind w:firstLine="480" w:firstLineChars="200"/>
        <w:textAlignment w:val="auto"/>
        <w:rPr>
          <w:color w:val="auto"/>
          <w:highlight w:val="none"/>
        </w:rPr>
      </w:pPr>
      <w:r>
        <w:rPr>
          <w:color w:val="auto"/>
          <w:highlight w:val="none"/>
        </w:rPr>
        <w:t>(4)向采购单位、代理机构行贿或者提供其他不正当利益的；</w:t>
      </w:r>
    </w:p>
    <w:p>
      <w:pPr>
        <w:autoSpaceDE/>
        <w:autoSpaceDN/>
        <w:adjustRightInd/>
        <w:spacing w:line="440" w:lineRule="exact"/>
        <w:ind w:firstLine="480" w:firstLineChars="200"/>
        <w:textAlignment w:val="auto"/>
        <w:rPr>
          <w:color w:val="auto"/>
          <w:highlight w:val="none"/>
        </w:rPr>
      </w:pPr>
      <w:r>
        <w:rPr>
          <w:color w:val="auto"/>
          <w:highlight w:val="none"/>
        </w:rPr>
        <w:t>(5)在采购过程中与采购单位进行协商谈判的；</w:t>
      </w:r>
    </w:p>
    <w:p>
      <w:pPr>
        <w:autoSpaceDE/>
        <w:autoSpaceDN/>
        <w:adjustRightInd/>
        <w:spacing w:line="440" w:lineRule="exact"/>
        <w:ind w:firstLine="480" w:firstLineChars="200"/>
        <w:textAlignment w:val="auto"/>
        <w:rPr>
          <w:color w:val="auto"/>
          <w:highlight w:val="none"/>
        </w:rPr>
      </w:pPr>
      <w:r>
        <w:rPr>
          <w:color w:val="auto"/>
          <w:highlight w:val="none"/>
        </w:rPr>
        <w:t>(6)拒绝有关部门监督检查或提供虚假情况的。</w:t>
      </w:r>
    </w:p>
    <w:p>
      <w:pPr>
        <w:spacing w:line="360" w:lineRule="auto"/>
        <w:rPr>
          <w:color w:val="auto"/>
          <w:highlight w:val="none"/>
        </w:rPr>
      </w:pPr>
    </w:p>
    <w:p>
      <w:pPr>
        <w:widowControl/>
        <w:autoSpaceDE/>
        <w:autoSpaceDN/>
        <w:adjustRightInd/>
        <w:spacing w:line="360" w:lineRule="auto"/>
        <w:ind w:firstLine="480" w:firstLineChars="200"/>
        <w:textAlignment w:val="auto"/>
        <w:rPr>
          <w:snapToGrid w:val="0"/>
          <w:color w:val="auto"/>
          <w:szCs w:val="24"/>
          <w:highlight w:val="none"/>
        </w:rPr>
      </w:pPr>
      <w:r>
        <w:rPr>
          <w:snapToGrid w:val="0"/>
          <w:color w:val="auto"/>
          <w:szCs w:val="24"/>
          <w:highlight w:val="none"/>
        </w:rPr>
        <w:t>投标供应商</w:t>
      </w:r>
      <w:r>
        <w:rPr>
          <w:rFonts w:hint="eastAsia"/>
          <w:snapToGrid w:val="0"/>
          <w:color w:val="auto"/>
          <w:szCs w:val="24"/>
          <w:highlight w:val="none"/>
        </w:rPr>
        <w:t>（盖章）</w:t>
      </w:r>
      <w:r>
        <w:rPr>
          <w:snapToGrid w:val="0"/>
          <w:color w:val="auto"/>
          <w:szCs w:val="24"/>
          <w:highlight w:val="none"/>
        </w:rPr>
        <w:t>：</w:t>
      </w:r>
    </w:p>
    <w:p>
      <w:pPr>
        <w:spacing w:line="360" w:lineRule="auto"/>
        <w:ind w:firstLine="480" w:firstLineChars="200"/>
        <w:rPr>
          <w:color w:val="auto"/>
          <w:highlight w:val="none"/>
        </w:rPr>
      </w:pPr>
      <w:r>
        <w:rPr>
          <w:color w:val="auto"/>
          <w:highlight w:val="none"/>
        </w:rPr>
        <w:t>联系地址：</w:t>
      </w:r>
      <w:r>
        <w:rPr>
          <w:color w:val="auto"/>
          <w:highlight w:val="none"/>
          <w:u w:val="single"/>
        </w:rPr>
        <w:t xml:space="preserve">           </w:t>
      </w:r>
      <w:r>
        <w:rPr>
          <w:color w:val="auto"/>
          <w:highlight w:val="none"/>
        </w:rPr>
        <w:t xml:space="preserve">   邮编：</w:t>
      </w:r>
      <w:r>
        <w:rPr>
          <w:color w:val="auto"/>
          <w:highlight w:val="none"/>
          <w:u w:val="single"/>
        </w:rPr>
        <w:t xml:space="preserve">           </w:t>
      </w:r>
      <w:r>
        <w:rPr>
          <w:color w:val="auto"/>
          <w:highlight w:val="none"/>
        </w:rPr>
        <w:t xml:space="preserve"> </w:t>
      </w:r>
    </w:p>
    <w:p>
      <w:pPr>
        <w:spacing w:line="360" w:lineRule="auto"/>
        <w:ind w:firstLine="480" w:firstLineChars="200"/>
        <w:rPr>
          <w:color w:val="auto"/>
          <w:highlight w:val="none"/>
        </w:rPr>
      </w:pPr>
      <w:r>
        <w:rPr>
          <w:color w:val="auto"/>
          <w:highlight w:val="none"/>
        </w:rPr>
        <w:t>联 系 人：</w:t>
      </w:r>
      <w:r>
        <w:rPr>
          <w:color w:val="auto"/>
          <w:highlight w:val="none"/>
          <w:u w:val="single"/>
        </w:rPr>
        <w:t xml:space="preserve">           </w:t>
      </w:r>
      <w:r>
        <w:rPr>
          <w:color w:val="auto"/>
          <w:highlight w:val="none"/>
        </w:rPr>
        <w:t xml:space="preserve">   电话：</w:t>
      </w:r>
      <w:r>
        <w:rPr>
          <w:color w:val="auto"/>
          <w:highlight w:val="none"/>
          <w:u w:val="single"/>
        </w:rPr>
        <w:t xml:space="preserve">           </w:t>
      </w:r>
      <w:r>
        <w:rPr>
          <w:color w:val="auto"/>
          <w:highlight w:val="none"/>
        </w:rPr>
        <w:t xml:space="preserve">    </w:t>
      </w:r>
    </w:p>
    <w:p>
      <w:pPr>
        <w:spacing w:line="360" w:lineRule="auto"/>
        <w:ind w:firstLine="480" w:firstLineChars="200"/>
        <w:rPr>
          <w:color w:val="auto"/>
          <w:highlight w:val="none"/>
        </w:rPr>
      </w:pPr>
      <w:r>
        <w:rPr>
          <w:color w:val="auto"/>
          <w:highlight w:val="none"/>
        </w:rPr>
        <w:t>电子信箱：</w:t>
      </w:r>
      <w:r>
        <w:rPr>
          <w:color w:val="auto"/>
          <w:highlight w:val="none"/>
          <w:u w:val="single"/>
        </w:rPr>
        <w:t xml:space="preserve">           </w:t>
      </w:r>
      <w:r>
        <w:rPr>
          <w:rFonts w:hint="eastAsia"/>
          <w:color w:val="auto"/>
          <w:highlight w:val="none"/>
          <w:u w:val="single"/>
        </w:rPr>
        <w:t xml:space="preserve"> </w:t>
      </w:r>
      <w:r>
        <w:rPr>
          <w:color w:val="auto"/>
          <w:highlight w:val="none"/>
        </w:rPr>
        <w:t xml:space="preserve">  传真：</w:t>
      </w:r>
      <w:r>
        <w:rPr>
          <w:color w:val="auto"/>
          <w:highlight w:val="none"/>
          <w:u w:val="single"/>
        </w:rPr>
        <w:t xml:space="preserve">           </w:t>
      </w:r>
      <w:r>
        <w:rPr>
          <w:color w:val="auto"/>
          <w:highlight w:val="none"/>
        </w:rPr>
        <w:t xml:space="preserve">     </w:t>
      </w:r>
    </w:p>
    <w:p>
      <w:pPr>
        <w:pStyle w:val="29"/>
        <w:spacing w:before="0" w:beforeAutospacing="0" w:after="0" w:afterAutospacing="0"/>
        <w:ind w:firstLine="480" w:firstLineChars="200"/>
        <w:rPr>
          <w:rFonts w:ascii="Times New Roman" w:hAnsi="Times New Roman" w:eastAsiaTheme="minorEastAsia"/>
          <w:snapToGrid w:val="0"/>
          <w:color w:val="auto"/>
          <w:highlight w:val="none"/>
        </w:rPr>
      </w:pPr>
      <w:r>
        <w:rPr>
          <w:rFonts w:hint="eastAsia" w:ascii="Times New Roman" w:hAnsi="Times New Roman"/>
          <w:snapToGrid w:val="0"/>
          <w:color w:val="auto"/>
          <w:highlight w:val="none"/>
        </w:rPr>
        <w:t>日期：</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widowControl/>
        <w:autoSpaceDE/>
        <w:autoSpaceDN/>
        <w:adjustRightInd/>
        <w:jc w:val="left"/>
        <w:textAlignment w:val="auto"/>
        <w:rPr>
          <w:b/>
          <w:color w:val="auto"/>
          <w:sz w:val="30"/>
          <w:szCs w:val="30"/>
          <w:highlight w:val="none"/>
        </w:rPr>
      </w:pPr>
    </w:p>
    <w:p>
      <w:pPr>
        <w:widowControl/>
        <w:autoSpaceDE/>
        <w:autoSpaceDN/>
        <w:adjustRightInd/>
        <w:jc w:val="left"/>
        <w:textAlignment w:val="auto"/>
        <w:rPr>
          <w:b/>
          <w:color w:val="auto"/>
          <w:sz w:val="30"/>
          <w:szCs w:val="30"/>
          <w:highlight w:val="none"/>
        </w:rPr>
      </w:pPr>
    </w:p>
    <w:p>
      <w:pPr>
        <w:rPr>
          <w:b/>
          <w:color w:val="auto"/>
          <w:sz w:val="30"/>
          <w:szCs w:val="30"/>
          <w:highlight w:val="none"/>
        </w:rPr>
      </w:pPr>
      <w:r>
        <w:rPr>
          <w:b/>
          <w:color w:val="auto"/>
          <w:sz w:val="30"/>
          <w:szCs w:val="30"/>
          <w:highlight w:val="none"/>
        </w:rPr>
        <w:br w:type="page"/>
      </w:r>
    </w:p>
    <w:p>
      <w:pPr>
        <w:widowControl/>
        <w:autoSpaceDE/>
        <w:autoSpaceDN/>
        <w:adjustRightInd/>
        <w:jc w:val="left"/>
        <w:textAlignment w:val="auto"/>
        <w:rPr>
          <w:b/>
          <w:color w:val="auto"/>
          <w:sz w:val="30"/>
          <w:szCs w:val="30"/>
          <w:highlight w:val="none"/>
        </w:rPr>
      </w:pPr>
      <w:r>
        <w:rPr>
          <w:b/>
          <w:color w:val="auto"/>
          <w:sz w:val="30"/>
          <w:szCs w:val="30"/>
          <w:highlight w:val="none"/>
        </w:rPr>
        <w:t>附件</w:t>
      </w:r>
      <w:r>
        <w:rPr>
          <w:rFonts w:hint="eastAsia"/>
          <w:b/>
          <w:color w:val="auto"/>
          <w:sz w:val="30"/>
          <w:szCs w:val="30"/>
          <w:highlight w:val="none"/>
        </w:rPr>
        <w:t>11</w:t>
      </w:r>
    </w:p>
    <w:p>
      <w:pPr>
        <w:jc w:val="center"/>
        <w:rPr>
          <w:b/>
          <w:color w:val="auto"/>
          <w:sz w:val="44"/>
          <w:szCs w:val="44"/>
          <w:highlight w:val="none"/>
        </w:rPr>
      </w:pPr>
      <w:r>
        <w:rPr>
          <w:b/>
          <w:color w:val="auto"/>
          <w:sz w:val="44"/>
          <w:szCs w:val="44"/>
          <w:highlight w:val="none"/>
        </w:rPr>
        <w:t>开标一览表</w:t>
      </w:r>
    </w:p>
    <w:p>
      <w:pPr>
        <w:ind w:left="617" w:leftChars="257" w:firstLine="1063" w:firstLineChars="294"/>
        <w:rPr>
          <w:b/>
          <w:color w:val="auto"/>
          <w:sz w:val="36"/>
          <w:szCs w:val="36"/>
          <w:highlight w:val="none"/>
        </w:rPr>
      </w:pPr>
    </w:p>
    <w:p>
      <w:pPr>
        <w:spacing w:after="120" w:afterLines="50" w:line="540" w:lineRule="exact"/>
        <w:ind w:left="539" w:firstLine="28"/>
        <w:rPr>
          <w:color w:val="auto"/>
          <w:sz w:val="30"/>
          <w:szCs w:val="30"/>
          <w:highlight w:val="none"/>
        </w:rPr>
      </w:pPr>
      <w:r>
        <w:rPr>
          <w:color w:val="auto"/>
          <w:sz w:val="30"/>
          <w:szCs w:val="30"/>
          <w:highlight w:val="none"/>
        </w:rPr>
        <w:t>投标供应商：</w:t>
      </w:r>
      <w:r>
        <w:rPr>
          <w:color w:val="auto"/>
          <w:sz w:val="30"/>
          <w:szCs w:val="30"/>
          <w:highlight w:val="none"/>
          <w:u w:val="single"/>
        </w:rPr>
        <w:t xml:space="preserve">        </w:t>
      </w:r>
      <w:r>
        <w:rPr>
          <w:rFonts w:hint="eastAsia"/>
          <w:color w:val="auto"/>
          <w:sz w:val="30"/>
          <w:szCs w:val="30"/>
          <w:highlight w:val="none"/>
          <w:u w:val="single"/>
        </w:rPr>
        <w:t xml:space="preserve">  </w:t>
      </w:r>
      <w:r>
        <w:rPr>
          <w:color w:val="auto"/>
          <w:sz w:val="30"/>
          <w:szCs w:val="30"/>
          <w:highlight w:val="none"/>
          <w:u w:val="single"/>
        </w:rPr>
        <w:t xml:space="preserve">  </w:t>
      </w:r>
      <w:r>
        <w:rPr>
          <w:rFonts w:hint="eastAsia"/>
          <w:color w:val="auto"/>
          <w:sz w:val="30"/>
          <w:szCs w:val="30"/>
          <w:highlight w:val="none"/>
          <w:u w:val="single"/>
        </w:rPr>
        <w:t>（盖章）</w:t>
      </w:r>
      <w:r>
        <w:rPr>
          <w:color w:val="auto"/>
          <w:sz w:val="30"/>
          <w:szCs w:val="30"/>
          <w:highlight w:val="none"/>
          <w:u w:val="single"/>
        </w:rPr>
        <w:t xml:space="preserve">       </w:t>
      </w:r>
      <w:r>
        <w:rPr>
          <w:rFonts w:hint="eastAsia"/>
          <w:color w:val="auto"/>
          <w:sz w:val="30"/>
          <w:szCs w:val="30"/>
          <w:highlight w:val="none"/>
          <w:u w:val="single"/>
        </w:rPr>
        <w:t xml:space="preserve">  </w:t>
      </w:r>
      <w:r>
        <w:rPr>
          <w:color w:val="auto"/>
          <w:sz w:val="30"/>
          <w:szCs w:val="30"/>
          <w:highlight w:val="none"/>
          <w:u w:val="single"/>
        </w:rPr>
        <w:t xml:space="preserve">    </w:t>
      </w:r>
      <w:r>
        <w:rPr>
          <w:color w:val="auto"/>
          <w:sz w:val="30"/>
          <w:szCs w:val="30"/>
          <w:highlight w:val="none"/>
        </w:rPr>
        <w:t xml:space="preserve">           </w:t>
      </w:r>
    </w:p>
    <w:p>
      <w:pPr>
        <w:spacing w:after="120" w:afterLines="50" w:line="540" w:lineRule="exact"/>
        <w:ind w:left="539" w:firstLine="28"/>
        <w:rPr>
          <w:color w:val="auto"/>
          <w:spacing w:val="20"/>
          <w:sz w:val="30"/>
          <w:szCs w:val="30"/>
          <w:highlight w:val="none"/>
          <w:u w:val="single"/>
        </w:rPr>
      </w:pPr>
      <w:r>
        <w:rPr>
          <w:color w:val="auto"/>
          <w:spacing w:val="20"/>
          <w:sz w:val="30"/>
          <w:szCs w:val="30"/>
          <w:highlight w:val="none"/>
        </w:rPr>
        <w:t>采购编号：</w:t>
      </w:r>
      <w:r>
        <w:rPr>
          <w:color w:val="auto"/>
          <w:spacing w:val="20"/>
          <w:sz w:val="30"/>
          <w:szCs w:val="30"/>
          <w:highlight w:val="none"/>
          <w:u w:val="single"/>
        </w:rPr>
        <w:t xml:space="preserve">                           </w:t>
      </w:r>
    </w:p>
    <w:tbl>
      <w:tblPr>
        <w:tblStyle w:val="33"/>
        <w:tblW w:w="1034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523"/>
        <w:gridCol w:w="2520"/>
        <w:gridCol w:w="2153"/>
        <w:gridCol w:w="2153"/>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96" w:hRule="atLeast"/>
          <w:jc w:val="center"/>
        </w:trPr>
        <w:tc>
          <w:tcPr>
            <w:tcW w:w="3523" w:type="dxa"/>
            <w:vAlign w:val="center"/>
          </w:tcPr>
          <w:p>
            <w:pPr>
              <w:spacing w:line="540" w:lineRule="exact"/>
              <w:jc w:val="center"/>
              <w:rPr>
                <w:color w:val="auto"/>
                <w:sz w:val="30"/>
                <w:szCs w:val="30"/>
                <w:highlight w:val="none"/>
              </w:rPr>
            </w:pPr>
            <w:r>
              <w:rPr>
                <w:color w:val="auto"/>
                <w:sz w:val="30"/>
                <w:szCs w:val="30"/>
                <w:highlight w:val="none"/>
              </w:rPr>
              <w:t>项目名称</w:t>
            </w:r>
          </w:p>
        </w:tc>
        <w:tc>
          <w:tcPr>
            <w:tcW w:w="2520" w:type="dxa"/>
            <w:vAlign w:val="center"/>
          </w:tcPr>
          <w:p>
            <w:pPr>
              <w:spacing w:line="540" w:lineRule="exact"/>
              <w:jc w:val="center"/>
              <w:rPr>
                <w:color w:val="auto"/>
                <w:sz w:val="30"/>
                <w:szCs w:val="30"/>
                <w:highlight w:val="none"/>
              </w:rPr>
            </w:pPr>
            <w:r>
              <w:rPr>
                <w:color w:val="auto"/>
                <w:sz w:val="30"/>
                <w:szCs w:val="30"/>
                <w:highlight w:val="none"/>
              </w:rPr>
              <w:t>投标总报价</w:t>
            </w:r>
          </w:p>
        </w:tc>
        <w:tc>
          <w:tcPr>
            <w:tcW w:w="2153" w:type="dxa"/>
            <w:vAlign w:val="center"/>
          </w:tcPr>
          <w:p>
            <w:pPr>
              <w:spacing w:line="540" w:lineRule="exact"/>
              <w:jc w:val="center"/>
              <w:rPr>
                <w:color w:val="auto"/>
                <w:sz w:val="30"/>
                <w:szCs w:val="30"/>
                <w:highlight w:val="none"/>
              </w:rPr>
            </w:pPr>
            <w:r>
              <w:rPr>
                <w:color w:val="auto"/>
                <w:sz w:val="30"/>
                <w:szCs w:val="30"/>
                <w:highlight w:val="none"/>
              </w:rPr>
              <w:t>项目完成时间</w:t>
            </w:r>
          </w:p>
        </w:tc>
        <w:tc>
          <w:tcPr>
            <w:tcW w:w="2153" w:type="dxa"/>
            <w:vAlign w:val="center"/>
          </w:tcPr>
          <w:p>
            <w:pPr>
              <w:spacing w:line="540" w:lineRule="exact"/>
              <w:jc w:val="center"/>
              <w:rPr>
                <w:color w:val="auto"/>
                <w:sz w:val="30"/>
                <w:szCs w:val="30"/>
                <w:highlight w:val="none"/>
              </w:rPr>
            </w:pPr>
            <w:r>
              <w:rPr>
                <w:color w:val="auto"/>
                <w:sz w:val="30"/>
                <w:szCs w:val="30"/>
                <w:highlight w:val="none"/>
              </w:rPr>
              <w:t>项目负责人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60" w:hRule="atLeast"/>
          <w:jc w:val="center"/>
        </w:trPr>
        <w:tc>
          <w:tcPr>
            <w:tcW w:w="3523" w:type="dxa"/>
          </w:tcPr>
          <w:p>
            <w:pPr>
              <w:spacing w:line="540" w:lineRule="exact"/>
              <w:rPr>
                <w:color w:val="auto"/>
                <w:sz w:val="30"/>
                <w:szCs w:val="30"/>
                <w:highlight w:val="none"/>
              </w:rPr>
            </w:pPr>
          </w:p>
        </w:tc>
        <w:tc>
          <w:tcPr>
            <w:tcW w:w="2520" w:type="dxa"/>
            <w:vAlign w:val="center"/>
          </w:tcPr>
          <w:p>
            <w:pPr>
              <w:spacing w:line="540" w:lineRule="exact"/>
              <w:jc w:val="left"/>
              <w:rPr>
                <w:color w:val="auto"/>
                <w:szCs w:val="24"/>
                <w:highlight w:val="none"/>
              </w:rPr>
            </w:pPr>
            <w:r>
              <w:rPr>
                <w:rFonts w:hint="eastAsia"/>
                <w:color w:val="auto"/>
                <w:szCs w:val="24"/>
                <w:highlight w:val="none"/>
              </w:rPr>
              <w:t>大写：</w:t>
            </w:r>
          </w:p>
          <w:p>
            <w:pPr>
              <w:spacing w:line="540" w:lineRule="exact"/>
              <w:jc w:val="left"/>
              <w:rPr>
                <w:color w:val="auto"/>
                <w:sz w:val="30"/>
                <w:szCs w:val="30"/>
                <w:highlight w:val="none"/>
              </w:rPr>
            </w:pPr>
            <w:r>
              <w:rPr>
                <w:rFonts w:hint="eastAsia"/>
                <w:color w:val="auto"/>
                <w:szCs w:val="24"/>
                <w:highlight w:val="none"/>
              </w:rPr>
              <w:t>小写：</w:t>
            </w:r>
          </w:p>
        </w:tc>
        <w:tc>
          <w:tcPr>
            <w:tcW w:w="2153" w:type="dxa"/>
          </w:tcPr>
          <w:p>
            <w:pPr>
              <w:spacing w:line="540" w:lineRule="exact"/>
              <w:rPr>
                <w:color w:val="auto"/>
                <w:sz w:val="30"/>
                <w:szCs w:val="30"/>
                <w:highlight w:val="none"/>
              </w:rPr>
            </w:pPr>
          </w:p>
        </w:tc>
        <w:tc>
          <w:tcPr>
            <w:tcW w:w="2153" w:type="dxa"/>
          </w:tcPr>
          <w:p>
            <w:pPr>
              <w:spacing w:line="540" w:lineRule="exact"/>
              <w:rPr>
                <w:color w:val="auto"/>
                <w:sz w:val="30"/>
                <w:szCs w:val="30"/>
                <w:highlight w:val="none"/>
              </w:rPr>
            </w:pPr>
          </w:p>
        </w:tc>
      </w:tr>
    </w:tbl>
    <w:p>
      <w:pPr>
        <w:spacing w:before="240" w:beforeLines="100" w:line="540" w:lineRule="exact"/>
        <w:ind w:left="539" w:firstLine="28"/>
        <w:rPr>
          <w:color w:val="auto"/>
          <w:sz w:val="30"/>
          <w:szCs w:val="30"/>
          <w:highlight w:val="none"/>
        </w:rPr>
      </w:pPr>
      <w:r>
        <w:rPr>
          <w:rFonts w:hint="eastAsia"/>
          <w:color w:val="auto"/>
          <w:sz w:val="30"/>
          <w:szCs w:val="30"/>
          <w:highlight w:val="none"/>
        </w:rPr>
        <w:t>法定代表人或授权代表（签字或盖章）</w:t>
      </w:r>
      <w:r>
        <w:rPr>
          <w:color w:val="auto"/>
          <w:sz w:val="30"/>
          <w:szCs w:val="30"/>
          <w:highlight w:val="none"/>
        </w:rPr>
        <w:t>：</w:t>
      </w:r>
      <w:r>
        <w:rPr>
          <w:color w:val="auto"/>
          <w:sz w:val="30"/>
          <w:szCs w:val="30"/>
          <w:highlight w:val="none"/>
          <w:u w:val="single"/>
        </w:rPr>
        <w:t xml:space="preserve">              </w:t>
      </w:r>
      <w:r>
        <w:rPr>
          <w:color w:val="auto"/>
          <w:sz w:val="30"/>
          <w:szCs w:val="30"/>
          <w:highlight w:val="none"/>
        </w:rPr>
        <w:t xml:space="preserve">       </w:t>
      </w:r>
    </w:p>
    <w:p>
      <w:pPr>
        <w:spacing w:before="240" w:beforeLines="100" w:line="540" w:lineRule="exact"/>
        <w:ind w:left="539" w:firstLine="28"/>
        <w:rPr>
          <w:color w:val="auto"/>
          <w:sz w:val="30"/>
          <w:szCs w:val="30"/>
          <w:highlight w:val="none"/>
          <w:u w:val="single"/>
        </w:rPr>
      </w:pPr>
      <w:r>
        <w:rPr>
          <w:color w:val="auto"/>
          <w:sz w:val="30"/>
          <w:szCs w:val="30"/>
          <w:highlight w:val="none"/>
        </w:rPr>
        <w:t>日期：</w:t>
      </w:r>
      <w:r>
        <w:rPr>
          <w:color w:val="auto"/>
          <w:sz w:val="30"/>
          <w:szCs w:val="30"/>
          <w:highlight w:val="none"/>
          <w:u w:val="single"/>
        </w:rPr>
        <w:t xml:space="preserve">                  </w:t>
      </w:r>
    </w:p>
    <w:p>
      <w:pPr>
        <w:rPr>
          <w:b/>
          <w:color w:val="auto"/>
          <w:sz w:val="30"/>
          <w:szCs w:val="30"/>
          <w:highlight w:val="none"/>
        </w:rPr>
      </w:pPr>
      <w:r>
        <w:rPr>
          <w:b/>
          <w:color w:val="auto"/>
          <w:sz w:val="30"/>
          <w:szCs w:val="30"/>
          <w:highlight w:val="none"/>
        </w:rPr>
        <w:br w:type="page"/>
      </w:r>
    </w:p>
    <w:p>
      <w:pPr>
        <w:rPr>
          <w:b/>
          <w:color w:val="auto"/>
          <w:sz w:val="30"/>
          <w:szCs w:val="30"/>
          <w:highlight w:val="none"/>
        </w:rPr>
      </w:pPr>
      <w:r>
        <w:rPr>
          <w:b/>
          <w:color w:val="auto"/>
          <w:sz w:val="30"/>
          <w:szCs w:val="30"/>
          <w:highlight w:val="none"/>
        </w:rPr>
        <w:t>附件</w:t>
      </w:r>
      <w:r>
        <w:rPr>
          <w:rFonts w:hint="eastAsia"/>
          <w:b/>
          <w:color w:val="auto"/>
          <w:sz w:val="30"/>
          <w:szCs w:val="30"/>
          <w:highlight w:val="none"/>
        </w:rPr>
        <w:t>12</w:t>
      </w:r>
    </w:p>
    <w:p>
      <w:pPr>
        <w:spacing w:line="420" w:lineRule="auto"/>
        <w:ind w:left="617" w:leftChars="257" w:firstLine="2920" w:firstLineChars="808"/>
        <w:rPr>
          <w:b/>
          <w:color w:val="auto"/>
          <w:sz w:val="36"/>
          <w:highlight w:val="none"/>
        </w:rPr>
      </w:pPr>
      <w:r>
        <w:rPr>
          <w:b/>
          <w:color w:val="auto"/>
          <w:sz w:val="36"/>
          <w:highlight w:val="none"/>
        </w:rPr>
        <w:t>报价明细表</w:t>
      </w:r>
    </w:p>
    <w:p>
      <w:pPr>
        <w:spacing w:line="420" w:lineRule="auto"/>
        <w:ind w:left="617" w:leftChars="257" w:firstLine="2920" w:firstLineChars="808"/>
        <w:rPr>
          <w:color w:val="auto"/>
          <w:highlight w:val="none"/>
        </w:rPr>
      </w:pPr>
      <w:r>
        <w:rPr>
          <w:b/>
          <w:color w:val="auto"/>
          <w:sz w:val="36"/>
          <w:highlight w:val="none"/>
        </w:rPr>
        <w:t xml:space="preserve">                        </w:t>
      </w:r>
      <w:r>
        <w:rPr>
          <w:color w:val="auto"/>
          <w:highlight w:val="none"/>
        </w:rPr>
        <w:t>单位：元</w:t>
      </w:r>
    </w:p>
    <w:tbl>
      <w:tblPr>
        <w:tblStyle w:val="33"/>
        <w:tblW w:w="911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1"/>
        <w:gridCol w:w="1782"/>
        <w:gridCol w:w="727"/>
        <w:gridCol w:w="950"/>
        <w:gridCol w:w="942"/>
        <w:gridCol w:w="2037"/>
        <w:gridCol w:w="203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96" w:hRule="exact"/>
          <w:jc w:val="center"/>
        </w:trPr>
        <w:tc>
          <w:tcPr>
            <w:tcW w:w="641" w:type="dxa"/>
            <w:vAlign w:val="center"/>
          </w:tcPr>
          <w:p>
            <w:pPr>
              <w:snapToGrid w:val="0"/>
              <w:jc w:val="center"/>
              <w:rPr>
                <w:b/>
                <w:bCs/>
                <w:color w:val="auto"/>
                <w:highlight w:val="none"/>
              </w:rPr>
            </w:pPr>
            <w:r>
              <w:rPr>
                <w:b/>
                <w:bCs/>
                <w:color w:val="auto"/>
                <w:highlight w:val="none"/>
              </w:rPr>
              <w:t>序号</w:t>
            </w:r>
          </w:p>
        </w:tc>
        <w:tc>
          <w:tcPr>
            <w:tcW w:w="1782" w:type="dxa"/>
            <w:vAlign w:val="center"/>
          </w:tcPr>
          <w:p>
            <w:pPr>
              <w:snapToGrid w:val="0"/>
              <w:jc w:val="center"/>
              <w:rPr>
                <w:b/>
                <w:bCs/>
                <w:color w:val="auto"/>
                <w:highlight w:val="none"/>
              </w:rPr>
            </w:pPr>
            <w:r>
              <w:rPr>
                <w:b/>
                <w:bCs/>
                <w:color w:val="auto"/>
                <w:highlight w:val="none"/>
              </w:rPr>
              <w:t>项目</w:t>
            </w:r>
          </w:p>
        </w:tc>
        <w:tc>
          <w:tcPr>
            <w:tcW w:w="727" w:type="dxa"/>
            <w:vAlign w:val="center"/>
          </w:tcPr>
          <w:p>
            <w:pPr>
              <w:snapToGrid w:val="0"/>
              <w:jc w:val="center"/>
              <w:rPr>
                <w:b/>
                <w:bCs/>
                <w:color w:val="auto"/>
                <w:highlight w:val="none"/>
              </w:rPr>
            </w:pPr>
            <w:r>
              <w:rPr>
                <w:b/>
                <w:bCs/>
                <w:color w:val="auto"/>
                <w:highlight w:val="none"/>
              </w:rPr>
              <w:t>单位</w:t>
            </w:r>
          </w:p>
        </w:tc>
        <w:tc>
          <w:tcPr>
            <w:tcW w:w="950" w:type="dxa"/>
            <w:vAlign w:val="center"/>
          </w:tcPr>
          <w:p>
            <w:pPr>
              <w:snapToGrid w:val="0"/>
              <w:jc w:val="center"/>
              <w:rPr>
                <w:b/>
                <w:bCs/>
                <w:color w:val="auto"/>
                <w:highlight w:val="none"/>
              </w:rPr>
            </w:pPr>
            <w:r>
              <w:rPr>
                <w:b/>
                <w:bCs/>
                <w:color w:val="auto"/>
                <w:highlight w:val="none"/>
              </w:rPr>
              <w:t>数量</w:t>
            </w:r>
          </w:p>
        </w:tc>
        <w:tc>
          <w:tcPr>
            <w:tcW w:w="942" w:type="dxa"/>
            <w:vAlign w:val="center"/>
          </w:tcPr>
          <w:p>
            <w:pPr>
              <w:snapToGrid w:val="0"/>
              <w:jc w:val="center"/>
              <w:rPr>
                <w:b/>
                <w:bCs/>
                <w:color w:val="auto"/>
                <w:highlight w:val="none"/>
              </w:rPr>
            </w:pPr>
          </w:p>
          <w:p>
            <w:pPr>
              <w:snapToGrid w:val="0"/>
              <w:jc w:val="center"/>
              <w:rPr>
                <w:b/>
                <w:bCs/>
                <w:color w:val="auto"/>
                <w:highlight w:val="none"/>
              </w:rPr>
            </w:pPr>
            <w:r>
              <w:rPr>
                <w:b/>
                <w:bCs/>
                <w:color w:val="auto"/>
                <w:highlight w:val="none"/>
              </w:rPr>
              <w:t>单价</w:t>
            </w:r>
          </w:p>
          <w:p>
            <w:pPr>
              <w:snapToGrid w:val="0"/>
              <w:jc w:val="center"/>
              <w:rPr>
                <w:b/>
                <w:bCs/>
                <w:color w:val="auto"/>
                <w:highlight w:val="none"/>
              </w:rPr>
            </w:pPr>
          </w:p>
        </w:tc>
        <w:tc>
          <w:tcPr>
            <w:tcW w:w="2037" w:type="dxa"/>
            <w:vAlign w:val="center"/>
          </w:tcPr>
          <w:p>
            <w:pPr>
              <w:snapToGrid w:val="0"/>
              <w:jc w:val="center"/>
              <w:rPr>
                <w:b/>
                <w:bCs/>
                <w:color w:val="auto"/>
                <w:highlight w:val="none"/>
              </w:rPr>
            </w:pPr>
          </w:p>
          <w:p>
            <w:pPr>
              <w:snapToGrid w:val="0"/>
              <w:jc w:val="center"/>
              <w:rPr>
                <w:b/>
                <w:bCs/>
                <w:color w:val="auto"/>
                <w:highlight w:val="none"/>
              </w:rPr>
            </w:pPr>
            <w:r>
              <w:rPr>
                <w:b/>
                <w:bCs/>
                <w:color w:val="auto"/>
                <w:highlight w:val="none"/>
              </w:rPr>
              <w:t>合价</w:t>
            </w:r>
          </w:p>
          <w:p>
            <w:pPr>
              <w:snapToGrid w:val="0"/>
              <w:jc w:val="center"/>
              <w:rPr>
                <w:b/>
                <w:bCs/>
                <w:color w:val="auto"/>
                <w:highlight w:val="none"/>
              </w:rPr>
            </w:pPr>
          </w:p>
        </w:tc>
        <w:tc>
          <w:tcPr>
            <w:tcW w:w="2037" w:type="dxa"/>
            <w:vAlign w:val="center"/>
          </w:tcPr>
          <w:p>
            <w:pPr>
              <w:snapToGrid w:val="0"/>
              <w:jc w:val="center"/>
              <w:rPr>
                <w:b/>
                <w:bCs/>
                <w:color w:val="auto"/>
                <w:highlight w:val="none"/>
              </w:rPr>
            </w:pPr>
            <w:r>
              <w:rPr>
                <w:b/>
                <w:bCs/>
                <w:color w:val="auto"/>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
                <w:bCs/>
                <w:color w:val="auto"/>
                <w:highlight w:val="none"/>
              </w:rPr>
            </w:pPr>
          </w:p>
        </w:tc>
        <w:tc>
          <w:tcPr>
            <w:tcW w:w="1782" w:type="dxa"/>
            <w:tcMar>
              <w:left w:w="142" w:type="dxa"/>
              <w:right w:w="142" w:type="dxa"/>
            </w:tcMar>
            <w:vAlign w:val="center"/>
          </w:tcPr>
          <w:p>
            <w:pPr>
              <w:snapToGrid w:val="0"/>
              <w:rPr>
                <w:b/>
                <w:bCs/>
                <w:color w:val="auto"/>
                <w:highlight w:val="none"/>
              </w:rPr>
            </w:pPr>
          </w:p>
        </w:tc>
        <w:tc>
          <w:tcPr>
            <w:tcW w:w="727" w:type="dxa"/>
            <w:tcMar>
              <w:left w:w="284" w:type="dxa"/>
              <w:right w:w="142" w:type="dxa"/>
            </w:tcMar>
            <w:vAlign w:val="center"/>
          </w:tcPr>
          <w:p>
            <w:pPr>
              <w:snapToGrid w:val="0"/>
              <w:jc w:val="center"/>
              <w:rPr>
                <w:b/>
                <w:bCs/>
                <w:color w:val="auto"/>
                <w:highlight w:val="none"/>
              </w:rPr>
            </w:pPr>
          </w:p>
        </w:tc>
        <w:tc>
          <w:tcPr>
            <w:tcW w:w="950" w:type="dxa"/>
            <w:tcMar>
              <w:left w:w="284" w:type="dxa"/>
              <w:right w:w="142" w:type="dxa"/>
            </w:tcMar>
            <w:vAlign w:val="center"/>
          </w:tcPr>
          <w:p>
            <w:pPr>
              <w:snapToGrid w:val="0"/>
              <w:jc w:val="center"/>
              <w:rPr>
                <w:b/>
                <w:bCs/>
                <w:color w:val="auto"/>
                <w:highlight w:val="none"/>
              </w:rPr>
            </w:pPr>
          </w:p>
        </w:tc>
        <w:tc>
          <w:tcPr>
            <w:tcW w:w="942" w:type="dxa"/>
            <w:tcMar>
              <w:left w:w="198" w:type="dxa"/>
              <w:right w:w="198" w:type="dxa"/>
            </w:tcMar>
            <w:vAlign w:val="center"/>
          </w:tcPr>
          <w:p>
            <w:pPr>
              <w:snapToGrid w:val="0"/>
              <w:jc w:val="center"/>
              <w:rPr>
                <w:b/>
                <w:bCs/>
                <w:color w:val="auto"/>
                <w:highlight w:val="none"/>
              </w:rPr>
            </w:pPr>
          </w:p>
        </w:tc>
        <w:tc>
          <w:tcPr>
            <w:tcW w:w="2037" w:type="dxa"/>
            <w:tcMar>
              <w:left w:w="142" w:type="dxa"/>
              <w:right w:w="57" w:type="dxa"/>
            </w:tcMar>
            <w:vAlign w:val="center"/>
          </w:tcPr>
          <w:p>
            <w:pPr>
              <w:snapToGrid w:val="0"/>
              <w:jc w:val="center"/>
              <w:rPr>
                <w:b/>
                <w:bCs/>
                <w:color w:val="auto"/>
                <w:highlight w:val="none"/>
              </w:rPr>
            </w:pPr>
          </w:p>
        </w:tc>
        <w:tc>
          <w:tcPr>
            <w:tcW w:w="2037" w:type="dxa"/>
            <w:tcMar>
              <w:left w:w="284" w:type="dxa"/>
              <w:right w:w="142" w:type="dxa"/>
            </w:tcMar>
            <w:vAlign w:val="center"/>
          </w:tcPr>
          <w:p>
            <w:pPr>
              <w:snapToGrid w:val="0"/>
              <w:jc w:val="center"/>
              <w:rPr>
                <w:b/>
                <w:bCs/>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rPr>
                <w:color w:val="auto"/>
                <w:highlight w:val="none"/>
              </w:rPr>
            </w:pPr>
          </w:p>
        </w:tc>
        <w:tc>
          <w:tcPr>
            <w:tcW w:w="2037" w:type="dxa"/>
            <w:tcMar>
              <w:left w:w="284" w:type="dxa"/>
              <w:right w:w="142" w:type="dxa"/>
            </w:tcMar>
            <w:vAlign w:val="center"/>
          </w:tcPr>
          <w:p>
            <w:pPr>
              <w:snapToGrid w:val="0"/>
              <w:rPr>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rPr>
                <w:color w:val="auto"/>
                <w:szCs w:val="21"/>
                <w:highlight w:val="none"/>
              </w:rPr>
            </w:pPr>
          </w:p>
        </w:tc>
        <w:tc>
          <w:tcPr>
            <w:tcW w:w="2037" w:type="dxa"/>
            <w:tcMar>
              <w:left w:w="284" w:type="dxa"/>
              <w:right w:w="142" w:type="dxa"/>
            </w:tcMar>
            <w:vAlign w:val="center"/>
          </w:tcPr>
          <w:p>
            <w:pPr>
              <w:snapToGrid w:val="0"/>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
                <w:bCs/>
                <w:color w:val="auto"/>
                <w:highlight w:val="none"/>
              </w:rPr>
            </w:pPr>
          </w:p>
        </w:tc>
        <w:tc>
          <w:tcPr>
            <w:tcW w:w="1782" w:type="dxa"/>
            <w:tcMar>
              <w:left w:w="142" w:type="dxa"/>
              <w:right w:w="142" w:type="dxa"/>
            </w:tcMar>
            <w:vAlign w:val="center"/>
          </w:tcPr>
          <w:p>
            <w:pPr>
              <w:snapToGrid w:val="0"/>
              <w:rPr>
                <w:b/>
                <w:bCs/>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rPr>
                <w:color w:val="auto"/>
                <w:highlight w:val="none"/>
              </w:rPr>
            </w:pPr>
          </w:p>
        </w:tc>
        <w:tc>
          <w:tcPr>
            <w:tcW w:w="2037" w:type="dxa"/>
            <w:tcMar>
              <w:left w:w="284" w:type="dxa"/>
              <w:right w:w="142" w:type="dxa"/>
            </w:tcMar>
            <w:vAlign w:val="center"/>
          </w:tcPr>
          <w:p>
            <w:pPr>
              <w:snapToGrid w:val="0"/>
              <w:rPr>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szCs w:val="21"/>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tcPr>
          <w:p>
            <w:pPr>
              <w:snapToGrid w:val="0"/>
              <w:jc w:val="center"/>
              <w:rPr>
                <w:color w:val="auto"/>
                <w:szCs w:val="21"/>
                <w:highlight w:val="none"/>
              </w:rPr>
            </w:pPr>
          </w:p>
        </w:tc>
        <w:tc>
          <w:tcPr>
            <w:tcW w:w="2037" w:type="dxa"/>
            <w:tcMar>
              <w:left w:w="284" w:type="dxa"/>
              <w:right w:w="142" w:type="dxa"/>
            </w:tcMar>
          </w:tcPr>
          <w:p>
            <w:pPr>
              <w:snapToGrid w:val="0"/>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tcPr>
          <w:p>
            <w:pPr>
              <w:snapToGrid w:val="0"/>
              <w:jc w:val="center"/>
              <w:rPr>
                <w:color w:val="auto"/>
                <w:szCs w:val="21"/>
                <w:highlight w:val="none"/>
              </w:rPr>
            </w:pPr>
          </w:p>
        </w:tc>
        <w:tc>
          <w:tcPr>
            <w:tcW w:w="2037" w:type="dxa"/>
            <w:tcMar>
              <w:left w:w="284" w:type="dxa"/>
              <w:right w:w="142" w:type="dxa"/>
            </w:tcMar>
          </w:tcPr>
          <w:p>
            <w:pPr>
              <w:snapToGrid w:val="0"/>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tcPr>
          <w:p>
            <w:pPr>
              <w:snapToGrid w:val="0"/>
              <w:jc w:val="center"/>
              <w:rPr>
                <w:color w:val="auto"/>
                <w:highlight w:val="none"/>
              </w:rPr>
            </w:pPr>
          </w:p>
        </w:tc>
        <w:tc>
          <w:tcPr>
            <w:tcW w:w="950" w:type="dxa"/>
            <w:tcMar>
              <w:left w:w="284" w:type="dxa"/>
              <w:right w:w="142" w:type="dxa"/>
            </w:tcMar>
          </w:tcPr>
          <w:p>
            <w:pPr>
              <w:snapToGrid w:val="0"/>
              <w:jc w:val="center"/>
              <w:rPr>
                <w:color w:val="auto"/>
                <w:highlight w:val="none"/>
              </w:rPr>
            </w:pPr>
          </w:p>
        </w:tc>
        <w:tc>
          <w:tcPr>
            <w:tcW w:w="942" w:type="dxa"/>
            <w:tcMar>
              <w:left w:w="198" w:type="dxa"/>
              <w:right w:w="198" w:type="dxa"/>
            </w:tcMar>
            <w:vAlign w:val="center"/>
          </w:tcPr>
          <w:p>
            <w:pPr>
              <w:snapToGrid w:val="0"/>
              <w:jc w:val="center"/>
              <w:rPr>
                <w:color w:val="auto"/>
                <w:highlight w:val="none"/>
              </w:rPr>
            </w:pPr>
          </w:p>
        </w:tc>
        <w:tc>
          <w:tcPr>
            <w:tcW w:w="2037" w:type="dxa"/>
            <w:tcMar>
              <w:left w:w="142" w:type="dxa"/>
              <w:right w:w="57" w:type="dxa"/>
            </w:tcMar>
            <w:vAlign w:val="center"/>
          </w:tcPr>
          <w:p>
            <w:pPr>
              <w:snapToGrid w:val="0"/>
              <w:jc w:val="center"/>
              <w:rPr>
                <w:color w:val="auto"/>
                <w:szCs w:val="21"/>
                <w:highlight w:val="none"/>
              </w:rPr>
            </w:pPr>
          </w:p>
        </w:tc>
        <w:tc>
          <w:tcPr>
            <w:tcW w:w="2037" w:type="dxa"/>
            <w:tcMar>
              <w:left w:w="284" w:type="dxa"/>
              <w:right w:w="142" w:type="dxa"/>
            </w:tcMar>
            <w:vAlign w:val="center"/>
          </w:tcPr>
          <w:p>
            <w:pPr>
              <w:snapToGrid w:val="0"/>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color w:val="auto"/>
                <w:highlight w:val="none"/>
              </w:rPr>
            </w:pPr>
          </w:p>
        </w:tc>
        <w:tc>
          <w:tcPr>
            <w:tcW w:w="2037" w:type="dxa"/>
            <w:tcMar>
              <w:left w:w="142" w:type="dxa"/>
              <w:right w:w="57" w:type="dxa"/>
            </w:tcMar>
            <w:vAlign w:val="center"/>
          </w:tcPr>
          <w:p>
            <w:pPr>
              <w:snapToGrid w:val="0"/>
              <w:jc w:val="center"/>
              <w:rPr>
                <w:color w:val="auto"/>
                <w:szCs w:val="21"/>
                <w:highlight w:val="none"/>
              </w:rPr>
            </w:pPr>
          </w:p>
        </w:tc>
        <w:tc>
          <w:tcPr>
            <w:tcW w:w="2037" w:type="dxa"/>
            <w:tcMar>
              <w:left w:w="284" w:type="dxa"/>
              <w:right w:w="142" w:type="dxa"/>
            </w:tcMar>
            <w:vAlign w:val="center"/>
          </w:tcPr>
          <w:p>
            <w:pPr>
              <w:snapToGrid w:val="0"/>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
                <w:bCs/>
                <w:color w:val="auto"/>
                <w:highlight w:val="none"/>
              </w:rPr>
            </w:pPr>
          </w:p>
        </w:tc>
        <w:tc>
          <w:tcPr>
            <w:tcW w:w="1782" w:type="dxa"/>
            <w:tcMar>
              <w:left w:w="142" w:type="dxa"/>
              <w:right w:w="142" w:type="dxa"/>
            </w:tcMar>
            <w:vAlign w:val="center"/>
          </w:tcPr>
          <w:p>
            <w:pPr>
              <w:snapToGrid w:val="0"/>
              <w:rPr>
                <w:b/>
                <w:bCs/>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color w:val="auto"/>
                <w:highlight w:val="none"/>
              </w:rPr>
            </w:pPr>
          </w:p>
        </w:tc>
        <w:tc>
          <w:tcPr>
            <w:tcW w:w="2037" w:type="dxa"/>
            <w:tcMar>
              <w:left w:w="142" w:type="dxa"/>
              <w:right w:w="57" w:type="dxa"/>
            </w:tcMar>
            <w:vAlign w:val="center"/>
          </w:tcPr>
          <w:p>
            <w:pPr>
              <w:snapToGrid w:val="0"/>
              <w:jc w:val="center"/>
              <w:rPr>
                <w:color w:val="auto"/>
                <w:szCs w:val="21"/>
                <w:highlight w:val="none"/>
              </w:rPr>
            </w:pPr>
          </w:p>
        </w:tc>
        <w:tc>
          <w:tcPr>
            <w:tcW w:w="2037" w:type="dxa"/>
            <w:tcMar>
              <w:left w:w="284" w:type="dxa"/>
              <w:right w:w="142" w:type="dxa"/>
            </w:tcMar>
            <w:vAlign w:val="center"/>
          </w:tcPr>
          <w:p>
            <w:pPr>
              <w:snapToGrid w:val="0"/>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jc w:val="center"/>
              <w:rPr>
                <w:b/>
                <w:bCs/>
                <w:color w:val="auto"/>
                <w:highlight w:val="none"/>
              </w:rPr>
            </w:pPr>
          </w:p>
        </w:tc>
        <w:tc>
          <w:tcPr>
            <w:tcW w:w="2037" w:type="dxa"/>
            <w:tcMar>
              <w:left w:w="284" w:type="dxa"/>
              <w:right w:w="142" w:type="dxa"/>
            </w:tcMar>
            <w:vAlign w:val="center"/>
          </w:tcPr>
          <w:p>
            <w:pPr>
              <w:snapToGrid w:val="0"/>
              <w:jc w:val="center"/>
              <w:rPr>
                <w:b/>
                <w:bCs/>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jc w:val="center"/>
              <w:rPr>
                <w:b/>
                <w:bCs/>
                <w:color w:val="auto"/>
                <w:highlight w:val="none"/>
              </w:rPr>
            </w:pPr>
          </w:p>
        </w:tc>
        <w:tc>
          <w:tcPr>
            <w:tcW w:w="2037" w:type="dxa"/>
            <w:tcMar>
              <w:left w:w="284" w:type="dxa"/>
              <w:right w:w="142" w:type="dxa"/>
            </w:tcMar>
            <w:vAlign w:val="center"/>
          </w:tcPr>
          <w:p>
            <w:pPr>
              <w:snapToGrid w:val="0"/>
              <w:jc w:val="center"/>
              <w:rPr>
                <w:b/>
                <w:bCs/>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jc w:val="center"/>
              <w:rPr>
                <w:b/>
                <w:bCs/>
                <w:color w:val="auto"/>
                <w:highlight w:val="none"/>
              </w:rPr>
            </w:pPr>
          </w:p>
        </w:tc>
        <w:tc>
          <w:tcPr>
            <w:tcW w:w="2037" w:type="dxa"/>
            <w:tcMar>
              <w:left w:w="284" w:type="dxa"/>
              <w:right w:w="142" w:type="dxa"/>
            </w:tcMar>
            <w:vAlign w:val="center"/>
          </w:tcPr>
          <w:p>
            <w:pPr>
              <w:snapToGrid w:val="0"/>
              <w:jc w:val="center"/>
              <w:rPr>
                <w:b/>
                <w:bCs/>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5" w:hRule="exact"/>
          <w:jc w:val="center"/>
        </w:trPr>
        <w:tc>
          <w:tcPr>
            <w:tcW w:w="5042" w:type="dxa"/>
            <w:gridSpan w:val="5"/>
            <w:tcMar>
              <w:left w:w="284" w:type="dxa"/>
              <w:right w:w="142" w:type="dxa"/>
            </w:tcMar>
            <w:vAlign w:val="center"/>
          </w:tcPr>
          <w:p>
            <w:pPr>
              <w:snapToGrid w:val="0"/>
              <w:jc w:val="center"/>
              <w:rPr>
                <w:b/>
                <w:color w:val="auto"/>
                <w:highlight w:val="none"/>
              </w:rPr>
            </w:pPr>
            <w:r>
              <w:rPr>
                <w:b/>
                <w:bCs/>
                <w:color w:val="auto"/>
                <w:highlight w:val="none"/>
              </w:rPr>
              <w:t>合计</w:t>
            </w:r>
          </w:p>
        </w:tc>
        <w:tc>
          <w:tcPr>
            <w:tcW w:w="2037" w:type="dxa"/>
            <w:tcMar>
              <w:left w:w="142" w:type="dxa"/>
              <w:right w:w="57" w:type="dxa"/>
            </w:tcMar>
            <w:vAlign w:val="center"/>
          </w:tcPr>
          <w:p>
            <w:pPr>
              <w:snapToGrid w:val="0"/>
              <w:jc w:val="center"/>
              <w:rPr>
                <w:b/>
                <w:bCs/>
                <w:color w:val="auto"/>
                <w:highlight w:val="none"/>
              </w:rPr>
            </w:pPr>
          </w:p>
        </w:tc>
        <w:tc>
          <w:tcPr>
            <w:tcW w:w="2037" w:type="dxa"/>
            <w:tcMar>
              <w:left w:w="284" w:type="dxa"/>
              <w:right w:w="142" w:type="dxa"/>
            </w:tcMar>
            <w:vAlign w:val="center"/>
          </w:tcPr>
          <w:p>
            <w:pPr>
              <w:snapToGrid w:val="0"/>
              <w:jc w:val="center"/>
              <w:rPr>
                <w:color w:val="auto"/>
                <w:szCs w:val="21"/>
                <w:highlight w:val="none"/>
              </w:rPr>
            </w:pPr>
          </w:p>
        </w:tc>
      </w:tr>
    </w:tbl>
    <w:p>
      <w:pPr>
        <w:snapToGrid w:val="0"/>
        <w:spacing w:line="500" w:lineRule="atLeast"/>
        <w:rPr>
          <w:b/>
          <w:bCs/>
          <w:color w:val="auto"/>
          <w:highlight w:val="none"/>
        </w:rPr>
      </w:pP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（盖章）</w:t>
      </w:r>
      <w:r>
        <w:rPr>
          <w:rFonts w:ascii="Times New Roman" w:hAnsi="Times New Roman"/>
          <w:snapToGrid w:val="0"/>
          <w:color w:val="auto"/>
          <w:highlight w:val="none"/>
        </w:rPr>
        <w:t>：</w:t>
      </w: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法定代表人（或授权代表人）：</w:t>
      </w:r>
      <w:r>
        <w:rPr>
          <w:rFonts w:ascii="Times New Roman" w:hAnsi="Times New Roman"/>
          <w:snapToGrid w:val="0"/>
          <w:color w:val="auto"/>
          <w:highlight w:val="none"/>
          <w:u w:val="single"/>
        </w:rPr>
        <w:t>（签字或签章）</w:t>
      </w:r>
    </w:p>
    <w:p>
      <w:pPr>
        <w:pStyle w:val="29"/>
        <w:spacing w:before="0" w:beforeAutospacing="0" w:after="0" w:afterAutospacing="0" w:line="360" w:lineRule="auto"/>
        <w:jc w:val="right"/>
        <w:rPr>
          <w:rFonts w:ascii="Times New Roman" w:hAnsi="Times New Roman"/>
          <w:snapToGrid w:val="0"/>
          <w:color w:val="auto"/>
          <w:highlight w:val="none"/>
        </w:rPr>
      </w:pP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rPr>
          <w:rFonts w:hint="eastAsia" w:ascii="宋体" w:hAnsi="宋体" w:cs="宋体"/>
          <w:color w:val="auto"/>
          <w:sz w:val="21"/>
          <w:szCs w:val="21"/>
          <w:highlight w:val="none"/>
        </w:rPr>
      </w:pPr>
      <w:r>
        <w:rPr>
          <w:rFonts w:ascii="Times New Roman" w:hAnsi="Times New Roman" w:cs="Times New Roman"/>
          <w:color w:val="auto"/>
          <w:sz w:val="28"/>
          <w:highlight w:val="none"/>
          <w:u w:val="single"/>
        </w:rPr>
        <w:br w:type="page"/>
      </w:r>
    </w:p>
    <w:p>
      <w:pPr>
        <w:pStyle w:val="3"/>
        <w:rPr>
          <w:color w:val="auto"/>
          <w:highlight w:val="none"/>
        </w:rPr>
      </w:pPr>
      <w:bookmarkStart w:id="159" w:name="_Toc30952"/>
      <w:r>
        <w:rPr>
          <w:rFonts w:hint="eastAsia"/>
          <w:color w:val="auto"/>
          <w:highlight w:val="none"/>
        </w:rPr>
        <w:t>项目委托合同（样本）</w:t>
      </w:r>
      <w:bookmarkEnd w:id="159"/>
    </w:p>
    <w:p>
      <w:pPr>
        <w:autoSpaceDE/>
        <w:autoSpaceDN/>
        <w:adjustRightInd/>
        <w:spacing w:line="360" w:lineRule="auto"/>
        <w:ind w:right="11" w:firstLine="171" w:firstLineChars="71"/>
        <w:textAlignment w:val="auto"/>
        <w:rPr>
          <w:color w:val="auto"/>
          <w:kern w:val="2"/>
          <w:sz w:val="28"/>
          <w:highlight w:val="none"/>
          <w:u w:val="single"/>
        </w:rPr>
      </w:pPr>
      <w:r>
        <w:rPr>
          <w:rFonts w:hint="eastAsia" w:hAnsi="宋体" w:cs="宋体"/>
          <w:b/>
          <w:color w:val="auto"/>
          <w:highlight w:val="none"/>
        </w:rPr>
        <w:t xml:space="preserve"> </w:t>
      </w:r>
      <w:r>
        <w:rPr>
          <w:color w:val="auto"/>
          <w:kern w:val="2"/>
          <w:sz w:val="28"/>
          <w:highlight w:val="none"/>
        </w:rPr>
        <w:t>合同登记编号：                        合同号:  ___________</w:t>
      </w:r>
    </w:p>
    <w:tbl>
      <w:tblPr>
        <w:tblStyle w:val="33"/>
        <w:tblW w:w="5071" w:type="dxa"/>
        <w:tblInd w:w="4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1"/>
        <w:gridCol w:w="360"/>
        <w:gridCol w:w="360"/>
        <w:gridCol w:w="360"/>
        <w:gridCol w:w="360"/>
        <w:gridCol w:w="360"/>
        <w:gridCol w:w="360"/>
        <w:gridCol w:w="360"/>
        <w:gridCol w:w="360"/>
        <w:gridCol w:w="360"/>
        <w:gridCol w:w="360"/>
        <w:gridCol w:w="360"/>
        <w:gridCol w:w="360"/>
        <w:gridCol w:w="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391"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r>
    </w:tbl>
    <w:p>
      <w:pPr>
        <w:autoSpaceDE/>
        <w:autoSpaceDN/>
        <w:adjustRightInd/>
        <w:spacing w:before="100" w:beforeAutospacing="1" w:after="100" w:afterAutospacing="1" w:line="300" w:lineRule="auto"/>
        <w:textAlignment w:val="auto"/>
        <w:rPr>
          <w:rFonts w:eastAsia="黑体"/>
          <w:color w:val="auto"/>
          <w:kern w:val="2"/>
          <w:sz w:val="44"/>
          <w:highlight w:val="none"/>
        </w:rPr>
      </w:pPr>
    </w:p>
    <w:p>
      <w:pPr>
        <w:autoSpaceDE/>
        <w:autoSpaceDN/>
        <w:adjustRightInd/>
        <w:spacing w:before="100" w:beforeAutospacing="1" w:after="100" w:afterAutospacing="1" w:line="300" w:lineRule="auto"/>
        <w:ind w:firstLine="1320" w:firstLineChars="300"/>
        <w:textAlignment w:val="auto"/>
        <w:rPr>
          <w:rFonts w:eastAsia="黑体"/>
          <w:color w:val="auto"/>
          <w:kern w:val="2"/>
          <w:sz w:val="44"/>
          <w:highlight w:val="none"/>
        </w:rPr>
      </w:pPr>
      <w:r>
        <w:rPr>
          <w:rFonts w:eastAsia="黑体"/>
          <w:color w:val="auto"/>
          <w:kern w:val="2"/>
          <w:sz w:val="44"/>
          <w:highlight w:val="none"/>
        </w:rPr>
        <w:t xml:space="preserve">技  术  服  务  合  同  书 </w:t>
      </w:r>
    </w:p>
    <w:p>
      <w:pPr>
        <w:widowControl/>
        <w:autoSpaceDE/>
        <w:autoSpaceDN/>
        <w:adjustRightInd/>
        <w:spacing w:line="300" w:lineRule="auto"/>
        <w:jc w:val="center"/>
        <w:textAlignment w:val="auto"/>
        <w:rPr>
          <w:color w:val="auto"/>
          <w:sz w:val="28"/>
          <w:highlight w:val="none"/>
        </w:rPr>
      </w:pPr>
      <w:r>
        <w:rPr>
          <w:color w:val="auto"/>
          <w:sz w:val="28"/>
          <w:highlight w:val="none"/>
        </w:rPr>
        <w:t>(试    用)</w:t>
      </w:r>
    </w:p>
    <w:p>
      <w:pPr>
        <w:autoSpaceDE/>
        <w:autoSpaceDN/>
        <w:adjustRightInd/>
        <w:spacing w:line="240" w:lineRule="atLeast"/>
        <w:textAlignment w:val="auto"/>
        <w:rPr>
          <w:color w:val="auto"/>
          <w:spacing w:val="-4"/>
          <w:kern w:val="2"/>
          <w:sz w:val="30"/>
          <w:highlight w:val="none"/>
        </w:rPr>
      </w:pPr>
    </w:p>
    <w:p>
      <w:pPr>
        <w:autoSpaceDE/>
        <w:autoSpaceDN/>
        <w:adjustRightInd/>
        <w:spacing w:line="240" w:lineRule="atLeast"/>
        <w:textAlignment w:val="auto"/>
        <w:rPr>
          <w:color w:val="auto"/>
          <w:spacing w:val="-4"/>
          <w:kern w:val="2"/>
          <w:sz w:val="30"/>
          <w:highlight w:val="none"/>
        </w:rPr>
      </w:pPr>
    </w:p>
    <w:p>
      <w:pPr>
        <w:autoSpaceDE/>
        <w:autoSpaceDN/>
        <w:adjustRightInd/>
        <w:spacing w:line="240" w:lineRule="atLeast"/>
        <w:textAlignment w:val="auto"/>
        <w:rPr>
          <w:color w:val="auto"/>
          <w:spacing w:val="-4"/>
          <w:kern w:val="2"/>
          <w:sz w:val="30"/>
          <w:highlight w:val="none"/>
        </w:rPr>
      </w:pPr>
    </w:p>
    <w:p>
      <w:pPr>
        <w:autoSpaceDE/>
        <w:autoSpaceDN/>
        <w:adjustRightInd/>
        <w:spacing w:line="240" w:lineRule="atLeast"/>
        <w:textAlignment w:val="auto"/>
        <w:rPr>
          <w:color w:val="auto"/>
          <w:spacing w:val="-4"/>
          <w:kern w:val="2"/>
          <w:sz w:val="30"/>
          <w:highlight w:val="none"/>
        </w:rPr>
      </w:pPr>
    </w:p>
    <w:p>
      <w:pPr>
        <w:autoSpaceDE/>
        <w:autoSpaceDN/>
        <w:adjustRightInd/>
        <w:spacing w:line="240" w:lineRule="atLeast"/>
        <w:textAlignment w:val="auto"/>
        <w:rPr>
          <w:color w:val="auto"/>
          <w:spacing w:val="-4"/>
          <w:kern w:val="2"/>
          <w:sz w:val="30"/>
          <w:highlight w:val="none"/>
        </w:rPr>
      </w:pPr>
    </w:p>
    <w:p>
      <w:pPr>
        <w:autoSpaceDE/>
        <w:autoSpaceDN/>
        <w:adjustRightInd/>
        <w:spacing w:line="240" w:lineRule="atLeast"/>
        <w:textAlignment w:val="auto"/>
        <w:rPr>
          <w:color w:val="auto"/>
          <w:spacing w:val="-4"/>
          <w:kern w:val="2"/>
          <w:sz w:val="10"/>
          <w:highlight w:val="none"/>
          <w:u w:val="single"/>
        </w:rPr>
      </w:pPr>
      <w:r>
        <w:rPr>
          <w:color w:val="auto"/>
          <w:spacing w:val="-4"/>
          <w:kern w:val="2"/>
          <w:sz w:val="30"/>
          <w:highlight w:val="none"/>
        </w:rPr>
        <w:t>项目名称:</w:t>
      </w:r>
      <w:r>
        <w:rPr>
          <w:color w:val="auto"/>
          <w:kern w:val="2"/>
          <w:sz w:val="28"/>
          <w:szCs w:val="28"/>
          <w:highlight w:val="none"/>
        </w:rPr>
        <w:t xml:space="preserve"> </w:t>
      </w:r>
      <w:r>
        <w:rPr>
          <w:color w:val="auto"/>
          <w:kern w:val="2"/>
          <w:sz w:val="28"/>
          <w:szCs w:val="28"/>
          <w:highlight w:val="none"/>
          <w:u w:val="single"/>
        </w:rPr>
        <w:t xml:space="preserve">   </w:t>
      </w:r>
      <w:r>
        <w:rPr>
          <w:rFonts w:hint="eastAsia"/>
          <w:color w:val="auto"/>
          <w:kern w:val="2"/>
          <w:sz w:val="28"/>
          <w:szCs w:val="28"/>
          <w:highlight w:val="none"/>
          <w:u w:val="single"/>
          <w:lang w:val="en-US" w:eastAsia="zh-CN"/>
        </w:rPr>
        <w:t xml:space="preserve">         </w:t>
      </w:r>
      <w:r>
        <w:rPr>
          <w:rFonts w:hint="eastAsia"/>
          <w:color w:val="auto"/>
          <w:kern w:val="2"/>
          <w:sz w:val="28"/>
          <w:szCs w:val="28"/>
          <w:highlight w:val="none"/>
          <w:u w:val="single"/>
          <w:lang w:eastAsia="zh-CN"/>
        </w:rPr>
        <w:t>水土保持监测管理平台运维</w:t>
      </w:r>
      <w:r>
        <w:rPr>
          <w:color w:val="auto"/>
          <w:kern w:val="2"/>
          <w:sz w:val="28"/>
          <w:szCs w:val="28"/>
          <w:highlight w:val="none"/>
          <w:u w:val="single"/>
        </w:rPr>
        <w:t xml:space="preserve">        </w:t>
      </w:r>
      <w:r>
        <w:rPr>
          <w:rFonts w:hint="eastAsia"/>
          <w:color w:val="auto"/>
          <w:kern w:val="2"/>
          <w:sz w:val="28"/>
          <w:szCs w:val="28"/>
          <w:highlight w:val="none"/>
          <w:u w:val="single"/>
        </w:rPr>
        <w:t xml:space="preserve">   </w:t>
      </w:r>
      <w:r>
        <w:rPr>
          <w:color w:val="auto"/>
          <w:kern w:val="2"/>
          <w:sz w:val="28"/>
          <w:szCs w:val="28"/>
          <w:highlight w:val="none"/>
          <w:u w:val="single"/>
        </w:rPr>
        <w:t xml:space="preserve">            </w:t>
      </w:r>
    </w:p>
    <w:p>
      <w:pPr>
        <w:autoSpaceDE/>
        <w:autoSpaceDN/>
        <w:adjustRightInd/>
        <w:spacing w:line="240" w:lineRule="atLeast"/>
        <w:textAlignment w:val="auto"/>
        <w:rPr>
          <w:color w:val="auto"/>
          <w:spacing w:val="30"/>
          <w:kern w:val="2"/>
          <w:sz w:val="30"/>
          <w:highlight w:val="none"/>
        </w:rPr>
      </w:pPr>
    </w:p>
    <w:p>
      <w:pPr>
        <w:autoSpaceDE/>
        <w:autoSpaceDN/>
        <w:adjustRightInd/>
        <w:spacing w:line="240" w:lineRule="atLeast"/>
        <w:textAlignment w:val="auto"/>
        <w:rPr>
          <w:color w:val="auto"/>
          <w:spacing w:val="-4"/>
          <w:kern w:val="2"/>
          <w:sz w:val="30"/>
          <w:highlight w:val="none"/>
          <w:u w:val="single"/>
        </w:rPr>
      </w:pPr>
      <w:r>
        <w:rPr>
          <w:color w:val="auto"/>
          <w:spacing w:val="30"/>
          <w:kern w:val="2"/>
          <w:sz w:val="30"/>
          <w:highlight w:val="none"/>
        </w:rPr>
        <w:t>委托方</w:t>
      </w:r>
      <w:r>
        <w:rPr>
          <w:color w:val="auto"/>
          <w:kern w:val="2"/>
          <w:sz w:val="30"/>
          <w:highlight w:val="none"/>
        </w:rPr>
        <w:t>：</w:t>
      </w:r>
      <w:r>
        <w:rPr>
          <w:color w:val="auto"/>
          <w:kern w:val="2"/>
          <w:sz w:val="30"/>
          <w:highlight w:val="none"/>
          <w:u w:val="single"/>
        </w:rPr>
        <w:t xml:space="preserve">   </w:t>
      </w:r>
      <w:r>
        <w:rPr>
          <w:rFonts w:hint="eastAsia"/>
          <w:color w:val="auto"/>
          <w:kern w:val="2"/>
          <w:sz w:val="28"/>
          <w:szCs w:val="28"/>
          <w:highlight w:val="none"/>
          <w:u w:val="single"/>
          <w:lang w:eastAsia="zh-CN"/>
        </w:rPr>
        <w:t>浙江省水资源水电管理中心（浙江省水土保持监测中心）</w:t>
      </w:r>
      <w:r>
        <w:rPr>
          <w:color w:val="auto"/>
          <w:kern w:val="2"/>
          <w:sz w:val="28"/>
          <w:szCs w:val="28"/>
          <w:highlight w:val="none"/>
          <w:u w:val="single"/>
        </w:rPr>
        <w:t xml:space="preserve">     </w:t>
      </w:r>
      <w:r>
        <w:rPr>
          <w:rFonts w:hint="eastAsia"/>
          <w:color w:val="auto"/>
          <w:kern w:val="2"/>
          <w:sz w:val="28"/>
          <w:szCs w:val="28"/>
          <w:highlight w:val="none"/>
          <w:u w:val="single"/>
        </w:rPr>
        <w:t xml:space="preserve"> </w:t>
      </w:r>
      <w:r>
        <w:rPr>
          <w:color w:val="auto"/>
          <w:kern w:val="2"/>
          <w:sz w:val="28"/>
          <w:szCs w:val="28"/>
          <w:highlight w:val="none"/>
          <w:u w:val="single"/>
        </w:rPr>
        <w:t xml:space="preserve">                  </w:t>
      </w:r>
    </w:p>
    <w:p>
      <w:pPr>
        <w:autoSpaceDE/>
        <w:autoSpaceDN/>
        <w:adjustRightInd/>
        <w:spacing w:line="240" w:lineRule="atLeast"/>
        <w:textAlignment w:val="auto"/>
        <w:rPr>
          <w:color w:val="auto"/>
          <w:kern w:val="2"/>
          <w:sz w:val="28"/>
          <w:highlight w:val="none"/>
        </w:rPr>
      </w:pPr>
      <w:r>
        <w:rPr>
          <w:color w:val="auto"/>
          <w:kern w:val="2"/>
          <w:sz w:val="28"/>
          <w:highlight w:val="none"/>
        </w:rPr>
        <w:t xml:space="preserve"> (甲方)</w:t>
      </w:r>
    </w:p>
    <w:p>
      <w:pPr>
        <w:autoSpaceDE/>
        <w:autoSpaceDN/>
        <w:adjustRightInd/>
        <w:spacing w:line="240" w:lineRule="atLeast"/>
        <w:ind w:firstLine="707" w:firstLineChars="208"/>
        <w:textAlignment w:val="auto"/>
        <w:rPr>
          <w:color w:val="auto"/>
          <w:spacing w:val="30"/>
          <w:kern w:val="2"/>
          <w:sz w:val="28"/>
          <w:highlight w:val="none"/>
        </w:rPr>
      </w:pPr>
    </w:p>
    <w:p>
      <w:pPr>
        <w:autoSpaceDE/>
        <w:autoSpaceDN/>
        <w:adjustRightInd/>
        <w:spacing w:line="240" w:lineRule="atLeast"/>
        <w:ind w:right="17"/>
        <w:textAlignment w:val="auto"/>
        <w:rPr>
          <w:color w:val="auto"/>
          <w:kern w:val="2"/>
          <w:sz w:val="28"/>
          <w:szCs w:val="24"/>
          <w:highlight w:val="none"/>
          <w:u w:val="single"/>
        </w:rPr>
      </w:pPr>
      <w:r>
        <w:rPr>
          <w:color w:val="auto"/>
          <w:spacing w:val="30"/>
          <w:kern w:val="2"/>
          <w:sz w:val="30"/>
          <w:highlight w:val="none"/>
        </w:rPr>
        <w:t>服务方</w:t>
      </w:r>
      <w:r>
        <w:rPr>
          <w:color w:val="auto"/>
          <w:spacing w:val="30"/>
          <w:kern w:val="2"/>
          <w:sz w:val="28"/>
          <w:highlight w:val="none"/>
        </w:rPr>
        <w:t>：</w:t>
      </w:r>
      <w:r>
        <w:rPr>
          <w:color w:val="auto"/>
          <w:spacing w:val="30"/>
          <w:kern w:val="2"/>
          <w:sz w:val="28"/>
          <w:highlight w:val="none"/>
          <w:u w:val="single"/>
        </w:rPr>
        <w:t xml:space="preserve">         </w:t>
      </w:r>
      <w:r>
        <w:rPr>
          <w:color w:val="auto"/>
          <w:kern w:val="2"/>
          <w:sz w:val="28"/>
          <w:szCs w:val="24"/>
          <w:highlight w:val="none"/>
          <w:u w:val="single"/>
        </w:rPr>
        <w:t xml:space="preserve">                                          </w:t>
      </w:r>
    </w:p>
    <w:p>
      <w:pPr>
        <w:autoSpaceDE/>
        <w:autoSpaceDN/>
        <w:adjustRightInd/>
        <w:spacing w:line="240" w:lineRule="atLeast"/>
        <w:ind w:right="17"/>
        <w:textAlignment w:val="auto"/>
        <w:rPr>
          <w:color w:val="auto"/>
          <w:kern w:val="2"/>
          <w:sz w:val="30"/>
          <w:highlight w:val="none"/>
        </w:rPr>
      </w:pPr>
      <w:r>
        <w:rPr>
          <w:color w:val="auto"/>
          <w:kern w:val="2"/>
          <w:sz w:val="30"/>
          <w:highlight w:val="none"/>
        </w:rPr>
        <w:t xml:space="preserve"> (乙方)</w:t>
      </w:r>
    </w:p>
    <w:p>
      <w:pPr>
        <w:autoSpaceDE/>
        <w:autoSpaceDN/>
        <w:adjustRightInd/>
        <w:snapToGrid w:val="0"/>
        <w:spacing w:line="240" w:lineRule="atLeast"/>
        <w:ind w:firstLine="1110" w:firstLineChars="370"/>
        <w:textAlignment w:val="auto"/>
        <w:rPr>
          <w:color w:val="auto"/>
          <w:kern w:val="2"/>
          <w:sz w:val="30"/>
          <w:highlight w:val="none"/>
        </w:rPr>
      </w:pPr>
    </w:p>
    <w:p>
      <w:pPr>
        <w:autoSpaceDE/>
        <w:autoSpaceDN/>
        <w:adjustRightInd/>
        <w:snapToGrid w:val="0"/>
        <w:spacing w:line="240" w:lineRule="atLeast"/>
        <w:textAlignment w:val="auto"/>
        <w:rPr>
          <w:color w:val="auto"/>
          <w:kern w:val="2"/>
          <w:sz w:val="30"/>
          <w:highlight w:val="none"/>
        </w:rPr>
      </w:pPr>
      <w:r>
        <w:rPr>
          <w:color w:val="auto"/>
          <w:kern w:val="2"/>
          <w:sz w:val="30"/>
          <w:highlight w:val="none"/>
        </w:rPr>
        <w:t>鉴证方：</w:t>
      </w:r>
      <w:r>
        <w:rPr>
          <w:color w:val="auto"/>
          <w:spacing w:val="30"/>
          <w:kern w:val="2"/>
          <w:sz w:val="28"/>
          <w:highlight w:val="none"/>
        </w:rPr>
        <w:t>：</w:t>
      </w:r>
      <w:r>
        <w:rPr>
          <w:color w:val="auto"/>
          <w:spacing w:val="30"/>
          <w:kern w:val="2"/>
          <w:sz w:val="28"/>
          <w:highlight w:val="none"/>
          <w:u w:val="single"/>
        </w:rPr>
        <w:t xml:space="preserve">      </w:t>
      </w:r>
      <w:r>
        <w:rPr>
          <w:rFonts w:hint="eastAsia"/>
          <w:color w:val="auto"/>
          <w:spacing w:val="30"/>
          <w:kern w:val="2"/>
          <w:sz w:val="28"/>
          <w:highlight w:val="none"/>
          <w:u w:val="single"/>
        </w:rPr>
        <w:t xml:space="preserve"> </w:t>
      </w:r>
      <w:r>
        <w:rPr>
          <w:color w:val="auto"/>
          <w:kern w:val="2"/>
          <w:sz w:val="28"/>
          <w:szCs w:val="24"/>
          <w:highlight w:val="none"/>
          <w:u w:val="single"/>
        </w:rPr>
        <w:t>浙江水利水电工程审价中心</w:t>
      </w:r>
      <w:r>
        <w:rPr>
          <w:rFonts w:hint="eastAsia"/>
          <w:color w:val="auto"/>
          <w:kern w:val="2"/>
          <w:sz w:val="28"/>
          <w:szCs w:val="24"/>
          <w:highlight w:val="none"/>
          <w:u w:val="single"/>
        </w:rPr>
        <w:t>有限公司</w:t>
      </w:r>
      <w:r>
        <w:rPr>
          <w:color w:val="auto"/>
          <w:kern w:val="2"/>
          <w:sz w:val="28"/>
          <w:szCs w:val="24"/>
          <w:highlight w:val="none"/>
          <w:u w:val="single"/>
        </w:rPr>
        <w:t xml:space="preserve">              </w:t>
      </w:r>
    </w:p>
    <w:p>
      <w:pPr>
        <w:autoSpaceDE/>
        <w:autoSpaceDN/>
        <w:adjustRightInd/>
        <w:snapToGrid w:val="0"/>
        <w:spacing w:line="240" w:lineRule="atLeast"/>
        <w:textAlignment w:val="auto"/>
        <w:rPr>
          <w:color w:val="auto"/>
          <w:kern w:val="2"/>
          <w:sz w:val="30"/>
          <w:highlight w:val="none"/>
        </w:rPr>
      </w:pPr>
      <w:r>
        <w:rPr>
          <w:color w:val="auto"/>
          <w:kern w:val="2"/>
          <w:sz w:val="30"/>
          <w:highlight w:val="none"/>
        </w:rPr>
        <w:t>（丙方）</w:t>
      </w:r>
    </w:p>
    <w:p>
      <w:pPr>
        <w:autoSpaceDE/>
        <w:autoSpaceDN/>
        <w:adjustRightInd/>
        <w:snapToGrid w:val="0"/>
        <w:spacing w:line="360" w:lineRule="auto"/>
        <w:ind w:firstLine="900" w:firstLineChars="300"/>
        <w:textAlignment w:val="auto"/>
        <w:rPr>
          <w:color w:val="auto"/>
          <w:kern w:val="2"/>
          <w:sz w:val="30"/>
          <w:highlight w:val="none"/>
        </w:rPr>
      </w:pPr>
    </w:p>
    <w:p>
      <w:pPr>
        <w:autoSpaceDE/>
        <w:autoSpaceDN/>
        <w:adjustRightInd/>
        <w:snapToGrid w:val="0"/>
        <w:spacing w:line="360" w:lineRule="auto"/>
        <w:ind w:firstLine="900" w:firstLineChars="300"/>
        <w:textAlignment w:val="auto"/>
        <w:rPr>
          <w:b/>
          <w:color w:val="auto"/>
          <w:kern w:val="2"/>
          <w:sz w:val="28"/>
          <w:highlight w:val="none"/>
        </w:rPr>
      </w:pPr>
      <w:r>
        <w:rPr>
          <w:color w:val="auto"/>
          <w:kern w:val="2"/>
          <w:sz w:val="30"/>
          <w:highlight w:val="none"/>
        </w:rPr>
        <w:t>签订地点：</w:t>
      </w:r>
      <w:r>
        <w:rPr>
          <w:b/>
          <w:color w:val="auto"/>
          <w:kern w:val="2"/>
          <w:sz w:val="28"/>
          <w:highlight w:val="none"/>
        </w:rPr>
        <w:t xml:space="preserve">  </w:t>
      </w:r>
      <w:r>
        <w:rPr>
          <w:color w:val="auto"/>
          <w:kern w:val="2"/>
          <w:sz w:val="30"/>
          <w:highlight w:val="none"/>
        </w:rPr>
        <w:t>浙江省杭州市</w:t>
      </w:r>
    </w:p>
    <w:p>
      <w:pPr>
        <w:autoSpaceDE/>
        <w:autoSpaceDN/>
        <w:adjustRightInd/>
        <w:snapToGrid w:val="0"/>
        <w:spacing w:line="360" w:lineRule="auto"/>
        <w:ind w:firstLine="900" w:firstLineChars="300"/>
        <w:textAlignment w:val="auto"/>
        <w:rPr>
          <w:color w:val="auto"/>
          <w:kern w:val="2"/>
          <w:sz w:val="28"/>
          <w:highlight w:val="none"/>
        </w:rPr>
      </w:pPr>
      <w:r>
        <w:rPr>
          <w:color w:val="auto"/>
          <w:kern w:val="2"/>
          <w:sz w:val="30"/>
          <w:highlight w:val="none"/>
        </w:rPr>
        <w:t>签订日期：</w:t>
      </w:r>
      <w:r>
        <w:rPr>
          <w:color w:val="auto"/>
          <w:kern w:val="2"/>
          <w:sz w:val="28"/>
          <w:highlight w:val="none"/>
        </w:rPr>
        <w:t xml:space="preserve">    </w:t>
      </w:r>
      <w:r>
        <w:rPr>
          <w:color w:val="auto"/>
          <w:kern w:val="2"/>
          <w:sz w:val="30"/>
          <w:highlight w:val="none"/>
        </w:rPr>
        <w:t xml:space="preserve">年  </w:t>
      </w:r>
      <w:r>
        <w:rPr>
          <w:color w:val="auto"/>
          <w:kern w:val="2"/>
          <w:sz w:val="28"/>
          <w:highlight w:val="none"/>
        </w:rPr>
        <w:t>月  日</w:t>
      </w:r>
    </w:p>
    <w:p>
      <w:pPr>
        <w:autoSpaceDE/>
        <w:autoSpaceDN/>
        <w:snapToGrid w:val="0"/>
        <w:spacing w:line="360" w:lineRule="auto"/>
        <w:ind w:firstLine="900" w:firstLineChars="300"/>
        <w:textAlignment w:val="auto"/>
        <w:rPr>
          <w:color w:val="auto"/>
          <w:kern w:val="2"/>
          <w:sz w:val="30"/>
          <w:highlight w:val="none"/>
        </w:rPr>
      </w:pPr>
      <w:r>
        <w:rPr>
          <w:color w:val="auto"/>
          <w:kern w:val="2"/>
          <w:sz w:val="30"/>
          <w:highlight w:val="none"/>
        </w:rPr>
        <w:t>有效期限：</w:t>
      </w:r>
      <w:r>
        <w:rPr>
          <w:color w:val="auto"/>
          <w:kern w:val="2"/>
          <w:sz w:val="28"/>
          <w:highlight w:val="none"/>
        </w:rPr>
        <w:t xml:space="preserve">    </w:t>
      </w:r>
      <w:r>
        <w:rPr>
          <w:color w:val="auto"/>
          <w:kern w:val="2"/>
          <w:sz w:val="30"/>
          <w:highlight w:val="none"/>
        </w:rPr>
        <w:t xml:space="preserve">年   </w:t>
      </w:r>
      <w:r>
        <w:rPr>
          <w:color w:val="auto"/>
          <w:kern w:val="2"/>
          <w:sz w:val="28"/>
          <w:highlight w:val="none"/>
        </w:rPr>
        <w:t>月  日至</w:t>
      </w:r>
      <w:r>
        <w:rPr>
          <w:color w:val="auto"/>
          <w:kern w:val="2"/>
          <w:sz w:val="30"/>
          <w:szCs w:val="30"/>
          <w:highlight w:val="none"/>
        </w:rPr>
        <w:t xml:space="preserve">  年  月  日</w:t>
      </w:r>
    </w:p>
    <w:p>
      <w:pPr>
        <w:autoSpaceDE/>
        <w:autoSpaceDN/>
        <w:adjustRightInd/>
        <w:spacing w:before="100" w:beforeAutospacing="1" w:after="100" w:afterAutospacing="1" w:line="360" w:lineRule="auto"/>
        <w:jc w:val="center"/>
        <w:textAlignment w:val="auto"/>
        <w:rPr>
          <w:rFonts w:eastAsia="黑体"/>
          <w:color w:val="auto"/>
          <w:kern w:val="2"/>
          <w:sz w:val="32"/>
          <w:highlight w:val="none"/>
        </w:rPr>
      </w:pPr>
    </w:p>
    <w:p>
      <w:pPr>
        <w:spacing w:after="120" w:afterLines="50"/>
        <w:jc w:val="center"/>
        <w:rPr>
          <w:rFonts w:ascii="Times New Roman" w:hAnsi="Times New Roman" w:eastAsia="楷体_GB2312" w:cs="Times New Roman"/>
          <w:b/>
          <w:bCs/>
          <w:color w:val="auto"/>
          <w:sz w:val="36"/>
          <w:highlight w:val="none"/>
        </w:rPr>
      </w:pPr>
      <w:r>
        <w:rPr>
          <w:color w:val="auto"/>
          <w:highlight w:val="none"/>
        </w:rPr>
        <w:br w:type="page"/>
      </w:r>
      <w:r>
        <w:rPr>
          <w:rFonts w:ascii="Times New Roman" w:hAnsi="Times New Roman" w:eastAsia="楷体_GB2312" w:cs="Times New Roman"/>
          <w:b/>
          <w:bCs/>
          <w:color w:val="auto"/>
          <w:sz w:val="36"/>
          <w:highlight w:val="none"/>
        </w:rPr>
        <w:t>填 写 说 明</w:t>
      </w:r>
    </w:p>
    <w:p>
      <w:pPr>
        <w:tabs>
          <w:tab w:val="left" w:pos="386"/>
        </w:tabs>
        <w:autoSpaceDE/>
        <w:autoSpaceDN/>
        <w:snapToGrid w:val="0"/>
        <w:spacing w:line="360" w:lineRule="auto"/>
        <w:ind w:firstLine="560" w:firstLineChars="200"/>
        <w:rPr>
          <w:rFonts w:ascii="Times New Roman" w:hAnsi="Times New Roman" w:cs="Times New Roman"/>
          <w:color w:val="auto"/>
          <w:highlight w:val="none"/>
        </w:rPr>
      </w:pPr>
      <w:r>
        <w:rPr>
          <w:rFonts w:ascii="Times New Roman" w:hAnsi="Times New Roman" w:cs="Times New Roman"/>
          <w:color w:val="auto"/>
          <w:sz w:val="28"/>
          <w:highlight w:val="none"/>
        </w:rPr>
        <w:t xml:space="preserve"> </w:t>
      </w:r>
      <w:r>
        <w:rPr>
          <w:rFonts w:ascii="Times New Roman" w:hAnsi="Times New Roman" w:cs="Times New Roman"/>
          <w:color w:val="auto"/>
          <w:highlight w:val="none"/>
        </w:rPr>
        <w:t>一、“合同登记编号”的填写方法:</w:t>
      </w:r>
    </w:p>
    <w:p>
      <w:pPr>
        <w:tabs>
          <w:tab w:val="left" w:pos="240"/>
          <w:tab w:val="left" w:pos="386"/>
        </w:tabs>
        <w:autoSpaceDE/>
        <w:autoSpaceDN/>
        <w:snapToGrid w:val="0"/>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合同登记编号为十四位,左起第一、二位为公历年代号,第三、四位为省、自治区、直辖市编码,第五、六位为地、市编码,第七、八位为合同登记点编号,第九至十四位为合同登记序号,以上编码不足位的补零。各地区编码按GB2260-84规定填写。(合同登记序号由各地区自行决定)</w:t>
      </w:r>
    </w:p>
    <w:p>
      <w:pPr>
        <w:autoSpaceDE/>
        <w:autoSpaceDN/>
        <w:snapToGrid w:val="0"/>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二、技术服务合同是指当事人一方以技术知识为另一方解决特定技术问题所订立的合同。</w:t>
      </w:r>
    </w:p>
    <w:p>
      <w:pPr>
        <w:autoSpaceDE/>
        <w:autoSpaceDN/>
        <w:snapToGrid w:val="0"/>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三、计划内项目应填写国务院部委、省、自治区、直辖市、计划单列市、地、市(县)级计划,不属于上述计划的项目此栏划(/)表示。</w:t>
      </w:r>
    </w:p>
    <w:p>
      <w:pPr>
        <w:autoSpaceDE/>
        <w:autoSpaceDN/>
        <w:snapToGrid w:val="0"/>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四、服务内容、方式和要求:</w:t>
      </w:r>
    </w:p>
    <w:p>
      <w:pPr>
        <w:autoSpaceDE/>
        <w:autoSpaceDN/>
        <w:snapToGrid w:val="0"/>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包括技术服务的特征、标的范围及效益情况；特定技术问题的难度、主要技术经济指标；具体的做法、手段、程序以及交付成果的形式。</w:t>
      </w:r>
    </w:p>
    <w:p>
      <w:pPr>
        <w:autoSpaceDE/>
        <w:autoSpaceDN/>
        <w:snapToGrid w:val="0"/>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五、工作条件和协作事项：</w:t>
      </w:r>
    </w:p>
    <w:p>
      <w:pPr>
        <w:autoSpaceDE/>
        <w:autoSpaceDN/>
        <w:snapToGrid w:val="0"/>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包括甲方为乙方提供的资料、文件及其他条件，双方协作的具体事项。</w:t>
      </w:r>
    </w:p>
    <w:p>
      <w:pPr>
        <w:autoSpaceDE/>
        <w:autoSpaceDN/>
        <w:snapToGrid w:val="0"/>
        <w:spacing w:line="360" w:lineRule="auto"/>
        <w:ind w:firstLine="480" w:firstLineChars="200"/>
        <w:rPr>
          <w:rFonts w:hint="eastAsia"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六、技术情报和资料的保密</w:t>
      </w:r>
    </w:p>
    <w:p>
      <w:pPr>
        <w:autoSpaceDE/>
        <w:autoSpaceDN/>
        <w:snapToGrid w:val="0"/>
        <w:spacing w:line="360" w:lineRule="auto"/>
        <w:ind w:firstLine="480" w:firstLineChars="200"/>
        <w:rPr>
          <w:rFonts w:hint="eastAsia"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包括当事人各方情报和资料保密义务的内容、期限和泄露技术秘密应承担的责任。</w:t>
      </w:r>
    </w:p>
    <w:p>
      <w:pPr>
        <w:autoSpaceDE/>
        <w:autoSpaceDN/>
        <w:snapToGrid w:val="0"/>
        <w:spacing w:line="360" w:lineRule="auto"/>
        <w:ind w:firstLine="480" w:firstLineChars="200"/>
        <w:rPr>
          <w:rFonts w:hint="default" w:ascii="Times New Roman" w:hAnsi="Times New Roman" w:eastAsia="宋体" w:cs="Times New Roman"/>
          <w:color w:val="auto"/>
          <w:highlight w:val="none"/>
          <w:lang w:val="en-US" w:eastAsia="zh-CN"/>
        </w:rPr>
      </w:pPr>
      <w:r>
        <w:rPr>
          <w:rFonts w:hint="eastAsia" w:ascii="Times New Roman" w:hAnsi="Times New Roman" w:cs="Times New Roman"/>
          <w:color w:val="auto"/>
          <w:highlight w:val="none"/>
          <w:lang w:val="en-US" w:eastAsia="zh-CN"/>
        </w:rPr>
        <w:t>双方可以约定，本合同变更、解除、终止，本条款均有效。</w:t>
      </w:r>
    </w:p>
    <w:p>
      <w:pPr>
        <w:autoSpaceDE/>
        <w:autoSpaceDN/>
        <w:snapToGrid w:val="0"/>
        <w:spacing w:line="360" w:lineRule="auto"/>
        <w:ind w:firstLine="480" w:firstLineChars="200"/>
        <w:rPr>
          <w:rFonts w:ascii="Times New Roman" w:hAnsi="Times New Roman" w:cs="Times New Roman"/>
          <w:color w:val="auto"/>
          <w:highlight w:val="none"/>
        </w:rPr>
      </w:pPr>
      <w:r>
        <w:rPr>
          <w:rFonts w:hint="eastAsia" w:ascii="Times New Roman" w:hAnsi="Times New Roman" w:cs="Times New Roman"/>
          <w:color w:val="auto"/>
          <w:highlight w:val="none"/>
          <w:lang w:val="en-US" w:eastAsia="zh-CN"/>
        </w:rPr>
        <w:t>七</w:t>
      </w:r>
      <w:r>
        <w:rPr>
          <w:rFonts w:ascii="Times New Roman" w:hAnsi="Times New Roman" w:cs="Times New Roman"/>
          <w:color w:val="auto"/>
          <w:highlight w:val="none"/>
        </w:rPr>
        <w:t>、其他:</w:t>
      </w:r>
      <w:r>
        <w:rPr>
          <w:rFonts w:ascii="Times New Roman" w:hAnsi="Times New Roman" w:cs="Times New Roman"/>
          <w:color w:val="auto"/>
          <w:highlight w:val="none"/>
        </w:rPr>
        <w:tab/>
      </w:r>
    </w:p>
    <w:p>
      <w:pPr>
        <w:autoSpaceDE/>
        <w:autoSpaceDN/>
        <w:snapToGrid w:val="0"/>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合同如果是通过中介机构介绍签订的,应将中介合同作为本合同的附件。</w:t>
      </w:r>
    </w:p>
    <w:p>
      <w:pPr>
        <w:autoSpaceDE/>
        <w:autoSpaceDN/>
        <w:snapToGrid w:val="0"/>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八、委托代理人在签订定本合同时,应出具委托证书。</w:t>
      </w:r>
    </w:p>
    <w:p>
      <w:pPr>
        <w:autoSpaceDE/>
        <w:autoSpaceDN/>
        <w:snapToGrid w:val="0"/>
        <w:spacing w:line="360" w:lineRule="auto"/>
        <w:ind w:right="-288" w:rightChars="-120" w:firstLine="480" w:firstLineChars="200"/>
        <w:rPr>
          <w:rFonts w:ascii="Times New Roman" w:hAnsi="Times New Roman" w:cs="Times New Roman"/>
          <w:color w:val="auto"/>
          <w:highlight w:val="none"/>
        </w:rPr>
      </w:pPr>
      <w:r>
        <w:rPr>
          <w:rFonts w:hint="eastAsia" w:ascii="Times New Roman" w:hAnsi="Times New Roman" w:cs="Times New Roman"/>
          <w:color w:val="auto"/>
          <w:highlight w:val="none"/>
          <w:lang w:val="en-US" w:eastAsia="zh-CN"/>
        </w:rPr>
        <w:t>九</w:t>
      </w:r>
      <w:r>
        <w:rPr>
          <w:rFonts w:ascii="Times New Roman" w:hAnsi="Times New Roman" w:cs="Times New Roman"/>
          <w:color w:val="auto"/>
          <w:highlight w:val="none"/>
        </w:rPr>
        <w:t>、本合同书中,凡是当事人约定无需填写的条款,在该条款填写的空白处划(/)表示。</w:t>
      </w:r>
    </w:p>
    <w:p>
      <w:pPr>
        <w:widowControl/>
        <w:autoSpaceDE/>
        <w:autoSpaceDN/>
        <w:adjustRightInd/>
        <w:jc w:val="right"/>
        <w:textAlignment w:val="auto"/>
        <w:rPr>
          <w:rFonts w:ascii="Times New Roman" w:hAnsi="Times New Roman" w:eastAsia="宋体" w:cs="Times New Roman"/>
          <w:color w:val="auto"/>
          <w:highlight w:val="none"/>
        </w:rPr>
      </w:pPr>
      <w:r>
        <w:rPr>
          <w:rFonts w:ascii="Times New Roman" w:hAnsi="Times New Roman" w:cs="Times New Roman"/>
          <w:color w:val="auto"/>
          <w:highlight w:val="none"/>
        </w:rPr>
        <w:br w:type="page"/>
      </w:r>
      <w:r>
        <w:rPr>
          <w:rFonts w:ascii="Times New Roman" w:hAnsi="Times New Roman" w:eastAsia="宋体" w:cs="Times New Roman"/>
          <w:color w:val="auto"/>
          <w:highlight w:val="none"/>
        </w:rPr>
        <w:t>服务(1)</w:t>
      </w:r>
    </w:p>
    <w:tbl>
      <w:tblPr>
        <w:tblStyle w:val="33"/>
        <w:tblW w:w="0" w:type="auto"/>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242"/>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2529" w:hRule="atLeast"/>
        </w:trPr>
        <w:tc>
          <w:tcPr>
            <w:tcW w:w="9242" w:type="dxa"/>
            <w:tcBorders>
              <w:bottom w:val="single" w:color="auto" w:sz="6" w:space="0"/>
            </w:tcBorders>
          </w:tcPr>
          <w:p>
            <w:pPr>
              <w:snapToGrid w:val="0"/>
              <w:spacing w:line="360" w:lineRule="auto"/>
              <w:ind w:firstLine="600" w:firstLineChars="250"/>
              <w:rPr>
                <w:rFonts w:ascii="Times New Roman" w:hAnsi="Times New Roman" w:eastAsia="宋体" w:cs="Times New Roman"/>
                <w:color w:val="auto"/>
                <w:highlight w:val="none"/>
              </w:rPr>
            </w:pPr>
            <w:r>
              <w:rPr>
                <w:rFonts w:ascii="Times New Roman" w:hAnsi="Times New Roman" w:eastAsia="宋体" w:cs="Times New Roman"/>
                <w:color w:val="auto"/>
                <w:highlight w:val="none"/>
              </w:rPr>
              <w:t>依据《中华人民共和国</w:t>
            </w:r>
            <w:r>
              <w:rPr>
                <w:rFonts w:hint="eastAsia" w:ascii="Times New Roman" w:hAnsi="Times New Roman" w:eastAsia="宋体" w:cs="Times New Roman"/>
                <w:color w:val="auto"/>
                <w:highlight w:val="none"/>
              </w:rPr>
              <w:t>民法典</w:t>
            </w:r>
            <w:r>
              <w:rPr>
                <w:rFonts w:ascii="Times New Roman" w:hAnsi="Times New Roman" w:eastAsia="宋体" w:cs="Times New Roman"/>
                <w:color w:val="auto"/>
                <w:highlight w:val="none"/>
              </w:rPr>
              <w:t>》的规定，合同双方就</w:t>
            </w:r>
            <w:r>
              <w:rPr>
                <w:rFonts w:hint="eastAsia" w:ascii="Times New Roman" w:hAnsi="Times New Roman" w:eastAsia="宋体" w:cs="Times New Roman"/>
                <w:color w:val="auto"/>
                <w:highlight w:val="none"/>
                <w:u w:val="single"/>
              </w:rPr>
              <w:t xml:space="preserve"> </w:t>
            </w:r>
            <w:r>
              <w:rPr>
                <w:rFonts w:hint="eastAsia" w:cs="Times New Roman"/>
                <w:color w:val="auto"/>
                <w:highlight w:val="none"/>
                <w:u w:val="single"/>
                <w:lang w:eastAsia="zh-CN"/>
              </w:rPr>
              <w:t>水土保持监测管理平台运维</w:t>
            </w:r>
            <w:r>
              <w:rPr>
                <w:rFonts w:hint="eastAsia" w:ascii="Times New Roman" w:hAnsi="Times New Roman" w:eastAsia="宋体" w:cs="Times New Roman"/>
                <w:color w:val="auto"/>
                <w:highlight w:val="none"/>
              </w:rPr>
              <w:t>项目</w:t>
            </w:r>
            <w:r>
              <w:rPr>
                <w:rFonts w:ascii="Times New Roman" w:hAnsi="Times New Roman" w:eastAsia="宋体" w:cs="Times New Roman"/>
                <w:color w:val="auto"/>
                <w:highlight w:val="none"/>
              </w:rPr>
              <w:t>经协商一致，签订本合同。</w:t>
            </w:r>
          </w:p>
          <w:p>
            <w:pPr>
              <w:autoSpaceDE/>
              <w:autoSpaceDN/>
              <w:spacing w:line="336" w:lineRule="auto"/>
              <w:ind w:firstLine="480" w:firstLineChars="200"/>
              <w:textAlignment w:val="auto"/>
              <w:rPr>
                <w:rFonts w:hint="eastAsia" w:ascii="Times New Roman" w:hAnsi="Times New Roman" w:eastAsia="黑体" w:cs="Times New Roman"/>
                <w:color w:val="auto"/>
                <w:highlight w:val="none"/>
              </w:rPr>
            </w:pPr>
            <w:r>
              <w:rPr>
                <w:rFonts w:hint="eastAsia" w:ascii="Times New Roman" w:hAnsi="Times New Roman" w:eastAsia="黑体" w:cs="Times New Roman"/>
                <w:color w:val="auto"/>
                <w:highlight w:val="none"/>
              </w:rPr>
              <w:t>一、项目主要内容：</w:t>
            </w:r>
          </w:p>
          <w:p>
            <w:pPr>
              <w:autoSpaceDE/>
              <w:autoSpaceDN/>
              <w:spacing w:line="336" w:lineRule="auto"/>
              <w:ind w:firstLine="480" w:firstLineChars="200"/>
              <w:textAlignment w:val="auto"/>
              <w:rPr>
                <w:rFonts w:hint="eastAsia" w:ascii="Times New Roman" w:hAnsi="Times New Roman" w:eastAsia="宋体" w:cs="Times New Roman"/>
                <w:color w:val="auto"/>
                <w:highlight w:val="none"/>
                <w:lang w:eastAsia="zh-CN"/>
              </w:rPr>
            </w:pPr>
            <w:r>
              <w:rPr>
                <w:rFonts w:hint="eastAsia" w:ascii="Times New Roman" w:hAnsi="Times New Roman" w:eastAsia="宋体" w:cs="Times New Roman"/>
                <w:color w:val="auto"/>
                <w:highlight w:val="none"/>
                <w:lang w:eastAsia="zh-CN"/>
              </w:rPr>
              <w:t>（</w:t>
            </w:r>
            <w:r>
              <w:rPr>
                <w:rFonts w:hint="eastAsia" w:ascii="Times New Roman" w:hAnsi="Times New Roman" w:eastAsia="宋体" w:cs="Times New Roman"/>
                <w:color w:val="auto"/>
                <w:highlight w:val="none"/>
                <w:lang w:val="en-US" w:eastAsia="zh-CN"/>
              </w:rPr>
              <w:t>一</w:t>
            </w:r>
            <w:r>
              <w:rPr>
                <w:rFonts w:hint="eastAsia" w:ascii="Times New Roman" w:hAnsi="Times New Roman" w:eastAsia="宋体" w:cs="Times New Roman"/>
                <w:color w:val="auto"/>
                <w:highlight w:val="none"/>
                <w:lang w:eastAsia="zh-CN"/>
              </w:rPr>
              <w:t>）</w:t>
            </w:r>
            <w:r>
              <w:rPr>
                <w:rFonts w:hint="eastAsia" w:ascii="Times New Roman" w:hAnsi="Times New Roman" w:eastAsia="宋体" w:cs="Times New Roman"/>
                <w:color w:val="auto"/>
                <w:highlight w:val="none"/>
                <w:lang w:val="en-US" w:eastAsia="zh-CN"/>
              </w:rPr>
              <w:t>工作内容</w:t>
            </w:r>
          </w:p>
          <w:p>
            <w:pPr>
              <w:autoSpaceDE/>
              <w:autoSpaceDN/>
              <w:spacing w:line="336" w:lineRule="auto"/>
              <w:ind w:firstLine="480" w:firstLineChars="200"/>
              <w:textAlignment w:val="auto"/>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（1）日常运行维护。每周进行系统巡检，对出现的bug进行及时修复。每周对系统的数据库进行一次全备份，保障数据安全。对平台中出现性能降低的模块进行性能提升、保障用户使用体验。</w:t>
            </w:r>
          </w:p>
          <w:p>
            <w:pPr>
              <w:autoSpaceDE/>
              <w:autoSpaceDN/>
              <w:spacing w:line="336" w:lineRule="auto"/>
              <w:ind w:firstLine="480" w:firstLineChars="200"/>
              <w:textAlignment w:val="auto"/>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（2）水利数据仓对接，完成2023年度全省水土保持数据整理，按照省级水利数据仓的要求，将平台产生的相关数据推送至水利数据仓。</w:t>
            </w:r>
          </w:p>
          <w:p>
            <w:pPr>
              <w:autoSpaceDE/>
              <w:autoSpaceDN/>
              <w:spacing w:line="336" w:lineRule="auto"/>
              <w:ind w:firstLine="480" w:firstLineChars="200"/>
              <w:textAlignment w:val="auto"/>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（3）完善水土保持学会工作模块、完善省级专家库更新模块。</w:t>
            </w:r>
          </w:p>
          <w:p>
            <w:pPr>
              <w:autoSpaceDE/>
              <w:autoSpaceDN/>
              <w:spacing w:line="336" w:lineRule="auto"/>
              <w:ind w:firstLine="480" w:firstLineChars="200"/>
              <w:textAlignment w:val="auto"/>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（4）完成数据迁移。浙江省水土保持管理信息平台监测季报数据迁移至浙江省水土保持数字化管理应用平台。</w:t>
            </w:r>
          </w:p>
          <w:p>
            <w:pPr>
              <w:autoSpaceDE/>
              <w:autoSpaceDN/>
              <w:spacing w:line="336" w:lineRule="auto"/>
              <w:ind w:firstLine="480" w:firstLineChars="200"/>
              <w:textAlignment w:val="auto"/>
              <w:rPr>
                <w:rFonts w:hint="eastAsia" w:ascii="Times New Roman" w:hAnsi="Times New Roman" w:eastAsia="黑体" w:cs="Times New Roman"/>
                <w:color w:val="auto"/>
                <w:highlight w:val="none"/>
              </w:rPr>
            </w:pPr>
          </w:p>
          <w:p>
            <w:pPr>
              <w:autoSpaceDE/>
              <w:autoSpaceDN/>
              <w:spacing w:line="336" w:lineRule="auto"/>
              <w:ind w:firstLine="480" w:firstLineChars="200"/>
              <w:textAlignment w:val="auto"/>
              <w:rPr>
                <w:rFonts w:ascii="Times New Roman" w:hAnsi="Times New Roman" w:eastAsia="宋体" w:cs="Times New Roman"/>
                <w:color w:val="auto"/>
                <w:highlight w:val="none"/>
              </w:rPr>
            </w:pPr>
            <w:r>
              <w:rPr>
                <w:rFonts w:hint="eastAsia" w:ascii="Times New Roman" w:hAnsi="Times New Roman" w:eastAsia="黑体" w:cs="Times New Roman"/>
                <w:color w:val="auto"/>
                <w:highlight w:val="none"/>
              </w:rPr>
              <w:t>二、工作条件和协作事项</w:t>
            </w:r>
          </w:p>
          <w:p>
            <w:pPr>
              <w:snapToGrid w:val="0"/>
              <w:spacing w:line="640" w:lineRule="exact"/>
              <w:ind w:right="227" w:firstLine="480" w:firstLineChars="20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 xml:space="preserve">在合同生效后 </w:t>
            </w:r>
            <w:r>
              <w:rPr>
                <w:rFonts w:ascii="Times New Roman" w:hAnsi="Times New Roman" w:eastAsia="仿宋_GB2312" w:cs="Times New Roman"/>
                <w:color w:val="auto"/>
                <w:szCs w:val="24"/>
                <w:highlight w:val="none"/>
              </w:rPr>
              <w:t xml:space="preserve">      </w:t>
            </w:r>
            <w:r>
              <w:rPr>
                <w:rFonts w:ascii="Times New Roman" w:hAnsi="Times New Roman" w:eastAsia="楷体_GB2312" w:cs="Times New Roman"/>
                <w:b/>
                <w:color w:val="auto"/>
                <w:szCs w:val="24"/>
                <w:highlight w:val="none"/>
              </w:rPr>
              <w:t>根据各项工作计划时间</w:t>
            </w:r>
            <w:r>
              <w:rPr>
                <w:rFonts w:ascii="Times New Roman" w:hAnsi="Times New Roman" w:eastAsia="仿宋_GB2312" w:cs="Times New Roman"/>
                <w:color w:val="auto"/>
                <w:szCs w:val="24"/>
                <w:highlight w:val="none"/>
              </w:rPr>
              <w:t xml:space="preserve">     </w:t>
            </w:r>
            <w:r>
              <w:rPr>
                <w:rFonts w:ascii="Times New Roman" w:hAnsi="Times New Roman" w:eastAsia="宋体" w:cs="Times New Roman"/>
                <w:color w:val="auto"/>
                <w:szCs w:val="24"/>
                <w:highlight w:val="none"/>
              </w:rPr>
              <w:t>（时间）内，委托方应向</w:t>
            </w:r>
            <w:r>
              <w:rPr>
                <w:rFonts w:hint="eastAsia" w:ascii="Times New Roman" w:hAnsi="Times New Roman" w:eastAsia="宋体" w:cs="Times New Roman"/>
                <w:color w:val="auto"/>
                <w:szCs w:val="24"/>
                <w:highlight w:val="none"/>
              </w:rPr>
              <w:t>服务</w:t>
            </w:r>
            <w:r>
              <w:rPr>
                <w:rFonts w:ascii="Times New Roman" w:hAnsi="Times New Roman" w:eastAsia="宋体" w:cs="Times New Roman"/>
                <w:color w:val="auto"/>
                <w:szCs w:val="24"/>
                <w:highlight w:val="none"/>
              </w:rPr>
              <w:t>方提供下列资料和工作条件：</w:t>
            </w:r>
          </w:p>
          <w:p>
            <w:pPr>
              <w:snapToGrid w:val="0"/>
              <w:spacing w:line="640" w:lineRule="exact"/>
              <w:ind w:right="227" w:firstLine="480" w:firstLineChars="200"/>
              <w:rPr>
                <w:rFonts w:ascii="Times New Roman" w:hAnsi="Times New Roman" w:eastAsia="宋体" w:cs="Times New Roman"/>
                <w:color w:val="auto"/>
                <w:highlight w:val="none"/>
              </w:rPr>
            </w:pPr>
            <w:r>
              <w:rPr>
                <w:rFonts w:ascii="Times New Roman" w:hAnsi="Times New Roman" w:eastAsia="宋体" w:cs="Times New Roman"/>
                <w:color w:val="auto"/>
                <w:szCs w:val="24"/>
                <w:highlight w:val="none"/>
              </w:rPr>
              <w:t>其它</w:t>
            </w:r>
            <w:r>
              <w:rPr>
                <w:rFonts w:ascii="Times New Roman" w:hAnsi="Times New Roman" w:eastAsia="仿宋_GB2312" w:cs="Times New Roman"/>
                <w:color w:val="auto"/>
                <w:szCs w:val="24"/>
                <w:highlight w:val="none"/>
              </w:rPr>
              <w:t>：</w:t>
            </w:r>
            <w:r>
              <w:rPr>
                <w:rFonts w:ascii="Times New Roman" w:hAnsi="Times New Roman" w:eastAsia="楷体_GB2312" w:cs="Times New Roman"/>
                <w:b/>
                <w:color w:val="auto"/>
                <w:szCs w:val="24"/>
                <w:highlight w:val="none"/>
              </w:rPr>
              <w:t>/</w:t>
            </w:r>
          </w:p>
          <w:p>
            <w:pPr>
              <w:widowControl w:val="0"/>
              <w:autoSpaceDE w:val="0"/>
              <w:autoSpaceDN w:val="0"/>
              <w:adjustRightInd w:val="0"/>
              <w:spacing w:after="120"/>
              <w:jc w:val="both"/>
              <w:textAlignment w:val="baseline"/>
              <w:rPr>
                <w:rFonts w:ascii="Times New Roman" w:hAnsi="Times New Roman" w:eastAsia="宋体" w:cs="Times New Roman"/>
                <w:color w:val="auto"/>
                <w:sz w:val="24"/>
                <w:highlight w:val="none"/>
                <w:lang w:val="en-US" w:eastAsia="zh-CN" w:bidi="ar-SA"/>
              </w:rPr>
            </w:pPr>
          </w:p>
        </w:tc>
      </w:tr>
    </w:tbl>
    <w:p>
      <w:pPr>
        <w:jc w:val="left"/>
        <w:rPr>
          <w:rFonts w:ascii="Times New Roman" w:hAnsi="Times New Roman" w:eastAsia="宋体" w:cs="Times New Roman"/>
          <w:color w:val="auto"/>
          <w:highlight w:val="none"/>
        </w:rPr>
      </w:pPr>
      <w:r>
        <w:rPr>
          <w:rFonts w:ascii="Times New Roman" w:hAnsi="Times New Roman" w:eastAsia="宋体" w:cs="Times New Roman"/>
          <w:color w:val="auto"/>
          <w:highlight w:val="none"/>
        </w:rPr>
        <w:t>注：本合同书标有*号合同条款按填写说明填写。</w:t>
      </w:r>
    </w:p>
    <w:p>
      <w:pPr>
        <w:rPr>
          <w:rFonts w:ascii="Times New Roman" w:hAnsi="Times New Roman" w:eastAsia="宋体" w:cs="Times New Roman"/>
          <w:color w:val="auto"/>
          <w:highlight w:val="none"/>
        </w:rPr>
      </w:pPr>
      <w:r>
        <w:rPr>
          <w:rFonts w:ascii="Times New Roman" w:hAnsi="Times New Roman" w:eastAsia="宋体" w:cs="Times New Roman"/>
          <w:color w:val="auto"/>
          <w:highlight w:val="none"/>
        </w:rPr>
        <w:br w:type="page"/>
      </w:r>
    </w:p>
    <w:p>
      <w:pPr>
        <w:jc w:val="right"/>
        <w:rPr>
          <w:rFonts w:ascii="Times New Roman" w:hAnsi="Times New Roman" w:eastAsia="宋体" w:cs="Times New Roman"/>
          <w:color w:val="auto"/>
          <w:highlight w:val="none"/>
        </w:rPr>
      </w:pPr>
      <w:r>
        <w:rPr>
          <w:rFonts w:ascii="Times New Roman" w:hAnsi="Times New Roman" w:eastAsia="宋体" w:cs="Times New Roman"/>
          <w:color w:val="auto"/>
          <w:highlight w:val="none"/>
        </w:rPr>
        <w:t>服务(2)</w:t>
      </w:r>
    </w:p>
    <w:tbl>
      <w:tblPr>
        <w:tblStyle w:val="33"/>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24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2635" w:hRule="atLeast"/>
        </w:trPr>
        <w:tc>
          <w:tcPr>
            <w:tcW w:w="9242" w:type="dxa"/>
            <w:tcBorders>
              <w:bottom w:val="single" w:color="auto" w:sz="6" w:space="0"/>
            </w:tcBorders>
          </w:tcPr>
          <w:p>
            <w:pPr>
              <w:autoSpaceDE/>
              <w:autoSpaceDN/>
              <w:spacing w:line="336" w:lineRule="auto"/>
              <w:ind w:firstLine="480" w:firstLineChars="200"/>
              <w:textAlignment w:val="auto"/>
              <w:rPr>
                <w:rFonts w:ascii="Times New Roman" w:hAnsi="Times New Roman" w:eastAsia="黑体" w:cs="Times New Roman"/>
                <w:color w:val="auto"/>
                <w:highlight w:val="none"/>
              </w:rPr>
            </w:pPr>
            <w:r>
              <w:rPr>
                <w:rFonts w:hint="eastAsia" w:ascii="Times New Roman" w:hAnsi="Times New Roman" w:eastAsia="黑体" w:cs="Times New Roman"/>
                <w:color w:val="auto"/>
                <w:highlight w:val="none"/>
              </w:rPr>
              <w:t>三、履行期限、地点和方式：</w:t>
            </w:r>
          </w:p>
          <w:p>
            <w:pPr>
              <w:spacing w:line="360" w:lineRule="auto"/>
              <w:ind w:right="113" w:firstLine="480" w:firstLineChars="200"/>
              <w:rPr>
                <w:rFonts w:ascii="Times New Roman" w:hAnsi="Times New Roman" w:eastAsia="宋体" w:cs="Times New Roman"/>
                <w:color w:val="auto"/>
                <w:highlight w:val="none"/>
              </w:rPr>
            </w:pPr>
            <w:r>
              <w:rPr>
                <w:rFonts w:ascii="Times New Roman" w:hAnsi="Times New Roman" w:eastAsia="宋体" w:cs="Times New Roman"/>
                <w:color w:val="auto"/>
                <w:highlight w:val="none"/>
              </w:rPr>
              <w:t>本合同</w:t>
            </w:r>
            <w:r>
              <w:rPr>
                <w:rFonts w:hint="eastAsia" w:cs="Times New Roman"/>
                <w:color w:val="auto"/>
                <w:highlight w:val="none"/>
                <w:u w:val="single"/>
                <w:lang w:val="en-US" w:eastAsia="zh-CN"/>
              </w:rPr>
              <w:t xml:space="preserve">   </w:t>
            </w:r>
            <w:r>
              <w:rPr>
                <w:rFonts w:ascii="Times New Roman" w:hAnsi="Times New Roman" w:eastAsia="宋体" w:cs="Times New Roman"/>
                <w:color w:val="auto"/>
                <w:highlight w:val="none"/>
                <w:u w:val="single"/>
              </w:rPr>
              <w:t>年</w:t>
            </w:r>
            <w:r>
              <w:rPr>
                <w:rFonts w:hint="eastAsia" w:ascii="Times New Roman" w:hAnsi="Times New Roman" w:eastAsia="宋体" w:cs="Times New Roman"/>
                <w:color w:val="auto"/>
                <w:highlight w:val="none"/>
                <w:u w:val="single"/>
              </w:rPr>
              <w:t xml:space="preserve">  </w:t>
            </w:r>
            <w:r>
              <w:rPr>
                <w:rFonts w:ascii="Times New Roman" w:hAnsi="Times New Roman" w:eastAsia="宋体" w:cs="Times New Roman"/>
                <w:color w:val="auto"/>
                <w:highlight w:val="none"/>
                <w:u w:val="single"/>
              </w:rPr>
              <w:t>月</w:t>
            </w:r>
            <w:r>
              <w:rPr>
                <w:rFonts w:ascii="Times New Roman" w:hAnsi="Times New Roman" w:eastAsia="宋体" w:cs="Times New Roman"/>
                <w:color w:val="auto"/>
                <w:sz w:val="28"/>
                <w:highlight w:val="none"/>
                <w:u w:val="single"/>
              </w:rPr>
              <w:t xml:space="preserve"> </w:t>
            </w:r>
            <w:r>
              <w:rPr>
                <w:rFonts w:hint="eastAsia" w:cs="Times New Roman"/>
                <w:color w:val="auto"/>
                <w:sz w:val="28"/>
                <w:highlight w:val="none"/>
                <w:u w:val="single"/>
                <w:lang w:val="en-US" w:eastAsia="zh-CN"/>
              </w:rPr>
              <w:t xml:space="preserve"> </w:t>
            </w:r>
            <w:r>
              <w:rPr>
                <w:rFonts w:ascii="Times New Roman" w:hAnsi="Times New Roman" w:eastAsia="宋体" w:cs="Times New Roman"/>
                <w:color w:val="auto"/>
                <w:highlight w:val="none"/>
                <w:u w:val="single"/>
              </w:rPr>
              <w:t>日至</w:t>
            </w:r>
            <w:r>
              <w:rPr>
                <w:rFonts w:hint="eastAsia" w:cs="Times New Roman"/>
                <w:color w:val="auto"/>
                <w:highlight w:val="none"/>
                <w:u w:val="single"/>
                <w:lang w:val="en-US" w:eastAsia="zh-CN"/>
              </w:rPr>
              <w:t xml:space="preserve">   </w:t>
            </w:r>
            <w:r>
              <w:rPr>
                <w:rFonts w:ascii="Times New Roman" w:hAnsi="Times New Roman" w:eastAsia="宋体" w:cs="Times New Roman"/>
                <w:color w:val="auto"/>
                <w:highlight w:val="none"/>
                <w:u w:val="single"/>
              </w:rPr>
              <w:t>年</w:t>
            </w:r>
            <w:r>
              <w:rPr>
                <w:rFonts w:hint="eastAsia" w:ascii="Times New Roman" w:hAnsi="Times New Roman" w:eastAsia="宋体" w:cs="Times New Roman"/>
                <w:color w:val="auto"/>
                <w:highlight w:val="none"/>
                <w:u w:val="single"/>
              </w:rPr>
              <w:t xml:space="preserve">   </w:t>
            </w:r>
            <w:r>
              <w:rPr>
                <w:rFonts w:ascii="Times New Roman" w:hAnsi="Times New Roman" w:eastAsia="宋体" w:cs="Times New Roman"/>
                <w:color w:val="auto"/>
                <w:highlight w:val="none"/>
                <w:u w:val="single"/>
              </w:rPr>
              <w:t>月</w:t>
            </w:r>
            <w:r>
              <w:rPr>
                <w:rFonts w:hint="eastAsia" w:ascii="Times New Roman" w:hAnsi="Times New Roman" w:eastAsia="宋体" w:cs="Times New Roman"/>
                <w:color w:val="auto"/>
                <w:highlight w:val="none"/>
                <w:u w:val="single"/>
              </w:rPr>
              <w:t xml:space="preserve">  </w:t>
            </w:r>
            <w:r>
              <w:rPr>
                <w:rFonts w:ascii="Times New Roman" w:hAnsi="Times New Roman" w:eastAsia="宋体" w:cs="Times New Roman"/>
                <w:color w:val="auto"/>
                <w:highlight w:val="none"/>
                <w:u w:val="single"/>
              </w:rPr>
              <w:t>日</w:t>
            </w:r>
            <w:r>
              <w:rPr>
                <w:rFonts w:ascii="Times New Roman" w:hAnsi="Times New Roman" w:eastAsia="宋体" w:cs="Times New Roman"/>
                <w:color w:val="auto"/>
                <w:highlight w:val="none"/>
              </w:rPr>
              <w:t xml:space="preserve">在 </w:t>
            </w:r>
            <w:r>
              <w:rPr>
                <w:rFonts w:ascii="Times New Roman" w:hAnsi="Times New Roman" w:eastAsia="楷体_GB2312" w:cs="Times New Roman"/>
                <w:color w:val="auto"/>
                <w:highlight w:val="none"/>
              </w:rPr>
              <w:t xml:space="preserve"> </w:t>
            </w:r>
            <w:r>
              <w:rPr>
                <w:rFonts w:ascii="Times New Roman" w:hAnsi="Times New Roman" w:eastAsia="楷体_GB2312" w:cs="Times New Roman"/>
                <w:color w:val="auto"/>
                <w:sz w:val="28"/>
                <w:highlight w:val="none"/>
              </w:rPr>
              <w:t>杭州</w:t>
            </w:r>
            <w:r>
              <w:rPr>
                <w:rFonts w:ascii="Times New Roman" w:hAnsi="Times New Roman" w:eastAsia="楷体_GB2312" w:cs="Times New Roman"/>
                <w:color w:val="auto"/>
                <w:highlight w:val="none"/>
              </w:rPr>
              <w:t xml:space="preserve"> </w:t>
            </w:r>
            <w:r>
              <w:rPr>
                <w:rFonts w:ascii="Times New Roman" w:hAnsi="Times New Roman" w:eastAsia="宋体" w:cs="Times New Roman"/>
                <w:color w:val="auto"/>
                <w:highlight w:val="none"/>
              </w:rPr>
              <w:t xml:space="preserve"> 市履行。</w:t>
            </w:r>
          </w:p>
          <w:p>
            <w:pPr>
              <w:autoSpaceDE/>
              <w:autoSpaceDN/>
              <w:spacing w:line="336" w:lineRule="auto"/>
              <w:ind w:firstLine="480" w:firstLineChars="200"/>
              <w:textAlignment w:val="auto"/>
              <w:rPr>
                <w:rFonts w:hint="eastAsia" w:ascii="Times New Roman" w:hAnsi="Times New Roman" w:eastAsia="宋体" w:cs="Times New Roman"/>
                <w:color w:val="auto"/>
                <w:highlight w:val="none"/>
              </w:rPr>
            </w:pPr>
            <w:r>
              <w:rPr>
                <w:rFonts w:ascii="Times New Roman" w:hAnsi="Times New Roman" w:eastAsia="宋体" w:cs="Times New Roman"/>
                <w:color w:val="auto"/>
                <w:szCs w:val="24"/>
                <w:highlight w:val="none"/>
              </w:rPr>
              <w:t>本合同的履行方式：</w:t>
            </w:r>
          </w:p>
          <w:p>
            <w:pPr>
              <w:autoSpaceDE/>
              <w:autoSpaceDN/>
              <w:spacing w:line="336" w:lineRule="auto"/>
              <w:ind w:firstLine="480" w:firstLineChars="200"/>
              <w:textAlignment w:val="auto"/>
              <w:rPr>
                <w:rFonts w:hint="eastAsia" w:ascii="Times New Roman" w:hAnsi="Times New Roman" w:eastAsia="宋体" w:cs="Times New Roman"/>
                <w:color w:val="auto"/>
                <w:highlight w:val="none"/>
              </w:rPr>
            </w:pPr>
            <w:r>
              <w:rPr>
                <w:rFonts w:hint="eastAsia" w:ascii="Times New Roman" w:hAnsi="Times New Roman" w:eastAsia="宋体-18030" w:cs="Times New Roman"/>
                <w:color w:val="auto"/>
                <w:szCs w:val="24"/>
                <w:highlight w:val="none"/>
              </w:rPr>
              <w:t>服务</w:t>
            </w:r>
            <w:r>
              <w:rPr>
                <w:rFonts w:ascii="Times New Roman" w:hAnsi="Times New Roman" w:eastAsia="宋体-18030" w:cs="Times New Roman"/>
                <w:color w:val="auto"/>
                <w:szCs w:val="24"/>
                <w:highlight w:val="none"/>
              </w:rPr>
              <w:t>方负责提交下列成果：</w:t>
            </w:r>
            <w:r>
              <w:rPr>
                <w:rFonts w:hint="eastAsia" w:ascii="Times New Roman" w:hAnsi="Times New Roman" w:eastAsia="宋体" w:cs="Times New Roman"/>
                <w:color w:val="auto"/>
                <w:highlight w:val="none"/>
              </w:rPr>
              <w:t>《水土保持监测管理平台运维工作报告》</w:t>
            </w:r>
          </w:p>
          <w:p>
            <w:pPr>
              <w:autoSpaceDE/>
              <w:autoSpaceDN/>
              <w:spacing w:line="336" w:lineRule="auto"/>
              <w:ind w:firstLine="480" w:firstLineChars="200"/>
              <w:textAlignment w:val="auto"/>
              <w:rPr>
                <w:rFonts w:hint="eastAsia" w:ascii="Times New Roman" w:hAnsi="Times New Roman" w:eastAsia="黑体" w:cs="Times New Roman"/>
                <w:color w:val="auto"/>
                <w:highlight w:val="none"/>
              </w:rPr>
            </w:pPr>
          </w:p>
          <w:p>
            <w:pPr>
              <w:autoSpaceDE/>
              <w:autoSpaceDN/>
              <w:spacing w:line="336" w:lineRule="auto"/>
              <w:ind w:firstLine="480" w:firstLineChars="200"/>
              <w:textAlignment w:val="auto"/>
              <w:rPr>
                <w:rFonts w:ascii="Times New Roman" w:hAnsi="Times New Roman" w:eastAsia="黑体" w:cs="Times New Roman"/>
                <w:color w:val="auto"/>
                <w:highlight w:val="none"/>
              </w:rPr>
            </w:pPr>
            <w:r>
              <w:rPr>
                <w:rFonts w:hint="eastAsia" w:ascii="Times New Roman" w:hAnsi="Times New Roman" w:eastAsia="黑体" w:cs="Times New Roman"/>
                <w:color w:val="auto"/>
                <w:highlight w:val="none"/>
              </w:rPr>
              <w:t>四、验收、评价方法：</w:t>
            </w:r>
          </w:p>
          <w:p>
            <w:pPr>
              <w:spacing w:line="360" w:lineRule="auto"/>
              <w:ind w:left="120" w:right="92" w:firstLine="51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本项目采用</w:t>
            </w:r>
            <w:r>
              <w:rPr>
                <w:rFonts w:hint="eastAsia" w:ascii="Times New Roman" w:hAnsi="Times New Roman" w:eastAsia="宋体" w:cs="Times New Roman"/>
                <w:color w:val="auto"/>
                <w:szCs w:val="24"/>
                <w:highlight w:val="none"/>
                <w:u w:val="single"/>
              </w:rPr>
              <w:t xml:space="preserve"> （</w:t>
            </w:r>
            <w:r>
              <w:rPr>
                <w:rFonts w:hint="eastAsia" w:ascii="Times New Roman" w:hAnsi="Times New Roman" w:eastAsia="宋体" w:cs="Times New Roman"/>
                <w:color w:val="auto"/>
                <w:szCs w:val="24"/>
                <w:highlight w:val="none"/>
                <w:u w:val="single"/>
                <w:lang w:val="en-US" w:eastAsia="zh-CN"/>
              </w:rPr>
              <w:t>2</w:t>
            </w:r>
            <w:r>
              <w:rPr>
                <w:rFonts w:hint="eastAsia" w:ascii="Times New Roman" w:hAnsi="Times New Roman" w:eastAsia="宋体" w:cs="Times New Roman"/>
                <w:color w:val="auto"/>
                <w:szCs w:val="24"/>
                <w:highlight w:val="none"/>
                <w:u w:val="single"/>
              </w:rPr>
              <w:t xml:space="preserve">） </w:t>
            </w:r>
            <w:r>
              <w:rPr>
                <w:rFonts w:ascii="Times New Roman" w:hAnsi="Times New Roman" w:eastAsia="宋体" w:cs="Times New Roman"/>
                <w:color w:val="auto"/>
                <w:szCs w:val="24"/>
                <w:highlight w:val="none"/>
              </w:rPr>
              <w:t>方式验收，由</w:t>
            </w:r>
            <w:r>
              <w:rPr>
                <w:rFonts w:hint="eastAsia" w:ascii="Times New Roman" w:hAnsi="Times New Roman" w:eastAsia="宋体" w:cs="Times New Roman"/>
                <w:color w:val="auto"/>
                <w:szCs w:val="24"/>
                <w:highlight w:val="none"/>
                <w:u w:val="single"/>
              </w:rPr>
              <w:t xml:space="preserve"> 委托 </w:t>
            </w:r>
            <w:r>
              <w:rPr>
                <w:rFonts w:ascii="Times New Roman" w:hAnsi="Times New Roman" w:eastAsia="宋体" w:cs="Times New Roman"/>
                <w:color w:val="auto"/>
                <w:szCs w:val="24"/>
                <w:highlight w:val="none"/>
              </w:rPr>
              <w:t>方</w:t>
            </w:r>
            <w:r>
              <w:rPr>
                <w:rFonts w:hint="eastAsia" w:ascii="Times New Roman" w:hAnsi="Times New Roman" w:eastAsia="宋体" w:cs="Times New Roman"/>
                <w:color w:val="auto"/>
                <w:szCs w:val="24"/>
                <w:highlight w:val="none"/>
              </w:rPr>
              <w:t>出具</w:t>
            </w:r>
            <w:r>
              <w:rPr>
                <w:rFonts w:hint="eastAsia" w:ascii="Times New Roman" w:hAnsi="Times New Roman" w:eastAsia="宋体" w:cs="Times New Roman"/>
                <w:color w:val="auto"/>
                <w:szCs w:val="24"/>
                <w:highlight w:val="none"/>
                <w:lang w:val="en-US" w:eastAsia="zh-CN"/>
              </w:rPr>
              <w:t>技术服务</w:t>
            </w:r>
            <w:r>
              <w:rPr>
                <w:rFonts w:hint="eastAsia" w:ascii="Times New Roman" w:hAnsi="Times New Roman" w:eastAsia="宋体" w:cs="Times New Roman"/>
                <w:color w:val="auto"/>
                <w:szCs w:val="24"/>
                <w:highlight w:val="none"/>
              </w:rPr>
              <w:t>验收证明</w:t>
            </w:r>
            <w:r>
              <w:rPr>
                <w:rFonts w:ascii="Times New Roman" w:hAnsi="Times New Roman" w:eastAsia="宋体" w:cs="Times New Roman"/>
                <w:color w:val="auto"/>
                <w:szCs w:val="24"/>
                <w:highlight w:val="none"/>
              </w:rPr>
              <w:t>。</w:t>
            </w:r>
          </w:p>
          <w:p>
            <w:pPr>
              <w:spacing w:line="360" w:lineRule="auto"/>
              <w:ind w:left="120" w:right="92" w:firstLine="51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验收、评价方法：</w:t>
            </w:r>
          </w:p>
          <w:p>
            <w:pPr>
              <w:spacing w:line="360" w:lineRule="auto"/>
              <w:ind w:left="120" w:right="92" w:firstLine="51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（1）鉴定会鉴定；     （2）专家评审；    （3）委托方直接认可；</w:t>
            </w:r>
          </w:p>
          <w:p>
            <w:pPr>
              <w:spacing w:line="360" w:lineRule="auto"/>
              <w:ind w:left="120" w:right="92" w:firstLine="51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（4）其他方式（双方约定）。</w:t>
            </w:r>
          </w:p>
          <w:p>
            <w:pPr>
              <w:spacing w:line="480" w:lineRule="exact"/>
              <w:ind w:right="111" w:firstLine="480" w:firstLineChars="200"/>
              <w:rPr>
                <w:rFonts w:ascii="Times New Roman" w:hAnsi="Times New Roman" w:eastAsia="黑体" w:cs="Times New Roman"/>
                <w:color w:val="auto"/>
                <w:highlight w:val="none"/>
              </w:rPr>
            </w:pPr>
            <w:r>
              <w:rPr>
                <w:rFonts w:ascii="Times New Roman" w:hAnsi="Times New Roman" w:eastAsia="黑体" w:cs="Times New Roman"/>
                <w:color w:val="auto"/>
                <w:highlight w:val="none"/>
              </w:rPr>
              <w:t>五、报酬及其支付方式：</w:t>
            </w:r>
          </w:p>
          <w:p>
            <w:pPr>
              <w:spacing w:line="336" w:lineRule="auto"/>
              <w:ind w:left="120" w:right="92" w:firstLine="390"/>
              <w:rPr>
                <w:rFonts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（一）</w:t>
            </w:r>
            <w:r>
              <w:rPr>
                <w:rFonts w:ascii="Times New Roman" w:hAnsi="Times New Roman" w:eastAsia="宋体" w:cs="Times New Roman"/>
                <w:color w:val="auto"/>
                <w:szCs w:val="24"/>
                <w:highlight w:val="none"/>
              </w:rPr>
              <w:t>本项目报酬(服务费或培训费)：</w:t>
            </w:r>
            <w:r>
              <w:rPr>
                <w:rFonts w:ascii="Times New Roman" w:hAnsi="Times New Roman" w:eastAsia="仿宋_GB2312" w:cs="Times New Roman"/>
                <w:color w:val="auto"/>
                <w:szCs w:val="24"/>
                <w:highlight w:val="none"/>
              </w:rPr>
              <w:t>人民币：</w:t>
            </w:r>
            <w:r>
              <w:rPr>
                <w:rFonts w:ascii="Times New Roman" w:hAnsi="Times New Roman" w:eastAsia="仿宋_GB2312" w:cs="Times New Roman"/>
                <w:color w:val="auto"/>
                <w:szCs w:val="24"/>
                <w:highlight w:val="none"/>
                <w:u w:val="single"/>
              </w:rPr>
              <w:t xml:space="preserve">     </w:t>
            </w:r>
            <w:r>
              <w:rPr>
                <w:rFonts w:ascii="Times New Roman" w:hAnsi="Times New Roman" w:eastAsia="仿宋_GB2312" w:cs="Times New Roman"/>
                <w:color w:val="auto"/>
                <w:szCs w:val="24"/>
                <w:highlight w:val="none"/>
              </w:rPr>
              <w:t>元</w:t>
            </w:r>
            <w:r>
              <w:rPr>
                <w:rFonts w:ascii="Times New Roman" w:hAnsi="Times New Roman" w:eastAsia="宋体" w:cs="Times New Roman"/>
                <w:color w:val="auto"/>
                <w:szCs w:val="24"/>
                <w:highlight w:val="none"/>
              </w:rPr>
              <w:t>。</w:t>
            </w:r>
          </w:p>
          <w:p>
            <w:pPr>
              <w:spacing w:line="336" w:lineRule="auto"/>
              <w:ind w:left="120" w:right="92" w:firstLine="39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服务方完成专业技术工作，解决技术问题需要的经费，由    方负担。</w:t>
            </w:r>
          </w:p>
          <w:p>
            <w:pPr>
              <w:spacing w:line="336" w:lineRule="auto"/>
              <w:ind w:left="120" w:right="92" w:firstLine="39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w:t>
            </w:r>
            <w:r>
              <w:rPr>
                <w:rFonts w:hint="eastAsia" w:ascii="Times New Roman" w:hAnsi="Times New Roman" w:eastAsia="宋体" w:cs="Times New Roman"/>
                <w:color w:val="auto"/>
                <w:szCs w:val="24"/>
                <w:highlight w:val="none"/>
              </w:rPr>
              <w:t>二</w:t>
            </w:r>
            <w:r>
              <w:rPr>
                <w:rFonts w:ascii="Times New Roman" w:hAnsi="Times New Roman" w:eastAsia="宋体" w:cs="Times New Roman"/>
                <w:color w:val="auto"/>
                <w:szCs w:val="24"/>
                <w:highlight w:val="none"/>
              </w:rPr>
              <w:t>）支付方式(采用以下第  ②  种方式)：</w:t>
            </w:r>
          </w:p>
          <w:p>
            <w:pPr>
              <w:spacing w:line="336" w:lineRule="auto"/>
              <w:ind w:left="120" w:right="92" w:firstLine="39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lang w:eastAsia="ja-JP"/>
              </w:rPr>
              <w:t>①</w:t>
            </w:r>
            <w:r>
              <w:rPr>
                <w:rFonts w:ascii="Times New Roman" w:hAnsi="Times New Roman" w:eastAsia="宋体" w:cs="Times New Roman"/>
                <w:color w:val="auto"/>
                <w:szCs w:val="24"/>
                <w:highlight w:val="none"/>
              </w:rPr>
              <w:t xml:space="preserve">一次总付：            元，时间： </w:t>
            </w:r>
          </w:p>
          <w:p>
            <w:pPr>
              <w:spacing w:line="336" w:lineRule="auto"/>
              <w:ind w:left="120" w:right="92" w:firstLine="39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lang w:eastAsia="ja-JP"/>
              </w:rPr>
              <w:t>②</w:t>
            </w:r>
            <w:r>
              <w:rPr>
                <w:rFonts w:ascii="Times New Roman" w:hAnsi="Times New Roman" w:eastAsia="宋体" w:cs="Times New Roman"/>
                <w:color w:val="auto"/>
                <w:szCs w:val="24"/>
                <w:highlight w:val="none"/>
              </w:rPr>
              <w:t>分期支付：</w:t>
            </w:r>
          </w:p>
          <w:p>
            <w:pPr>
              <w:spacing w:after="120"/>
              <w:ind w:firstLine="480" w:firstLineChars="200"/>
              <w:rPr>
                <w:rFonts w:hint="eastAsia" w:ascii="Times New Roman" w:hAnsi="Times New Roman" w:eastAsia="宋体" w:cs="Times New Roman"/>
                <w:color w:val="auto"/>
                <w:highlight w:val="none"/>
              </w:rPr>
            </w:pPr>
            <w:r>
              <w:rPr>
                <w:rFonts w:hint="eastAsia" w:cs="Times New Roman"/>
                <w:color w:val="auto"/>
                <w:highlight w:val="none"/>
                <w:lang w:eastAsia="zh-CN"/>
              </w:rPr>
              <w:t>（</w:t>
            </w:r>
            <w:r>
              <w:rPr>
                <w:rFonts w:hint="eastAsia" w:cs="Times New Roman"/>
                <w:color w:val="auto"/>
                <w:highlight w:val="none"/>
                <w:lang w:val="en-US" w:eastAsia="zh-CN"/>
              </w:rPr>
              <w:t>1</w:t>
            </w:r>
            <w:r>
              <w:rPr>
                <w:rFonts w:hint="eastAsia" w:cs="Times New Roman"/>
                <w:color w:val="auto"/>
                <w:highlight w:val="none"/>
                <w:lang w:eastAsia="zh-CN"/>
              </w:rPr>
              <w:t>）</w:t>
            </w:r>
            <w:r>
              <w:rPr>
                <w:rFonts w:hint="eastAsia" w:ascii="Times New Roman" w:hAnsi="Times New Roman" w:eastAsia="宋体" w:cs="Times New Roman"/>
                <w:color w:val="auto"/>
                <w:highlight w:val="none"/>
              </w:rPr>
              <w:t>合同签订生效并具备实施条件后，支付合同总额的50%</w:t>
            </w:r>
            <w:r>
              <w:rPr>
                <w:rFonts w:hint="eastAsia" w:ascii="Times New Roman" w:hAnsi="Times New Roman" w:eastAsia="宋体" w:cs="Times New Roman"/>
                <w:color w:val="auto"/>
                <w:sz w:val="24"/>
                <w:highlight w:val="none"/>
                <w:lang w:val="en-US" w:eastAsia="zh-CN" w:bidi="ar-SA"/>
              </w:rPr>
              <w:t>，金额：</w:t>
            </w:r>
            <w:r>
              <w:rPr>
                <w:rFonts w:hint="eastAsia" w:ascii="Times New Roman" w:hAnsi="Times New Roman" w:eastAsia="宋体" w:cs="Times New Roman"/>
                <w:color w:val="auto"/>
                <w:sz w:val="24"/>
                <w:highlight w:val="none"/>
                <w:u w:val="single"/>
                <w:lang w:val="en-US" w:eastAsia="zh-CN" w:bidi="ar-SA"/>
              </w:rPr>
              <w:t xml:space="preserve">       </w:t>
            </w:r>
            <w:r>
              <w:rPr>
                <w:rFonts w:hint="eastAsia" w:ascii="Times New Roman" w:hAnsi="Times New Roman" w:eastAsia="宋体" w:cs="Times New Roman"/>
                <w:color w:val="auto"/>
                <w:highlight w:val="none"/>
              </w:rPr>
              <w:t>；</w:t>
            </w:r>
          </w:p>
          <w:p>
            <w:pPr>
              <w:spacing w:after="120"/>
              <w:ind w:firstLine="480" w:firstLineChars="200"/>
              <w:rPr>
                <w:rFonts w:ascii="Times New Roman" w:hAnsi="Times New Roman" w:eastAsia="宋体" w:cs="Times New Roman"/>
                <w:color w:val="auto"/>
                <w:highlight w:val="none"/>
              </w:rPr>
            </w:pPr>
            <w:r>
              <w:rPr>
                <w:rFonts w:hint="eastAsia" w:cs="Times New Roman"/>
                <w:color w:val="auto"/>
                <w:highlight w:val="none"/>
                <w:lang w:eastAsia="zh-CN"/>
              </w:rPr>
              <w:t>（</w:t>
            </w:r>
            <w:r>
              <w:rPr>
                <w:rFonts w:hint="eastAsia" w:cs="Times New Roman"/>
                <w:color w:val="auto"/>
                <w:highlight w:val="none"/>
                <w:lang w:val="en-US" w:eastAsia="zh-CN"/>
              </w:rPr>
              <w:t>2</w:t>
            </w:r>
            <w:r>
              <w:rPr>
                <w:rFonts w:hint="eastAsia" w:cs="Times New Roman"/>
                <w:color w:val="auto"/>
                <w:highlight w:val="none"/>
                <w:lang w:eastAsia="zh-CN"/>
              </w:rPr>
              <w:t>）</w:t>
            </w:r>
            <w:r>
              <w:rPr>
                <w:rFonts w:hint="eastAsia" w:ascii="Times New Roman" w:hAnsi="Times New Roman" w:eastAsia="宋体" w:cs="Times New Roman"/>
                <w:color w:val="auto"/>
                <w:highlight w:val="none"/>
              </w:rPr>
              <w:t>提交工作报告并验收通过后，支付合同总额的50%</w:t>
            </w:r>
            <w:r>
              <w:rPr>
                <w:rFonts w:hint="eastAsia" w:ascii="Times New Roman" w:hAnsi="Times New Roman" w:eastAsia="宋体" w:cs="Times New Roman"/>
                <w:color w:val="auto"/>
                <w:sz w:val="24"/>
                <w:highlight w:val="none"/>
                <w:lang w:val="en-US" w:eastAsia="zh-CN" w:bidi="ar-SA"/>
              </w:rPr>
              <w:t>，金额：</w:t>
            </w:r>
            <w:r>
              <w:rPr>
                <w:rFonts w:hint="eastAsia" w:ascii="Times New Roman" w:hAnsi="Times New Roman" w:eastAsia="宋体" w:cs="Times New Roman"/>
                <w:color w:val="auto"/>
                <w:sz w:val="24"/>
                <w:highlight w:val="none"/>
                <w:u w:val="single"/>
                <w:lang w:val="en-US" w:eastAsia="zh-CN" w:bidi="ar-SA"/>
              </w:rPr>
              <w:t xml:space="preserve">       。</w:t>
            </w:r>
          </w:p>
          <w:p>
            <w:pPr>
              <w:ind w:right="92" w:firstLine="480" w:firstLineChars="20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lang w:eastAsia="ja-JP"/>
              </w:rPr>
              <w:t>③</w:t>
            </w:r>
            <w:r>
              <w:rPr>
                <w:rFonts w:ascii="Times New Roman" w:hAnsi="Times New Roman" w:eastAsia="宋体" w:cs="Times New Roman"/>
                <w:color w:val="auto"/>
                <w:szCs w:val="24"/>
                <w:highlight w:val="none"/>
              </w:rPr>
              <w:t>其它方式：</w:t>
            </w:r>
            <w:r>
              <w:rPr>
                <w:rFonts w:hint="eastAsia" w:ascii="Times New Roman" w:hAnsi="Times New Roman" w:eastAsia="宋体" w:cs="Times New Roman"/>
                <w:color w:val="auto"/>
                <w:szCs w:val="24"/>
                <w:highlight w:val="none"/>
              </w:rPr>
              <w:t>/</w:t>
            </w:r>
            <w:r>
              <w:rPr>
                <w:rFonts w:ascii="Times New Roman" w:hAnsi="Times New Roman" w:eastAsia="宋体" w:cs="Times New Roman"/>
                <w:color w:val="auto"/>
                <w:szCs w:val="24"/>
                <w:highlight w:val="none"/>
              </w:rPr>
              <w:t xml:space="preserve"> </w:t>
            </w:r>
            <w:r>
              <w:rPr>
                <w:rFonts w:ascii="Times New Roman" w:hAnsi="Times New Roman" w:eastAsia="宋体" w:cs="Times New Roman"/>
                <w:color w:val="auto"/>
                <w:spacing w:val="20"/>
                <w:szCs w:val="24"/>
                <w:highlight w:val="none"/>
              </w:rPr>
              <w:t xml:space="preserve">      </w:t>
            </w:r>
            <w:r>
              <w:rPr>
                <w:rFonts w:ascii="Times New Roman" w:hAnsi="Times New Roman" w:eastAsia="宋体" w:cs="Times New Roman"/>
                <w:color w:val="auto"/>
                <w:szCs w:val="24"/>
                <w:highlight w:val="none"/>
              </w:rPr>
              <w:t xml:space="preserve">    </w:t>
            </w:r>
            <w:r>
              <w:rPr>
                <w:rFonts w:ascii="Times New Roman" w:hAnsi="Times New Roman" w:eastAsia="仿宋_GB2312" w:cs="Times New Roman"/>
                <w:bCs/>
                <w:color w:val="auto"/>
                <w:szCs w:val="24"/>
                <w:highlight w:val="none"/>
              </w:rPr>
              <w:t>元</w:t>
            </w:r>
            <w:r>
              <w:rPr>
                <w:rFonts w:ascii="Times New Roman" w:hAnsi="Times New Roman" w:eastAsia="宋体" w:cs="Times New Roman"/>
                <w:color w:val="auto"/>
                <w:szCs w:val="24"/>
                <w:highlight w:val="none"/>
              </w:rPr>
              <w:t>，时间：</w:t>
            </w:r>
          </w:p>
          <w:p>
            <w:pPr>
              <w:spacing w:line="480" w:lineRule="exact"/>
              <w:ind w:right="111" w:firstLine="480" w:firstLineChars="200"/>
              <w:rPr>
                <w:rFonts w:ascii="Times New Roman" w:hAnsi="Times New Roman" w:eastAsia="黑体" w:cs="Times New Roman"/>
                <w:color w:val="auto"/>
                <w:highlight w:val="none"/>
              </w:rPr>
            </w:pPr>
          </w:p>
          <w:p>
            <w:pPr>
              <w:adjustRightInd/>
              <w:spacing w:line="360" w:lineRule="auto"/>
              <w:ind w:firstLine="536" w:firstLineChars="200"/>
              <w:rPr>
                <w:rFonts w:ascii="Times New Roman" w:hAnsi="Times New Roman" w:eastAsia="楷体_GB2312" w:cs="Times New Roman"/>
                <w:color w:val="auto"/>
                <w:spacing w:val="-6"/>
                <w:sz w:val="28"/>
                <w:szCs w:val="24"/>
                <w:highlight w:val="none"/>
              </w:rPr>
            </w:pPr>
          </w:p>
        </w:tc>
      </w:tr>
    </w:tbl>
    <w:p>
      <w:pPr>
        <w:rPr>
          <w:rFonts w:ascii="Times New Roman" w:hAnsi="Times New Roman" w:eastAsia="宋体" w:cs="Times New Roman"/>
          <w:color w:val="auto"/>
          <w:highlight w:val="none"/>
        </w:rPr>
      </w:pPr>
    </w:p>
    <w:p>
      <w:pPr>
        <w:widowControl/>
        <w:autoSpaceDE/>
        <w:autoSpaceDN/>
        <w:adjustRightInd/>
        <w:jc w:val="right"/>
        <w:textAlignment w:val="auto"/>
        <w:rPr>
          <w:rFonts w:ascii="Times New Roman" w:hAnsi="Times New Roman" w:eastAsia="宋体" w:cs="Times New Roman"/>
          <w:color w:val="auto"/>
          <w:highlight w:val="none"/>
        </w:rPr>
      </w:pPr>
      <w:r>
        <w:rPr>
          <w:rFonts w:ascii="Times New Roman" w:hAnsi="Times New Roman" w:eastAsia="宋体" w:cs="Times New Roman"/>
          <w:color w:val="auto"/>
          <w:highlight w:val="none"/>
        </w:rPr>
        <w:br w:type="page"/>
      </w:r>
      <w:r>
        <w:rPr>
          <w:rFonts w:ascii="Times New Roman" w:hAnsi="Times New Roman" w:eastAsia="宋体" w:cs="Times New Roman"/>
          <w:color w:val="auto"/>
          <w:highlight w:val="none"/>
        </w:rPr>
        <w:t>服务(3)</w:t>
      </w:r>
    </w:p>
    <w:tbl>
      <w:tblPr>
        <w:tblStyle w:val="33"/>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12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1984" w:hRule="atLeast"/>
        </w:trPr>
        <w:tc>
          <w:tcPr>
            <w:tcW w:w="9128" w:type="dxa"/>
            <w:tcBorders>
              <w:bottom w:val="single" w:color="auto" w:sz="6" w:space="0"/>
            </w:tcBorders>
          </w:tcPr>
          <w:p>
            <w:pPr>
              <w:spacing w:line="480" w:lineRule="exact"/>
              <w:ind w:right="111" w:firstLine="480" w:firstLineChars="200"/>
              <w:rPr>
                <w:rFonts w:ascii="Times New Roman" w:hAnsi="Times New Roman" w:eastAsia="黑体" w:cs="Times New Roman"/>
                <w:color w:val="auto"/>
                <w:highlight w:val="none"/>
              </w:rPr>
            </w:pPr>
            <w:r>
              <w:rPr>
                <w:rFonts w:hint="eastAsia" w:ascii="Times New Roman" w:hAnsi="Times New Roman" w:eastAsia="黑体" w:cs="Times New Roman"/>
                <w:color w:val="auto"/>
                <w:highlight w:val="none"/>
              </w:rPr>
              <w:t>六、违约金或者损失赔偿额的计算方法：</w:t>
            </w:r>
          </w:p>
          <w:p>
            <w:pPr>
              <w:spacing w:line="336" w:lineRule="auto"/>
              <w:ind w:left="120" w:right="92" w:firstLine="39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技术服务违反本合同约定，违约方应当按</w:t>
            </w:r>
            <w:r>
              <w:rPr>
                <w:rFonts w:hint="eastAsia" w:ascii="Times New Roman" w:hAnsi="Times New Roman" w:eastAsia="宋体" w:cs="Times New Roman"/>
                <w:color w:val="auto"/>
                <w:szCs w:val="24"/>
                <w:highlight w:val="none"/>
              </w:rPr>
              <w:t>民法典</w:t>
            </w:r>
            <w:r>
              <w:rPr>
                <w:rFonts w:ascii="Times New Roman" w:hAnsi="Times New Roman" w:eastAsia="宋体" w:cs="Times New Roman"/>
                <w:color w:val="auto"/>
                <w:szCs w:val="24"/>
                <w:highlight w:val="none"/>
              </w:rPr>
              <w:t>的有关规定</w:t>
            </w:r>
            <w:r>
              <w:rPr>
                <w:rFonts w:hint="eastAsia" w:ascii="Times New Roman" w:hAnsi="Times New Roman" w:eastAsia="宋体" w:cs="Times New Roman"/>
                <w:color w:val="auto"/>
                <w:szCs w:val="24"/>
                <w:highlight w:val="none"/>
              </w:rPr>
              <w:t>，</w:t>
            </w:r>
            <w:r>
              <w:rPr>
                <w:rFonts w:ascii="Times New Roman" w:hAnsi="Times New Roman" w:eastAsia="宋体" w:cs="Times New Roman"/>
                <w:color w:val="auto"/>
                <w:szCs w:val="24"/>
                <w:highlight w:val="none"/>
              </w:rPr>
              <w:t>承担违约责任。</w:t>
            </w:r>
          </w:p>
          <w:p>
            <w:pPr>
              <w:spacing w:line="360" w:lineRule="auto"/>
              <w:ind w:left="119" w:right="91" w:firstLine="390"/>
              <w:rPr>
                <w:rFonts w:ascii="Times New Roman" w:hAnsi="Times New Roman" w:eastAsia="宋体" w:cs="Times New Roman"/>
                <w:color w:val="auto"/>
                <w:highlight w:val="none"/>
              </w:rPr>
            </w:pPr>
            <w:r>
              <w:rPr>
                <w:rFonts w:ascii="Times New Roman" w:hAnsi="Times New Roman" w:eastAsia="宋体" w:cs="Times New Roman"/>
                <w:color w:val="auto"/>
                <w:highlight w:val="none"/>
              </w:rPr>
              <w:t>(一) 违反本合同第</w:t>
            </w:r>
            <w:r>
              <w:rPr>
                <w:rFonts w:ascii="Times New Roman" w:hAnsi="Times New Roman" w:eastAsia="楷体_GB2312" w:cs="Times New Roman"/>
                <w:b/>
                <w:bCs/>
                <w:color w:val="auto"/>
                <w:highlight w:val="none"/>
              </w:rPr>
              <w:t>一、二、</w:t>
            </w:r>
            <w:r>
              <w:rPr>
                <w:rFonts w:hint="eastAsia" w:ascii="Times New Roman" w:hAnsi="Times New Roman" w:eastAsia="楷体_GB2312" w:cs="Times New Roman"/>
                <w:b/>
                <w:bCs/>
                <w:color w:val="auto"/>
                <w:highlight w:val="none"/>
              </w:rPr>
              <w:t>三</w:t>
            </w:r>
            <w:r>
              <w:rPr>
                <w:rFonts w:ascii="Times New Roman" w:hAnsi="Times New Roman" w:eastAsia="宋体" w:cs="Times New Roman"/>
                <w:color w:val="auto"/>
                <w:highlight w:val="none"/>
              </w:rPr>
              <w:t>条约定，</w:t>
            </w:r>
            <w:r>
              <w:rPr>
                <w:rFonts w:hint="eastAsia" w:ascii="Times New Roman" w:hAnsi="Times New Roman" w:eastAsia="楷体_GB2312" w:cs="Times New Roman"/>
                <w:b/>
                <w:bCs/>
                <w:color w:val="auto"/>
                <w:highlight w:val="none"/>
              </w:rPr>
              <w:t>服务</w:t>
            </w:r>
            <w:r>
              <w:rPr>
                <w:rFonts w:ascii="Times New Roman" w:hAnsi="Times New Roman" w:eastAsia="楷体_GB2312" w:cs="Times New Roman"/>
                <w:b/>
                <w:bCs/>
                <w:color w:val="auto"/>
                <w:highlight w:val="none"/>
              </w:rPr>
              <w:t>方</w:t>
            </w:r>
            <w:r>
              <w:rPr>
                <w:rFonts w:ascii="Times New Roman" w:hAnsi="Times New Roman" w:eastAsia="宋体" w:cs="Times New Roman"/>
                <w:color w:val="auto"/>
                <w:highlight w:val="none"/>
              </w:rPr>
              <w:t>应当承担违约责任，承担方式和违约金额如下：</w:t>
            </w:r>
          </w:p>
          <w:p>
            <w:pPr>
              <w:spacing w:line="360" w:lineRule="auto"/>
              <w:ind w:left="119" w:right="91" w:firstLine="390"/>
              <w:rPr>
                <w:rFonts w:ascii="Times New Roman" w:hAnsi="Times New Roman" w:eastAsia="楷体_GB2312" w:cs="Times New Roman"/>
                <w:b/>
                <w:bCs/>
                <w:color w:val="auto"/>
                <w:highlight w:val="none"/>
              </w:rPr>
            </w:pPr>
            <w:r>
              <w:rPr>
                <w:rFonts w:ascii="Times New Roman" w:hAnsi="Times New Roman" w:eastAsia="楷体_GB2312" w:cs="Times New Roman"/>
                <w:b/>
                <w:bCs/>
                <w:color w:val="auto"/>
                <w:highlight w:val="none"/>
              </w:rPr>
              <w:t>按有关法律规定赔偿，但其金额不得超过本合同总金额。</w:t>
            </w:r>
          </w:p>
          <w:p>
            <w:pPr>
              <w:spacing w:line="360" w:lineRule="auto"/>
              <w:ind w:left="119" w:right="91" w:firstLine="390"/>
              <w:rPr>
                <w:rFonts w:ascii="Times New Roman" w:hAnsi="Times New Roman" w:eastAsia="宋体" w:cs="Times New Roman"/>
                <w:color w:val="auto"/>
                <w:highlight w:val="none"/>
              </w:rPr>
            </w:pPr>
            <w:r>
              <w:rPr>
                <w:rFonts w:ascii="Times New Roman" w:hAnsi="Times New Roman" w:eastAsia="宋体" w:cs="Times New Roman"/>
                <w:color w:val="auto"/>
                <w:highlight w:val="none"/>
              </w:rPr>
              <w:t xml:space="preserve"> (二) 违反本合同第</w:t>
            </w:r>
            <w:r>
              <w:rPr>
                <w:rFonts w:ascii="Times New Roman" w:hAnsi="Times New Roman" w:eastAsia="楷体_GB2312" w:cs="Times New Roman"/>
                <w:b/>
                <w:color w:val="auto"/>
                <w:highlight w:val="none"/>
              </w:rPr>
              <w:t>二、</w:t>
            </w:r>
            <w:r>
              <w:rPr>
                <w:rFonts w:ascii="Times New Roman" w:hAnsi="Times New Roman" w:eastAsia="楷体_GB2312" w:cs="Times New Roman"/>
                <w:b/>
                <w:bCs/>
                <w:color w:val="auto"/>
                <w:highlight w:val="none"/>
              </w:rPr>
              <w:t>四、五</w:t>
            </w:r>
            <w:r>
              <w:rPr>
                <w:rFonts w:ascii="Times New Roman" w:hAnsi="Times New Roman" w:eastAsia="宋体" w:cs="Times New Roman"/>
                <w:color w:val="auto"/>
                <w:highlight w:val="none"/>
              </w:rPr>
              <w:t>条约定，</w:t>
            </w:r>
            <w:r>
              <w:rPr>
                <w:rFonts w:ascii="Times New Roman" w:hAnsi="Times New Roman" w:eastAsia="楷体_GB2312" w:cs="Times New Roman"/>
                <w:b/>
                <w:bCs/>
                <w:color w:val="auto"/>
                <w:highlight w:val="none"/>
              </w:rPr>
              <w:t>委托方</w:t>
            </w:r>
            <w:r>
              <w:rPr>
                <w:rFonts w:ascii="Times New Roman" w:hAnsi="Times New Roman" w:eastAsia="宋体" w:cs="Times New Roman"/>
                <w:color w:val="auto"/>
                <w:highlight w:val="none"/>
              </w:rPr>
              <w:t>应当承担违约责任，承担方式和违约金额如下：</w:t>
            </w:r>
          </w:p>
          <w:p>
            <w:pPr>
              <w:autoSpaceDE/>
              <w:autoSpaceDN/>
              <w:ind w:left="119" w:right="91" w:firstLine="359" w:firstLineChars="149"/>
              <w:rPr>
                <w:rFonts w:ascii="Times New Roman" w:hAnsi="Times New Roman" w:eastAsia="楷体_GB2312" w:cs="Times New Roman"/>
                <w:b/>
                <w:bCs/>
                <w:color w:val="auto"/>
                <w:highlight w:val="none"/>
              </w:rPr>
            </w:pPr>
            <w:r>
              <w:rPr>
                <w:rFonts w:ascii="Times New Roman" w:hAnsi="Times New Roman" w:eastAsia="楷体_GB2312" w:cs="Times New Roman"/>
                <w:b/>
                <w:bCs/>
                <w:color w:val="auto"/>
                <w:highlight w:val="none"/>
              </w:rPr>
              <w:t>按有关法律规定赔偿，但其金额不得超过本合同总金额。</w:t>
            </w:r>
          </w:p>
          <w:p>
            <w:pPr>
              <w:spacing w:line="480" w:lineRule="exact"/>
              <w:ind w:right="111" w:firstLine="480" w:firstLineChars="200"/>
              <w:rPr>
                <w:rFonts w:hint="eastAsia" w:ascii="Times New Roman" w:hAnsi="Times New Roman" w:eastAsia="黑体" w:cs="Times New Roman"/>
                <w:color w:val="auto"/>
                <w:highlight w:val="none"/>
              </w:rPr>
            </w:pPr>
          </w:p>
          <w:p>
            <w:pPr>
              <w:spacing w:line="480" w:lineRule="exact"/>
              <w:ind w:right="111" w:firstLine="480" w:firstLineChars="200"/>
              <w:rPr>
                <w:rFonts w:ascii="Times New Roman" w:hAnsi="Times New Roman" w:eastAsia="黑体" w:cs="Times New Roman"/>
                <w:color w:val="auto"/>
                <w:highlight w:val="none"/>
              </w:rPr>
            </w:pPr>
            <w:r>
              <w:rPr>
                <w:rFonts w:hint="eastAsia" w:ascii="Times New Roman" w:hAnsi="Times New Roman" w:eastAsia="黑体" w:cs="Times New Roman"/>
                <w:color w:val="auto"/>
                <w:highlight w:val="none"/>
              </w:rPr>
              <w:t>七</w:t>
            </w:r>
            <w:r>
              <w:rPr>
                <w:rFonts w:ascii="Times New Roman" w:hAnsi="Times New Roman" w:eastAsia="黑体" w:cs="Times New Roman"/>
                <w:color w:val="auto"/>
                <w:highlight w:val="none"/>
              </w:rPr>
              <w:t>、争议的解决办法：</w:t>
            </w:r>
          </w:p>
          <w:p>
            <w:pPr>
              <w:spacing w:before="120"/>
              <w:ind w:left="120" w:right="92" w:firstLine="51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在合同履行过程中发生争议</w:t>
            </w:r>
            <w:r>
              <w:rPr>
                <w:rFonts w:hint="eastAsia" w:ascii="Times New Roman" w:hAnsi="Times New Roman" w:eastAsia="宋体" w:cs="Times New Roman"/>
                <w:color w:val="auto"/>
                <w:szCs w:val="24"/>
                <w:highlight w:val="none"/>
              </w:rPr>
              <w:t>，</w:t>
            </w:r>
            <w:r>
              <w:rPr>
                <w:rFonts w:ascii="Times New Roman" w:hAnsi="Times New Roman" w:eastAsia="宋体" w:cs="Times New Roman"/>
                <w:color w:val="auto"/>
                <w:szCs w:val="24"/>
                <w:highlight w:val="none"/>
              </w:rPr>
              <w:t>双方应当协商解决。</w:t>
            </w:r>
          </w:p>
          <w:p>
            <w:pPr>
              <w:spacing w:before="120"/>
              <w:ind w:left="120" w:right="92" w:firstLine="51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当事人不愿协商、调解解决或者协商、调解不成的，双方商定采用以下第</w:t>
            </w:r>
            <w:r>
              <w:rPr>
                <w:rFonts w:hint="eastAsia" w:ascii="宋体" w:hAnsi="宋体" w:eastAsia="宋体" w:cs="宋体"/>
                <w:color w:val="auto"/>
                <w:szCs w:val="24"/>
                <w:highlight w:val="none"/>
                <w:u w:val="single"/>
              </w:rPr>
              <w:t xml:space="preserve"> </w:t>
            </w:r>
            <w:r>
              <w:rPr>
                <w:rFonts w:hint="eastAsia" w:ascii="宋体" w:hAnsi="宋体" w:eastAsia="宋体" w:cs="宋体"/>
                <w:b/>
                <w:bCs/>
                <w:color w:val="auto"/>
                <w:szCs w:val="24"/>
                <w:highlight w:val="none"/>
                <w:u w:val="single"/>
              </w:rPr>
              <w:t xml:space="preserve">（一） </w:t>
            </w:r>
            <w:r>
              <w:rPr>
                <w:rFonts w:ascii="Times New Roman" w:hAnsi="Times New Roman" w:eastAsia="宋体" w:cs="Times New Roman"/>
                <w:color w:val="auto"/>
                <w:szCs w:val="24"/>
                <w:highlight w:val="none"/>
              </w:rPr>
              <w:t>种方式解决。</w:t>
            </w:r>
          </w:p>
          <w:p>
            <w:pPr>
              <w:spacing w:before="120"/>
              <w:ind w:left="120" w:right="92" w:firstLine="51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(一)因本合同所发生的任何争议，申请</w:t>
            </w:r>
            <w:r>
              <w:rPr>
                <w:rFonts w:hint="eastAsia" w:ascii="Times New Roman" w:hAnsi="Times New Roman" w:eastAsia="宋体" w:cs="Times New Roman"/>
                <w:color w:val="auto"/>
                <w:szCs w:val="24"/>
                <w:highlight w:val="none"/>
                <w:u w:val="single"/>
              </w:rPr>
              <w:t xml:space="preserve">  </w:t>
            </w:r>
            <w:r>
              <w:rPr>
                <w:rFonts w:hint="eastAsia" w:ascii="宋体" w:hAnsi="宋体" w:eastAsia="宋体" w:cs="宋体"/>
                <w:bCs/>
                <w:color w:val="auto"/>
                <w:szCs w:val="24"/>
                <w:highlight w:val="none"/>
                <w:u w:val="single"/>
              </w:rPr>
              <w:t xml:space="preserve">杭州  </w:t>
            </w:r>
            <w:r>
              <w:rPr>
                <w:rFonts w:ascii="Times New Roman" w:hAnsi="Times New Roman" w:eastAsia="宋体" w:cs="Times New Roman"/>
                <w:color w:val="auto"/>
                <w:szCs w:val="24"/>
                <w:highlight w:val="none"/>
              </w:rPr>
              <w:t>仲裁委员会仲裁；</w:t>
            </w:r>
          </w:p>
          <w:p>
            <w:pPr>
              <w:spacing w:before="120"/>
              <w:ind w:left="120" w:right="92" w:firstLine="30"/>
              <w:rPr>
                <w:rFonts w:ascii="Times New Roman" w:hAnsi="Times New Roman" w:eastAsia="宋体" w:cs="Times New Roman"/>
                <w:color w:val="auto"/>
                <w:szCs w:val="24"/>
                <w:highlight w:val="none"/>
              </w:rPr>
            </w:pPr>
            <w:r>
              <w:rPr>
                <w:rFonts w:ascii="Times New Roman" w:hAnsi="Times New Roman" w:eastAsia="宋体" w:cs="Times New Roman"/>
                <w:color w:val="auto"/>
                <w:szCs w:val="24"/>
                <w:highlight w:val="none"/>
              </w:rPr>
              <w:t xml:space="preserve">    (二)按司法程序解决。</w:t>
            </w:r>
          </w:p>
          <w:p>
            <w:pPr>
              <w:spacing w:line="480" w:lineRule="exact"/>
              <w:ind w:right="111" w:firstLine="480" w:firstLineChars="200"/>
              <w:rPr>
                <w:rFonts w:ascii="Times New Roman" w:hAnsi="Times New Roman" w:eastAsia="黑体" w:cs="Times New Roman"/>
                <w:color w:val="auto"/>
                <w:highlight w:val="none"/>
              </w:rPr>
            </w:pPr>
            <w:r>
              <w:rPr>
                <w:rFonts w:hint="eastAsia" w:ascii="Times New Roman" w:hAnsi="Times New Roman" w:eastAsia="黑体" w:cs="Times New Roman"/>
                <w:color w:val="auto"/>
                <w:highlight w:val="none"/>
              </w:rPr>
              <w:t>八</w:t>
            </w:r>
            <w:r>
              <w:rPr>
                <w:rFonts w:ascii="Times New Roman" w:hAnsi="Times New Roman" w:eastAsia="黑体" w:cs="Times New Roman"/>
                <w:color w:val="auto"/>
                <w:highlight w:val="none"/>
              </w:rPr>
              <w:t>、*其它(含中介方的权利、义务、服务费及其支付方式、定金、财产抵押、及担保等上述条款未尽事宜)：</w:t>
            </w:r>
          </w:p>
          <w:p>
            <w:pPr>
              <w:adjustRightInd/>
              <w:spacing w:line="360" w:lineRule="auto"/>
              <w:ind w:firstLine="480" w:firstLineChars="200"/>
              <w:rPr>
                <w:rFonts w:ascii="Times New Roman" w:hAnsi="Times New Roman" w:eastAsia="宋体" w:cs="Times New Roman"/>
                <w:color w:val="auto"/>
                <w:highlight w:val="none"/>
              </w:rPr>
            </w:pPr>
            <w:r>
              <w:rPr>
                <w:rFonts w:ascii="Times New Roman" w:hAnsi="Times New Roman" w:eastAsia="宋体" w:cs="Times New Roman"/>
                <w:color w:val="auto"/>
                <w:highlight w:val="none"/>
              </w:rPr>
              <w:t>（一）本合同正本</w:t>
            </w:r>
            <w:r>
              <w:rPr>
                <w:rFonts w:ascii="Times New Roman" w:hAnsi="Times New Roman" w:eastAsia="宋体" w:cs="Times New Roman"/>
                <w:color w:val="auto"/>
                <w:highlight w:val="none"/>
                <w:u w:val="single"/>
              </w:rPr>
              <w:t xml:space="preserve">   </w:t>
            </w:r>
            <w:r>
              <w:rPr>
                <w:rFonts w:ascii="Times New Roman" w:hAnsi="Times New Roman" w:eastAsia="宋体" w:cs="Times New Roman"/>
                <w:color w:val="auto"/>
                <w:highlight w:val="none"/>
              </w:rPr>
              <w:t>份，副本</w:t>
            </w:r>
            <w:r>
              <w:rPr>
                <w:rFonts w:ascii="Times New Roman" w:hAnsi="Times New Roman" w:eastAsia="宋体" w:cs="Times New Roman"/>
                <w:color w:val="auto"/>
                <w:highlight w:val="none"/>
                <w:u w:val="single"/>
              </w:rPr>
              <w:t xml:space="preserve">   </w:t>
            </w:r>
            <w:r>
              <w:rPr>
                <w:rFonts w:ascii="Times New Roman" w:hAnsi="Times New Roman" w:eastAsia="宋体" w:cs="Times New Roman"/>
                <w:color w:val="auto"/>
                <w:highlight w:val="none"/>
              </w:rPr>
              <w:t>份。委托方执正本</w:t>
            </w:r>
            <w:r>
              <w:rPr>
                <w:rFonts w:ascii="Times New Roman" w:hAnsi="Times New Roman" w:eastAsia="宋体" w:cs="Times New Roman"/>
                <w:color w:val="auto"/>
                <w:highlight w:val="none"/>
                <w:u w:val="single"/>
              </w:rPr>
              <w:t xml:space="preserve">   </w:t>
            </w:r>
            <w:r>
              <w:rPr>
                <w:rFonts w:ascii="Times New Roman" w:hAnsi="Times New Roman" w:eastAsia="宋体" w:cs="Times New Roman"/>
                <w:color w:val="auto"/>
                <w:highlight w:val="none"/>
              </w:rPr>
              <w:t>份，副本</w:t>
            </w:r>
            <w:r>
              <w:rPr>
                <w:rFonts w:ascii="Times New Roman" w:hAnsi="Times New Roman" w:eastAsia="宋体" w:cs="Times New Roman"/>
                <w:color w:val="auto"/>
                <w:highlight w:val="none"/>
                <w:u w:val="single"/>
              </w:rPr>
              <w:t xml:space="preserve">   </w:t>
            </w:r>
            <w:r>
              <w:rPr>
                <w:rFonts w:ascii="Times New Roman" w:hAnsi="Times New Roman" w:eastAsia="宋体" w:cs="Times New Roman"/>
                <w:color w:val="auto"/>
                <w:highlight w:val="none"/>
              </w:rPr>
              <w:t>份。服务方执正本</w:t>
            </w:r>
            <w:r>
              <w:rPr>
                <w:rFonts w:ascii="Times New Roman" w:hAnsi="Times New Roman" w:eastAsia="宋体" w:cs="Times New Roman"/>
                <w:color w:val="auto"/>
                <w:highlight w:val="none"/>
                <w:u w:val="single"/>
              </w:rPr>
              <w:t xml:space="preserve">   </w:t>
            </w:r>
            <w:r>
              <w:rPr>
                <w:rFonts w:ascii="Times New Roman" w:hAnsi="Times New Roman" w:eastAsia="宋体" w:cs="Times New Roman"/>
                <w:color w:val="auto"/>
                <w:highlight w:val="none"/>
              </w:rPr>
              <w:t>份，副本</w:t>
            </w:r>
            <w:r>
              <w:rPr>
                <w:rFonts w:ascii="Times New Roman" w:hAnsi="Times New Roman" w:eastAsia="宋体" w:cs="Times New Roman"/>
                <w:color w:val="auto"/>
                <w:highlight w:val="none"/>
                <w:u w:val="single"/>
              </w:rPr>
              <w:t xml:space="preserve">   </w:t>
            </w:r>
            <w:r>
              <w:rPr>
                <w:rFonts w:ascii="Times New Roman" w:hAnsi="Times New Roman" w:eastAsia="宋体" w:cs="Times New Roman"/>
                <w:color w:val="auto"/>
                <w:highlight w:val="none"/>
              </w:rPr>
              <w:t>份。鉴证方执副本壹份。</w:t>
            </w:r>
          </w:p>
          <w:p>
            <w:pPr>
              <w:adjustRightInd/>
              <w:spacing w:line="360" w:lineRule="auto"/>
              <w:ind w:firstLine="480" w:firstLineChars="200"/>
              <w:rPr>
                <w:rFonts w:ascii="Times New Roman" w:hAnsi="Times New Roman" w:eastAsia="宋体" w:cs="Times New Roman"/>
                <w:color w:val="auto"/>
                <w:szCs w:val="24"/>
                <w:highlight w:val="none"/>
              </w:rPr>
            </w:pPr>
            <w:r>
              <w:rPr>
                <w:rFonts w:hint="eastAsia" w:ascii="Times New Roman" w:hAnsi="Times New Roman" w:eastAsia="宋体" w:cs="Times New Roman"/>
                <w:color w:val="auto"/>
                <w:highlight w:val="none"/>
              </w:rPr>
              <w:t>（二）约定服务方在履约过程中，除不可抗力，投标文件中的项目责任人和项目组主要成员不予更换。</w:t>
            </w:r>
          </w:p>
        </w:tc>
      </w:tr>
    </w:tbl>
    <w:p>
      <w:pPr>
        <w:rPr>
          <w:color w:val="auto"/>
          <w:highlight w:val="none"/>
        </w:rPr>
      </w:pPr>
      <w:r>
        <w:rPr>
          <w:color w:val="auto"/>
          <w:highlight w:val="none"/>
        </w:rPr>
        <w:br w:type="page"/>
      </w:r>
    </w:p>
    <w:p>
      <w:pPr>
        <w:rPr>
          <w:color w:val="auto"/>
          <w:highlight w:val="none"/>
        </w:rPr>
      </w:pPr>
    </w:p>
    <w:tbl>
      <w:tblPr>
        <w:tblStyle w:val="33"/>
        <w:tblW w:w="924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48"/>
        <w:gridCol w:w="1680"/>
        <w:gridCol w:w="2352"/>
        <w:gridCol w:w="408"/>
        <w:gridCol w:w="187"/>
        <w:gridCol w:w="53"/>
        <w:gridCol w:w="960"/>
        <w:gridCol w:w="127"/>
        <w:gridCol w:w="36"/>
        <w:gridCol w:w="77"/>
        <w:gridCol w:w="261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06" w:hRule="atLeast"/>
        </w:trPr>
        <w:tc>
          <w:tcPr>
            <w:tcW w:w="748" w:type="dxa"/>
            <w:vMerge w:val="restart"/>
            <w:tcBorders>
              <w:bottom w:val="nil"/>
            </w:tcBorders>
            <w:vAlign w:val="center"/>
          </w:tcPr>
          <w:p>
            <w:pPr>
              <w:spacing w:before="120" w:beforeLines="50" w:after="120" w:afterLines="50"/>
              <w:jc w:val="center"/>
              <w:rPr>
                <w:color w:val="auto"/>
                <w:sz w:val="21"/>
                <w:highlight w:val="none"/>
              </w:rPr>
            </w:pPr>
          </w:p>
          <w:p>
            <w:pPr>
              <w:spacing w:before="120" w:beforeLines="50" w:after="120" w:afterLines="50"/>
              <w:jc w:val="center"/>
              <w:rPr>
                <w:color w:val="auto"/>
                <w:sz w:val="21"/>
                <w:highlight w:val="none"/>
              </w:rPr>
            </w:pPr>
            <w:r>
              <w:rPr>
                <w:color w:val="auto"/>
                <w:sz w:val="21"/>
                <w:highlight w:val="none"/>
              </w:rPr>
              <w:t>委</w:t>
            </w:r>
          </w:p>
          <w:p>
            <w:pPr>
              <w:spacing w:before="120" w:beforeLines="50" w:after="120" w:afterLines="50"/>
              <w:jc w:val="center"/>
              <w:rPr>
                <w:color w:val="auto"/>
                <w:sz w:val="21"/>
                <w:highlight w:val="none"/>
              </w:rPr>
            </w:pPr>
            <w:r>
              <w:rPr>
                <w:color w:val="auto"/>
                <w:sz w:val="21"/>
                <w:highlight w:val="none"/>
              </w:rPr>
              <w:t>托</w:t>
            </w:r>
          </w:p>
          <w:p>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pPr>
              <w:spacing w:before="120" w:beforeLines="50" w:after="120" w:afterLines="50"/>
              <w:jc w:val="center"/>
              <w:rPr>
                <w:color w:val="auto"/>
                <w:sz w:val="21"/>
                <w:highlight w:val="none"/>
              </w:rPr>
            </w:pPr>
            <w:r>
              <w:rPr>
                <w:color w:val="auto"/>
                <w:sz w:val="21"/>
                <w:highlight w:val="none"/>
              </w:rPr>
              <w:t>名称(或姓名)</w:t>
            </w:r>
          </w:p>
        </w:tc>
        <w:tc>
          <w:tcPr>
            <w:tcW w:w="6814" w:type="dxa"/>
            <w:gridSpan w:val="9"/>
            <w:vAlign w:val="center"/>
          </w:tcPr>
          <w:p>
            <w:pPr>
              <w:spacing w:before="120" w:beforeLines="50" w:after="120" w:afterLines="50"/>
              <w:jc w:val="center"/>
              <w:rPr>
                <w:color w:val="auto"/>
                <w:sz w:val="21"/>
                <w:highlight w:val="none"/>
              </w:rPr>
            </w:pPr>
            <w:r>
              <w:rPr>
                <w:rFonts w:hint="eastAsia"/>
                <w:color w:val="auto"/>
                <w:sz w:val="21"/>
                <w:highlight w:val="none"/>
                <w:lang w:eastAsia="zh-CN"/>
              </w:rPr>
              <w:t>浙江省水资源水电管理中心（浙江省水土保持监测中心）</w:t>
            </w:r>
            <w:r>
              <w:rPr>
                <w:color w:val="auto"/>
                <w:sz w:val="21"/>
                <w:highlight w:val="none"/>
              </w:rPr>
              <w:t xml:space="preserve">   (签章)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法定代表人</w:t>
            </w:r>
          </w:p>
        </w:tc>
        <w:tc>
          <w:tcPr>
            <w:tcW w:w="3000" w:type="dxa"/>
            <w:gridSpan w:val="4"/>
            <w:vAlign w:val="center"/>
          </w:tcPr>
          <w:p>
            <w:pPr>
              <w:spacing w:before="120" w:beforeLines="50" w:after="120" w:afterLines="50"/>
              <w:jc w:val="center"/>
              <w:rPr>
                <w:color w:val="auto"/>
                <w:sz w:val="21"/>
                <w:highlight w:val="none"/>
              </w:rPr>
            </w:pPr>
            <w:r>
              <w:rPr>
                <w:color w:val="auto"/>
                <w:sz w:val="21"/>
                <w:highlight w:val="none"/>
              </w:rPr>
              <w:t>(签章)</w:t>
            </w:r>
          </w:p>
        </w:tc>
        <w:tc>
          <w:tcPr>
            <w:tcW w:w="1200" w:type="dxa"/>
            <w:gridSpan w:val="4"/>
            <w:vAlign w:val="center"/>
          </w:tcPr>
          <w:p>
            <w:pPr>
              <w:spacing w:before="120" w:beforeLines="50" w:after="120" w:afterLines="50"/>
              <w:jc w:val="center"/>
              <w:rPr>
                <w:color w:val="auto"/>
                <w:sz w:val="21"/>
                <w:highlight w:val="none"/>
              </w:rPr>
            </w:pPr>
            <w:r>
              <w:rPr>
                <w:color w:val="auto"/>
                <w:sz w:val="21"/>
                <w:highlight w:val="none"/>
              </w:rPr>
              <w:t>委托代理人</w:t>
            </w:r>
          </w:p>
        </w:tc>
        <w:tc>
          <w:tcPr>
            <w:tcW w:w="2614" w:type="dxa"/>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联  系  人</w:t>
            </w:r>
          </w:p>
        </w:tc>
        <w:tc>
          <w:tcPr>
            <w:tcW w:w="6814" w:type="dxa"/>
            <w:gridSpan w:val="9"/>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79"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住      所</w:t>
            </w:r>
          </w:p>
          <w:p>
            <w:pPr>
              <w:spacing w:before="120" w:beforeLines="50" w:after="120" w:afterLines="50"/>
              <w:jc w:val="center"/>
              <w:rPr>
                <w:color w:val="auto"/>
                <w:sz w:val="21"/>
                <w:highlight w:val="none"/>
              </w:rPr>
            </w:pPr>
            <w:r>
              <w:rPr>
                <w:color w:val="auto"/>
                <w:sz w:val="21"/>
                <w:highlight w:val="none"/>
              </w:rPr>
              <w:t>(通讯地址)</w:t>
            </w:r>
          </w:p>
        </w:tc>
        <w:tc>
          <w:tcPr>
            <w:tcW w:w="6814" w:type="dxa"/>
            <w:gridSpan w:val="9"/>
            <w:vAlign w:val="center"/>
          </w:tcPr>
          <w:p>
            <w:pPr>
              <w:spacing w:before="120" w:beforeLines="50" w:after="120" w:afterLines="50"/>
              <w:jc w:val="center"/>
              <w:rPr>
                <w:rFonts w:eastAsia="楷体_GB2312"/>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电      话</w:t>
            </w:r>
          </w:p>
        </w:tc>
        <w:tc>
          <w:tcPr>
            <w:tcW w:w="2760" w:type="dxa"/>
            <w:gridSpan w:val="2"/>
            <w:vAlign w:val="center"/>
          </w:tcPr>
          <w:p>
            <w:pPr>
              <w:autoSpaceDE/>
              <w:autoSpaceDN/>
              <w:spacing w:before="120" w:beforeLines="50" w:after="120" w:afterLines="50"/>
              <w:jc w:val="center"/>
              <w:rPr>
                <w:rFonts w:eastAsia="楷体_GB2312"/>
                <w:color w:val="auto"/>
                <w:highlight w:val="none"/>
              </w:rPr>
            </w:pPr>
          </w:p>
        </w:tc>
        <w:tc>
          <w:tcPr>
            <w:tcW w:w="1200" w:type="dxa"/>
            <w:gridSpan w:val="3"/>
            <w:vAlign w:val="center"/>
          </w:tcPr>
          <w:p>
            <w:pPr>
              <w:spacing w:before="120" w:beforeLines="50" w:after="120" w:afterLines="50"/>
              <w:jc w:val="center"/>
              <w:rPr>
                <w:color w:val="auto"/>
                <w:sz w:val="21"/>
                <w:highlight w:val="none"/>
              </w:rPr>
            </w:pPr>
            <w:r>
              <w:rPr>
                <w:color w:val="auto"/>
                <w:sz w:val="21"/>
                <w:highlight w:val="none"/>
              </w:rPr>
              <w:t>传 真</w:t>
            </w:r>
          </w:p>
        </w:tc>
        <w:tc>
          <w:tcPr>
            <w:tcW w:w="2854" w:type="dxa"/>
            <w:gridSpan w:val="4"/>
            <w:vAlign w:val="center"/>
          </w:tcPr>
          <w:p>
            <w:pPr>
              <w:spacing w:before="120" w:beforeLines="50" w:after="120" w:afterLines="50"/>
              <w:jc w:val="center"/>
              <w:rPr>
                <w:rFonts w:eastAsia="楷体_GB2312"/>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开 户 银 行</w:t>
            </w:r>
          </w:p>
        </w:tc>
        <w:tc>
          <w:tcPr>
            <w:tcW w:w="6814" w:type="dxa"/>
            <w:gridSpan w:val="9"/>
            <w:vAlign w:val="center"/>
          </w:tcPr>
          <w:p>
            <w:pPr>
              <w:spacing w:before="120" w:beforeLines="50" w:after="120" w:afterLines="50"/>
              <w:jc w:val="center"/>
              <w:rPr>
                <w:rFonts w:eastAsia="楷体_GB2312"/>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帐      号</w:t>
            </w:r>
          </w:p>
        </w:tc>
        <w:tc>
          <w:tcPr>
            <w:tcW w:w="2760" w:type="dxa"/>
            <w:gridSpan w:val="2"/>
            <w:vAlign w:val="center"/>
          </w:tcPr>
          <w:p>
            <w:pPr>
              <w:spacing w:before="120" w:beforeLines="50" w:after="120" w:afterLines="50"/>
              <w:jc w:val="center"/>
              <w:rPr>
                <w:rFonts w:eastAsia="楷体_GB2312"/>
                <w:color w:val="auto"/>
                <w:sz w:val="21"/>
                <w:highlight w:val="none"/>
              </w:rPr>
            </w:pPr>
          </w:p>
        </w:tc>
        <w:tc>
          <w:tcPr>
            <w:tcW w:w="1200" w:type="dxa"/>
            <w:gridSpan w:val="3"/>
            <w:vAlign w:val="center"/>
          </w:tcPr>
          <w:p>
            <w:pPr>
              <w:spacing w:before="120" w:beforeLines="50" w:after="120" w:afterLines="50"/>
              <w:jc w:val="center"/>
              <w:rPr>
                <w:color w:val="auto"/>
                <w:sz w:val="21"/>
                <w:highlight w:val="none"/>
              </w:rPr>
            </w:pPr>
            <w:r>
              <w:rPr>
                <w:color w:val="auto"/>
                <w:sz w:val="21"/>
                <w:highlight w:val="none"/>
              </w:rPr>
              <w:t>邮政编码</w:t>
            </w:r>
          </w:p>
        </w:tc>
        <w:tc>
          <w:tcPr>
            <w:tcW w:w="2854" w:type="dxa"/>
            <w:gridSpan w:val="4"/>
            <w:vAlign w:val="center"/>
          </w:tcPr>
          <w:p>
            <w:pPr>
              <w:spacing w:before="120" w:beforeLines="50" w:after="120" w:afterLines="50"/>
              <w:jc w:val="center"/>
              <w:rPr>
                <w:rFonts w:eastAsia="楷体_GB2312"/>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restart"/>
            <w:tcBorders>
              <w:bottom w:val="nil"/>
            </w:tcBorders>
            <w:vAlign w:val="center"/>
          </w:tcPr>
          <w:p>
            <w:pPr>
              <w:spacing w:before="120" w:beforeLines="50" w:after="120" w:afterLines="50"/>
              <w:jc w:val="center"/>
              <w:rPr>
                <w:color w:val="auto"/>
                <w:sz w:val="21"/>
                <w:highlight w:val="none"/>
              </w:rPr>
            </w:pPr>
          </w:p>
          <w:p>
            <w:pPr>
              <w:spacing w:before="120" w:beforeLines="50" w:after="120" w:afterLines="50"/>
              <w:jc w:val="center"/>
              <w:rPr>
                <w:color w:val="auto"/>
                <w:sz w:val="21"/>
                <w:highlight w:val="none"/>
              </w:rPr>
            </w:pPr>
            <w:r>
              <w:rPr>
                <w:color w:val="auto"/>
                <w:sz w:val="21"/>
                <w:highlight w:val="none"/>
              </w:rPr>
              <w:t>服</w:t>
            </w:r>
          </w:p>
          <w:p>
            <w:pPr>
              <w:spacing w:before="120" w:beforeLines="50" w:after="120" w:afterLines="50"/>
              <w:jc w:val="center"/>
              <w:rPr>
                <w:color w:val="auto"/>
                <w:sz w:val="21"/>
                <w:highlight w:val="none"/>
              </w:rPr>
            </w:pPr>
          </w:p>
          <w:p>
            <w:pPr>
              <w:spacing w:before="120" w:beforeLines="50" w:after="120" w:afterLines="50"/>
              <w:jc w:val="center"/>
              <w:rPr>
                <w:color w:val="auto"/>
                <w:sz w:val="21"/>
                <w:highlight w:val="none"/>
              </w:rPr>
            </w:pPr>
            <w:r>
              <w:rPr>
                <w:color w:val="auto"/>
                <w:sz w:val="21"/>
                <w:highlight w:val="none"/>
              </w:rPr>
              <w:t>务</w:t>
            </w:r>
          </w:p>
          <w:p>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pPr>
              <w:spacing w:before="120" w:beforeLines="50" w:after="120" w:afterLines="50"/>
              <w:jc w:val="center"/>
              <w:rPr>
                <w:color w:val="auto"/>
                <w:sz w:val="21"/>
                <w:highlight w:val="none"/>
              </w:rPr>
            </w:pPr>
            <w:r>
              <w:rPr>
                <w:color w:val="auto"/>
                <w:sz w:val="21"/>
                <w:highlight w:val="none"/>
              </w:rPr>
              <w:t>名称(或姓名)</w:t>
            </w:r>
          </w:p>
        </w:tc>
        <w:tc>
          <w:tcPr>
            <w:tcW w:w="6814" w:type="dxa"/>
            <w:gridSpan w:val="9"/>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法定代表人</w:t>
            </w:r>
          </w:p>
        </w:tc>
        <w:tc>
          <w:tcPr>
            <w:tcW w:w="2760" w:type="dxa"/>
            <w:gridSpan w:val="2"/>
            <w:vAlign w:val="center"/>
          </w:tcPr>
          <w:p>
            <w:pPr>
              <w:tabs>
                <w:tab w:val="left" w:pos="1892"/>
              </w:tabs>
              <w:spacing w:before="120" w:beforeLines="50" w:after="120" w:afterLines="50"/>
              <w:jc w:val="center"/>
              <w:rPr>
                <w:color w:val="auto"/>
                <w:sz w:val="21"/>
                <w:highlight w:val="none"/>
              </w:rPr>
            </w:pPr>
            <w:r>
              <w:rPr>
                <w:color w:val="auto"/>
                <w:sz w:val="21"/>
                <w:highlight w:val="none"/>
              </w:rPr>
              <w:t>(签章)</w:t>
            </w:r>
          </w:p>
        </w:tc>
        <w:tc>
          <w:tcPr>
            <w:tcW w:w="1200" w:type="dxa"/>
            <w:gridSpan w:val="3"/>
            <w:vAlign w:val="center"/>
          </w:tcPr>
          <w:p>
            <w:pPr>
              <w:spacing w:before="120" w:beforeLines="50" w:after="120" w:afterLines="50"/>
              <w:jc w:val="center"/>
              <w:rPr>
                <w:color w:val="auto"/>
                <w:sz w:val="21"/>
                <w:highlight w:val="none"/>
              </w:rPr>
            </w:pPr>
            <w:r>
              <w:rPr>
                <w:color w:val="auto"/>
                <w:sz w:val="21"/>
                <w:highlight w:val="none"/>
              </w:rPr>
              <w:t>委托代理人</w:t>
            </w:r>
          </w:p>
        </w:tc>
        <w:tc>
          <w:tcPr>
            <w:tcW w:w="2854" w:type="dxa"/>
            <w:gridSpan w:val="4"/>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联  系  人</w:t>
            </w:r>
          </w:p>
        </w:tc>
        <w:tc>
          <w:tcPr>
            <w:tcW w:w="6814" w:type="dxa"/>
            <w:gridSpan w:val="9"/>
            <w:vAlign w:val="center"/>
          </w:tcPr>
          <w:p>
            <w:pPr>
              <w:spacing w:before="120" w:beforeLines="50" w:after="120" w:afterLines="50"/>
              <w:ind w:left="-26" w:leftChars="-11" w:firstLine="840" w:firstLineChars="40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34"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住      所</w:t>
            </w:r>
          </w:p>
          <w:p>
            <w:pPr>
              <w:spacing w:before="120" w:beforeLines="50" w:after="120" w:afterLines="50"/>
              <w:jc w:val="center"/>
              <w:rPr>
                <w:color w:val="auto"/>
                <w:sz w:val="21"/>
                <w:highlight w:val="none"/>
              </w:rPr>
            </w:pPr>
            <w:r>
              <w:rPr>
                <w:color w:val="auto"/>
                <w:sz w:val="21"/>
                <w:highlight w:val="none"/>
              </w:rPr>
              <w:t>(通讯地址)</w:t>
            </w:r>
          </w:p>
        </w:tc>
        <w:tc>
          <w:tcPr>
            <w:tcW w:w="6814" w:type="dxa"/>
            <w:gridSpan w:val="9"/>
            <w:vAlign w:val="center"/>
          </w:tcPr>
          <w:p>
            <w:pPr>
              <w:spacing w:before="120" w:beforeLines="50" w:after="120" w:afterLines="50"/>
              <w:jc w:val="center"/>
              <w:rPr>
                <w:rFonts w:eastAsia="楷体_GB2312"/>
                <w:color w:val="auto"/>
                <w:sz w:val="28"/>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电      话</w:t>
            </w:r>
          </w:p>
        </w:tc>
        <w:tc>
          <w:tcPr>
            <w:tcW w:w="2760" w:type="dxa"/>
            <w:gridSpan w:val="2"/>
            <w:vAlign w:val="center"/>
          </w:tcPr>
          <w:p>
            <w:pPr>
              <w:spacing w:before="120" w:beforeLines="50" w:after="120" w:afterLines="50"/>
              <w:jc w:val="center"/>
              <w:rPr>
                <w:rFonts w:eastAsia="楷体_GB2312"/>
                <w:color w:val="auto"/>
                <w:sz w:val="28"/>
                <w:highlight w:val="none"/>
              </w:rPr>
            </w:pPr>
          </w:p>
        </w:tc>
        <w:tc>
          <w:tcPr>
            <w:tcW w:w="1200" w:type="dxa"/>
            <w:gridSpan w:val="3"/>
            <w:vAlign w:val="center"/>
          </w:tcPr>
          <w:p>
            <w:pPr>
              <w:spacing w:before="120" w:beforeLines="50" w:after="120" w:afterLines="50"/>
              <w:jc w:val="center"/>
              <w:rPr>
                <w:color w:val="auto"/>
                <w:sz w:val="21"/>
                <w:highlight w:val="none"/>
              </w:rPr>
            </w:pPr>
            <w:r>
              <w:rPr>
                <w:color w:val="auto"/>
                <w:sz w:val="21"/>
                <w:highlight w:val="none"/>
              </w:rPr>
              <w:t>传 真</w:t>
            </w:r>
          </w:p>
        </w:tc>
        <w:tc>
          <w:tcPr>
            <w:tcW w:w="2854" w:type="dxa"/>
            <w:gridSpan w:val="4"/>
            <w:vAlign w:val="center"/>
          </w:tcPr>
          <w:p>
            <w:pPr>
              <w:spacing w:before="120" w:beforeLines="50" w:after="120" w:afterLines="50"/>
              <w:jc w:val="center"/>
              <w:rPr>
                <w:rFonts w:eastAsia="楷体_GB2312"/>
                <w:color w:val="auto"/>
                <w:sz w:val="28"/>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开 户 银 行</w:t>
            </w:r>
          </w:p>
        </w:tc>
        <w:tc>
          <w:tcPr>
            <w:tcW w:w="6814" w:type="dxa"/>
            <w:gridSpan w:val="9"/>
            <w:vAlign w:val="center"/>
          </w:tcPr>
          <w:p>
            <w:pPr>
              <w:spacing w:before="120" w:beforeLines="50" w:after="120" w:afterLines="50"/>
              <w:jc w:val="center"/>
              <w:rPr>
                <w:rFonts w:eastAsia="楷体_GB2312"/>
                <w:color w:val="auto"/>
                <w:sz w:val="28"/>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开 户 单 位</w:t>
            </w:r>
          </w:p>
        </w:tc>
        <w:tc>
          <w:tcPr>
            <w:tcW w:w="6814" w:type="dxa"/>
            <w:gridSpan w:val="9"/>
            <w:vAlign w:val="center"/>
          </w:tcPr>
          <w:p>
            <w:pPr>
              <w:spacing w:before="120" w:beforeLines="50" w:after="120" w:afterLines="50"/>
              <w:jc w:val="center"/>
              <w:rPr>
                <w:rFonts w:eastAsia="楷体_GB2312"/>
                <w:color w:val="auto"/>
                <w:sz w:val="28"/>
                <w:szCs w:val="28"/>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8"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帐       号</w:t>
            </w:r>
          </w:p>
        </w:tc>
        <w:tc>
          <w:tcPr>
            <w:tcW w:w="3000" w:type="dxa"/>
            <w:gridSpan w:val="4"/>
            <w:vAlign w:val="center"/>
          </w:tcPr>
          <w:p>
            <w:pPr>
              <w:spacing w:before="120" w:beforeLines="50" w:after="120" w:afterLines="50"/>
              <w:jc w:val="center"/>
              <w:rPr>
                <w:rFonts w:eastAsia="楷体_GB2312"/>
                <w:color w:val="auto"/>
                <w:sz w:val="28"/>
                <w:szCs w:val="28"/>
                <w:highlight w:val="none"/>
              </w:rPr>
            </w:pPr>
          </w:p>
        </w:tc>
        <w:tc>
          <w:tcPr>
            <w:tcW w:w="1087" w:type="dxa"/>
            <w:gridSpan w:val="2"/>
            <w:vAlign w:val="center"/>
          </w:tcPr>
          <w:p>
            <w:pPr>
              <w:spacing w:before="120" w:beforeLines="50" w:after="120" w:afterLines="50"/>
              <w:jc w:val="center"/>
              <w:rPr>
                <w:color w:val="auto"/>
                <w:sz w:val="21"/>
                <w:highlight w:val="none"/>
              </w:rPr>
            </w:pPr>
            <w:r>
              <w:rPr>
                <w:color w:val="auto"/>
                <w:sz w:val="21"/>
                <w:highlight w:val="none"/>
              </w:rPr>
              <w:t>邮政编码</w:t>
            </w:r>
          </w:p>
        </w:tc>
        <w:tc>
          <w:tcPr>
            <w:tcW w:w="2727" w:type="dxa"/>
            <w:gridSpan w:val="3"/>
            <w:vAlign w:val="center"/>
          </w:tcPr>
          <w:p>
            <w:pPr>
              <w:spacing w:before="120" w:beforeLines="50" w:after="120" w:afterLines="50"/>
              <w:jc w:val="center"/>
              <w:rPr>
                <w:rFonts w:eastAsia="楷体_GB2312"/>
                <w:color w:val="auto"/>
                <w:sz w:val="28"/>
                <w:szCs w:val="28"/>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restart"/>
            <w:tcBorders>
              <w:bottom w:val="nil"/>
            </w:tcBorders>
            <w:vAlign w:val="center"/>
          </w:tcPr>
          <w:p>
            <w:pPr>
              <w:spacing w:before="120" w:beforeLines="50" w:after="120" w:afterLines="50"/>
              <w:jc w:val="center"/>
              <w:rPr>
                <w:color w:val="auto"/>
                <w:sz w:val="21"/>
                <w:highlight w:val="none"/>
              </w:rPr>
            </w:pPr>
            <w:r>
              <w:rPr>
                <w:color w:val="auto"/>
                <w:sz w:val="21"/>
                <w:highlight w:val="none"/>
              </w:rPr>
              <w:t>鉴</w:t>
            </w:r>
          </w:p>
          <w:p>
            <w:pPr>
              <w:spacing w:before="120" w:beforeLines="50" w:after="120" w:afterLines="50"/>
              <w:jc w:val="center"/>
              <w:rPr>
                <w:color w:val="auto"/>
                <w:sz w:val="21"/>
                <w:highlight w:val="none"/>
              </w:rPr>
            </w:pPr>
            <w:r>
              <w:rPr>
                <w:color w:val="auto"/>
                <w:sz w:val="21"/>
                <w:highlight w:val="none"/>
              </w:rPr>
              <w:t>证</w:t>
            </w:r>
          </w:p>
          <w:p>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pPr>
              <w:spacing w:before="120" w:beforeLines="50" w:after="120" w:afterLines="50"/>
              <w:jc w:val="center"/>
              <w:rPr>
                <w:color w:val="auto"/>
                <w:sz w:val="21"/>
                <w:highlight w:val="none"/>
              </w:rPr>
            </w:pPr>
            <w:r>
              <w:rPr>
                <w:color w:val="auto"/>
                <w:sz w:val="21"/>
                <w:highlight w:val="none"/>
              </w:rPr>
              <w:t>单 位 名 称</w:t>
            </w:r>
          </w:p>
        </w:tc>
        <w:tc>
          <w:tcPr>
            <w:tcW w:w="6814" w:type="dxa"/>
            <w:gridSpan w:val="9"/>
            <w:vAlign w:val="center"/>
          </w:tcPr>
          <w:p>
            <w:pPr>
              <w:spacing w:before="120" w:beforeLines="50" w:after="120" w:afterLines="50"/>
              <w:ind w:left="-26" w:leftChars="-11" w:right="105" w:firstLine="27" w:firstLineChars="13"/>
              <w:jc w:val="center"/>
              <w:rPr>
                <w:color w:val="auto"/>
                <w:sz w:val="21"/>
                <w:highlight w:val="none"/>
              </w:rPr>
            </w:pPr>
            <w:r>
              <w:rPr>
                <w:color w:val="auto"/>
                <w:sz w:val="21"/>
                <w:highlight w:val="none"/>
              </w:rPr>
              <w:t>浙江水利水电工程审价中心</w:t>
            </w:r>
            <w:r>
              <w:rPr>
                <w:rFonts w:hint="eastAsia"/>
                <w:color w:val="auto"/>
                <w:sz w:val="21"/>
                <w:highlight w:val="none"/>
              </w:rPr>
              <w:t>有限公司</w:t>
            </w:r>
            <w:r>
              <w:rPr>
                <w:color w:val="auto"/>
                <w:sz w:val="21"/>
                <w:highlight w:val="none"/>
              </w:rPr>
              <w:t xml:space="preserve"> (签章)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法定代表人</w:t>
            </w:r>
          </w:p>
        </w:tc>
        <w:tc>
          <w:tcPr>
            <w:tcW w:w="2352" w:type="dxa"/>
            <w:vAlign w:val="center"/>
          </w:tcPr>
          <w:p>
            <w:pPr>
              <w:spacing w:before="120" w:beforeLines="50" w:after="120" w:afterLines="50"/>
              <w:jc w:val="center"/>
              <w:rPr>
                <w:color w:val="auto"/>
                <w:sz w:val="21"/>
                <w:highlight w:val="none"/>
              </w:rPr>
            </w:pPr>
            <w:r>
              <w:rPr>
                <w:color w:val="auto"/>
                <w:sz w:val="21"/>
                <w:highlight w:val="none"/>
              </w:rPr>
              <w:t>(签章)</w:t>
            </w:r>
          </w:p>
        </w:tc>
        <w:tc>
          <w:tcPr>
            <w:tcW w:w="1735" w:type="dxa"/>
            <w:gridSpan w:val="5"/>
            <w:vAlign w:val="center"/>
          </w:tcPr>
          <w:p>
            <w:pPr>
              <w:spacing w:before="120" w:beforeLines="50" w:after="120" w:afterLines="50"/>
              <w:jc w:val="center"/>
              <w:rPr>
                <w:color w:val="auto"/>
                <w:sz w:val="21"/>
                <w:highlight w:val="none"/>
              </w:rPr>
            </w:pPr>
            <w:r>
              <w:rPr>
                <w:color w:val="auto"/>
                <w:sz w:val="21"/>
                <w:highlight w:val="none"/>
              </w:rPr>
              <w:t>委托代理人</w:t>
            </w:r>
          </w:p>
        </w:tc>
        <w:tc>
          <w:tcPr>
            <w:tcW w:w="2727" w:type="dxa"/>
            <w:gridSpan w:val="3"/>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联  系  人</w:t>
            </w:r>
          </w:p>
        </w:tc>
        <w:tc>
          <w:tcPr>
            <w:tcW w:w="6814" w:type="dxa"/>
            <w:gridSpan w:val="9"/>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电      话</w:t>
            </w:r>
          </w:p>
        </w:tc>
        <w:tc>
          <w:tcPr>
            <w:tcW w:w="2947" w:type="dxa"/>
            <w:gridSpan w:val="3"/>
            <w:vAlign w:val="center"/>
          </w:tcPr>
          <w:p>
            <w:pPr>
              <w:spacing w:before="120" w:beforeLines="50" w:after="120" w:afterLines="50"/>
              <w:jc w:val="center"/>
              <w:rPr>
                <w:color w:val="auto"/>
                <w:sz w:val="21"/>
                <w:highlight w:val="none"/>
              </w:rPr>
            </w:pPr>
          </w:p>
        </w:tc>
        <w:tc>
          <w:tcPr>
            <w:tcW w:w="1176" w:type="dxa"/>
            <w:gridSpan w:val="4"/>
            <w:vAlign w:val="center"/>
          </w:tcPr>
          <w:p>
            <w:pPr>
              <w:spacing w:before="120" w:beforeLines="50" w:after="120" w:afterLines="50"/>
              <w:jc w:val="center"/>
              <w:rPr>
                <w:color w:val="auto"/>
                <w:sz w:val="21"/>
                <w:highlight w:val="none"/>
              </w:rPr>
            </w:pPr>
            <w:r>
              <w:rPr>
                <w:color w:val="auto"/>
                <w:sz w:val="21"/>
                <w:highlight w:val="none"/>
              </w:rPr>
              <w:t>传 真</w:t>
            </w:r>
          </w:p>
        </w:tc>
        <w:tc>
          <w:tcPr>
            <w:tcW w:w="2691" w:type="dxa"/>
            <w:gridSpan w:val="2"/>
            <w:vAlign w:val="center"/>
          </w:tcPr>
          <w:p>
            <w:pPr>
              <w:spacing w:before="120" w:beforeLines="50" w:after="120" w:afterLines="50"/>
              <w:jc w:val="center"/>
              <w:rPr>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开 户 银 行</w:t>
            </w:r>
          </w:p>
        </w:tc>
        <w:tc>
          <w:tcPr>
            <w:tcW w:w="6814" w:type="dxa"/>
            <w:gridSpan w:val="9"/>
            <w:vAlign w:val="center"/>
          </w:tcPr>
          <w:p>
            <w:pPr>
              <w:spacing w:before="120" w:beforeLines="50" w:after="120" w:afterLines="50"/>
              <w:jc w:val="center"/>
              <w:rPr>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single" w:color="auto" w:sz="4" w:space="0"/>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帐      号</w:t>
            </w:r>
          </w:p>
        </w:tc>
        <w:tc>
          <w:tcPr>
            <w:tcW w:w="2947" w:type="dxa"/>
            <w:gridSpan w:val="3"/>
            <w:vAlign w:val="center"/>
          </w:tcPr>
          <w:p>
            <w:pPr>
              <w:spacing w:before="120" w:beforeLines="50" w:after="120" w:afterLines="50"/>
              <w:jc w:val="center"/>
              <w:rPr>
                <w:color w:val="auto"/>
                <w:sz w:val="21"/>
                <w:highlight w:val="none"/>
              </w:rPr>
            </w:pPr>
          </w:p>
        </w:tc>
        <w:tc>
          <w:tcPr>
            <w:tcW w:w="1176" w:type="dxa"/>
            <w:gridSpan w:val="4"/>
            <w:vAlign w:val="center"/>
          </w:tcPr>
          <w:p>
            <w:pPr>
              <w:spacing w:before="120" w:beforeLines="50" w:after="120" w:afterLines="50"/>
              <w:jc w:val="center"/>
              <w:rPr>
                <w:color w:val="auto"/>
                <w:sz w:val="21"/>
                <w:highlight w:val="none"/>
              </w:rPr>
            </w:pPr>
            <w:r>
              <w:rPr>
                <w:color w:val="auto"/>
                <w:sz w:val="21"/>
                <w:highlight w:val="none"/>
              </w:rPr>
              <w:t>邮政编码</w:t>
            </w:r>
          </w:p>
        </w:tc>
        <w:tc>
          <w:tcPr>
            <w:tcW w:w="2691" w:type="dxa"/>
            <w:gridSpan w:val="2"/>
            <w:vAlign w:val="center"/>
          </w:tcPr>
          <w:p>
            <w:pPr>
              <w:spacing w:before="120" w:beforeLines="50" w:after="120" w:afterLines="50"/>
              <w:jc w:val="center"/>
              <w:rPr>
                <w:color w:val="auto"/>
                <w:sz w:val="21"/>
                <w:highlight w:val="none"/>
              </w:rPr>
            </w:pPr>
          </w:p>
        </w:tc>
      </w:tr>
    </w:tbl>
    <w:p>
      <w:pPr>
        <w:spacing w:line="500" w:lineRule="exact"/>
        <w:ind w:firstLine="5760" w:firstLineChars="2400"/>
        <w:rPr>
          <w:color w:val="auto"/>
          <w:highlight w:val="none"/>
        </w:rPr>
      </w:pPr>
    </w:p>
    <w:p>
      <w:pPr>
        <w:spacing w:before="120" w:beforeLines="50"/>
        <w:ind w:right="11"/>
        <w:jc w:val="center"/>
        <w:rPr>
          <w:rFonts w:eastAsia="黑体"/>
          <w:color w:val="auto"/>
          <w:sz w:val="44"/>
          <w:highlight w:val="none"/>
          <w:u w:val="single"/>
        </w:rPr>
      </w:pPr>
    </w:p>
    <w:p>
      <w:pPr>
        <w:spacing w:before="120" w:beforeLines="50"/>
        <w:ind w:right="11"/>
        <w:jc w:val="center"/>
        <w:rPr>
          <w:rFonts w:eastAsia="黑体"/>
          <w:color w:val="auto"/>
          <w:highlight w:val="none"/>
          <w:u w:val="single"/>
          <w:vertAlign w:val="subscript"/>
        </w:rPr>
      </w:pPr>
      <w:r>
        <w:rPr>
          <w:rFonts w:eastAsia="黑体"/>
          <w:color w:val="auto"/>
          <w:sz w:val="44"/>
          <w:highlight w:val="none"/>
          <w:u w:val="single"/>
        </w:rPr>
        <w:t>印 花 税 票 粘 贴 处</w:t>
      </w: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rPr>
          <w:rFonts w:eastAsia="黑体"/>
          <w:color w:val="auto"/>
          <w:spacing w:val="122"/>
          <w:sz w:val="32"/>
          <w:highlight w:val="none"/>
          <w:u w:val="single"/>
        </w:rPr>
      </w:pPr>
      <w:r>
        <w:rPr>
          <w:color w:val="auto"/>
          <w:sz w:val="20"/>
          <w:highlight w:val="none"/>
        </w:rPr>
        <mc:AlternateContent>
          <mc:Choice Requires="wps">
            <w:drawing>
              <wp:anchor distT="0" distB="0" distL="114300" distR="114300" simplePos="0" relativeHeight="251659264" behindDoc="0" locked="0" layoutInCell="1" allowOverlap="1">
                <wp:simplePos x="0" y="0"/>
                <wp:positionH relativeFrom="column">
                  <wp:posOffset>256540</wp:posOffset>
                </wp:positionH>
                <wp:positionV relativeFrom="paragraph">
                  <wp:posOffset>48895</wp:posOffset>
                </wp:positionV>
                <wp:extent cx="5323840" cy="2647950"/>
                <wp:effectExtent l="4445" t="4445" r="5715" b="14605"/>
                <wp:wrapNone/>
                <wp:docPr id="12" name="文本框 3"/>
                <wp:cNvGraphicFramePr/>
                <a:graphic xmlns:a="http://schemas.openxmlformats.org/drawingml/2006/main">
                  <a:graphicData uri="http://schemas.microsoft.com/office/word/2010/wordprocessingShape">
                    <wps:wsp>
                      <wps:cNvSpPr txBox="1">
                        <a:spLocks noChangeArrowheads="1"/>
                      </wps:cNvSpPr>
                      <wps:spPr bwMode="auto">
                        <a:xfrm>
                          <a:off x="0" y="0"/>
                          <a:ext cx="5323840" cy="2647950"/>
                        </a:xfrm>
                        <a:prstGeom prst="rect">
                          <a:avLst/>
                        </a:prstGeom>
                        <a:noFill/>
                        <a:ln w="9525">
                          <a:solidFill>
                            <a:srgbClr val="000000"/>
                          </a:solidFill>
                          <a:miter lim="800000"/>
                        </a:ln>
                      </wps:spPr>
                      <wps:txbx>
                        <w:txbxContent>
                          <w:p>
                            <w:pPr>
                              <w:rPr>
                                <w:sz w:val="28"/>
                              </w:rPr>
                            </w:pPr>
                            <w:r>
                              <w:rPr>
                                <w:rFonts w:hint="eastAsia"/>
                                <w:sz w:val="28"/>
                              </w:rPr>
                              <w:t>登记机关审查登记栏：</w:t>
                            </w:r>
                          </w:p>
                          <w:p>
                            <w:pPr>
                              <w:rPr>
                                <w:sz w:val="28"/>
                              </w:rPr>
                            </w:pPr>
                          </w:p>
                          <w:p>
                            <w:pPr>
                              <w:rPr>
                                <w:sz w:val="28"/>
                              </w:rPr>
                            </w:pPr>
                          </w:p>
                          <w:p>
                            <w:pPr>
                              <w:ind w:firstLine="3920" w:firstLineChars="1400"/>
                              <w:rPr>
                                <w:sz w:val="28"/>
                              </w:rPr>
                            </w:pPr>
                            <w:r>
                              <w:rPr>
                                <w:rFonts w:hint="eastAsia"/>
                                <w:sz w:val="28"/>
                              </w:rPr>
                              <w:t>技术合同登记机关（专用章）</w:t>
                            </w:r>
                          </w:p>
                          <w:p>
                            <w:pPr>
                              <w:ind w:firstLine="1120" w:firstLineChars="400"/>
                              <w:rPr>
                                <w:sz w:val="28"/>
                              </w:rPr>
                            </w:pPr>
                          </w:p>
                          <w:p>
                            <w:pPr>
                              <w:ind w:firstLine="1680" w:firstLineChars="600"/>
                              <w:rPr>
                                <w:rFonts w:ascii="黑体" w:eastAsia="黑体"/>
                                <w:sz w:val="28"/>
                              </w:rPr>
                            </w:pPr>
                            <w:r>
                              <w:rPr>
                                <w:rFonts w:hint="eastAsia"/>
                                <w:sz w:val="28"/>
                              </w:rPr>
                              <w:t>经办人：        （签章）    20   年   月   日</w:t>
                            </w:r>
                          </w:p>
                        </w:txbxContent>
                      </wps:txbx>
                      <wps:bodyPr rot="0" vert="horz" wrap="square" lIns="91440" tIns="45720" rIns="91440" bIns="45720" anchor="t" anchorCtr="0" upright="1">
                        <a:noAutofit/>
                      </wps:bodyPr>
                    </wps:wsp>
                  </a:graphicData>
                </a:graphic>
              </wp:anchor>
            </w:drawing>
          </mc:Choice>
          <mc:Fallback>
            <w:pict>
              <v:shape id="文本框 3" o:spid="_x0000_s1026" o:spt="202" type="#_x0000_t202" style="position:absolute;left:0pt;margin-left:20.2pt;margin-top:3.85pt;height:208.5pt;width:419.2pt;z-index:251659264;mso-width-relative:page;mso-height-relative:page;" filled="f" stroked="t" coordsize="21600,21600" o:gfxdata="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A2s8081QAAAAgBAAAPAAAAAAAAAAEAIAAAACIAAABkcnMv&#10;ZG93bnJldi54bWxQSwECFAAUAAAACACHTuJAR2SaWD8CAABgBAAADgAAAAAAAAABACAAAAAkAQAA&#10;ZHJzL2Uyb0RvYy54bWxQSwUGAAAAAAYABgBZAQAA1QUAAAAA&#10;">
                <v:fill on="f" focussize="0,0"/>
                <v:stroke color="#000000" miterlimit="8" joinstyle="miter"/>
                <v:imagedata o:title=""/>
                <o:lock v:ext="edit" aspectratio="f"/>
                <v:textbox>
                  <w:txbxContent>
                    <w:p>
                      <w:pPr>
                        <w:rPr>
                          <w:sz w:val="28"/>
                        </w:rPr>
                      </w:pPr>
                      <w:r>
                        <w:rPr>
                          <w:rFonts w:hint="eastAsia"/>
                          <w:sz w:val="28"/>
                        </w:rPr>
                        <w:t>登记机关审查登记栏：</w:t>
                      </w:r>
                    </w:p>
                    <w:p>
                      <w:pPr>
                        <w:rPr>
                          <w:sz w:val="28"/>
                        </w:rPr>
                      </w:pPr>
                    </w:p>
                    <w:p>
                      <w:pPr>
                        <w:rPr>
                          <w:sz w:val="28"/>
                        </w:rPr>
                      </w:pPr>
                    </w:p>
                    <w:p>
                      <w:pPr>
                        <w:ind w:firstLine="3920" w:firstLineChars="1400"/>
                        <w:rPr>
                          <w:sz w:val="28"/>
                        </w:rPr>
                      </w:pPr>
                      <w:r>
                        <w:rPr>
                          <w:rFonts w:hint="eastAsia"/>
                          <w:sz w:val="28"/>
                        </w:rPr>
                        <w:t>技术合同登记机关（专用章）</w:t>
                      </w:r>
                    </w:p>
                    <w:p>
                      <w:pPr>
                        <w:ind w:firstLine="1120" w:firstLineChars="400"/>
                        <w:rPr>
                          <w:sz w:val="28"/>
                        </w:rPr>
                      </w:pPr>
                    </w:p>
                    <w:p>
                      <w:pPr>
                        <w:ind w:firstLine="1680" w:firstLineChars="600"/>
                        <w:rPr>
                          <w:rFonts w:ascii="黑体" w:eastAsia="黑体"/>
                          <w:sz w:val="28"/>
                        </w:rPr>
                      </w:pPr>
                      <w:r>
                        <w:rPr>
                          <w:rFonts w:hint="eastAsia"/>
                          <w:sz w:val="28"/>
                        </w:rPr>
                        <w:t>经办人：        （签章）    20   年   月   日</w:t>
                      </w:r>
                    </w:p>
                  </w:txbxContent>
                </v:textbox>
              </v:shape>
            </w:pict>
          </mc:Fallback>
        </mc:AlternateContent>
      </w:r>
    </w:p>
    <w:p>
      <w:pPr>
        <w:ind w:right="11"/>
        <w:rPr>
          <w:color w:val="auto"/>
          <w:highlight w:val="none"/>
        </w:rPr>
      </w:pPr>
    </w:p>
    <w:p>
      <w:pPr>
        <w:ind w:right="11"/>
        <w:rPr>
          <w:color w:val="auto"/>
          <w:highlight w:val="none"/>
        </w:rPr>
      </w:pPr>
    </w:p>
    <w:p>
      <w:pPr>
        <w:ind w:right="11"/>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tabs>
          <w:tab w:val="left" w:pos="3930"/>
        </w:tabs>
        <w:rPr>
          <w:color w:val="auto"/>
          <w:highlight w:val="none"/>
        </w:rPr>
      </w:pPr>
      <w:r>
        <w:rPr>
          <w:color w:val="auto"/>
          <w:highlight w:val="none"/>
        </w:rPr>
        <w:tab/>
      </w:r>
    </w:p>
    <w:p>
      <w:pPr>
        <w:spacing w:line="500" w:lineRule="exact"/>
        <w:ind w:firstLine="5760" w:firstLineChars="2400"/>
        <w:rPr>
          <w:color w:val="auto"/>
          <w:highlight w:val="none"/>
        </w:rPr>
      </w:pPr>
    </w:p>
    <w:p>
      <w:pPr>
        <w:jc w:val="center"/>
        <w:rPr>
          <w:color w:val="auto"/>
          <w:highlight w:val="none"/>
        </w:rPr>
      </w:pPr>
    </w:p>
    <w:p>
      <w:pPr>
        <w:jc w:val="center"/>
        <w:rPr>
          <w:color w:val="auto"/>
          <w:highlight w:val="none"/>
        </w:rPr>
      </w:pPr>
    </w:p>
    <w:p>
      <w:pPr>
        <w:ind w:right="11"/>
        <w:rPr>
          <w:color w:val="auto"/>
          <w:highlight w:val="none"/>
        </w:rPr>
      </w:pPr>
    </w:p>
    <w:p>
      <w:pPr>
        <w:spacing w:line="300" w:lineRule="auto"/>
        <w:rPr>
          <w:color w:val="auto"/>
          <w:highlight w:val="none"/>
        </w:rPr>
      </w:pPr>
    </w:p>
    <w:p>
      <w:pPr>
        <w:pStyle w:val="41"/>
        <w:rPr>
          <w:color w:val="auto"/>
          <w:highlight w:val="none"/>
          <w:lang w:eastAsia="zh-CN"/>
        </w:rPr>
      </w:pPr>
    </w:p>
    <w:p>
      <w:pPr>
        <w:pStyle w:val="41"/>
        <w:rPr>
          <w:color w:val="auto"/>
          <w:highlight w:val="none"/>
        </w:rPr>
      </w:pPr>
    </w:p>
    <w:sectPr>
      <w:pgSz w:w="11907" w:h="16840"/>
      <w:pgMar w:top="1417" w:right="1417" w:bottom="1417" w:left="1531" w:header="737" w:footer="851" w:gutter="0"/>
      <w:cols w:space="720" w:num="1"/>
      <w:rtlGutter w:val="0"/>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A55AF552-8249-4659-BCBA-D48895A4D465}"/>
  </w:font>
  <w:font w:name="黑体">
    <w:panose1 w:val="02010609060101010101"/>
    <w:charset w:val="86"/>
    <w:family w:val="auto"/>
    <w:pitch w:val="default"/>
    <w:sig w:usb0="800002BF" w:usb1="38CF7CFA" w:usb2="00000016" w:usb3="00000000" w:csb0="00040001" w:csb1="00000000"/>
    <w:embedRegular r:id="rId2" w:fontKey="{D910CA98-6D66-4559-9C2D-00A548F7BA9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embedRegular r:id="rId3" w:fontKey="{A9C2031D-6DA2-4E73-90D5-32C436DF3E0D}"/>
  </w:font>
  <w:font w:name="Calibri Light">
    <w:panose1 w:val="020F03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embedRegular r:id="rId4" w:fontKey="{483144BE-CAD6-4FA4-A8B6-F7F02C6D713E}"/>
  </w:font>
  <w:font w:name="Verdana">
    <w:panose1 w:val="020B0604030504040204"/>
    <w:charset w:val="00"/>
    <w:family w:val="swiss"/>
    <w:pitch w:val="default"/>
    <w:sig w:usb0="A00006FF" w:usb1="4000205B" w:usb2="00000010" w:usb3="00000000" w:csb0="2000019F" w:csb1="00000000"/>
  </w:font>
  <w:font w:name="??">
    <w:altName w:val="Arial"/>
    <w:panose1 w:val="00000000000000000000"/>
    <w:charset w:val="00"/>
    <w:family w:val="roman"/>
    <w:pitch w:val="default"/>
    <w:sig w:usb0="00000000" w:usb1="00000000" w:usb2="00000000" w:usb3="00000000" w:csb0="00000001" w:csb1="00000000"/>
  </w:font>
  <w:font w:name="方正小标宋_GBK">
    <w:panose1 w:val="02000000000000000000"/>
    <w:charset w:val="86"/>
    <w:family w:val="script"/>
    <w:pitch w:val="default"/>
    <w:sig w:usb0="A00002BF" w:usb1="38CF7CFA" w:usb2="00082016" w:usb3="00000000" w:csb0="00040001" w:csb1="00000000"/>
    <w:embedRegular r:id="rId5" w:fontKey="{A76BED4D-DCD0-4426-93C5-BF14E29BBA80}"/>
  </w:font>
  <w:font w:name="宋体-18030">
    <w:altName w:val="微软雅黑"/>
    <w:panose1 w:val="00000000000000000000"/>
    <w:charset w:val="86"/>
    <w:family w:val="modern"/>
    <w:pitch w:val="default"/>
    <w:sig w:usb0="00000000" w:usb1="00000000" w:usb2="000A005E" w:usb3="00000000" w:csb0="00040001" w:csb1="00000000"/>
    <w:embedRegular r:id="rId6" w:fontKey="{87D43F5A-7E67-4A45-91D2-A92EB96F5D77}"/>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right="360" w:rightChars="150" w:firstLine="450" w:firstLineChars="250"/>
    </w:pPr>
    <w:r>
      <mc:AlternateContent>
        <mc:Choice Requires="wps">
          <w:drawing>
            <wp:anchor distT="0" distB="0" distL="114300" distR="114300" simplePos="0" relativeHeight="251663360" behindDoc="0" locked="0" layoutInCell="1" allowOverlap="1">
              <wp:simplePos x="0" y="0"/>
              <wp:positionH relativeFrom="margin">
                <wp:posOffset>2853690</wp:posOffset>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4</w:t>
                          </w:r>
                          <w:r>
                            <w:rPr>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24.7pt;margin-top:0pt;height:144pt;width:144pt;mso-position-horizontal-relative:margin;mso-wrap-style:none;z-index:251663360;mso-width-relative:page;mso-height-relative:page;" filled="f" stroked="f" coordsize="21600,21600" o:gfxdata="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pmrlPVAAAACAEAAA8AAAAAAAAAAQAgAAAAIgAAAGRycy9kb3ducmV2LnhtbFBLAQIUABQA&#10;AAAIAIdO4kC9Dt23LAIAAFUEAAAOAAAAAAAAAAEAIAAAACQBAABkcnMvZTJvRG9jLnhtbFBLBQYA&#10;AAAABgAGAFkBAADCBQAAAAA=&#10;">
              <v:fill on="f" focussize="0,0"/>
              <v:stroke on="f" weight="0.5pt"/>
              <v:imagedata o:title=""/>
              <o:lock v:ext="edit" aspectratio="f"/>
              <v:textbox inset="0mm,0mm,0mm,0mm" style="mso-fit-shape-to-text:t;">
                <w:txbxContent>
                  <w:p>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4</w:t>
                    </w:r>
                    <w:r>
                      <w:rPr>
                        <w:sz w:val="21"/>
                        <w:szCs w:val="21"/>
                      </w:rPr>
                      <w:fldChar w:fldCharType="end"/>
                    </w:r>
                  </w:p>
                </w:txbxContent>
              </v:textbox>
            </v:shape>
          </w:pict>
        </mc:Fallback>
      </mc:AlternateContent>
    </w:r>
    <w:r>
      <mc:AlternateContent>
        <mc:Choice Requires="wps">
          <w:drawing>
            <wp:anchor distT="0" distB="0" distL="114300" distR="114300" simplePos="0" relativeHeight="251660288" behindDoc="1" locked="0" layoutInCell="1" allowOverlap="1">
              <wp:simplePos x="0" y="0"/>
              <wp:positionH relativeFrom="column">
                <wp:posOffset>102870</wp:posOffset>
              </wp:positionH>
              <wp:positionV relativeFrom="paragraph">
                <wp:posOffset>-3810</wp:posOffset>
              </wp:positionV>
              <wp:extent cx="5471795"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47179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8.1pt;margin-top:-0.3pt;height:0pt;width:430.85pt;z-index:-251656192;mso-width-relative:page;mso-height-relative:page;" filled="f" stroked="t" coordsize="21600,21600" o:gfxdata="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No9WYTT&#10;AAAABgEAAA8AAAAAAAAAAQAgAAAAIgAAAGRycy9kb3ducmV2LnhtbFBLAQIUABQAAAAIAIdO4kDV&#10;qdC67AEAANgDAAAOAAAAAAAAAAEAIAAAACIBAABkcnMvZTJvRG9jLnhtbFBLBQYAAAAABgAGAFkB&#10;AACA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62336" behindDoc="0" locked="0" layoutInCell="1" allowOverlap="1">
              <wp:simplePos x="0" y="0"/>
              <wp:positionH relativeFrom="margin">
                <wp:posOffset>0</wp:posOffset>
              </wp:positionH>
              <wp:positionV relativeFrom="paragraph">
                <wp:posOffset>0</wp:posOffset>
              </wp:positionV>
              <wp:extent cx="3420110" cy="197485"/>
              <wp:effectExtent l="0" t="0" r="0" b="0"/>
              <wp:wrapNone/>
              <wp:docPr id="1" name="矩形 1"/>
              <wp:cNvGraphicFramePr/>
              <a:graphic xmlns:a="http://schemas.openxmlformats.org/drawingml/2006/main">
                <a:graphicData uri="http://schemas.microsoft.com/office/word/2010/wordprocessingShape">
                  <wps:wsp>
                    <wps:cNvSpPr/>
                    <wps:spPr>
                      <a:xfrm>
                        <a:off x="0" y="0"/>
                        <a:ext cx="3420110" cy="197485"/>
                      </a:xfrm>
                      <a:prstGeom prst="rect">
                        <a:avLst/>
                      </a:prstGeom>
                      <a:noFill/>
                      <a:ln>
                        <a:noFill/>
                      </a:ln>
                    </wps:spPr>
                    <wps:txbx>
                      <w:txbxContent>
                        <w:p>
                          <w:pPr>
                            <w:pStyle w:val="23"/>
                            <w:ind w:right="360" w:firstLine="525" w:firstLineChars="250"/>
                          </w:pPr>
                          <w:r>
                            <w:rPr>
                              <w:rFonts w:hint="eastAsia"/>
                              <w:sz w:val="21"/>
                            </w:rPr>
                            <w:t xml:space="preserve">浙江水利水电工程审价中心有限公司              </w:t>
                          </w:r>
                        </w:p>
                      </w:txbxContent>
                    </wps:txbx>
                    <wps:bodyPr wrap="none" lIns="0" tIns="0" rIns="0" bIns="0" upright="1">
                      <a:spAutoFit/>
                    </wps:bodyPr>
                  </wps:wsp>
                </a:graphicData>
              </a:graphic>
            </wp:anchor>
          </w:drawing>
        </mc:Choice>
        <mc:Fallback>
          <w:pict>
            <v:rect id="_x0000_s1026" o:spid="_x0000_s1026" o:spt="1" style="position:absolute;left:0pt;margin-left:0pt;margin-top:0pt;height:15.55pt;width:269.3pt;mso-position-horizontal-relative:margin;mso-wrap-style:none;z-index:251662336;mso-width-relative:page;mso-height-relative:page;" filled="f" stroked="f" coordsize="21600,21600" o:gfxdata="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i06iC0wAAAAQBAAAPAAAAAAAAAAEAIAAAACIAAABkcnMvZG93bnJldi54bWxQ&#10;SwECFAAUAAAACACHTuJAFs9hIMMBAACLAwAADgAAAAAAAAABACAAAAAiAQAAZHJzL2Uyb0RvYy54&#10;bWxQSwUGAAAAAAYABgBZAQAAVwUAAAAA&#10;">
              <v:fill on="f" focussize="0,0"/>
              <v:stroke on="f"/>
              <v:imagedata o:title=""/>
              <o:lock v:ext="edit" aspectratio="f"/>
              <v:textbox inset="0mm,0mm,0mm,0mm" style="mso-fit-shape-to-text:t;">
                <w:txbxContent>
                  <w:p>
                    <w:pPr>
                      <w:pStyle w:val="23"/>
                      <w:ind w:right="360" w:firstLine="525" w:firstLineChars="250"/>
                    </w:pPr>
                    <w:r>
                      <w:rPr>
                        <w:rFonts w:hint="eastAsia"/>
                        <w:sz w:val="21"/>
                      </w:rPr>
                      <w:t xml:space="preserve">浙江水利水电工程审价中心有限公司              </w:t>
                    </w:r>
                  </w:p>
                </w:txbxContent>
              </v:textbox>
            </v:rect>
          </w:pict>
        </mc:Fallback>
      </mc:AlternateContent>
    </w:r>
    <w:r>
      <w:rPr>
        <w:sz w:val="20"/>
      </w:rPr>
      <w:pict>
        <v:shape id="Picture 7" o:spid="_x0000_s3073" o:spt="75" type="#_x0000_t75" style="position:absolute;left:0pt;margin-left:0pt;margin-top:-5.8pt;height:13.95pt;width:15.75pt;mso-wrap-distance-bottom:0pt;mso-wrap-distance-top:0pt;z-index:251659264;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Picture 7" DrawAspect="Content" ObjectID="_1468075725" r:id="rId1">
          <o:LockedField>false</o:LockedField>
        </o:OLEObject>
      </w:pict>
    </w:r>
    <w:r>
      <w:rPr>
        <w:sz w:val="20"/>
      </w:rPr>
      <w:pict>
        <v:shape id="Picture 9" o:spid="_x0000_s3074" o:spt="75" type="#_x0000_t75" style="position:absolute;left:0pt;margin-left:0pt;margin-top:-5.8pt;height:13.95pt;width:15.75pt;mso-wrap-distance-bottom:0pt;mso-wrap-distance-top:0pt;z-index:251661312;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Picture 9" DrawAspect="Content" ObjectID="_1468075726" r:id="rId3">
          <o:LockedField>false</o:LockedField>
        </o:OLEObj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right="360" w:rightChars="150" w:firstLine="450" w:firstLineChars="250"/>
    </w:pPr>
    <w:r>
      <mc:AlternateContent>
        <mc:Choice Requires="wps">
          <w:drawing>
            <wp:anchor distT="0" distB="0" distL="114300" distR="114300" simplePos="0" relativeHeight="251668480" behindDoc="0" locked="0" layoutInCell="1" allowOverlap="1">
              <wp:simplePos x="0" y="0"/>
              <wp:positionH relativeFrom="margin">
                <wp:posOffset>2853690</wp:posOffset>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20</w:t>
                          </w:r>
                          <w:r>
                            <w:rPr>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24.7pt;margin-top:0pt;height:144pt;width:144pt;mso-position-horizontal-relative:margin;mso-wrap-style:none;z-index:251668480;mso-width-relative:page;mso-height-relative:page;" filled="f" stroked="f" coordsize="21600,21600" o:gfxdata="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6Zq5T1QAAAAgBAAAPAAAAAAAAAAEAIAAAACIAAABkcnMvZG93bnJldi54bWxQSwECFAAUAAAA&#10;CACHTuJAJtVacyoCAABVBAAADgAAAAAAAAABACAAAAAkAQAAZHJzL2Uyb0RvYy54bWxQSwUGAAAA&#10;AAYABgBZAQAAwAUAAAAA&#10;">
              <v:fill on="f" focussize="0,0"/>
              <v:stroke on="f" weight="0.5pt"/>
              <v:imagedata o:title=""/>
              <o:lock v:ext="edit" aspectratio="f"/>
              <v:textbox inset="0mm,0mm,0mm,0mm" style="mso-fit-shape-to-text:t;">
                <w:txbxContent>
                  <w:p>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20</w:t>
                    </w:r>
                    <w:r>
                      <w:rPr>
                        <w:sz w:val="21"/>
                        <w:szCs w:val="21"/>
                      </w:rPr>
                      <w:fldChar w:fldCharType="end"/>
                    </w:r>
                  </w:p>
                </w:txbxContent>
              </v:textbox>
            </v:shape>
          </w:pict>
        </mc:Fallback>
      </mc:AlternateContent>
    </w:r>
    <w:r>
      <mc:AlternateContent>
        <mc:Choice Requires="wps">
          <w:drawing>
            <wp:anchor distT="0" distB="0" distL="114300" distR="114300" simplePos="0" relativeHeight="251665408" behindDoc="1" locked="0" layoutInCell="1" allowOverlap="1">
              <wp:simplePos x="0" y="0"/>
              <wp:positionH relativeFrom="column">
                <wp:posOffset>102870</wp:posOffset>
              </wp:positionH>
              <wp:positionV relativeFrom="paragraph">
                <wp:posOffset>-3810</wp:posOffset>
              </wp:positionV>
              <wp:extent cx="5615940" cy="0"/>
              <wp:effectExtent l="0" t="0" r="0" b="0"/>
              <wp:wrapNone/>
              <wp:docPr id="7" name="直接连接符 7"/>
              <wp:cNvGraphicFramePr/>
              <a:graphic xmlns:a="http://schemas.openxmlformats.org/drawingml/2006/main">
                <a:graphicData uri="http://schemas.microsoft.com/office/word/2010/wordprocessingShape">
                  <wps:wsp>
                    <wps:cNvCnPr/>
                    <wps:spPr>
                      <a:xfrm>
                        <a:off x="0" y="0"/>
                        <a:ext cx="561594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8.1pt;margin-top:-0.3pt;height:0pt;width:442.2pt;z-index:-251651072;mso-width-relative:page;mso-height-relative:page;" filled="f" stroked="t" coordsize="21600,21600" o:gfxdata="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sQdovNEA&#10;AAAGAQAADwAAAAAAAAABACAAAAAiAAAAZHJzL2Rvd25yZXYueG1sUEsBAhQAFAAAAAgAh07iQNzf&#10;DNLtAQAA2AMAAA4AAAAAAAAAAQAgAAAAIAEAAGRycy9lMm9Eb2MueG1sUEsFBgAAAAAGAAYAWQEA&#10;AH8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67456" behindDoc="0" locked="0" layoutInCell="1" allowOverlap="1">
              <wp:simplePos x="0" y="0"/>
              <wp:positionH relativeFrom="margin">
                <wp:posOffset>0</wp:posOffset>
              </wp:positionH>
              <wp:positionV relativeFrom="paragraph">
                <wp:posOffset>0</wp:posOffset>
              </wp:positionV>
              <wp:extent cx="3420110" cy="197485"/>
              <wp:effectExtent l="0" t="0" r="0" b="0"/>
              <wp:wrapNone/>
              <wp:docPr id="8" name="矩形 8"/>
              <wp:cNvGraphicFramePr/>
              <a:graphic xmlns:a="http://schemas.openxmlformats.org/drawingml/2006/main">
                <a:graphicData uri="http://schemas.microsoft.com/office/word/2010/wordprocessingShape">
                  <wps:wsp>
                    <wps:cNvSpPr/>
                    <wps:spPr>
                      <a:xfrm>
                        <a:off x="0" y="0"/>
                        <a:ext cx="3420110" cy="197485"/>
                      </a:xfrm>
                      <a:prstGeom prst="rect">
                        <a:avLst/>
                      </a:prstGeom>
                      <a:noFill/>
                      <a:ln>
                        <a:noFill/>
                      </a:ln>
                    </wps:spPr>
                    <wps:txbx>
                      <w:txbxContent>
                        <w:p>
                          <w:pPr>
                            <w:pStyle w:val="23"/>
                            <w:ind w:right="360" w:firstLine="525" w:firstLineChars="250"/>
                          </w:pPr>
                          <w:r>
                            <w:rPr>
                              <w:rFonts w:hint="eastAsia"/>
                              <w:sz w:val="21"/>
                            </w:rPr>
                            <w:t xml:space="preserve">浙江水利水电工程审价中心有限公司              </w:t>
                          </w:r>
                        </w:p>
                      </w:txbxContent>
                    </wps:txbx>
                    <wps:bodyPr wrap="none" lIns="0" tIns="0" rIns="0" bIns="0" upright="1">
                      <a:spAutoFit/>
                    </wps:bodyPr>
                  </wps:wsp>
                </a:graphicData>
              </a:graphic>
            </wp:anchor>
          </w:drawing>
        </mc:Choice>
        <mc:Fallback>
          <w:pict>
            <v:rect id="_x0000_s1026" o:spid="_x0000_s1026" o:spt="1" style="position:absolute;left:0pt;margin-left:0pt;margin-top:0pt;height:15.55pt;width:269.3pt;mso-position-horizontal-relative:margin;mso-wrap-style:none;z-index:251667456;mso-width-relative:page;mso-height-relative:page;" filled="f" stroked="f" coordsize="21600,21600" o:gfxdata="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4tOogtMAAAAEAQAADwAAAAAAAAABACAAAAAiAAAAZHJzL2Rvd25yZXYueG1s&#10;UEsBAhQAFAAAAAgAh07iQONQWlbEAQAAiwMAAA4AAAAAAAAAAQAgAAAAIgEAAGRycy9lMm9Eb2Mu&#10;eG1sUEsFBgAAAAAGAAYAWQEAAFgFAAAAAA==&#10;">
              <v:fill on="f" focussize="0,0"/>
              <v:stroke on="f"/>
              <v:imagedata o:title=""/>
              <o:lock v:ext="edit" aspectratio="f"/>
              <v:textbox inset="0mm,0mm,0mm,0mm" style="mso-fit-shape-to-text:t;">
                <w:txbxContent>
                  <w:p>
                    <w:pPr>
                      <w:pStyle w:val="23"/>
                      <w:ind w:right="360" w:firstLine="525" w:firstLineChars="250"/>
                    </w:pPr>
                    <w:r>
                      <w:rPr>
                        <w:rFonts w:hint="eastAsia"/>
                        <w:sz w:val="21"/>
                      </w:rPr>
                      <w:t xml:space="preserve">浙江水利水电工程审价中心有限公司              </w:t>
                    </w:r>
                  </w:p>
                </w:txbxContent>
              </v:textbox>
            </v:rect>
          </w:pict>
        </mc:Fallback>
      </mc:AlternateContent>
    </w:r>
    <w:r>
      <w:rPr>
        <w:sz w:val="20"/>
      </w:rPr>
      <w:pict>
        <v:shape id="_x0000_s3077" o:spid="_x0000_s3077" o:spt="75" type="#_x0000_t75" style="position:absolute;left:0pt;margin-left:0pt;margin-top:-5.8pt;height:13.95pt;width:15.75pt;mso-wrap-distance-bottom:0pt;mso-wrap-distance-top:0pt;z-index:251664384;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_x0000_s3077" DrawAspect="Content" ObjectID="_1468075727" r:id="rId1">
          <o:LockedField>false</o:LockedField>
        </o:OLEObject>
      </w:pict>
    </w:r>
    <w:r>
      <w:rPr>
        <w:sz w:val="20"/>
      </w:rPr>
      <w:pict>
        <v:shape id="_x0000_s3078" o:spid="_x0000_s3078" o:spt="75" type="#_x0000_t75" style="position:absolute;left:0pt;margin-left:0pt;margin-top:-5.8pt;height:13.95pt;width:15.75pt;mso-wrap-distance-bottom:0pt;mso-wrap-distance-top:0pt;z-index:251666432;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_x0000_s3078" DrawAspect="Content" ObjectID="_1468075728" r:id="rId3">
          <o:LockedField>false</o:LockedField>
        </o:OLEObj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single" w:color="auto" w:sz="6" w:space="0"/>
      </w:pBdr>
      <w:jc w:val="both"/>
    </w:pPr>
    <w:r>
      <w:t>杭嘉湖流域规划环境影响评价</w:t>
    </w:r>
    <w:r>
      <w:rPr>
        <w:rFonts w:hint="eastAsia"/>
      </w:rPr>
      <w:t>项目公开招标采购文件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single" w:color="auto" w:sz="6" w:space="0"/>
      </w:pBdr>
      <w:jc w:val="both"/>
      <w:rPr>
        <w:rFonts w:ascii="宋体" w:hAnsi="宋体" w:cs="宋体"/>
      </w:rPr>
    </w:pPr>
    <w:r>
      <w:rPr>
        <w:rFonts w:hint="eastAsia" w:ascii="宋体" w:hAnsi="宋体" w:cs="宋体"/>
        <w:color w:val="000000" w:themeColor="text1"/>
        <w:lang w:eastAsia="zh-CN"/>
        <w14:textFill>
          <w14:solidFill>
            <w14:schemeClr w14:val="tx1"/>
          </w14:solidFill>
        </w14:textFill>
      </w:rPr>
      <w:t>水土保持监测管理平台运维</w:t>
    </w:r>
    <w:r>
      <w:rPr>
        <w:rFonts w:hint="eastAsia" w:ascii="宋体" w:hAnsi="宋体" w:cs="宋体"/>
      </w:rPr>
      <w:t>项目采购文件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54D167"/>
    <w:multiLevelType w:val="multilevel"/>
    <w:tmpl w:val="D354D167"/>
    <w:lvl w:ilvl="0" w:tentative="0">
      <w:start w:val="1"/>
      <w:numFmt w:val="chineseCounting"/>
      <w:pStyle w:val="3"/>
      <w:lvlText w:val="第%1部分"/>
      <w:lvlJc w:val="left"/>
      <w:pPr>
        <w:tabs>
          <w:tab w:val="left" w:pos="420"/>
        </w:tabs>
        <w:ind w:left="432" w:hanging="432"/>
      </w:pPr>
      <w:rPr>
        <w:rFonts w:hint="eastAsia" w:ascii="宋体" w:hAnsi="宋体" w:eastAsia="宋体" w:cs="宋体"/>
      </w:rPr>
    </w:lvl>
    <w:lvl w:ilvl="1" w:tentative="0">
      <w:start w:val="1"/>
      <w:numFmt w:val="decimal"/>
      <w:pStyle w:val="2"/>
      <w:isLgl/>
      <w:suff w:val="space"/>
      <w:lvlText w:val="%1.%2"/>
      <w:lvlJc w:val="left"/>
      <w:pPr>
        <w:tabs>
          <w:tab w:val="left" w:pos="420"/>
        </w:tabs>
        <w:ind w:left="0" w:firstLine="0"/>
      </w:pPr>
      <w:rPr>
        <w:rFonts w:hint="eastAsia" w:ascii="Times New Roman" w:hAnsi="Times New Roman" w:eastAsia="宋体" w:cs="宋体"/>
        <w:b/>
        <w:sz w:val="24"/>
      </w:rPr>
    </w:lvl>
    <w:lvl w:ilvl="2" w:tentative="0">
      <w:start w:val="1"/>
      <w:numFmt w:val="decimal"/>
      <w:pStyle w:val="4"/>
      <w:isLgl/>
      <w:suff w:val="space"/>
      <w:lvlText w:val="%1.%2.%3"/>
      <w:lvlJc w:val="left"/>
      <w:pPr>
        <w:tabs>
          <w:tab w:val="left" w:pos="0"/>
        </w:tabs>
        <w:ind w:left="720" w:hanging="720"/>
      </w:pPr>
      <w:rPr>
        <w:rFonts w:hint="eastAsia" w:ascii="Times New Roman" w:hAnsi="Times New Roman" w:eastAsia="宋体" w:cs="宋体"/>
        <w:b/>
        <w:sz w:val="24"/>
      </w:rPr>
    </w:lvl>
    <w:lvl w:ilvl="3" w:tentative="0">
      <w:start w:val="1"/>
      <w:numFmt w:val="decimal"/>
      <w:pStyle w:val="6"/>
      <w:lvlText w:val="%1.%2.%3.%4."/>
      <w:lvlJc w:val="left"/>
      <w:pPr>
        <w:ind w:left="864" w:hanging="864"/>
      </w:pPr>
      <w:rPr>
        <w:rFonts w:hint="eastAsia"/>
      </w:rPr>
    </w:lvl>
    <w:lvl w:ilvl="4" w:tentative="0">
      <w:start w:val="1"/>
      <w:numFmt w:val="decimal"/>
      <w:pStyle w:val="7"/>
      <w:lvlText w:val="%1.%2.%3.%4.%5."/>
      <w:lvlJc w:val="left"/>
      <w:pPr>
        <w:ind w:left="1008" w:hanging="1008"/>
      </w:pPr>
      <w:rPr>
        <w:rFonts w:hint="eastAsia"/>
      </w:rPr>
    </w:lvl>
    <w:lvl w:ilvl="5" w:tentative="0">
      <w:start w:val="1"/>
      <w:numFmt w:val="decimal"/>
      <w:pStyle w:val="8"/>
      <w:lvlText w:val="%1.%2.%3.%4.%5.%6."/>
      <w:lvlJc w:val="left"/>
      <w:pPr>
        <w:ind w:left="1151" w:hanging="1151"/>
      </w:pPr>
      <w:rPr>
        <w:rFonts w:hint="eastAsia"/>
      </w:rPr>
    </w:lvl>
    <w:lvl w:ilvl="6" w:tentative="0">
      <w:start w:val="1"/>
      <w:numFmt w:val="decimal"/>
      <w:pStyle w:val="9"/>
      <w:lvlText w:val="%1.%2.%3.%4.%5.%6.%7."/>
      <w:lvlJc w:val="left"/>
      <w:pPr>
        <w:ind w:left="1296" w:hanging="1296"/>
      </w:pPr>
      <w:rPr>
        <w:rFonts w:hint="eastAsia"/>
      </w:rPr>
    </w:lvl>
    <w:lvl w:ilvl="7" w:tentative="0">
      <w:start w:val="1"/>
      <w:numFmt w:val="decimal"/>
      <w:pStyle w:val="10"/>
      <w:lvlText w:val="%1.%2.%3.%4.%5.%6.%7.%8."/>
      <w:lvlJc w:val="left"/>
      <w:pPr>
        <w:ind w:left="1440" w:hanging="1440"/>
      </w:pPr>
      <w:rPr>
        <w:rFonts w:hint="eastAsia"/>
      </w:rPr>
    </w:lvl>
    <w:lvl w:ilvl="8" w:tentative="0">
      <w:start w:val="1"/>
      <w:numFmt w:val="decimal"/>
      <w:pStyle w:val="11"/>
      <w:lvlText w:val="%1.%2.%3.%4.%5.%6.%7.%8.%9."/>
      <w:lvlJc w:val="left"/>
      <w:pPr>
        <w:ind w:left="1583" w:hanging="1583"/>
      </w:pPr>
      <w:rPr>
        <w:rFonts w:hint="eastAsia"/>
      </w:rPr>
    </w:lvl>
  </w:abstractNum>
  <w:abstractNum w:abstractNumId="1">
    <w:nsid w:val="E083C9A4"/>
    <w:multiLevelType w:val="singleLevel"/>
    <w:tmpl w:val="E083C9A4"/>
    <w:lvl w:ilvl="0" w:tentative="0">
      <w:start w:val="1"/>
      <w:numFmt w:val="decimal"/>
      <w:suff w:val="nothing"/>
      <w:lvlText w:val="（%1）"/>
      <w:lvlJc w:val="left"/>
    </w:lvl>
  </w:abstractNum>
  <w:abstractNum w:abstractNumId="2">
    <w:nsid w:val="644D2B38"/>
    <w:multiLevelType w:val="singleLevel"/>
    <w:tmpl w:val="644D2B38"/>
    <w:lvl w:ilvl="0" w:tentative="0">
      <w:start w:val="2"/>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kNTdjYWZhMGFiYzNhNWYzMjhkNWVlNzA1ODJlMDIifQ=="/>
  </w:docVars>
  <w:rsids>
    <w:rsidRoot w:val="00172A27"/>
    <w:rsid w:val="00000068"/>
    <w:rsid w:val="00000BA1"/>
    <w:rsid w:val="000015A2"/>
    <w:rsid w:val="00002030"/>
    <w:rsid w:val="0000214F"/>
    <w:rsid w:val="00002984"/>
    <w:rsid w:val="0000395E"/>
    <w:rsid w:val="000061E6"/>
    <w:rsid w:val="000064FC"/>
    <w:rsid w:val="00006A66"/>
    <w:rsid w:val="00007203"/>
    <w:rsid w:val="000074ED"/>
    <w:rsid w:val="00007F2B"/>
    <w:rsid w:val="00011280"/>
    <w:rsid w:val="00011FC4"/>
    <w:rsid w:val="00012133"/>
    <w:rsid w:val="00012507"/>
    <w:rsid w:val="000128B1"/>
    <w:rsid w:val="00014F9B"/>
    <w:rsid w:val="0001531B"/>
    <w:rsid w:val="00015E82"/>
    <w:rsid w:val="00016F56"/>
    <w:rsid w:val="00017C0C"/>
    <w:rsid w:val="00017D76"/>
    <w:rsid w:val="00021105"/>
    <w:rsid w:val="00023934"/>
    <w:rsid w:val="00024554"/>
    <w:rsid w:val="00025879"/>
    <w:rsid w:val="000268CA"/>
    <w:rsid w:val="0002786B"/>
    <w:rsid w:val="000278F4"/>
    <w:rsid w:val="00032202"/>
    <w:rsid w:val="000323D1"/>
    <w:rsid w:val="00033387"/>
    <w:rsid w:val="00033E96"/>
    <w:rsid w:val="000349F1"/>
    <w:rsid w:val="000363F7"/>
    <w:rsid w:val="00037D13"/>
    <w:rsid w:val="0004048D"/>
    <w:rsid w:val="00040D33"/>
    <w:rsid w:val="00040DED"/>
    <w:rsid w:val="000420D0"/>
    <w:rsid w:val="000421B5"/>
    <w:rsid w:val="00043CA6"/>
    <w:rsid w:val="000451D3"/>
    <w:rsid w:val="0004558D"/>
    <w:rsid w:val="0004572B"/>
    <w:rsid w:val="0004637E"/>
    <w:rsid w:val="000468C0"/>
    <w:rsid w:val="00047323"/>
    <w:rsid w:val="000473F2"/>
    <w:rsid w:val="00047F22"/>
    <w:rsid w:val="00050E05"/>
    <w:rsid w:val="000513A5"/>
    <w:rsid w:val="00051D63"/>
    <w:rsid w:val="00052E7A"/>
    <w:rsid w:val="00053AE0"/>
    <w:rsid w:val="00054652"/>
    <w:rsid w:val="000569C6"/>
    <w:rsid w:val="000575ED"/>
    <w:rsid w:val="000620D9"/>
    <w:rsid w:val="000636A4"/>
    <w:rsid w:val="000637E4"/>
    <w:rsid w:val="000641A2"/>
    <w:rsid w:val="000645B6"/>
    <w:rsid w:val="000645EA"/>
    <w:rsid w:val="00065977"/>
    <w:rsid w:val="00066869"/>
    <w:rsid w:val="0006703E"/>
    <w:rsid w:val="00070512"/>
    <w:rsid w:val="00072008"/>
    <w:rsid w:val="00072434"/>
    <w:rsid w:val="000730E3"/>
    <w:rsid w:val="000749FD"/>
    <w:rsid w:val="000757E6"/>
    <w:rsid w:val="0007613D"/>
    <w:rsid w:val="00076296"/>
    <w:rsid w:val="00080237"/>
    <w:rsid w:val="00080E44"/>
    <w:rsid w:val="00083CE7"/>
    <w:rsid w:val="000856AA"/>
    <w:rsid w:val="00085CD4"/>
    <w:rsid w:val="00087ECA"/>
    <w:rsid w:val="00087ECF"/>
    <w:rsid w:val="00087F99"/>
    <w:rsid w:val="000900E8"/>
    <w:rsid w:val="00090286"/>
    <w:rsid w:val="00091700"/>
    <w:rsid w:val="00091F8D"/>
    <w:rsid w:val="00092AAF"/>
    <w:rsid w:val="00096151"/>
    <w:rsid w:val="0009668E"/>
    <w:rsid w:val="000974ED"/>
    <w:rsid w:val="000975A3"/>
    <w:rsid w:val="0009776E"/>
    <w:rsid w:val="000A0C7A"/>
    <w:rsid w:val="000A0F58"/>
    <w:rsid w:val="000A121D"/>
    <w:rsid w:val="000A17CA"/>
    <w:rsid w:val="000A1D2A"/>
    <w:rsid w:val="000A2A8D"/>
    <w:rsid w:val="000A38EA"/>
    <w:rsid w:val="000A57CE"/>
    <w:rsid w:val="000A6032"/>
    <w:rsid w:val="000B0079"/>
    <w:rsid w:val="000B16C0"/>
    <w:rsid w:val="000B2100"/>
    <w:rsid w:val="000B3555"/>
    <w:rsid w:val="000B3730"/>
    <w:rsid w:val="000B3A4D"/>
    <w:rsid w:val="000B3D8E"/>
    <w:rsid w:val="000B4675"/>
    <w:rsid w:val="000B4B50"/>
    <w:rsid w:val="000B567D"/>
    <w:rsid w:val="000B5E54"/>
    <w:rsid w:val="000B7252"/>
    <w:rsid w:val="000B7799"/>
    <w:rsid w:val="000C18EC"/>
    <w:rsid w:val="000C2AD6"/>
    <w:rsid w:val="000C3421"/>
    <w:rsid w:val="000C443F"/>
    <w:rsid w:val="000C4B90"/>
    <w:rsid w:val="000C630E"/>
    <w:rsid w:val="000C67A8"/>
    <w:rsid w:val="000C6AE8"/>
    <w:rsid w:val="000C6BB0"/>
    <w:rsid w:val="000C6DE0"/>
    <w:rsid w:val="000C7C1C"/>
    <w:rsid w:val="000D2E4C"/>
    <w:rsid w:val="000D2F56"/>
    <w:rsid w:val="000D3951"/>
    <w:rsid w:val="000D4897"/>
    <w:rsid w:val="000D53DE"/>
    <w:rsid w:val="000D74DE"/>
    <w:rsid w:val="000D772D"/>
    <w:rsid w:val="000E0BD4"/>
    <w:rsid w:val="000E0D93"/>
    <w:rsid w:val="000E2BEE"/>
    <w:rsid w:val="000E2F42"/>
    <w:rsid w:val="000E4BD7"/>
    <w:rsid w:val="000E4D3A"/>
    <w:rsid w:val="000E6108"/>
    <w:rsid w:val="000E665E"/>
    <w:rsid w:val="000F022A"/>
    <w:rsid w:val="000F12B4"/>
    <w:rsid w:val="000F1654"/>
    <w:rsid w:val="000F16A2"/>
    <w:rsid w:val="000F1B7C"/>
    <w:rsid w:val="000F33A6"/>
    <w:rsid w:val="000F46FA"/>
    <w:rsid w:val="000F491A"/>
    <w:rsid w:val="000F4EB6"/>
    <w:rsid w:val="000F7085"/>
    <w:rsid w:val="000F7B06"/>
    <w:rsid w:val="000F7BCB"/>
    <w:rsid w:val="001007A6"/>
    <w:rsid w:val="00101CD7"/>
    <w:rsid w:val="00102111"/>
    <w:rsid w:val="001022DF"/>
    <w:rsid w:val="001033CE"/>
    <w:rsid w:val="00105041"/>
    <w:rsid w:val="00105043"/>
    <w:rsid w:val="001052DB"/>
    <w:rsid w:val="00110437"/>
    <w:rsid w:val="00111842"/>
    <w:rsid w:val="0011508F"/>
    <w:rsid w:val="001162D4"/>
    <w:rsid w:val="001164DA"/>
    <w:rsid w:val="00116DF0"/>
    <w:rsid w:val="00120695"/>
    <w:rsid w:val="00122DE8"/>
    <w:rsid w:val="00123352"/>
    <w:rsid w:val="00124665"/>
    <w:rsid w:val="0012581A"/>
    <w:rsid w:val="00126E63"/>
    <w:rsid w:val="00130095"/>
    <w:rsid w:val="00130F5B"/>
    <w:rsid w:val="001316BC"/>
    <w:rsid w:val="00131E15"/>
    <w:rsid w:val="001337CB"/>
    <w:rsid w:val="00133BBD"/>
    <w:rsid w:val="0013587F"/>
    <w:rsid w:val="00136752"/>
    <w:rsid w:val="00136AF1"/>
    <w:rsid w:val="001408DD"/>
    <w:rsid w:val="00140A80"/>
    <w:rsid w:val="0014169B"/>
    <w:rsid w:val="001419D8"/>
    <w:rsid w:val="00141CF3"/>
    <w:rsid w:val="0014260E"/>
    <w:rsid w:val="00143177"/>
    <w:rsid w:val="00143A03"/>
    <w:rsid w:val="001445E0"/>
    <w:rsid w:val="0014474E"/>
    <w:rsid w:val="00145406"/>
    <w:rsid w:val="00145B78"/>
    <w:rsid w:val="00146432"/>
    <w:rsid w:val="00146E32"/>
    <w:rsid w:val="0015223F"/>
    <w:rsid w:val="00152417"/>
    <w:rsid w:val="00153338"/>
    <w:rsid w:val="001534B7"/>
    <w:rsid w:val="00154239"/>
    <w:rsid w:val="00157F67"/>
    <w:rsid w:val="001602EA"/>
    <w:rsid w:val="00160727"/>
    <w:rsid w:val="001608E9"/>
    <w:rsid w:val="00160A9F"/>
    <w:rsid w:val="001619E3"/>
    <w:rsid w:val="00161F4D"/>
    <w:rsid w:val="001641B6"/>
    <w:rsid w:val="00164887"/>
    <w:rsid w:val="00165615"/>
    <w:rsid w:val="00165A52"/>
    <w:rsid w:val="00167225"/>
    <w:rsid w:val="00167684"/>
    <w:rsid w:val="00171A9E"/>
    <w:rsid w:val="00172A27"/>
    <w:rsid w:val="00172A32"/>
    <w:rsid w:val="00172D6B"/>
    <w:rsid w:val="00172E73"/>
    <w:rsid w:val="001740C2"/>
    <w:rsid w:val="00174E9C"/>
    <w:rsid w:val="001754D4"/>
    <w:rsid w:val="00175C6B"/>
    <w:rsid w:val="001763D4"/>
    <w:rsid w:val="001769FA"/>
    <w:rsid w:val="00176CF5"/>
    <w:rsid w:val="00177FB6"/>
    <w:rsid w:val="001813A2"/>
    <w:rsid w:val="00181EC9"/>
    <w:rsid w:val="001821FF"/>
    <w:rsid w:val="001825CD"/>
    <w:rsid w:val="00182AEB"/>
    <w:rsid w:val="00183946"/>
    <w:rsid w:val="00185290"/>
    <w:rsid w:val="0018571E"/>
    <w:rsid w:val="001857DD"/>
    <w:rsid w:val="00186543"/>
    <w:rsid w:val="001869BA"/>
    <w:rsid w:val="00186B0B"/>
    <w:rsid w:val="00192C4E"/>
    <w:rsid w:val="00192FD4"/>
    <w:rsid w:val="00193999"/>
    <w:rsid w:val="0019449F"/>
    <w:rsid w:val="00194755"/>
    <w:rsid w:val="00195156"/>
    <w:rsid w:val="0019517D"/>
    <w:rsid w:val="00195373"/>
    <w:rsid w:val="001961B8"/>
    <w:rsid w:val="001965B6"/>
    <w:rsid w:val="0019687C"/>
    <w:rsid w:val="001978A3"/>
    <w:rsid w:val="00197954"/>
    <w:rsid w:val="00197D54"/>
    <w:rsid w:val="001A0AAF"/>
    <w:rsid w:val="001A1360"/>
    <w:rsid w:val="001A257B"/>
    <w:rsid w:val="001A2A58"/>
    <w:rsid w:val="001A4574"/>
    <w:rsid w:val="001A4A79"/>
    <w:rsid w:val="001A4AF4"/>
    <w:rsid w:val="001A5452"/>
    <w:rsid w:val="001A6F55"/>
    <w:rsid w:val="001A77A7"/>
    <w:rsid w:val="001B115A"/>
    <w:rsid w:val="001B1682"/>
    <w:rsid w:val="001B62A3"/>
    <w:rsid w:val="001B65DD"/>
    <w:rsid w:val="001B7446"/>
    <w:rsid w:val="001C127D"/>
    <w:rsid w:val="001C143C"/>
    <w:rsid w:val="001C16D7"/>
    <w:rsid w:val="001C2011"/>
    <w:rsid w:val="001C23B8"/>
    <w:rsid w:val="001C2ACB"/>
    <w:rsid w:val="001C5029"/>
    <w:rsid w:val="001C52A9"/>
    <w:rsid w:val="001C679F"/>
    <w:rsid w:val="001C687F"/>
    <w:rsid w:val="001D06B7"/>
    <w:rsid w:val="001D0A8C"/>
    <w:rsid w:val="001D1600"/>
    <w:rsid w:val="001D1DA2"/>
    <w:rsid w:val="001D2490"/>
    <w:rsid w:val="001D39C0"/>
    <w:rsid w:val="001D4627"/>
    <w:rsid w:val="001D5380"/>
    <w:rsid w:val="001D7AE0"/>
    <w:rsid w:val="001E00F0"/>
    <w:rsid w:val="001E46C8"/>
    <w:rsid w:val="001E52AA"/>
    <w:rsid w:val="001E6875"/>
    <w:rsid w:val="001E72AA"/>
    <w:rsid w:val="001E7BE9"/>
    <w:rsid w:val="001E7F47"/>
    <w:rsid w:val="001E7FEE"/>
    <w:rsid w:val="001F1DAC"/>
    <w:rsid w:val="001F2E49"/>
    <w:rsid w:val="001F4C78"/>
    <w:rsid w:val="001F6C74"/>
    <w:rsid w:val="001F7AC8"/>
    <w:rsid w:val="001F7F1C"/>
    <w:rsid w:val="002004B2"/>
    <w:rsid w:val="00201946"/>
    <w:rsid w:val="00202067"/>
    <w:rsid w:val="00202B1C"/>
    <w:rsid w:val="00202DC7"/>
    <w:rsid w:val="00202F30"/>
    <w:rsid w:val="00203717"/>
    <w:rsid w:val="00203BE6"/>
    <w:rsid w:val="00203E44"/>
    <w:rsid w:val="00204969"/>
    <w:rsid w:val="00204DC6"/>
    <w:rsid w:val="0020799C"/>
    <w:rsid w:val="00207FDD"/>
    <w:rsid w:val="00210177"/>
    <w:rsid w:val="00210750"/>
    <w:rsid w:val="002112A4"/>
    <w:rsid w:val="00212343"/>
    <w:rsid w:val="00213CD8"/>
    <w:rsid w:val="00214F05"/>
    <w:rsid w:val="0021575C"/>
    <w:rsid w:val="00223D04"/>
    <w:rsid w:val="00224098"/>
    <w:rsid w:val="00225EC6"/>
    <w:rsid w:val="00226A18"/>
    <w:rsid w:val="00231C35"/>
    <w:rsid w:val="002327BF"/>
    <w:rsid w:val="002339F7"/>
    <w:rsid w:val="0023440B"/>
    <w:rsid w:val="00235049"/>
    <w:rsid w:val="0023520C"/>
    <w:rsid w:val="00235B93"/>
    <w:rsid w:val="00236D4C"/>
    <w:rsid w:val="00237950"/>
    <w:rsid w:val="00237AD7"/>
    <w:rsid w:val="00237AF7"/>
    <w:rsid w:val="00237B5D"/>
    <w:rsid w:val="00240B72"/>
    <w:rsid w:val="002410E9"/>
    <w:rsid w:val="0024165E"/>
    <w:rsid w:val="00242717"/>
    <w:rsid w:val="00242CC0"/>
    <w:rsid w:val="0024406E"/>
    <w:rsid w:val="002441C8"/>
    <w:rsid w:val="002451E7"/>
    <w:rsid w:val="00245E5A"/>
    <w:rsid w:val="002500A3"/>
    <w:rsid w:val="002505E4"/>
    <w:rsid w:val="00252682"/>
    <w:rsid w:val="0025359D"/>
    <w:rsid w:val="0025387D"/>
    <w:rsid w:val="00253E1D"/>
    <w:rsid w:val="00254005"/>
    <w:rsid w:val="002540A2"/>
    <w:rsid w:val="00255D02"/>
    <w:rsid w:val="00256AAE"/>
    <w:rsid w:val="002578A7"/>
    <w:rsid w:val="00257D47"/>
    <w:rsid w:val="00261E76"/>
    <w:rsid w:val="00261F91"/>
    <w:rsid w:val="0026228F"/>
    <w:rsid w:val="00262755"/>
    <w:rsid w:val="002627C8"/>
    <w:rsid w:val="00263096"/>
    <w:rsid w:val="002645E6"/>
    <w:rsid w:val="00266158"/>
    <w:rsid w:val="002669F3"/>
    <w:rsid w:val="0026726C"/>
    <w:rsid w:val="00267DD8"/>
    <w:rsid w:val="002700F6"/>
    <w:rsid w:val="0027022F"/>
    <w:rsid w:val="00270C1A"/>
    <w:rsid w:val="002714D3"/>
    <w:rsid w:val="00271624"/>
    <w:rsid w:val="002716F9"/>
    <w:rsid w:val="0027376B"/>
    <w:rsid w:val="00274B86"/>
    <w:rsid w:val="00274BBF"/>
    <w:rsid w:val="0028037D"/>
    <w:rsid w:val="00280CBA"/>
    <w:rsid w:val="00280E42"/>
    <w:rsid w:val="002822D4"/>
    <w:rsid w:val="0028314F"/>
    <w:rsid w:val="00283CA6"/>
    <w:rsid w:val="002846D2"/>
    <w:rsid w:val="00286F3F"/>
    <w:rsid w:val="00287219"/>
    <w:rsid w:val="0028785D"/>
    <w:rsid w:val="00287DD0"/>
    <w:rsid w:val="00290654"/>
    <w:rsid w:val="00291134"/>
    <w:rsid w:val="0029175D"/>
    <w:rsid w:val="00291DA0"/>
    <w:rsid w:val="00292C28"/>
    <w:rsid w:val="00293058"/>
    <w:rsid w:val="00294009"/>
    <w:rsid w:val="0029586A"/>
    <w:rsid w:val="00295D8E"/>
    <w:rsid w:val="00296823"/>
    <w:rsid w:val="00296BE4"/>
    <w:rsid w:val="00296C84"/>
    <w:rsid w:val="0029778A"/>
    <w:rsid w:val="00297825"/>
    <w:rsid w:val="00297C5D"/>
    <w:rsid w:val="00297C96"/>
    <w:rsid w:val="002A0379"/>
    <w:rsid w:val="002A0975"/>
    <w:rsid w:val="002A1954"/>
    <w:rsid w:val="002A4142"/>
    <w:rsid w:val="002A73F1"/>
    <w:rsid w:val="002B117B"/>
    <w:rsid w:val="002B15C8"/>
    <w:rsid w:val="002B2A44"/>
    <w:rsid w:val="002B3CDA"/>
    <w:rsid w:val="002B3F36"/>
    <w:rsid w:val="002B41E7"/>
    <w:rsid w:val="002B44AD"/>
    <w:rsid w:val="002B71BC"/>
    <w:rsid w:val="002B7537"/>
    <w:rsid w:val="002C041B"/>
    <w:rsid w:val="002C0788"/>
    <w:rsid w:val="002C0B99"/>
    <w:rsid w:val="002C1485"/>
    <w:rsid w:val="002C15F7"/>
    <w:rsid w:val="002C2142"/>
    <w:rsid w:val="002C4C5B"/>
    <w:rsid w:val="002C4DEB"/>
    <w:rsid w:val="002C50A8"/>
    <w:rsid w:val="002C5FA4"/>
    <w:rsid w:val="002C7093"/>
    <w:rsid w:val="002C7E51"/>
    <w:rsid w:val="002D0BF1"/>
    <w:rsid w:val="002D1B65"/>
    <w:rsid w:val="002D1DAD"/>
    <w:rsid w:val="002D1FEC"/>
    <w:rsid w:val="002D4D91"/>
    <w:rsid w:val="002D514D"/>
    <w:rsid w:val="002D6764"/>
    <w:rsid w:val="002D6865"/>
    <w:rsid w:val="002D6BDE"/>
    <w:rsid w:val="002D724F"/>
    <w:rsid w:val="002D7941"/>
    <w:rsid w:val="002E0ACA"/>
    <w:rsid w:val="002E0B61"/>
    <w:rsid w:val="002E1CAE"/>
    <w:rsid w:val="002E1F9E"/>
    <w:rsid w:val="002E20A4"/>
    <w:rsid w:val="002E217D"/>
    <w:rsid w:val="002E2C35"/>
    <w:rsid w:val="002E381E"/>
    <w:rsid w:val="002E38F8"/>
    <w:rsid w:val="002E39A0"/>
    <w:rsid w:val="002E43FF"/>
    <w:rsid w:val="002E4510"/>
    <w:rsid w:val="002E480C"/>
    <w:rsid w:val="002E5FAA"/>
    <w:rsid w:val="002E6803"/>
    <w:rsid w:val="002E7144"/>
    <w:rsid w:val="002E72C1"/>
    <w:rsid w:val="002E7A72"/>
    <w:rsid w:val="002F0813"/>
    <w:rsid w:val="002F0CA7"/>
    <w:rsid w:val="002F1404"/>
    <w:rsid w:val="002F26DB"/>
    <w:rsid w:val="002F2B43"/>
    <w:rsid w:val="002F2E10"/>
    <w:rsid w:val="002F3717"/>
    <w:rsid w:val="002F470F"/>
    <w:rsid w:val="002F698E"/>
    <w:rsid w:val="002F6BED"/>
    <w:rsid w:val="002F7A33"/>
    <w:rsid w:val="00300726"/>
    <w:rsid w:val="00300E06"/>
    <w:rsid w:val="00300E7F"/>
    <w:rsid w:val="00301DF0"/>
    <w:rsid w:val="00301F5D"/>
    <w:rsid w:val="0030388C"/>
    <w:rsid w:val="003038FF"/>
    <w:rsid w:val="00304330"/>
    <w:rsid w:val="00306822"/>
    <w:rsid w:val="0030760E"/>
    <w:rsid w:val="00307DE0"/>
    <w:rsid w:val="00307F9B"/>
    <w:rsid w:val="00310CC3"/>
    <w:rsid w:val="00311790"/>
    <w:rsid w:val="00312DB5"/>
    <w:rsid w:val="00313E0A"/>
    <w:rsid w:val="00314620"/>
    <w:rsid w:val="00314884"/>
    <w:rsid w:val="00315BA1"/>
    <w:rsid w:val="00316087"/>
    <w:rsid w:val="00316483"/>
    <w:rsid w:val="00316FC5"/>
    <w:rsid w:val="00317168"/>
    <w:rsid w:val="0031760A"/>
    <w:rsid w:val="0031778E"/>
    <w:rsid w:val="00317D70"/>
    <w:rsid w:val="00320E5B"/>
    <w:rsid w:val="00321212"/>
    <w:rsid w:val="00322228"/>
    <w:rsid w:val="00322289"/>
    <w:rsid w:val="003224B9"/>
    <w:rsid w:val="00322874"/>
    <w:rsid w:val="00322F0E"/>
    <w:rsid w:val="00323711"/>
    <w:rsid w:val="00323A9A"/>
    <w:rsid w:val="00323E29"/>
    <w:rsid w:val="00323F66"/>
    <w:rsid w:val="0032438F"/>
    <w:rsid w:val="0032443D"/>
    <w:rsid w:val="00324BB0"/>
    <w:rsid w:val="00324FE7"/>
    <w:rsid w:val="00325A22"/>
    <w:rsid w:val="00325AA5"/>
    <w:rsid w:val="00326E9C"/>
    <w:rsid w:val="00327FDC"/>
    <w:rsid w:val="003324B4"/>
    <w:rsid w:val="00332862"/>
    <w:rsid w:val="00332CA8"/>
    <w:rsid w:val="00334F63"/>
    <w:rsid w:val="00337D17"/>
    <w:rsid w:val="00340235"/>
    <w:rsid w:val="00340D10"/>
    <w:rsid w:val="00341673"/>
    <w:rsid w:val="003416B6"/>
    <w:rsid w:val="0034595F"/>
    <w:rsid w:val="003460AF"/>
    <w:rsid w:val="00350124"/>
    <w:rsid w:val="003505C7"/>
    <w:rsid w:val="00350EE9"/>
    <w:rsid w:val="00351AAF"/>
    <w:rsid w:val="00351C91"/>
    <w:rsid w:val="00355A95"/>
    <w:rsid w:val="003564F3"/>
    <w:rsid w:val="00356573"/>
    <w:rsid w:val="00356CBC"/>
    <w:rsid w:val="00357337"/>
    <w:rsid w:val="0036038F"/>
    <w:rsid w:val="00360454"/>
    <w:rsid w:val="00362345"/>
    <w:rsid w:val="003630BF"/>
    <w:rsid w:val="00363E08"/>
    <w:rsid w:val="00365514"/>
    <w:rsid w:val="00366392"/>
    <w:rsid w:val="0036769B"/>
    <w:rsid w:val="00367850"/>
    <w:rsid w:val="0037112D"/>
    <w:rsid w:val="00371B4A"/>
    <w:rsid w:val="003722D6"/>
    <w:rsid w:val="00372A1E"/>
    <w:rsid w:val="0037404D"/>
    <w:rsid w:val="0037502C"/>
    <w:rsid w:val="003763A4"/>
    <w:rsid w:val="00377B6C"/>
    <w:rsid w:val="00380A01"/>
    <w:rsid w:val="00382B76"/>
    <w:rsid w:val="003843F3"/>
    <w:rsid w:val="003859B1"/>
    <w:rsid w:val="00385A03"/>
    <w:rsid w:val="00386BB2"/>
    <w:rsid w:val="003871BB"/>
    <w:rsid w:val="003879B0"/>
    <w:rsid w:val="00387E5B"/>
    <w:rsid w:val="003902F1"/>
    <w:rsid w:val="003907C9"/>
    <w:rsid w:val="00390CF5"/>
    <w:rsid w:val="00392952"/>
    <w:rsid w:val="00392E50"/>
    <w:rsid w:val="00392ECA"/>
    <w:rsid w:val="00394503"/>
    <w:rsid w:val="00394F3A"/>
    <w:rsid w:val="00395396"/>
    <w:rsid w:val="00395E51"/>
    <w:rsid w:val="00395F6E"/>
    <w:rsid w:val="00396127"/>
    <w:rsid w:val="00396E12"/>
    <w:rsid w:val="0039738E"/>
    <w:rsid w:val="0039773C"/>
    <w:rsid w:val="003978D2"/>
    <w:rsid w:val="003A124F"/>
    <w:rsid w:val="003A1D06"/>
    <w:rsid w:val="003A1FDB"/>
    <w:rsid w:val="003A28E5"/>
    <w:rsid w:val="003A5572"/>
    <w:rsid w:val="003A7B43"/>
    <w:rsid w:val="003A7CED"/>
    <w:rsid w:val="003B28E6"/>
    <w:rsid w:val="003B2A97"/>
    <w:rsid w:val="003B3CDC"/>
    <w:rsid w:val="003B4FE8"/>
    <w:rsid w:val="003B5684"/>
    <w:rsid w:val="003B5BF7"/>
    <w:rsid w:val="003B6DA2"/>
    <w:rsid w:val="003B72C2"/>
    <w:rsid w:val="003C08A1"/>
    <w:rsid w:val="003C18E0"/>
    <w:rsid w:val="003C1A0C"/>
    <w:rsid w:val="003C1E72"/>
    <w:rsid w:val="003C2F03"/>
    <w:rsid w:val="003C32F6"/>
    <w:rsid w:val="003C32F8"/>
    <w:rsid w:val="003C36C4"/>
    <w:rsid w:val="003C3AC9"/>
    <w:rsid w:val="003C41AC"/>
    <w:rsid w:val="003C4A94"/>
    <w:rsid w:val="003C51A3"/>
    <w:rsid w:val="003C53A6"/>
    <w:rsid w:val="003C5FC2"/>
    <w:rsid w:val="003C6EA1"/>
    <w:rsid w:val="003C79D5"/>
    <w:rsid w:val="003C7FCB"/>
    <w:rsid w:val="003D004B"/>
    <w:rsid w:val="003D0302"/>
    <w:rsid w:val="003D0599"/>
    <w:rsid w:val="003D116C"/>
    <w:rsid w:val="003D1CD6"/>
    <w:rsid w:val="003D1E24"/>
    <w:rsid w:val="003D31F4"/>
    <w:rsid w:val="003D389D"/>
    <w:rsid w:val="003D4088"/>
    <w:rsid w:val="003D4C88"/>
    <w:rsid w:val="003D524E"/>
    <w:rsid w:val="003D5900"/>
    <w:rsid w:val="003D5D55"/>
    <w:rsid w:val="003D65C0"/>
    <w:rsid w:val="003E0D69"/>
    <w:rsid w:val="003E1030"/>
    <w:rsid w:val="003E2534"/>
    <w:rsid w:val="003E2BD0"/>
    <w:rsid w:val="003E343B"/>
    <w:rsid w:val="003E397D"/>
    <w:rsid w:val="003E510C"/>
    <w:rsid w:val="003E543E"/>
    <w:rsid w:val="003E6280"/>
    <w:rsid w:val="003E75C0"/>
    <w:rsid w:val="003F00CB"/>
    <w:rsid w:val="003F0457"/>
    <w:rsid w:val="003F08C3"/>
    <w:rsid w:val="003F1C99"/>
    <w:rsid w:val="003F2264"/>
    <w:rsid w:val="003F2833"/>
    <w:rsid w:val="003F320C"/>
    <w:rsid w:val="003F3334"/>
    <w:rsid w:val="003F52BF"/>
    <w:rsid w:val="003F57BC"/>
    <w:rsid w:val="003F5D64"/>
    <w:rsid w:val="003F697F"/>
    <w:rsid w:val="003F70C1"/>
    <w:rsid w:val="003F7873"/>
    <w:rsid w:val="003F7B8E"/>
    <w:rsid w:val="003F7E50"/>
    <w:rsid w:val="0040074C"/>
    <w:rsid w:val="00400FF4"/>
    <w:rsid w:val="00401D66"/>
    <w:rsid w:val="0040579F"/>
    <w:rsid w:val="00406C77"/>
    <w:rsid w:val="00406FB0"/>
    <w:rsid w:val="004074D5"/>
    <w:rsid w:val="0041025B"/>
    <w:rsid w:val="004115AD"/>
    <w:rsid w:val="0041290F"/>
    <w:rsid w:val="004142B1"/>
    <w:rsid w:val="00414B9E"/>
    <w:rsid w:val="0041555D"/>
    <w:rsid w:val="00415DAB"/>
    <w:rsid w:val="00421084"/>
    <w:rsid w:val="00422396"/>
    <w:rsid w:val="004224B9"/>
    <w:rsid w:val="004234C6"/>
    <w:rsid w:val="00424A72"/>
    <w:rsid w:val="004253B5"/>
    <w:rsid w:val="00425571"/>
    <w:rsid w:val="00426E24"/>
    <w:rsid w:val="00426E72"/>
    <w:rsid w:val="004272F4"/>
    <w:rsid w:val="00430B8D"/>
    <w:rsid w:val="00431C90"/>
    <w:rsid w:val="00431D20"/>
    <w:rsid w:val="004325FE"/>
    <w:rsid w:val="004328EE"/>
    <w:rsid w:val="00432BB9"/>
    <w:rsid w:val="00433593"/>
    <w:rsid w:val="0044089F"/>
    <w:rsid w:val="004408F0"/>
    <w:rsid w:val="00440BD2"/>
    <w:rsid w:val="00441182"/>
    <w:rsid w:val="00442055"/>
    <w:rsid w:val="004425A4"/>
    <w:rsid w:val="00443013"/>
    <w:rsid w:val="004450A2"/>
    <w:rsid w:val="00445962"/>
    <w:rsid w:val="00447B62"/>
    <w:rsid w:val="00451095"/>
    <w:rsid w:val="004513B7"/>
    <w:rsid w:val="00451486"/>
    <w:rsid w:val="00451748"/>
    <w:rsid w:val="00452040"/>
    <w:rsid w:val="00452184"/>
    <w:rsid w:val="00452618"/>
    <w:rsid w:val="00453172"/>
    <w:rsid w:val="0045337E"/>
    <w:rsid w:val="00453E0E"/>
    <w:rsid w:val="004563EB"/>
    <w:rsid w:val="00457408"/>
    <w:rsid w:val="00457ADF"/>
    <w:rsid w:val="004607EF"/>
    <w:rsid w:val="00462275"/>
    <w:rsid w:val="00462909"/>
    <w:rsid w:val="00462968"/>
    <w:rsid w:val="00462D35"/>
    <w:rsid w:val="00463350"/>
    <w:rsid w:val="00463530"/>
    <w:rsid w:val="00464E07"/>
    <w:rsid w:val="00466625"/>
    <w:rsid w:val="00466DEF"/>
    <w:rsid w:val="004674A3"/>
    <w:rsid w:val="004677D2"/>
    <w:rsid w:val="00467999"/>
    <w:rsid w:val="00470EF3"/>
    <w:rsid w:val="00472645"/>
    <w:rsid w:val="00472C26"/>
    <w:rsid w:val="004741E8"/>
    <w:rsid w:val="00474EEA"/>
    <w:rsid w:val="00475830"/>
    <w:rsid w:val="00475C29"/>
    <w:rsid w:val="004760F3"/>
    <w:rsid w:val="00480029"/>
    <w:rsid w:val="004805D3"/>
    <w:rsid w:val="0048095D"/>
    <w:rsid w:val="0048365D"/>
    <w:rsid w:val="00484D1E"/>
    <w:rsid w:val="00484DC1"/>
    <w:rsid w:val="0048541D"/>
    <w:rsid w:val="00485852"/>
    <w:rsid w:val="00486B4D"/>
    <w:rsid w:val="00486C08"/>
    <w:rsid w:val="00487E08"/>
    <w:rsid w:val="004906AA"/>
    <w:rsid w:val="00492BCD"/>
    <w:rsid w:val="00492D5B"/>
    <w:rsid w:val="00493B57"/>
    <w:rsid w:val="00494741"/>
    <w:rsid w:val="004961DA"/>
    <w:rsid w:val="00496BB9"/>
    <w:rsid w:val="00496F80"/>
    <w:rsid w:val="0049787C"/>
    <w:rsid w:val="004A0207"/>
    <w:rsid w:val="004A03FE"/>
    <w:rsid w:val="004A09C1"/>
    <w:rsid w:val="004A1B44"/>
    <w:rsid w:val="004A22DE"/>
    <w:rsid w:val="004A2329"/>
    <w:rsid w:val="004A27E7"/>
    <w:rsid w:val="004A2C2F"/>
    <w:rsid w:val="004A3EDE"/>
    <w:rsid w:val="004A3F1E"/>
    <w:rsid w:val="004A4677"/>
    <w:rsid w:val="004A4CB1"/>
    <w:rsid w:val="004A50FF"/>
    <w:rsid w:val="004A58DD"/>
    <w:rsid w:val="004A5D6A"/>
    <w:rsid w:val="004A69FE"/>
    <w:rsid w:val="004B018F"/>
    <w:rsid w:val="004B0D9E"/>
    <w:rsid w:val="004B2962"/>
    <w:rsid w:val="004B3CCC"/>
    <w:rsid w:val="004B3FA6"/>
    <w:rsid w:val="004B5851"/>
    <w:rsid w:val="004B5B69"/>
    <w:rsid w:val="004B679C"/>
    <w:rsid w:val="004B6DCB"/>
    <w:rsid w:val="004B6DED"/>
    <w:rsid w:val="004C0B3C"/>
    <w:rsid w:val="004C17BA"/>
    <w:rsid w:val="004C28AB"/>
    <w:rsid w:val="004C38D9"/>
    <w:rsid w:val="004C3A70"/>
    <w:rsid w:val="004C7D20"/>
    <w:rsid w:val="004C7F9B"/>
    <w:rsid w:val="004D09D2"/>
    <w:rsid w:val="004D0BBF"/>
    <w:rsid w:val="004D30D3"/>
    <w:rsid w:val="004D4DDB"/>
    <w:rsid w:val="004D5C90"/>
    <w:rsid w:val="004D5CFC"/>
    <w:rsid w:val="004D679A"/>
    <w:rsid w:val="004D6831"/>
    <w:rsid w:val="004E0A3E"/>
    <w:rsid w:val="004E0C49"/>
    <w:rsid w:val="004E0FFA"/>
    <w:rsid w:val="004E101D"/>
    <w:rsid w:val="004E102D"/>
    <w:rsid w:val="004E117A"/>
    <w:rsid w:val="004E1E6F"/>
    <w:rsid w:val="004E200E"/>
    <w:rsid w:val="004E393B"/>
    <w:rsid w:val="004E451B"/>
    <w:rsid w:val="004E46D5"/>
    <w:rsid w:val="004E4AF7"/>
    <w:rsid w:val="004E6301"/>
    <w:rsid w:val="004E651C"/>
    <w:rsid w:val="004E713C"/>
    <w:rsid w:val="004E72A0"/>
    <w:rsid w:val="004F1291"/>
    <w:rsid w:val="004F1F43"/>
    <w:rsid w:val="004F22DF"/>
    <w:rsid w:val="004F32E2"/>
    <w:rsid w:val="004F41BE"/>
    <w:rsid w:val="004F6ACE"/>
    <w:rsid w:val="004F7100"/>
    <w:rsid w:val="004F77B2"/>
    <w:rsid w:val="0050029F"/>
    <w:rsid w:val="00501E33"/>
    <w:rsid w:val="005021C3"/>
    <w:rsid w:val="0050355B"/>
    <w:rsid w:val="005038FB"/>
    <w:rsid w:val="005046A5"/>
    <w:rsid w:val="00504A7D"/>
    <w:rsid w:val="00504D17"/>
    <w:rsid w:val="00506AD7"/>
    <w:rsid w:val="00506F27"/>
    <w:rsid w:val="00507768"/>
    <w:rsid w:val="00507F60"/>
    <w:rsid w:val="00510E2D"/>
    <w:rsid w:val="00510F7F"/>
    <w:rsid w:val="00511A87"/>
    <w:rsid w:val="00512280"/>
    <w:rsid w:val="00513258"/>
    <w:rsid w:val="00513C38"/>
    <w:rsid w:val="00514253"/>
    <w:rsid w:val="0051425F"/>
    <w:rsid w:val="00515600"/>
    <w:rsid w:val="005162CB"/>
    <w:rsid w:val="00520531"/>
    <w:rsid w:val="00520690"/>
    <w:rsid w:val="00521496"/>
    <w:rsid w:val="00522E18"/>
    <w:rsid w:val="005232E1"/>
    <w:rsid w:val="00524244"/>
    <w:rsid w:val="00524479"/>
    <w:rsid w:val="00524F0E"/>
    <w:rsid w:val="0052523C"/>
    <w:rsid w:val="00526618"/>
    <w:rsid w:val="00526AE6"/>
    <w:rsid w:val="00526F48"/>
    <w:rsid w:val="005270F3"/>
    <w:rsid w:val="00527D3D"/>
    <w:rsid w:val="00530B31"/>
    <w:rsid w:val="005313EF"/>
    <w:rsid w:val="00532329"/>
    <w:rsid w:val="00533691"/>
    <w:rsid w:val="00533E03"/>
    <w:rsid w:val="00534311"/>
    <w:rsid w:val="0053485A"/>
    <w:rsid w:val="00534B8A"/>
    <w:rsid w:val="00534F21"/>
    <w:rsid w:val="00535083"/>
    <w:rsid w:val="0053602E"/>
    <w:rsid w:val="00536703"/>
    <w:rsid w:val="0054062C"/>
    <w:rsid w:val="0054069E"/>
    <w:rsid w:val="005422D7"/>
    <w:rsid w:val="005427A1"/>
    <w:rsid w:val="00542F01"/>
    <w:rsid w:val="00543126"/>
    <w:rsid w:val="005450BC"/>
    <w:rsid w:val="005452EB"/>
    <w:rsid w:val="00546C9A"/>
    <w:rsid w:val="00546FA7"/>
    <w:rsid w:val="00546FF7"/>
    <w:rsid w:val="00550836"/>
    <w:rsid w:val="0055108C"/>
    <w:rsid w:val="00551479"/>
    <w:rsid w:val="005524CE"/>
    <w:rsid w:val="005526CF"/>
    <w:rsid w:val="005536B5"/>
    <w:rsid w:val="00554C29"/>
    <w:rsid w:val="00555C3B"/>
    <w:rsid w:val="0055677C"/>
    <w:rsid w:val="00557695"/>
    <w:rsid w:val="00557831"/>
    <w:rsid w:val="005606C2"/>
    <w:rsid w:val="0056099F"/>
    <w:rsid w:val="00563C57"/>
    <w:rsid w:val="0056467F"/>
    <w:rsid w:val="00564C3B"/>
    <w:rsid w:val="00564D21"/>
    <w:rsid w:val="00564EC9"/>
    <w:rsid w:val="005660AA"/>
    <w:rsid w:val="0056622F"/>
    <w:rsid w:val="005665FE"/>
    <w:rsid w:val="00567A85"/>
    <w:rsid w:val="0057029E"/>
    <w:rsid w:val="00570A46"/>
    <w:rsid w:val="00570C4C"/>
    <w:rsid w:val="00572261"/>
    <w:rsid w:val="00572FDC"/>
    <w:rsid w:val="00572FDD"/>
    <w:rsid w:val="00573D0D"/>
    <w:rsid w:val="00574CB2"/>
    <w:rsid w:val="0057583C"/>
    <w:rsid w:val="005775AA"/>
    <w:rsid w:val="00581C36"/>
    <w:rsid w:val="00583672"/>
    <w:rsid w:val="00583716"/>
    <w:rsid w:val="00584776"/>
    <w:rsid w:val="00584B97"/>
    <w:rsid w:val="0058591E"/>
    <w:rsid w:val="00585A22"/>
    <w:rsid w:val="00586657"/>
    <w:rsid w:val="00586BEA"/>
    <w:rsid w:val="0058711C"/>
    <w:rsid w:val="00590A4D"/>
    <w:rsid w:val="00590ACC"/>
    <w:rsid w:val="00591706"/>
    <w:rsid w:val="00591BD6"/>
    <w:rsid w:val="00592018"/>
    <w:rsid w:val="00594C62"/>
    <w:rsid w:val="00595731"/>
    <w:rsid w:val="00595A6C"/>
    <w:rsid w:val="00595DCA"/>
    <w:rsid w:val="0059692C"/>
    <w:rsid w:val="00596D2A"/>
    <w:rsid w:val="005A00D7"/>
    <w:rsid w:val="005A1868"/>
    <w:rsid w:val="005A21B3"/>
    <w:rsid w:val="005A24D2"/>
    <w:rsid w:val="005A2DDE"/>
    <w:rsid w:val="005A3631"/>
    <w:rsid w:val="005A570D"/>
    <w:rsid w:val="005A5BFF"/>
    <w:rsid w:val="005A663C"/>
    <w:rsid w:val="005A686A"/>
    <w:rsid w:val="005B07F2"/>
    <w:rsid w:val="005B1982"/>
    <w:rsid w:val="005B238E"/>
    <w:rsid w:val="005B29C4"/>
    <w:rsid w:val="005B2C42"/>
    <w:rsid w:val="005B2D9D"/>
    <w:rsid w:val="005B49A0"/>
    <w:rsid w:val="005B52DE"/>
    <w:rsid w:val="005B6068"/>
    <w:rsid w:val="005B616D"/>
    <w:rsid w:val="005B694A"/>
    <w:rsid w:val="005B79B1"/>
    <w:rsid w:val="005C04F1"/>
    <w:rsid w:val="005C1847"/>
    <w:rsid w:val="005C2CFF"/>
    <w:rsid w:val="005C2DF0"/>
    <w:rsid w:val="005C30F4"/>
    <w:rsid w:val="005C4966"/>
    <w:rsid w:val="005C582A"/>
    <w:rsid w:val="005C5BBD"/>
    <w:rsid w:val="005C6778"/>
    <w:rsid w:val="005C6873"/>
    <w:rsid w:val="005C7EC5"/>
    <w:rsid w:val="005D0617"/>
    <w:rsid w:val="005D2CF6"/>
    <w:rsid w:val="005D4C2C"/>
    <w:rsid w:val="005D5292"/>
    <w:rsid w:val="005D5783"/>
    <w:rsid w:val="005D5DF6"/>
    <w:rsid w:val="005D5EFA"/>
    <w:rsid w:val="005D6DF0"/>
    <w:rsid w:val="005D71B0"/>
    <w:rsid w:val="005E0AEF"/>
    <w:rsid w:val="005E0B2F"/>
    <w:rsid w:val="005E11E7"/>
    <w:rsid w:val="005E321F"/>
    <w:rsid w:val="005E535E"/>
    <w:rsid w:val="005E5659"/>
    <w:rsid w:val="005E63F7"/>
    <w:rsid w:val="005E71DA"/>
    <w:rsid w:val="005F0CE8"/>
    <w:rsid w:val="005F0E90"/>
    <w:rsid w:val="005F2039"/>
    <w:rsid w:val="005F263A"/>
    <w:rsid w:val="005F28AA"/>
    <w:rsid w:val="005F3E8C"/>
    <w:rsid w:val="005F4C53"/>
    <w:rsid w:val="005F569C"/>
    <w:rsid w:val="005F5A2C"/>
    <w:rsid w:val="005F6CAF"/>
    <w:rsid w:val="005F7157"/>
    <w:rsid w:val="005F7322"/>
    <w:rsid w:val="005F7609"/>
    <w:rsid w:val="005F78CC"/>
    <w:rsid w:val="006003F0"/>
    <w:rsid w:val="006008AA"/>
    <w:rsid w:val="00600AEF"/>
    <w:rsid w:val="006016AC"/>
    <w:rsid w:val="00601D9A"/>
    <w:rsid w:val="00602B23"/>
    <w:rsid w:val="00602B54"/>
    <w:rsid w:val="006031E9"/>
    <w:rsid w:val="006045D7"/>
    <w:rsid w:val="00605F77"/>
    <w:rsid w:val="0060613E"/>
    <w:rsid w:val="006066B5"/>
    <w:rsid w:val="00606C4B"/>
    <w:rsid w:val="00610CF8"/>
    <w:rsid w:val="00611079"/>
    <w:rsid w:val="00612E8C"/>
    <w:rsid w:val="00613034"/>
    <w:rsid w:val="0061425B"/>
    <w:rsid w:val="00615A42"/>
    <w:rsid w:val="00615D27"/>
    <w:rsid w:val="006162EA"/>
    <w:rsid w:val="00616F10"/>
    <w:rsid w:val="00617AB1"/>
    <w:rsid w:val="00620A65"/>
    <w:rsid w:val="0062220A"/>
    <w:rsid w:val="00622E03"/>
    <w:rsid w:val="0062333F"/>
    <w:rsid w:val="0062436C"/>
    <w:rsid w:val="00625E79"/>
    <w:rsid w:val="00626245"/>
    <w:rsid w:val="006263AB"/>
    <w:rsid w:val="0062707E"/>
    <w:rsid w:val="006309A1"/>
    <w:rsid w:val="00632C9A"/>
    <w:rsid w:val="006332F0"/>
    <w:rsid w:val="00633AD9"/>
    <w:rsid w:val="00633BED"/>
    <w:rsid w:val="00633EEC"/>
    <w:rsid w:val="00634108"/>
    <w:rsid w:val="00634756"/>
    <w:rsid w:val="00635350"/>
    <w:rsid w:val="006368E5"/>
    <w:rsid w:val="00636C24"/>
    <w:rsid w:val="00636CEC"/>
    <w:rsid w:val="00642335"/>
    <w:rsid w:val="0064370C"/>
    <w:rsid w:val="006442A5"/>
    <w:rsid w:val="006443CC"/>
    <w:rsid w:val="006449E5"/>
    <w:rsid w:val="00644BC6"/>
    <w:rsid w:val="0064729D"/>
    <w:rsid w:val="00647B14"/>
    <w:rsid w:val="00651A7F"/>
    <w:rsid w:val="00651FF9"/>
    <w:rsid w:val="006548CF"/>
    <w:rsid w:val="0065570F"/>
    <w:rsid w:val="0065644C"/>
    <w:rsid w:val="0065668A"/>
    <w:rsid w:val="00657697"/>
    <w:rsid w:val="00657BD6"/>
    <w:rsid w:val="00657DB7"/>
    <w:rsid w:val="00663C4E"/>
    <w:rsid w:val="006660CE"/>
    <w:rsid w:val="006709BE"/>
    <w:rsid w:val="00670AAD"/>
    <w:rsid w:val="00670FA3"/>
    <w:rsid w:val="006710CD"/>
    <w:rsid w:val="006725B8"/>
    <w:rsid w:val="00673871"/>
    <w:rsid w:val="006752A5"/>
    <w:rsid w:val="0067634C"/>
    <w:rsid w:val="00676B89"/>
    <w:rsid w:val="00680728"/>
    <w:rsid w:val="0068151A"/>
    <w:rsid w:val="00682125"/>
    <w:rsid w:val="006824E4"/>
    <w:rsid w:val="00682B96"/>
    <w:rsid w:val="00684855"/>
    <w:rsid w:val="0068517B"/>
    <w:rsid w:val="00685554"/>
    <w:rsid w:val="00687E46"/>
    <w:rsid w:val="00691809"/>
    <w:rsid w:val="00691C81"/>
    <w:rsid w:val="00692528"/>
    <w:rsid w:val="0069378C"/>
    <w:rsid w:val="00695082"/>
    <w:rsid w:val="00695690"/>
    <w:rsid w:val="00695A43"/>
    <w:rsid w:val="006962EB"/>
    <w:rsid w:val="006968FF"/>
    <w:rsid w:val="00696927"/>
    <w:rsid w:val="00696A99"/>
    <w:rsid w:val="00696DC7"/>
    <w:rsid w:val="006A5205"/>
    <w:rsid w:val="006A64CB"/>
    <w:rsid w:val="006B076A"/>
    <w:rsid w:val="006B0AC8"/>
    <w:rsid w:val="006B13B5"/>
    <w:rsid w:val="006B45ED"/>
    <w:rsid w:val="006B46BE"/>
    <w:rsid w:val="006B60D6"/>
    <w:rsid w:val="006B6269"/>
    <w:rsid w:val="006B65EE"/>
    <w:rsid w:val="006C1470"/>
    <w:rsid w:val="006C183F"/>
    <w:rsid w:val="006C233C"/>
    <w:rsid w:val="006C2B91"/>
    <w:rsid w:val="006C2E98"/>
    <w:rsid w:val="006C30DB"/>
    <w:rsid w:val="006C354F"/>
    <w:rsid w:val="006C3BDB"/>
    <w:rsid w:val="006C5849"/>
    <w:rsid w:val="006C7F08"/>
    <w:rsid w:val="006D1CA3"/>
    <w:rsid w:val="006D1EEC"/>
    <w:rsid w:val="006D22B9"/>
    <w:rsid w:val="006D2A69"/>
    <w:rsid w:val="006D2B3E"/>
    <w:rsid w:val="006D3238"/>
    <w:rsid w:val="006D49C7"/>
    <w:rsid w:val="006D51D7"/>
    <w:rsid w:val="006D62C6"/>
    <w:rsid w:val="006E0FB1"/>
    <w:rsid w:val="006E195D"/>
    <w:rsid w:val="006E19D3"/>
    <w:rsid w:val="006E1F4F"/>
    <w:rsid w:val="006E27C7"/>
    <w:rsid w:val="006E2CE6"/>
    <w:rsid w:val="006E317B"/>
    <w:rsid w:val="006E33E3"/>
    <w:rsid w:val="006E3B18"/>
    <w:rsid w:val="006E4F79"/>
    <w:rsid w:val="006E5D75"/>
    <w:rsid w:val="006E6F7B"/>
    <w:rsid w:val="006E755A"/>
    <w:rsid w:val="006F01E1"/>
    <w:rsid w:val="006F1DDE"/>
    <w:rsid w:val="006F26D8"/>
    <w:rsid w:val="006F2FC3"/>
    <w:rsid w:val="006F2FD8"/>
    <w:rsid w:val="006F4B3C"/>
    <w:rsid w:val="006F6C1B"/>
    <w:rsid w:val="006F714D"/>
    <w:rsid w:val="0070035D"/>
    <w:rsid w:val="00700497"/>
    <w:rsid w:val="0070053C"/>
    <w:rsid w:val="00701118"/>
    <w:rsid w:val="0070156E"/>
    <w:rsid w:val="00702B59"/>
    <w:rsid w:val="00702B91"/>
    <w:rsid w:val="00703F4E"/>
    <w:rsid w:val="00705638"/>
    <w:rsid w:val="00705923"/>
    <w:rsid w:val="00706DD0"/>
    <w:rsid w:val="007072D5"/>
    <w:rsid w:val="00707FEF"/>
    <w:rsid w:val="00712857"/>
    <w:rsid w:val="00712FAA"/>
    <w:rsid w:val="00713D25"/>
    <w:rsid w:val="00713DB8"/>
    <w:rsid w:val="00717488"/>
    <w:rsid w:val="0072047B"/>
    <w:rsid w:val="00720A0A"/>
    <w:rsid w:val="00720AF5"/>
    <w:rsid w:val="007210A9"/>
    <w:rsid w:val="00721CFD"/>
    <w:rsid w:val="00721F9B"/>
    <w:rsid w:val="00724C13"/>
    <w:rsid w:val="00725A8F"/>
    <w:rsid w:val="007267F6"/>
    <w:rsid w:val="0072749F"/>
    <w:rsid w:val="00730D85"/>
    <w:rsid w:val="007310FA"/>
    <w:rsid w:val="007325E4"/>
    <w:rsid w:val="00733B12"/>
    <w:rsid w:val="00733D7A"/>
    <w:rsid w:val="007345B0"/>
    <w:rsid w:val="00737195"/>
    <w:rsid w:val="00741919"/>
    <w:rsid w:val="00742A8D"/>
    <w:rsid w:val="0074759D"/>
    <w:rsid w:val="00747785"/>
    <w:rsid w:val="00747C14"/>
    <w:rsid w:val="00750CB5"/>
    <w:rsid w:val="00751139"/>
    <w:rsid w:val="00751D78"/>
    <w:rsid w:val="007531FF"/>
    <w:rsid w:val="007533D0"/>
    <w:rsid w:val="00753AC3"/>
    <w:rsid w:val="0075539B"/>
    <w:rsid w:val="00755BB7"/>
    <w:rsid w:val="00755BC8"/>
    <w:rsid w:val="00756313"/>
    <w:rsid w:val="00756D2D"/>
    <w:rsid w:val="007578AB"/>
    <w:rsid w:val="0076043B"/>
    <w:rsid w:val="00760958"/>
    <w:rsid w:val="00760C45"/>
    <w:rsid w:val="00761401"/>
    <w:rsid w:val="00762357"/>
    <w:rsid w:val="00762406"/>
    <w:rsid w:val="007628F8"/>
    <w:rsid w:val="00763091"/>
    <w:rsid w:val="007639B6"/>
    <w:rsid w:val="0076551B"/>
    <w:rsid w:val="0076708B"/>
    <w:rsid w:val="00767133"/>
    <w:rsid w:val="00770275"/>
    <w:rsid w:val="00770B97"/>
    <w:rsid w:val="0077169D"/>
    <w:rsid w:val="007726BE"/>
    <w:rsid w:val="007728DD"/>
    <w:rsid w:val="00773420"/>
    <w:rsid w:val="00774578"/>
    <w:rsid w:val="00775616"/>
    <w:rsid w:val="00775A1B"/>
    <w:rsid w:val="00775C0C"/>
    <w:rsid w:val="00776B2B"/>
    <w:rsid w:val="00776FE4"/>
    <w:rsid w:val="00777439"/>
    <w:rsid w:val="007803A8"/>
    <w:rsid w:val="00783422"/>
    <w:rsid w:val="00783D9D"/>
    <w:rsid w:val="007863DE"/>
    <w:rsid w:val="0078660B"/>
    <w:rsid w:val="00786A1F"/>
    <w:rsid w:val="00786DA2"/>
    <w:rsid w:val="00786F01"/>
    <w:rsid w:val="00787670"/>
    <w:rsid w:val="00787C4F"/>
    <w:rsid w:val="0079100A"/>
    <w:rsid w:val="00791878"/>
    <w:rsid w:val="00791A2A"/>
    <w:rsid w:val="00793D3C"/>
    <w:rsid w:val="00793E6B"/>
    <w:rsid w:val="0079486C"/>
    <w:rsid w:val="0079502F"/>
    <w:rsid w:val="007973D7"/>
    <w:rsid w:val="007979BB"/>
    <w:rsid w:val="007A0734"/>
    <w:rsid w:val="007A0AE4"/>
    <w:rsid w:val="007A14EA"/>
    <w:rsid w:val="007A2406"/>
    <w:rsid w:val="007B0512"/>
    <w:rsid w:val="007B08F9"/>
    <w:rsid w:val="007B1533"/>
    <w:rsid w:val="007B22C6"/>
    <w:rsid w:val="007B2713"/>
    <w:rsid w:val="007B2CC1"/>
    <w:rsid w:val="007B300E"/>
    <w:rsid w:val="007B3A98"/>
    <w:rsid w:val="007B52DA"/>
    <w:rsid w:val="007B74A7"/>
    <w:rsid w:val="007C0F5B"/>
    <w:rsid w:val="007C1065"/>
    <w:rsid w:val="007C156D"/>
    <w:rsid w:val="007C1EEB"/>
    <w:rsid w:val="007C2F10"/>
    <w:rsid w:val="007C5169"/>
    <w:rsid w:val="007C662A"/>
    <w:rsid w:val="007C66BC"/>
    <w:rsid w:val="007C6CF2"/>
    <w:rsid w:val="007D1159"/>
    <w:rsid w:val="007D31B3"/>
    <w:rsid w:val="007D36EF"/>
    <w:rsid w:val="007D3894"/>
    <w:rsid w:val="007D4218"/>
    <w:rsid w:val="007D6510"/>
    <w:rsid w:val="007D720C"/>
    <w:rsid w:val="007D754A"/>
    <w:rsid w:val="007D7897"/>
    <w:rsid w:val="007E142D"/>
    <w:rsid w:val="007E2320"/>
    <w:rsid w:val="007E26E9"/>
    <w:rsid w:val="007E2B53"/>
    <w:rsid w:val="007E2FCD"/>
    <w:rsid w:val="007E38AD"/>
    <w:rsid w:val="007E4234"/>
    <w:rsid w:val="007E4348"/>
    <w:rsid w:val="007E4E7C"/>
    <w:rsid w:val="007E528C"/>
    <w:rsid w:val="007E690E"/>
    <w:rsid w:val="007E6B07"/>
    <w:rsid w:val="007E6D19"/>
    <w:rsid w:val="007E7B7E"/>
    <w:rsid w:val="007F0E72"/>
    <w:rsid w:val="007F1E1B"/>
    <w:rsid w:val="007F222A"/>
    <w:rsid w:val="007F250F"/>
    <w:rsid w:val="007F2CB8"/>
    <w:rsid w:val="007F2D83"/>
    <w:rsid w:val="007F4642"/>
    <w:rsid w:val="007F509F"/>
    <w:rsid w:val="007F5BD7"/>
    <w:rsid w:val="007F60CC"/>
    <w:rsid w:val="007F6E84"/>
    <w:rsid w:val="007F7010"/>
    <w:rsid w:val="007F7823"/>
    <w:rsid w:val="008017B9"/>
    <w:rsid w:val="0080238D"/>
    <w:rsid w:val="00802FB7"/>
    <w:rsid w:val="008030BE"/>
    <w:rsid w:val="008031BF"/>
    <w:rsid w:val="00804B85"/>
    <w:rsid w:val="008051D0"/>
    <w:rsid w:val="00806925"/>
    <w:rsid w:val="0081089A"/>
    <w:rsid w:val="008110F1"/>
    <w:rsid w:val="00811AD1"/>
    <w:rsid w:val="00812D62"/>
    <w:rsid w:val="0081332A"/>
    <w:rsid w:val="00813F48"/>
    <w:rsid w:val="008143F7"/>
    <w:rsid w:val="00816D61"/>
    <w:rsid w:val="0081710F"/>
    <w:rsid w:val="00817AC4"/>
    <w:rsid w:val="00817BF5"/>
    <w:rsid w:val="00820688"/>
    <w:rsid w:val="00820D03"/>
    <w:rsid w:val="008233A9"/>
    <w:rsid w:val="00824B8F"/>
    <w:rsid w:val="00824C10"/>
    <w:rsid w:val="0082513F"/>
    <w:rsid w:val="00825D07"/>
    <w:rsid w:val="00825D3B"/>
    <w:rsid w:val="00825E15"/>
    <w:rsid w:val="0082696A"/>
    <w:rsid w:val="008271D4"/>
    <w:rsid w:val="00827583"/>
    <w:rsid w:val="00831235"/>
    <w:rsid w:val="0083143F"/>
    <w:rsid w:val="00831E40"/>
    <w:rsid w:val="00831F5D"/>
    <w:rsid w:val="00833385"/>
    <w:rsid w:val="00833A92"/>
    <w:rsid w:val="0083418D"/>
    <w:rsid w:val="00834899"/>
    <w:rsid w:val="00834E96"/>
    <w:rsid w:val="00836FD3"/>
    <w:rsid w:val="00837ABF"/>
    <w:rsid w:val="00837D95"/>
    <w:rsid w:val="00840BDE"/>
    <w:rsid w:val="00841534"/>
    <w:rsid w:val="00842EFE"/>
    <w:rsid w:val="008440B7"/>
    <w:rsid w:val="0084472C"/>
    <w:rsid w:val="008457F3"/>
    <w:rsid w:val="008459FA"/>
    <w:rsid w:val="00845D43"/>
    <w:rsid w:val="0084605B"/>
    <w:rsid w:val="00846C5D"/>
    <w:rsid w:val="00846D94"/>
    <w:rsid w:val="00846FB9"/>
    <w:rsid w:val="00850544"/>
    <w:rsid w:val="0085178C"/>
    <w:rsid w:val="00851DFD"/>
    <w:rsid w:val="00853F3D"/>
    <w:rsid w:val="008548C6"/>
    <w:rsid w:val="00856501"/>
    <w:rsid w:val="008572A5"/>
    <w:rsid w:val="0086128D"/>
    <w:rsid w:val="0086150D"/>
    <w:rsid w:val="008632E7"/>
    <w:rsid w:val="0086472E"/>
    <w:rsid w:val="008663E2"/>
    <w:rsid w:val="008666C4"/>
    <w:rsid w:val="00866ADC"/>
    <w:rsid w:val="00866C1A"/>
    <w:rsid w:val="0086797F"/>
    <w:rsid w:val="008713A1"/>
    <w:rsid w:val="008714CF"/>
    <w:rsid w:val="0087290A"/>
    <w:rsid w:val="00872EE1"/>
    <w:rsid w:val="00873978"/>
    <w:rsid w:val="00873A63"/>
    <w:rsid w:val="00874032"/>
    <w:rsid w:val="00874A57"/>
    <w:rsid w:val="00874D87"/>
    <w:rsid w:val="00875945"/>
    <w:rsid w:val="0087760E"/>
    <w:rsid w:val="00881E4C"/>
    <w:rsid w:val="008824DD"/>
    <w:rsid w:val="0088261C"/>
    <w:rsid w:val="00882947"/>
    <w:rsid w:val="0088310B"/>
    <w:rsid w:val="00884286"/>
    <w:rsid w:val="00884AB6"/>
    <w:rsid w:val="00886534"/>
    <w:rsid w:val="00886F0B"/>
    <w:rsid w:val="00887463"/>
    <w:rsid w:val="00891664"/>
    <w:rsid w:val="00892015"/>
    <w:rsid w:val="008924DE"/>
    <w:rsid w:val="00893BAF"/>
    <w:rsid w:val="00897591"/>
    <w:rsid w:val="008A0C96"/>
    <w:rsid w:val="008A3490"/>
    <w:rsid w:val="008A5FA8"/>
    <w:rsid w:val="008A6834"/>
    <w:rsid w:val="008A6D97"/>
    <w:rsid w:val="008A720A"/>
    <w:rsid w:val="008B083D"/>
    <w:rsid w:val="008B0A9C"/>
    <w:rsid w:val="008B0D50"/>
    <w:rsid w:val="008B0FF2"/>
    <w:rsid w:val="008B11B7"/>
    <w:rsid w:val="008B214D"/>
    <w:rsid w:val="008B2EC6"/>
    <w:rsid w:val="008B3EA9"/>
    <w:rsid w:val="008B48CB"/>
    <w:rsid w:val="008B6EB1"/>
    <w:rsid w:val="008B75BB"/>
    <w:rsid w:val="008C3606"/>
    <w:rsid w:val="008C36A9"/>
    <w:rsid w:val="008C3D3C"/>
    <w:rsid w:val="008C76A7"/>
    <w:rsid w:val="008D0F1E"/>
    <w:rsid w:val="008D1231"/>
    <w:rsid w:val="008D1F0B"/>
    <w:rsid w:val="008D3794"/>
    <w:rsid w:val="008D37FB"/>
    <w:rsid w:val="008D3CA6"/>
    <w:rsid w:val="008D3FE7"/>
    <w:rsid w:val="008D49CB"/>
    <w:rsid w:val="008D6824"/>
    <w:rsid w:val="008D6E68"/>
    <w:rsid w:val="008D78D1"/>
    <w:rsid w:val="008D7F76"/>
    <w:rsid w:val="008E025B"/>
    <w:rsid w:val="008E1506"/>
    <w:rsid w:val="008E1BDE"/>
    <w:rsid w:val="008E1DF1"/>
    <w:rsid w:val="008E545C"/>
    <w:rsid w:val="008E5ECA"/>
    <w:rsid w:val="008E6AAA"/>
    <w:rsid w:val="008F0C01"/>
    <w:rsid w:val="008F1030"/>
    <w:rsid w:val="008F1815"/>
    <w:rsid w:val="008F1A96"/>
    <w:rsid w:val="008F2A35"/>
    <w:rsid w:val="008F3301"/>
    <w:rsid w:val="008F3402"/>
    <w:rsid w:val="008F51DB"/>
    <w:rsid w:val="008F5346"/>
    <w:rsid w:val="008F6033"/>
    <w:rsid w:val="008F6341"/>
    <w:rsid w:val="008F63B3"/>
    <w:rsid w:val="008F78DB"/>
    <w:rsid w:val="008F7961"/>
    <w:rsid w:val="00901249"/>
    <w:rsid w:val="00903B6B"/>
    <w:rsid w:val="0090426D"/>
    <w:rsid w:val="00904B6A"/>
    <w:rsid w:val="00905A26"/>
    <w:rsid w:val="00906BB4"/>
    <w:rsid w:val="00907142"/>
    <w:rsid w:val="0091028F"/>
    <w:rsid w:val="00910572"/>
    <w:rsid w:val="009105DC"/>
    <w:rsid w:val="009106BF"/>
    <w:rsid w:val="009114F1"/>
    <w:rsid w:val="00912C53"/>
    <w:rsid w:val="00914041"/>
    <w:rsid w:val="00914A21"/>
    <w:rsid w:val="009155F4"/>
    <w:rsid w:val="009175D5"/>
    <w:rsid w:val="00917E06"/>
    <w:rsid w:val="00920D05"/>
    <w:rsid w:val="00921B93"/>
    <w:rsid w:val="00922692"/>
    <w:rsid w:val="00923028"/>
    <w:rsid w:val="009247B0"/>
    <w:rsid w:val="00925358"/>
    <w:rsid w:val="00925AF5"/>
    <w:rsid w:val="00927CD5"/>
    <w:rsid w:val="00930525"/>
    <w:rsid w:val="0093249F"/>
    <w:rsid w:val="00933C15"/>
    <w:rsid w:val="00933F40"/>
    <w:rsid w:val="00936558"/>
    <w:rsid w:val="00937170"/>
    <w:rsid w:val="009373FE"/>
    <w:rsid w:val="00940CCF"/>
    <w:rsid w:val="00941165"/>
    <w:rsid w:val="00941EE4"/>
    <w:rsid w:val="009424E1"/>
    <w:rsid w:val="009440AE"/>
    <w:rsid w:val="00944A43"/>
    <w:rsid w:val="009453E3"/>
    <w:rsid w:val="00945680"/>
    <w:rsid w:val="00947E56"/>
    <w:rsid w:val="00950296"/>
    <w:rsid w:val="00951074"/>
    <w:rsid w:val="0095280B"/>
    <w:rsid w:val="00954BFD"/>
    <w:rsid w:val="00955998"/>
    <w:rsid w:val="0095648B"/>
    <w:rsid w:val="00957E36"/>
    <w:rsid w:val="00957F7D"/>
    <w:rsid w:val="009617D3"/>
    <w:rsid w:val="00963FAE"/>
    <w:rsid w:val="0096492D"/>
    <w:rsid w:val="00965078"/>
    <w:rsid w:val="0096694C"/>
    <w:rsid w:val="00967D2A"/>
    <w:rsid w:val="00971004"/>
    <w:rsid w:val="00971188"/>
    <w:rsid w:val="00972292"/>
    <w:rsid w:val="00972DA6"/>
    <w:rsid w:val="00973D61"/>
    <w:rsid w:val="00974019"/>
    <w:rsid w:val="00974D76"/>
    <w:rsid w:val="00974EA5"/>
    <w:rsid w:val="009759B5"/>
    <w:rsid w:val="0097661A"/>
    <w:rsid w:val="00976EC8"/>
    <w:rsid w:val="009813DC"/>
    <w:rsid w:val="00981C46"/>
    <w:rsid w:val="00981F1D"/>
    <w:rsid w:val="00983B47"/>
    <w:rsid w:val="00983ECB"/>
    <w:rsid w:val="009866ED"/>
    <w:rsid w:val="00986970"/>
    <w:rsid w:val="00986A69"/>
    <w:rsid w:val="00991308"/>
    <w:rsid w:val="00992692"/>
    <w:rsid w:val="00992EAA"/>
    <w:rsid w:val="009941EA"/>
    <w:rsid w:val="00994524"/>
    <w:rsid w:val="00994B8B"/>
    <w:rsid w:val="00994ED4"/>
    <w:rsid w:val="0099511F"/>
    <w:rsid w:val="00995483"/>
    <w:rsid w:val="0099737A"/>
    <w:rsid w:val="00997415"/>
    <w:rsid w:val="0099750A"/>
    <w:rsid w:val="00997802"/>
    <w:rsid w:val="009A03A7"/>
    <w:rsid w:val="009A2A56"/>
    <w:rsid w:val="009A470E"/>
    <w:rsid w:val="009A4DBA"/>
    <w:rsid w:val="009A64C3"/>
    <w:rsid w:val="009A6EB9"/>
    <w:rsid w:val="009B0150"/>
    <w:rsid w:val="009B0395"/>
    <w:rsid w:val="009B0DD9"/>
    <w:rsid w:val="009B0EED"/>
    <w:rsid w:val="009B1496"/>
    <w:rsid w:val="009B1FBE"/>
    <w:rsid w:val="009B2293"/>
    <w:rsid w:val="009B2481"/>
    <w:rsid w:val="009B2D3F"/>
    <w:rsid w:val="009B2DFF"/>
    <w:rsid w:val="009B5242"/>
    <w:rsid w:val="009B5A84"/>
    <w:rsid w:val="009B609B"/>
    <w:rsid w:val="009B62DA"/>
    <w:rsid w:val="009B6401"/>
    <w:rsid w:val="009C151A"/>
    <w:rsid w:val="009C1DA1"/>
    <w:rsid w:val="009C2F04"/>
    <w:rsid w:val="009C308B"/>
    <w:rsid w:val="009C35F1"/>
    <w:rsid w:val="009C377A"/>
    <w:rsid w:val="009C380F"/>
    <w:rsid w:val="009C3AC0"/>
    <w:rsid w:val="009C523D"/>
    <w:rsid w:val="009C57B0"/>
    <w:rsid w:val="009C59A8"/>
    <w:rsid w:val="009C672E"/>
    <w:rsid w:val="009C6AD1"/>
    <w:rsid w:val="009C714B"/>
    <w:rsid w:val="009C76D7"/>
    <w:rsid w:val="009D04D3"/>
    <w:rsid w:val="009D1700"/>
    <w:rsid w:val="009D231B"/>
    <w:rsid w:val="009D251C"/>
    <w:rsid w:val="009D25FF"/>
    <w:rsid w:val="009D2ADC"/>
    <w:rsid w:val="009D2FA0"/>
    <w:rsid w:val="009D3142"/>
    <w:rsid w:val="009D3E7A"/>
    <w:rsid w:val="009D449F"/>
    <w:rsid w:val="009D5044"/>
    <w:rsid w:val="009D52E4"/>
    <w:rsid w:val="009D68A7"/>
    <w:rsid w:val="009D7CC3"/>
    <w:rsid w:val="009E19CC"/>
    <w:rsid w:val="009E276D"/>
    <w:rsid w:val="009E41CB"/>
    <w:rsid w:val="009E479C"/>
    <w:rsid w:val="009E50B7"/>
    <w:rsid w:val="009E519C"/>
    <w:rsid w:val="009E624D"/>
    <w:rsid w:val="009E6E6B"/>
    <w:rsid w:val="009E7CF4"/>
    <w:rsid w:val="009F0039"/>
    <w:rsid w:val="009F0825"/>
    <w:rsid w:val="009F08D3"/>
    <w:rsid w:val="009F1D25"/>
    <w:rsid w:val="009F28FC"/>
    <w:rsid w:val="009F4678"/>
    <w:rsid w:val="009F50C6"/>
    <w:rsid w:val="009F60D8"/>
    <w:rsid w:val="009F6CE3"/>
    <w:rsid w:val="009F7027"/>
    <w:rsid w:val="009F7168"/>
    <w:rsid w:val="00A01BAA"/>
    <w:rsid w:val="00A01BCA"/>
    <w:rsid w:val="00A0369D"/>
    <w:rsid w:val="00A03E94"/>
    <w:rsid w:val="00A0467B"/>
    <w:rsid w:val="00A04A57"/>
    <w:rsid w:val="00A05042"/>
    <w:rsid w:val="00A06D6C"/>
    <w:rsid w:val="00A07465"/>
    <w:rsid w:val="00A07AA0"/>
    <w:rsid w:val="00A10B49"/>
    <w:rsid w:val="00A10BA3"/>
    <w:rsid w:val="00A115F3"/>
    <w:rsid w:val="00A1318F"/>
    <w:rsid w:val="00A13EDF"/>
    <w:rsid w:val="00A14229"/>
    <w:rsid w:val="00A17FC1"/>
    <w:rsid w:val="00A2067F"/>
    <w:rsid w:val="00A20DEB"/>
    <w:rsid w:val="00A226B2"/>
    <w:rsid w:val="00A25E15"/>
    <w:rsid w:val="00A27480"/>
    <w:rsid w:val="00A30C04"/>
    <w:rsid w:val="00A31678"/>
    <w:rsid w:val="00A3256A"/>
    <w:rsid w:val="00A32756"/>
    <w:rsid w:val="00A34852"/>
    <w:rsid w:val="00A349F4"/>
    <w:rsid w:val="00A355A8"/>
    <w:rsid w:val="00A35A73"/>
    <w:rsid w:val="00A4116B"/>
    <w:rsid w:val="00A41399"/>
    <w:rsid w:val="00A4141C"/>
    <w:rsid w:val="00A415A6"/>
    <w:rsid w:val="00A42B6E"/>
    <w:rsid w:val="00A431C9"/>
    <w:rsid w:val="00A44553"/>
    <w:rsid w:val="00A44B83"/>
    <w:rsid w:val="00A45534"/>
    <w:rsid w:val="00A5120D"/>
    <w:rsid w:val="00A51315"/>
    <w:rsid w:val="00A51BDC"/>
    <w:rsid w:val="00A52FEF"/>
    <w:rsid w:val="00A5420E"/>
    <w:rsid w:val="00A556BB"/>
    <w:rsid w:val="00A55FFF"/>
    <w:rsid w:val="00A56212"/>
    <w:rsid w:val="00A57622"/>
    <w:rsid w:val="00A609C4"/>
    <w:rsid w:val="00A62983"/>
    <w:rsid w:val="00A63197"/>
    <w:rsid w:val="00A64775"/>
    <w:rsid w:val="00A67388"/>
    <w:rsid w:val="00A67DA8"/>
    <w:rsid w:val="00A67F2D"/>
    <w:rsid w:val="00A70167"/>
    <w:rsid w:val="00A71606"/>
    <w:rsid w:val="00A71BF1"/>
    <w:rsid w:val="00A744FE"/>
    <w:rsid w:val="00A75D30"/>
    <w:rsid w:val="00A76BE0"/>
    <w:rsid w:val="00A81E4B"/>
    <w:rsid w:val="00A84149"/>
    <w:rsid w:val="00A847DB"/>
    <w:rsid w:val="00A84B86"/>
    <w:rsid w:val="00A84F55"/>
    <w:rsid w:val="00A860BC"/>
    <w:rsid w:val="00A8711D"/>
    <w:rsid w:val="00A87A68"/>
    <w:rsid w:val="00A87BB7"/>
    <w:rsid w:val="00A87F53"/>
    <w:rsid w:val="00A9150F"/>
    <w:rsid w:val="00A91E83"/>
    <w:rsid w:val="00A927DE"/>
    <w:rsid w:val="00A93151"/>
    <w:rsid w:val="00A93A50"/>
    <w:rsid w:val="00A93C6A"/>
    <w:rsid w:val="00A944FD"/>
    <w:rsid w:val="00A94DC8"/>
    <w:rsid w:val="00A96ABB"/>
    <w:rsid w:val="00A974BF"/>
    <w:rsid w:val="00AA0718"/>
    <w:rsid w:val="00AA1039"/>
    <w:rsid w:val="00AA1296"/>
    <w:rsid w:val="00AA22EE"/>
    <w:rsid w:val="00AA2F59"/>
    <w:rsid w:val="00AA33CC"/>
    <w:rsid w:val="00AA3A80"/>
    <w:rsid w:val="00AA545A"/>
    <w:rsid w:val="00AA5DCB"/>
    <w:rsid w:val="00AA6788"/>
    <w:rsid w:val="00AB0BD5"/>
    <w:rsid w:val="00AB214B"/>
    <w:rsid w:val="00AB293D"/>
    <w:rsid w:val="00AB3910"/>
    <w:rsid w:val="00AB48AC"/>
    <w:rsid w:val="00AB49F1"/>
    <w:rsid w:val="00AB6BAF"/>
    <w:rsid w:val="00AB6CDB"/>
    <w:rsid w:val="00AB741D"/>
    <w:rsid w:val="00AB7694"/>
    <w:rsid w:val="00AB7ED0"/>
    <w:rsid w:val="00AC0E02"/>
    <w:rsid w:val="00AC1953"/>
    <w:rsid w:val="00AC3701"/>
    <w:rsid w:val="00AC4F2B"/>
    <w:rsid w:val="00AC6515"/>
    <w:rsid w:val="00AC7237"/>
    <w:rsid w:val="00AD06DB"/>
    <w:rsid w:val="00AD122A"/>
    <w:rsid w:val="00AD1CB9"/>
    <w:rsid w:val="00AD1D35"/>
    <w:rsid w:val="00AD2994"/>
    <w:rsid w:val="00AD2A83"/>
    <w:rsid w:val="00AD3E3B"/>
    <w:rsid w:val="00AD575F"/>
    <w:rsid w:val="00AD5F1F"/>
    <w:rsid w:val="00AD663C"/>
    <w:rsid w:val="00AD681F"/>
    <w:rsid w:val="00AE0E1B"/>
    <w:rsid w:val="00AE240E"/>
    <w:rsid w:val="00AE3C05"/>
    <w:rsid w:val="00AE40E9"/>
    <w:rsid w:val="00AE41D5"/>
    <w:rsid w:val="00AE4637"/>
    <w:rsid w:val="00AE5403"/>
    <w:rsid w:val="00AE54B3"/>
    <w:rsid w:val="00AE5882"/>
    <w:rsid w:val="00AE6928"/>
    <w:rsid w:val="00AE7232"/>
    <w:rsid w:val="00AE7745"/>
    <w:rsid w:val="00AF0639"/>
    <w:rsid w:val="00AF1CF1"/>
    <w:rsid w:val="00AF371C"/>
    <w:rsid w:val="00AF4168"/>
    <w:rsid w:val="00AF41A0"/>
    <w:rsid w:val="00AF69F7"/>
    <w:rsid w:val="00AF6CCE"/>
    <w:rsid w:val="00B00068"/>
    <w:rsid w:val="00B00A84"/>
    <w:rsid w:val="00B0213F"/>
    <w:rsid w:val="00B02668"/>
    <w:rsid w:val="00B02A81"/>
    <w:rsid w:val="00B03072"/>
    <w:rsid w:val="00B04084"/>
    <w:rsid w:val="00B048C4"/>
    <w:rsid w:val="00B04B62"/>
    <w:rsid w:val="00B04E44"/>
    <w:rsid w:val="00B054DB"/>
    <w:rsid w:val="00B059EC"/>
    <w:rsid w:val="00B061C2"/>
    <w:rsid w:val="00B062AC"/>
    <w:rsid w:val="00B0684F"/>
    <w:rsid w:val="00B06DB3"/>
    <w:rsid w:val="00B103D7"/>
    <w:rsid w:val="00B107D4"/>
    <w:rsid w:val="00B115BC"/>
    <w:rsid w:val="00B12579"/>
    <w:rsid w:val="00B128FC"/>
    <w:rsid w:val="00B1421E"/>
    <w:rsid w:val="00B1457E"/>
    <w:rsid w:val="00B14BE0"/>
    <w:rsid w:val="00B15462"/>
    <w:rsid w:val="00B1592F"/>
    <w:rsid w:val="00B15F5D"/>
    <w:rsid w:val="00B15F87"/>
    <w:rsid w:val="00B16A44"/>
    <w:rsid w:val="00B174E6"/>
    <w:rsid w:val="00B17751"/>
    <w:rsid w:val="00B2055D"/>
    <w:rsid w:val="00B20920"/>
    <w:rsid w:val="00B23295"/>
    <w:rsid w:val="00B269B9"/>
    <w:rsid w:val="00B26DA4"/>
    <w:rsid w:val="00B3006E"/>
    <w:rsid w:val="00B30C85"/>
    <w:rsid w:val="00B30F0A"/>
    <w:rsid w:val="00B3129F"/>
    <w:rsid w:val="00B31D0A"/>
    <w:rsid w:val="00B32516"/>
    <w:rsid w:val="00B338E3"/>
    <w:rsid w:val="00B362E3"/>
    <w:rsid w:val="00B4090A"/>
    <w:rsid w:val="00B40A46"/>
    <w:rsid w:val="00B40AC3"/>
    <w:rsid w:val="00B4164F"/>
    <w:rsid w:val="00B42633"/>
    <w:rsid w:val="00B4275C"/>
    <w:rsid w:val="00B43528"/>
    <w:rsid w:val="00B44178"/>
    <w:rsid w:val="00B443B3"/>
    <w:rsid w:val="00B45456"/>
    <w:rsid w:val="00B472BB"/>
    <w:rsid w:val="00B47B8F"/>
    <w:rsid w:val="00B504F5"/>
    <w:rsid w:val="00B516ED"/>
    <w:rsid w:val="00B51989"/>
    <w:rsid w:val="00B529F6"/>
    <w:rsid w:val="00B5347F"/>
    <w:rsid w:val="00B552A3"/>
    <w:rsid w:val="00B56B76"/>
    <w:rsid w:val="00B5723A"/>
    <w:rsid w:val="00B60185"/>
    <w:rsid w:val="00B602D6"/>
    <w:rsid w:val="00B621B1"/>
    <w:rsid w:val="00B62DA0"/>
    <w:rsid w:val="00B63E70"/>
    <w:rsid w:val="00B64D31"/>
    <w:rsid w:val="00B65783"/>
    <w:rsid w:val="00B65890"/>
    <w:rsid w:val="00B67AEF"/>
    <w:rsid w:val="00B7350A"/>
    <w:rsid w:val="00B81008"/>
    <w:rsid w:val="00B817E3"/>
    <w:rsid w:val="00B8187D"/>
    <w:rsid w:val="00B82370"/>
    <w:rsid w:val="00B8248C"/>
    <w:rsid w:val="00B828BF"/>
    <w:rsid w:val="00B8323C"/>
    <w:rsid w:val="00B832F5"/>
    <w:rsid w:val="00B833C9"/>
    <w:rsid w:val="00B834D7"/>
    <w:rsid w:val="00B8377B"/>
    <w:rsid w:val="00B84F59"/>
    <w:rsid w:val="00B8624A"/>
    <w:rsid w:val="00B869C4"/>
    <w:rsid w:val="00B9003B"/>
    <w:rsid w:val="00B9087C"/>
    <w:rsid w:val="00B9092B"/>
    <w:rsid w:val="00B90C08"/>
    <w:rsid w:val="00B90DA9"/>
    <w:rsid w:val="00B91186"/>
    <w:rsid w:val="00B929E5"/>
    <w:rsid w:val="00B954DA"/>
    <w:rsid w:val="00B95C36"/>
    <w:rsid w:val="00B96129"/>
    <w:rsid w:val="00B97ED7"/>
    <w:rsid w:val="00BA151E"/>
    <w:rsid w:val="00BA1B69"/>
    <w:rsid w:val="00BA206C"/>
    <w:rsid w:val="00BA2974"/>
    <w:rsid w:val="00BA32A2"/>
    <w:rsid w:val="00BA3964"/>
    <w:rsid w:val="00BA5042"/>
    <w:rsid w:val="00BA5564"/>
    <w:rsid w:val="00BA5D77"/>
    <w:rsid w:val="00BA5F41"/>
    <w:rsid w:val="00BA6605"/>
    <w:rsid w:val="00BB0B37"/>
    <w:rsid w:val="00BB208F"/>
    <w:rsid w:val="00BB2925"/>
    <w:rsid w:val="00BB334E"/>
    <w:rsid w:val="00BB45F5"/>
    <w:rsid w:val="00BB59E0"/>
    <w:rsid w:val="00BB6ABE"/>
    <w:rsid w:val="00BC0FCD"/>
    <w:rsid w:val="00BC2675"/>
    <w:rsid w:val="00BC2AB5"/>
    <w:rsid w:val="00BC30A6"/>
    <w:rsid w:val="00BC36E3"/>
    <w:rsid w:val="00BC3D6C"/>
    <w:rsid w:val="00BC40AA"/>
    <w:rsid w:val="00BC49C1"/>
    <w:rsid w:val="00BC4DEA"/>
    <w:rsid w:val="00BC52F4"/>
    <w:rsid w:val="00BC6221"/>
    <w:rsid w:val="00BC69D9"/>
    <w:rsid w:val="00BC77FC"/>
    <w:rsid w:val="00BD0074"/>
    <w:rsid w:val="00BD0220"/>
    <w:rsid w:val="00BD0685"/>
    <w:rsid w:val="00BD3B03"/>
    <w:rsid w:val="00BD41FF"/>
    <w:rsid w:val="00BD481D"/>
    <w:rsid w:val="00BD4C24"/>
    <w:rsid w:val="00BD5D9D"/>
    <w:rsid w:val="00BD67F3"/>
    <w:rsid w:val="00BD6891"/>
    <w:rsid w:val="00BD7068"/>
    <w:rsid w:val="00BD71CE"/>
    <w:rsid w:val="00BD7546"/>
    <w:rsid w:val="00BD7949"/>
    <w:rsid w:val="00BE05FC"/>
    <w:rsid w:val="00BE0B2E"/>
    <w:rsid w:val="00BE152C"/>
    <w:rsid w:val="00BE1A4A"/>
    <w:rsid w:val="00BE262F"/>
    <w:rsid w:val="00BE4650"/>
    <w:rsid w:val="00BE69AE"/>
    <w:rsid w:val="00BE6AB7"/>
    <w:rsid w:val="00BE708A"/>
    <w:rsid w:val="00BE7178"/>
    <w:rsid w:val="00BF092B"/>
    <w:rsid w:val="00BF21A6"/>
    <w:rsid w:val="00BF2E9D"/>
    <w:rsid w:val="00BF4483"/>
    <w:rsid w:val="00BF62EE"/>
    <w:rsid w:val="00BF635F"/>
    <w:rsid w:val="00BF668E"/>
    <w:rsid w:val="00BF72AA"/>
    <w:rsid w:val="00BF7553"/>
    <w:rsid w:val="00C00438"/>
    <w:rsid w:val="00C00B7D"/>
    <w:rsid w:val="00C017BE"/>
    <w:rsid w:val="00C01B17"/>
    <w:rsid w:val="00C0351F"/>
    <w:rsid w:val="00C04E91"/>
    <w:rsid w:val="00C050D9"/>
    <w:rsid w:val="00C06656"/>
    <w:rsid w:val="00C06D02"/>
    <w:rsid w:val="00C07420"/>
    <w:rsid w:val="00C10C85"/>
    <w:rsid w:val="00C11643"/>
    <w:rsid w:val="00C11987"/>
    <w:rsid w:val="00C11A5D"/>
    <w:rsid w:val="00C124B5"/>
    <w:rsid w:val="00C13230"/>
    <w:rsid w:val="00C141F8"/>
    <w:rsid w:val="00C142D1"/>
    <w:rsid w:val="00C153FD"/>
    <w:rsid w:val="00C16637"/>
    <w:rsid w:val="00C1741B"/>
    <w:rsid w:val="00C1785B"/>
    <w:rsid w:val="00C17B8D"/>
    <w:rsid w:val="00C17EBD"/>
    <w:rsid w:val="00C20A96"/>
    <w:rsid w:val="00C2135F"/>
    <w:rsid w:val="00C219DB"/>
    <w:rsid w:val="00C22312"/>
    <w:rsid w:val="00C22B5A"/>
    <w:rsid w:val="00C2401D"/>
    <w:rsid w:val="00C25241"/>
    <w:rsid w:val="00C25AD4"/>
    <w:rsid w:val="00C26001"/>
    <w:rsid w:val="00C27DBC"/>
    <w:rsid w:val="00C3059B"/>
    <w:rsid w:val="00C3086E"/>
    <w:rsid w:val="00C332B0"/>
    <w:rsid w:val="00C34715"/>
    <w:rsid w:val="00C36349"/>
    <w:rsid w:val="00C364F9"/>
    <w:rsid w:val="00C37FD4"/>
    <w:rsid w:val="00C40183"/>
    <w:rsid w:val="00C4047B"/>
    <w:rsid w:val="00C42240"/>
    <w:rsid w:val="00C422BD"/>
    <w:rsid w:val="00C42C01"/>
    <w:rsid w:val="00C4346E"/>
    <w:rsid w:val="00C436AE"/>
    <w:rsid w:val="00C437F8"/>
    <w:rsid w:val="00C4398B"/>
    <w:rsid w:val="00C44C41"/>
    <w:rsid w:val="00C45E5B"/>
    <w:rsid w:val="00C475F7"/>
    <w:rsid w:val="00C4796B"/>
    <w:rsid w:val="00C506EA"/>
    <w:rsid w:val="00C50905"/>
    <w:rsid w:val="00C50B3A"/>
    <w:rsid w:val="00C50ECF"/>
    <w:rsid w:val="00C51151"/>
    <w:rsid w:val="00C51958"/>
    <w:rsid w:val="00C52F99"/>
    <w:rsid w:val="00C53EE6"/>
    <w:rsid w:val="00C56F23"/>
    <w:rsid w:val="00C62368"/>
    <w:rsid w:val="00C6332B"/>
    <w:rsid w:val="00C6410D"/>
    <w:rsid w:val="00C64ABF"/>
    <w:rsid w:val="00C65FAC"/>
    <w:rsid w:val="00C70692"/>
    <w:rsid w:val="00C70BED"/>
    <w:rsid w:val="00C710C2"/>
    <w:rsid w:val="00C72CD1"/>
    <w:rsid w:val="00C7458D"/>
    <w:rsid w:val="00C748AE"/>
    <w:rsid w:val="00C80C7C"/>
    <w:rsid w:val="00C84D22"/>
    <w:rsid w:val="00C85A3C"/>
    <w:rsid w:val="00C85CE3"/>
    <w:rsid w:val="00C873D2"/>
    <w:rsid w:val="00C90318"/>
    <w:rsid w:val="00C91176"/>
    <w:rsid w:val="00C92599"/>
    <w:rsid w:val="00C930DE"/>
    <w:rsid w:val="00C93103"/>
    <w:rsid w:val="00C943B1"/>
    <w:rsid w:val="00C951AB"/>
    <w:rsid w:val="00CA011B"/>
    <w:rsid w:val="00CA0A93"/>
    <w:rsid w:val="00CA231D"/>
    <w:rsid w:val="00CA23BA"/>
    <w:rsid w:val="00CA4693"/>
    <w:rsid w:val="00CA4A91"/>
    <w:rsid w:val="00CA56FA"/>
    <w:rsid w:val="00CA5790"/>
    <w:rsid w:val="00CA74E4"/>
    <w:rsid w:val="00CA7EEB"/>
    <w:rsid w:val="00CB23A8"/>
    <w:rsid w:val="00CB2C03"/>
    <w:rsid w:val="00CB3E61"/>
    <w:rsid w:val="00CB41D8"/>
    <w:rsid w:val="00CB489A"/>
    <w:rsid w:val="00CB4E6A"/>
    <w:rsid w:val="00CB5FD7"/>
    <w:rsid w:val="00CB613B"/>
    <w:rsid w:val="00CC0534"/>
    <w:rsid w:val="00CC18EC"/>
    <w:rsid w:val="00CC2518"/>
    <w:rsid w:val="00CC330D"/>
    <w:rsid w:val="00CC38EB"/>
    <w:rsid w:val="00CC3BC7"/>
    <w:rsid w:val="00CC40A7"/>
    <w:rsid w:val="00CC509A"/>
    <w:rsid w:val="00CC5A2A"/>
    <w:rsid w:val="00CC5CD4"/>
    <w:rsid w:val="00CC67A1"/>
    <w:rsid w:val="00CC6BC3"/>
    <w:rsid w:val="00CC73CA"/>
    <w:rsid w:val="00CC76D0"/>
    <w:rsid w:val="00CD0685"/>
    <w:rsid w:val="00CD1B33"/>
    <w:rsid w:val="00CD33E2"/>
    <w:rsid w:val="00CD412E"/>
    <w:rsid w:val="00CD5001"/>
    <w:rsid w:val="00CD786B"/>
    <w:rsid w:val="00CE0262"/>
    <w:rsid w:val="00CE06AE"/>
    <w:rsid w:val="00CE08FD"/>
    <w:rsid w:val="00CE2ACE"/>
    <w:rsid w:val="00CE2CCE"/>
    <w:rsid w:val="00CE2D3C"/>
    <w:rsid w:val="00CE3000"/>
    <w:rsid w:val="00CE4149"/>
    <w:rsid w:val="00CE42AC"/>
    <w:rsid w:val="00CE432B"/>
    <w:rsid w:val="00CE5653"/>
    <w:rsid w:val="00CE5A0E"/>
    <w:rsid w:val="00CE5EA5"/>
    <w:rsid w:val="00CE7462"/>
    <w:rsid w:val="00CE7E96"/>
    <w:rsid w:val="00CE7FFD"/>
    <w:rsid w:val="00CF0DD6"/>
    <w:rsid w:val="00CF43CF"/>
    <w:rsid w:val="00CF45A8"/>
    <w:rsid w:val="00CF75D1"/>
    <w:rsid w:val="00CF7AEA"/>
    <w:rsid w:val="00D00F80"/>
    <w:rsid w:val="00D030E4"/>
    <w:rsid w:val="00D04901"/>
    <w:rsid w:val="00D04CB9"/>
    <w:rsid w:val="00D07A53"/>
    <w:rsid w:val="00D10066"/>
    <w:rsid w:val="00D117F2"/>
    <w:rsid w:val="00D11BA2"/>
    <w:rsid w:val="00D12CF6"/>
    <w:rsid w:val="00D131C2"/>
    <w:rsid w:val="00D138AC"/>
    <w:rsid w:val="00D13A84"/>
    <w:rsid w:val="00D178D3"/>
    <w:rsid w:val="00D20756"/>
    <w:rsid w:val="00D20F82"/>
    <w:rsid w:val="00D216FC"/>
    <w:rsid w:val="00D21FE2"/>
    <w:rsid w:val="00D22082"/>
    <w:rsid w:val="00D22F7A"/>
    <w:rsid w:val="00D24442"/>
    <w:rsid w:val="00D2452C"/>
    <w:rsid w:val="00D24F15"/>
    <w:rsid w:val="00D25A3C"/>
    <w:rsid w:val="00D264D4"/>
    <w:rsid w:val="00D274F8"/>
    <w:rsid w:val="00D30346"/>
    <w:rsid w:val="00D30380"/>
    <w:rsid w:val="00D313D5"/>
    <w:rsid w:val="00D33D09"/>
    <w:rsid w:val="00D35831"/>
    <w:rsid w:val="00D36BC3"/>
    <w:rsid w:val="00D36FF7"/>
    <w:rsid w:val="00D373A9"/>
    <w:rsid w:val="00D37B39"/>
    <w:rsid w:val="00D37B7C"/>
    <w:rsid w:val="00D37EBE"/>
    <w:rsid w:val="00D4102C"/>
    <w:rsid w:val="00D4112E"/>
    <w:rsid w:val="00D43B99"/>
    <w:rsid w:val="00D44519"/>
    <w:rsid w:val="00D44E53"/>
    <w:rsid w:val="00D451A4"/>
    <w:rsid w:val="00D45E40"/>
    <w:rsid w:val="00D45FC9"/>
    <w:rsid w:val="00D471B5"/>
    <w:rsid w:val="00D47B2B"/>
    <w:rsid w:val="00D47DC4"/>
    <w:rsid w:val="00D50110"/>
    <w:rsid w:val="00D50CFB"/>
    <w:rsid w:val="00D51468"/>
    <w:rsid w:val="00D52050"/>
    <w:rsid w:val="00D52071"/>
    <w:rsid w:val="00D52D71"/>
    <w:rsid w:val="00D56230"/>
    <w:rsid w:val="00D57077"/>
    <w:rsid w:val="00D578D1"/>
    <w:rsid w:val="00D6111E"/>
    <w:rsid w:val="00D627FA"/>
    <w:rsid w:val="00D63220"/>
    <w:rsid w:val="00D641A9"/>
    <w:rsid w:val="00D64F98"/>
    <w:rsid w:val="00D64FFA"/>
    <w:rsid w:val="00D66762"/>
    <w:rsid w:val="00D6795F"/>
    <w:rsid w:val="00D67F68"/>
    <w:rsid w:val="00D67FA7"/>
    <w:rsid w:val="00D73A48"/>
    <w:rsid w:val="00D74037"/>
    <w:rsid w:val="00D75014"/>
    <w:rsid w:val="00D75533"/>
    <w:rsid w:val="00D7683D"/>
    <w:rsid w:val="00D76B71"/>
    <w:rsid w:val="00D7764A"/>
    <w:rsid w:val="00D77882"/>
    <w:rsid w:val="00D77C6E"/>
    <w:rsid w:val="00D80B06"/>
    <w:rsid w:val="00D8165A"/>
    <w:rsid w:val="00D83888"/>
    <w:rsid w:val="00D84B7D"/>
    <w:rsid w:val="00D8526B"/>
    <w:rsid w:val="00D85CBC"/>
    <w:rsid w:val="00D87F53"/>
    <w:rsid w:val="00D87FA0"/>
    <w:rsid w:val="00D902D5"/>
    <w:rsid w:val="00D90865"/>
    <w:rsid w:val="00D930EB"/>
    <w:rsid w:val="00D93EC6"/>
    <w:rsid w:val="00D94DE5"/>
    <w:rsid w:val="00D94F23"/>
    <w:rsid w:val="00D96445"/>
    <w:rsid w:val="00D96634"/>
    <w:rsid w:val="00DA00B1"/>
    <w:rsid w:val="00DA5677"/>
    <w:rsid w:val="00DA57B8"/>
    <w:rsid w:val="00DA743C"/>
    <w:rsid w:val="00DA7BE8"/>
    <w:rsid w:val="00DA7C06"/>
    <w:rsid w:val="00DB03C9"/>
    <w:rsid w:val="00DB2572"/>
    <w:rsid w:val="00DB3A20"/>
    <w:rsid w:val="00DB3D76"/>
    <w:rsid w:val="00DB42DA"/>
    <w:rsid w:val="00DB4DA9"/>
    <w:rsid w:val="00DB5603"/>
    <w:rsid w:val="00DB7A3B"/>
    <w:rsid w:val="00DC0F9B"/>
    <w:rsid w:val="00DC334C"/>
    <w:rsid w:val="00DC7884"/>
    <w:rsid w:val="00DC7D42"/>
    <w:rsid w:val="00DD017A"/>
    <w:rsid w:val="00DD0708"/>
    <w:rsid w:val="00DD0A9D"/>
    <w:rsid w:val="00DD27A0"/>
    <w:rsid w:val="00DD3637"/>
    <w:rsid w:val="00DD3CEF"/>
    <w:rsid w:val="00DD441E"/>
    <w:rsid w:val="00DD4D73"/>
    <w:rsid w:val="00DD54D6"/>
    <w:rsid w:val="00DD5587"/>
    <w:rsid w:val="00DD5EF2"/>
    <w:rsid w:val="00DD62B5"/>
    <w:rsid w:val="00DD66CB"/>
    <w:rsid w:val="00DD7785"/>
    <w:rsid w:val="00DD780C"/>
    <w:rsid w:val="00DE01B8"/>
    <w:rsid w:val="00DE07E2"/>
    <w:rsid w:val="00DE1598"/>
    <w:rsid w:val="00DE30CC"/>
    <w:rsid w:val="00DE3466"/>
    <w:rsid w:val="00DE3605"/>
    <w:rsid w:val="00DE4634"/>
    <w:rsid w:val="00DE5203"/>
    <w:rsid w:val="00DE616E"/>
    <w:rsid w:val="00DE7E73"/>
    <w:rsid w:val="00DF078A"/>
    <w:rsid w:val="00DF0DD3"/>
    <w:rsid w:val="00DF1A6D"/>
    <w:rsid w:val="00DF28B0"/>
    <w:rsid w:val="00DF2EE3"/>
    <w:rsid w:val="00DF53B6"/>
    <w:rsid w:val="00DF55E3"/>
    <w:rsid w:val="00DF5DFD"/>
    <w:rsid w:val="00DF727B"/>
    <w:rsid w:val="00DF7537"/>
    <w:rsid w:val="00DF7CB7"/>
    <w:rsid w:val="00E002EC"/>
    <w:rsid w:val="00E00434"/>
    <w:rsid w:val="00E02A72"/>
    <w:rsid w:val="00E0354A"/>
    <w:rsid w:val="00E043C8"/>
    <w:rsid w:val="00E04FA9"/>
    <w:rsid w:val="00E06AAE"/>
    <w:rsid w:val="00E06ACD"/>
    <w:rsid w:val="00E07D3C"/>
    <w:rsid w:val="00E07D4F"/>
    <w:rsid w:val="00E10FFE"/>
    <w:rsid w:val="00E117C8"/>
    <w:rsid w:val="00E120D4"/>
    <w:rsid w:val="00E12368"/>
    <w:rsid w:val="00E141EE"/>
    <w:rsid w:val="00E14FA5"/>
    <w:rsid w:val="00E1519C"/>
    <w:rsid w:val="00E16AEC"/>
    <w:rsid w:val="00E16BBA"/>
    <w:rsid w:val="00E16BF0"/>
    <w:rsid w:val="00E20142"/>
    <w:rsid w:val="00E207A0"/>
    <w:rsid w:val="00E20BEC"/>
    <w:rsid w:val="00E2190D"/>
    <w:rsid w:val="00E23071"/>
    <w:rsid w:val="00E231B2"/>
    <w:rsid w:val="00E232B9"/>
    <w:rsid w:val="00E23A13"/>
    <w:rsid w:val="00E24091"/>
    <w:rsid w:val="00E248B2"/>
    <w:rsid w:val="00E26074"/>
    <w:rsid w:val="00E266D8"/>
    <w:rsid w:val="00E2737C"/>
    <w:rsid w:val="00E31130"/>
    <w:rsid w:val="00E34BE2"/>
    <w:rsid w:val="00E34E7A"/>
    <w:rsid w:val="00E373A7"/>
    <w:rsid w:val="00E3746C"/>
    <w:rsid w:val="00E37526"/>
    <w:rsid w:val="00E400AA"/>
    <w:rsid w:val="00E430BD"/>
    <w:rsid w:val="00E43A20"/>
    <w:rsid w:val="00E457FF"/>
    <w:rsid w:val="00E45E84"/>
    <w:rsid w:val="00E46350"/>
    <w:rsid w:val="00E466A4"/>
    <w:rsid w:val="00E46BC4"/>
    <w:rsid w:val="00E51966"/>
    <w:rsid w:val="00E5215A"/>
    <w:rsid w:val="00E5298A"/>
    <w:rsid w:val="00E529B8"/>
    <w:rsid w:val="00E53DD0"/>
    <w:rsid w:val="00E55932"/>
    <w:rsid w:val="00E55D89"/>
    <w:rsid w:val="00E55DEF"/>
    <w:rsid w:val="00E55DF6"/>
    <w:rsid w:val="00E5723B"/>
    <w:rsid w:val="00E609DF"/>
    <w:rsid w:val="00E612ED"/>
    <w:rsid w:val="00E613E4"/>
    <w:rsid w:val="00E61EC4"/>
    <w:rsid w:val="00E62AD9"/>
    <w:rsid w:val="00E64EA4"/>
    <w:rsid w:val="00E65652"/>
    <w:rsid w:val="00E65668"/>
    <w:rsid w:val="00E65E70"/>
    <w:rsid w:val="00E665A3"/>
    <w:rsid w:val="00E6744B"/>
    <w:rsid w:val="00E678D3"/>
    <w:rsid w:val="00E715C4"/>
    <w:rsid w:val="00E73B56"/>
    <w:rsid w:val="00E749FE"/>
    <w:rsid w:val="00E7519F"/>
    <w:rsid w:val="00E759D7"/>
    <w:rsid w:val="00E75C0B"/>
    <w:rsid w:val="00E760B8"/>
    <w:rsid w:val="00E7616C"/>
    <w:rsid w:val="00E767F2"/>
    <w:rsid w:val="00E76FFB"/>
    <w:rsid w:val="00E772CC"/>
    <w:rsid w:val="00E77795"/>
    <w:rsid w:val="00E81F2A"/>
    <w:rsid w:val="00E81F6A"/>
    <w:rsid w:val="00E835EB"/>
    <w:rsid w:val="00E845D8"/>
    <w:rsid w:val="00E86E43"/>
    <w:rsid w:val="00E877DF"/>
    <w:rsid w:val="00E87AB8"/>
    <w:rsid w:val="00E91028"/>
    <w:rsid w:val="00E94159"/>
    <w:rsid w:val="00E94254"/>
    <w:rsid w:val="00E950B0"/>
    <w:rsid w:val="00E950F2"/>
    <w:rsid w:val="00E95CEC"/>
    <w:rsid w:val="00E963C8"/>
    <w:rsid w:val="00E96551"/>
    <w:rsid w:val="00E965FB"/>
    <w:rsid w:val="00E96CD0"/>
    <w:rsid w:val="00EA008D"/>
    <w:rsid w:val="00EA184D"/>
    <w:rsid w:val="00EA1ED8"/>
    <w:rsid w:val="00EA23A2"/>
    <w:rsid w:val="00EA2DC7"/>
    <w:rsid w:val="00EA4361"/>
    <w:rsid w:val="00EA4562"/>
    <w:rsid w:val="00EA65F6"/>
    <w:rsid w:val="00EA6A75"/>
    <w:rsid w:val="00EB01BB"/>
    <w:rsid w:val="00EB1881"/>
    <w:rsid w:val="00EB2F64"/>
    <w:rsid w:val="00EB32F0"/>
    <w:rsid w:val="00EB6CE8"/>
    <w:rsid w:val="00EB70EE"/>
    <w:rsid w:val="00EC1E10"/>
    <w:rsid w:val="00EC1EC9"/>
    <w:rsid w:val="00EC4862"/>
    <w:rsid w:val="00EC4F44"/>
    <w:rsid w:val="00EC537A"/>
    <w:rsid w:val="00EC6AF6"/>
    <w:rsid w:val="00ED0EC0"/>
    <w:rsid w:val="00ED1451"/>
    <w:rsid w:val="00ED1604"/>
    <w:rsid w:val="00ED3916"/>
    <w:rsid w:val="00ED4E4E"/>
    <w:rsid w:val="00ED5AE8"/>
    <w:rsid w:val="00ED5FFF"/>
    <w:rsid w:val="00ED6C33"/>
    <w:rsid w:val="00ED7264"/>
    <w:rsid w:val="00ED7970"/>
    <w:rsid w:val="00EE007E"/>
    <w:rsid w:val="00EE08AA"/>
    <w:rsid w:val="00EE1E35"/>
    <w:rsid w:val="00EE2B13"/>
    <w:rsid w:val="00EE3E7E"/>
    <w:rsid w:val="00EE4068"/>
    <w:rsid w:val="00EE41EF"/>
    <w:rsid w:val="00EE47C5"/>
    <w:rsid w:val="00EE547A"/>
    <w:rsid w:val="00EE5710"/>
    <w:rsid w:val="00EF068D"/>
    <w:rsid w:val="00EF0A06"/>
    <w:rsid w:val="00EF15D8"/>
    <w:rsid w:val="00EF2D92"/>
    <w:rsid w:val="00EF41DC"/>
    <w:rsid w:val="00EF427A"/>
    <w:rsid w:val="00EF5714"/>
    <w:rsid w:val="00EF6B4C"/>
    <w:rsid w:val="00EF71E1"/>
    <w:rsid w:val="00EF77A9"/>
    <w:rsid w:val="00EF7AE3"/>
    <w:rsid w:val="00F0033C"/>
    <w:rsid w:val="00F00A51"/>
    <w:rsid w:val="00F00BA1"/>
    <w:rsid w:val="00F01A69"/>
    <w:rsid w:val="00F01ECB"/>
    <w:rsid w:val="00F02D7A"/>
    <w:rsid w:val="00F03652"/>
    <w:rsid w:val="00F05E7E"/>
    <w:rsid w:val="00F06028"/>
    <w:rsid w:val="00F06B52"/>
    <w:rsid w:val="00F06DAF"/>
    <w:rsid w:val="00F06FA7"/>
    <w:rsid w:val="00F075A6"/>
    <w:rsid w:val="00F07633"/>
    <w:rsid w:val="00F079F2"/>
    <w:rsid w:val="00F07C92"/>
    <w:rsid w:val="00F10231"/>
    <w:rsid w:val="00F112D5"/>
    <w:rsid w:val="00F1132C"/>
    <w:rsid w:val="00F12722"/>
    <w:rsid w:val="00F14D12"/>
    <w:rsid w:val="00F1515A"/>
    <w:rsid w:val="00F151A7"/>
    <w:rsid w:val="00F15242"/>
    <w:rsid w:val="00F21645"/>
    <w:rsid w:val="00F217B1"/>
    <w:rsid w:val="00F2379B"/>
    <w:rsid w:val="00F237AE"/>
    <w:rsid w:val="00F23E80"/>
    <w:rsid w:val="00F244DD"/>
    <w:rsid w:val="00F2540F"/>
    <w:rsid w:val="00F25B18"/>
    <w:rsid w:val="00F25ED0"/>
    <w:rsid w:val="00F26274"/>
    <w:rsid w:val="00F2708C"/>
    <w:rsid w:val="00F2721D"/>
    <w:rsid w:val="00F274A1"/>
    <w:rsid w:val="00F31DD3"/>
    <w:rsid w:val="00F32AF1"/>
    <w:rsid w:val="00F32D28"/>
    <w:rsid w:val="00F32D9E"/>
    <w:rsid w:val="00F331B5"/>
    <w:rsid w:val="00F33ABF"/>
    <w:rsid w:val="00F34352"/>
    <w:rsid w:val="00F34E98"/>
    <w:rsid w:val="00F34FA1"/>
    <w:rsid w:val="00F350F5"/>
    <w:rsid w:val="00F35102"/>
    <w:rsid w:val="00F3520B"/>
    <w:rsid w:val="00F364EB"/>
    <w:rsid w:val="00F36617"/>
    <w:rsid w:val="00F36836"/>
    <w:rsid w:val="00F36B4E"/>
    <w:rsid w:val="00F36F11"/>
    <w:rsid w:val="00F37B25"/>
    <w:rsid w:val="00F4084A"/>
    <w:rsid w:val="00F40CD9"/>
    <w:rsid w:val="00F410FF"/>
    <w:rsid w:val="00F4218C"/>
    <w:rsid w:val="00F427F3"/>
    <w:rsid w:val="00F44899"/>
    <w:rsid w:val="00F44E28"/>
    <w:rsid w:val="00F44FEA"/>
    <w:rsid w:val="00F453F8"/>
    <w:rsid w:val="00F457DF"/>
    <w:rsid w:val="00F46F3B"/>
    <w:rsid w:val="00F47871"/>
    <w:rsid w:val="00F50F2B"/>
    <w:rsid w:val="00F52897"/>
    <w:rsid w:val="00F53154"/>
    <w:rsid w:val="00F53DC7"/>
    <w:rsid w:val="00F53DEE"/>
    <w:rsid w:val="00F5490D"/>
    <w:rsid w:val="00F555AD"/>
    <w:rsid w:val="00F55C57"/>
    <w:rsid w:val="00F56E3C"/>
    <w:rsid w:val="00F57F41"/>
    <w:rsid w:val="00F60D39"/>
    <w:rsid w:val="00F61255"/>
    <w:rsid w:val="00F61B63"/>
    <w:rsid w:val="00F62DDF"/>
    <w:rsid w:val="00F632D2"/>
    <w:rsid w:val="00F641EE"/>
    <w:rsid w:val="00F64C2A"/>
    <w:rsid w:val="00F66278"/>
    <w:rsid w:val="00F66A88"/>
    <w:rsid w:val="00F70E2B"/>
    <w:rsid w:val="00F72F4F"/>
    <w:rsid w:val="00F736E5"/>
    <w:rsid w:val="00F7452C"/>
    <w:rsid w:val="00F7592F"/>
    <w:rsid w:val="00F76684"/>
    <w:rsid w:val="00F773B9"/>
    <w:rsid w:val="00F77C45"/>
    <w:rsid w:val="00F80054"/>
    <w:rsid w:val="00F80640"/>
    <w:rsid w:val="00F8088A"/>
    <w:rsid w:val="00F80C7E"/>
    <w:rsid w:val="00F80CED"/>
    <w:rsid w:val="00F81598"/>
    <w:rsid w:val="00F818CF"/>
    <w:rsid w:val="00F82D6F"/>
    <w:rsid w:val="00F84568"/>
    <w:rsid w:val="00F84E21"/>
    <w:rsid w:val="00F85F23"/>
    <w:rsid w:val="00F871F1"/>
    <w:rsid w:val="00F87C0B"/>
    <w:rsid w:val="00F9044A"/>
    <w:rsid w:val="00F9057B"/>
    <w:rsid w:val="00F91CAF"/>
    <w:rsid w:val="00F9210F"/>
    <w:rsid w:val="00F9420C"/>
    <w:rsid w:val="00F96503"/>
    <w:rsid w:val="00F966C9"/>
    <w:rsid w:val="00F96E1B"/>
    <w:rsid w:val="00F96E42"/>
    <w:rsid w:val="00F971D6"/>
    <w:rsid w:val="00F97256"/>
    <w:rsid w:val="00FA11FD"/>
    <w:rsid w:val="00FA15A3"/>
    <w:rsid w:val="00FA28E4"/>
    <w:rsid w:val="00FA3FE7"/>
    <w:rsid w:val="00FA6073"/>
    <w:rsid w:val="00FA6666"/>
    <w:rsid w:val="00FA6C47"/>
    <w:rsid w:val="00FA7327"/>
    <w:rsid w:val="00FA7808"/>
    <w:rsid w:val="00FB0C19"/>
    <w:rsid w:val="00FB1BB9"/>
    <w:rsid w:val="00FB3848"/>
    <w:rsid w:val="00FB406B"/>
    <w:rsid w:val="00FB4294"/>
    <w:rsid w:val="00FB4408"/>
    <w:rsid w:val="00FB4FC7"/>
    <w:rsid w:val="00FB5380"/>
    <w:rsid w:val="00FB5519"/>
    <w:rsid w:val="00FB6DA7"/>
    <w:rsid w:val="00FB7EE8"/>
    <w:rsid w:val="00FC0175"/>
    <w:rsid w:val="00FC18E9"/>
    <w:rsid w:val="00FC254F"/>
    <w:rsid w:val="00FC2575"/>
    <w:rsid w:val="00FC46A1"/>
    <w:rsid w:val="00FC6543"/>
    <w:rsid w:val="00FC784C"/>
    <w:rsid w:val="00FC7B72"/>
    <w:rsid w:val="00FD19E8"/>
    <w:rsid w:val="00FD2046"/>
    <w:rsid w:val="00FD21CF"/>
    <w:rsid w:val="00FD2749"/>
    <w:rsid w:val="00FD2859"/>
    <w:rsid w:val="00FD569D"/>
    <w:rsid w:val="00FD58C0"/>
    <w:rsid w:val="00FD6161"/>
    <w:rsid w:val="00FD71C3"/>
    <w:rsid w:val="00FD7CD6"/>
    <w:rsid w:val="00FD7EE3"/>
    <w:rsid w:val="00FE134E"/>
    <w:rsid w:val="00FE1F77"/>
    <w:rsid w:val="00FE20BC"/>
    <w:rsid w:val="00FE2D5A"/>
    <w:rsid w:val="00FE3E83"/>
    <w:rsid w:val="00FE6C44"/>
    <w:rsid w:val="00FE6D5A"/>
    <w:rsid w:val="00FE70EB"/>
    <w:rsid w:val="00FF05D0"/>
    <w:rsid w:val="00FF0860"/>
    <w:rsid w:val="00FF166A"/>
    <w:rsid w:val="00FF35E1"/>
    <w:rsid w:val="00FF37AF"/>
    <w:rsid w:val="00FF3EA2"/>
    <w:rsid w:val="00FF4E56"/>
    <w:rsid w:val="00FF5057"/>
    <w:rsid w:val="00FF588B"/>
    <w:rsid w:val="00FF60B6"/>
    <w:rsid w:val="00FF693D"/>
    <w:rsid w:val="00FF6B92"/>
    <w:rsid w:val="00FF6C27"/>
    <w:rsid w:val="00FF74B9"/>
    <w:rsid w:val="00FF7A0D"/>
    <w:rsid w:val="00FF7B9A"/>
    <w:rsid w:val="011C69BC"/>
    <w:rsid w:val="01446C31"/>
    <w:rsid w:val="014761A5"/>
    <w:rsid w:val="022E090A"/>
    <w:rsid w:val="02496E0A"/>
    <w:rsid w:val="026730CA"/>
    <w:rsid w:val="02860C8C"/>
    <w:rsid w:val="0288005D"/>
    <w:rsid w:val="02A75FDE"/>
    <w:rsid w:val="02C56CFC"/>
    <w:rsid w:val="03045209"/>
    <w:rsid w:val="030A1FFD"/>
    <w:rsid w:val="032D3420"/>
    <w:rsid w:val="033539BF"/>
    <w:rsid w:val="0348581B"/>
    <w:rsid w:val="03B0012B"/>
    <w:rsid w:val="03BF37C8"/>
    <w:rsid w:val="045C2758"/>
    <w:rsid w:val="0466617C"/>
    <w:rsid w:val="04787B17"/>
    <w:rsid w:val="04A230D9"/>
    <w:rsid w:val="04B465CE"/>
    <w:rsid w:val="04C25999"/>
    <w:rsid w:val="04C937A6"/>
    <w:rsid w:val="04D46B3B"/>
    <w:rsid w:val="04D869E5"/>
    <w:rsid w:val="04F05A45"/>
    <w:rsid w:val="04FC4242"/>
    <w:rsid w:val="053718D8"/>
    <w:rsid w:val="054F0B49"/>
    <w:rsid w:val="058A64C0"/>
    <w:rsid w:val="058C61CE"/>
    <w:rsid w:val="0595565C"/>
    <w:rsid w:val="05A476F9"/>
    <w:rsid w:val="05AA19F6"/>
    <w:rsid w:val="05AC5333"/>
    <w:rsid w:val="05AE676F"/>
    <w:rsid w:val="05B30CDA"/>
    <w:rsid w:val="05E83DFF"/>
    <w:rsid w:val="06161AE0"/>
    <w:rsid w:val="06293014"/>
    <w:rsid w:val="064B0A93"/>
    <w:rsid w:val="06C25773"/>
    <w:rsid w:val="07355355"/>
    <w:rsid w:val="073C5398"/>
    <w:rsid w:val="074D3623"/>
    <w:rsid w:val="075C3B02"/>
    <w:rsid w:val="07756781"/>
    <w:rsid w:val="077B12F4"/>
    <w:rsid w:val="077C4D12"/>
    <w:rsid w:val="077F20B8"/>
    <w:rsid w:val="07B428E5"/>
    <w:rsid w:val="07E13D6B"/>
    <w:rsid w:val="07F04451"/>
    <w:rsid w:val="07F645C9"/>
    <w:rsid w:val="08460CF5"/>
    <w:rsid w:val="08C01BD2"/>
    <w:rsid w:val="08C711B3"/>
    <w:rsid w:val="08CB5CC9"/>
    <w:rsid w:val="08FA5A5D"/>
    <w:rsid w:val="094E1862"/>
    <w:rsid w:val="09665FCA"/>
    <w:rsid w:val="09B646DB"/>
    <w:rsid w:val="09CB662E"/>
    <w:rsid w:val="09EA3E9F"/>
    <w:rsid w:val="09FE6E56"/>
    <w:rsid w:val="0A2763AD"/>
    <w:rsid w:val="0A305F86"/>
    <w:rsid w:val="0A3C5E6F"/>
    <w:rsid w:val="0A5A1386"/>
    <w:rsid w:val="0A7D7DE9"/>
    <w:rsid w:val="0AA377DF"/>
    <w:rsid w:val="0AC532E0"/>
    <w:rsid w:val="0AEC6CAF"/>
    <w:rsid w:val="0AEF621B"/>
    <w:rsid w:val="0AF83DB0"/>
    <w:rsid w:val="0B3B393F"/>
    <w:rsid w:val="0B454A94"/>
    <w:rsid w:val="0BA92DF2"/>
    <w:rsid w:val="0C7B65B1"/>
    <w:rsid w:val="0C821038"/>
    <w:rsid w:val="0C833994"/>
    <w:rsid w:val="0CAC0DEC"/>
    <w:rsid w:val="0CE718A7"/>
    <w:rsid w:val="0CFC5D2F"/>
    <w:rsid w:val="0D183D8B"/>
    <w:rsid w:val="0D1D5845"/>
    <w:rsid w:val="0D240FBE"/>
    <w:rsid w:val="0D266C0A"/>
    <w:rsid w:val="0D363464"/>
    <w:rsid w:val="0D493333"/>
    <w:rsid w:val="0D701205"/>
    <w:rsid w:val="0D7B5CE0"/>
    <w:rsid w:val="0D873487"/>
    <w:rsid w:val="0D8F335A"/>
    <w:rsid w:val="0D914B1E"/>
    <w:rsid w:val="0DFF4F4B"/>
    <w:rsid w:val="0E0E6DD2"/>
    <w:rsid w:val="0E231644"/>
    <w:rsid w:val="0E48537D"/>
    <w:rsid w:val="0E80369D"/>
    <w:rsid w:val="0F151EDD"/>
    <w:rsid w:val="0F264E85"/>
    <w:rsid w:val="0F4946D0"/>
    <w:rsid w:val="0F50417F"/>
    <w:rsid w:val="0F61539C"/>
    <w:rsid w:val="0F6E6935"/>
    <w:rsid w:val="0F8D08F5"/>
    <w:rsid w:val="0FA86CE7"/>
    <w:rsid w:val="0FB12275"/>
    <w:rsid w:val="0FB51251"/>
    <w:rsid w:val="0FF36C1E"/>
    <w:rsid w:val="0FF97D9D"/>
    <w:rsid w:val="103E531D"/>
    <w:rsid w:val="104D58A3"/>
    <w:rsid w:val="10671757"/>
    <w:rsid w:val="108B6C39"/>
    <w:rsid w:val="110D6E77"/>
    <w:rsid w:val="110E534D"/>
    <w:rsid w:val="11323E5A"/>
    <w:rsid w:val="113C57CB"/>
    <w:rsid w:val="115D0906"/>
    <w:rsid w:val="119A67D3"/>
    <w:rsid w:val="11C7227A"/>
    <w:rsid w:val="12027D8E"/>
    <w:rsid w:val="122E6D59"/>
    <w:rsid w:val="1238558D"/>
    <w:rsid w:val="1251562D"/>
    <w:rsid w:val="127272F7"/>
    <w:rsid w:val="12754E7D"/>
    <w:rsid w:val="129C0FBA"/>
    <w:rsid w:val="12C0739F"/>
    <w:rsid w:val="12D05FF9"/>
    <w:rsid w:val="12FD57BB"/>
    <w:rsid w:val="130309DF"/>
    <w:rsid w:val="131A2C9C"/>
    <w:rsid w:val="1328419F"/>
    <w:rsid w:val="13465E30"/>
    <w:rsid w:val="13AA7B26"/>
    <w:rsid w:val="141B489B"/>
    <w:rsid w:val="144D1257"/>
    <w:rsid w:val="14740691"/>
    <w:rsid w:val="14A800EA"/>
    <w:rsid w:val="14B175AA"/>
    <w:rsid w:val="14F769AE"/>
    <w:rsid w:val="15254454"/>
    <w:rsid w:val="15394AE7"/>
    <w:rsid w:val="155E32A3"/>
    <w:rsid w:val="15691807"/>
    <w:rsid w:val="156D5A31"/>
    <w:rsid w:val="158F24CC"/>
    <w:rsid w:val="15FD7FC2"/>
    <w:rsid w:val="16001BEC"/>
    <w:rsid w:val="160D0CD5"/>
    <w:rsid w:val="160F63FC"/>
    <w:rsid w:val="16131A43"/>
    <w:rsid w:val="16250D06"/>
    <w:rsid w:val="163E7293"/>
    <w:rsid w:val="169F71A9"/>
    <w:rsid w:val="17641D15"/>
    <w:rsid w:val="176C3651"/>
    <w:rsid w:val="178C78AD"/>
    <w:rsid w:val="17B51E7E"/>
    <w:rsid w:val="17C1455F"/>
    <w:rsid w:val="17C73738"/>
    <w:rsid w:val="17D248E8"/>
    <w:rsid w:val="17FC3225"/>
    <w:rsid w:val="182849A3"/>
    <w:rsid w:val="18541871"/>
    <w:rsid w:val="18A132D8"/>
    <w:rsid w:val="18B37F54"/>
    <w:rsid w:val="18C26578"/>
    <w:rsid w:val="18CA59C9"/>
    <w:rsid w:val="19080B17"/>
    <w:rsid w:val="19632832"/>
    <w:rsid w:val="19636CD6"/>
    <w:rsid w:val="19665C2A"/>
    <w:rsid w:val="19841305"/>
    <w:rsid w:val="199A314A"/>
    <w:rsid w:val="19A81A04"/>
    <w:rsid w:val="19B80918"/>
    <w:rsid w:val="19C47EAF"/>
    <w:rsid w:val="19D6646E"/>
    <w:rsid w:val="19F82A83"/>
    <w:rsid w:val="1A166AAA"/>
    <w:rsid w:val="1A206975"/>
    <w:rsid w:val="1A5067D8"/>
    <w:rsid w:val="1A597EAB"/>
    <w:rsid w:val="1A6A0DF1"/>
    <w:rsid w:val="1A8D5661"/>
    <w:rsid w:val="1A937228"/>
    <w:rsid w:val="1AA160CA"/>
    <w:rsid w:val="1AA54D32"/>
    <w:rsid w:val="1AB03D5D"/>
    <w:rsid w:val="1AD00981"/>
    <w:rsid w:val="1ADC1C1A"/>
    <w:rsid w:val="1B0B4CE9"/>
    <w:rsid w:val="1B304996"/>
    <w:rsid w:val="1BA6080F"/>
    <w:rsid w:val="1BB12F6A"/>
    <w:rsid w:val="1BC752FA"/>
    <w:rsid w:val="1C277A48"/>
    <w:rsid w:val="1C2A0C71"/>
    <w:rsid w:val="1C404155"/>
    <w:rsid w:val="1C7D2E60"/>
    <w:rsid w:val="1CAB4C49"/>
    <w:rsid w:val="1CD61AEE"/>
    <w:rsid w:val="1CDD6D9F"/>
    <w:rsid w:val="1D297FDA"/>
    <w:rsid w:val="1D2B18B9"/>
    <w:rsid w:val="1D4B65E0"/>
    <w:rsid w:val="1D520724"/>
    <w:rsid w:val="1D5454AB"/>
    <w:rsid w:val="1D674BC4"/>
    <w:rsid w:val="1D832105"/>
    <w:rsid w:val="1DAF6046"/>
    <w:rsid w:val="1DF93880"/>
    <w:rsid w:val="1E17083B"/>
    <w:rsid w:val="1E1A05B6"/>
    <w:rsid w:val="1E9C1FAD"/>
    <w:rsid w:val="1E9D66AD"/>
    <w:rsid w:val="1EC05E27"/>
    <w:rsid w:val="1EFD332E"/>
    <w:rsid w:val="1F03447A"/>
    <w:rsid w:val="1F3E1E0D"/>
    <w:rsid w:val="1F4145DE"/>
    <w:rsid w:val="1F9935F5"/>
    <w:rsid w:val="1FA145F1"/>
    <w:rsid w:val="1FC55C88"/>
    <w:rsid w:val="203C00B0"/>
    <w:rsid w:val="2074053F"/>
    <w:rsid w:val="2084510F"/>
    <w:rsid w:val="20AA6F98"/>
    <w:rsid w:val="20B74748"/>
    <w:rsid w:val="20C130C2"/>
    <w:rsid w:val="20E3048E"/>
    <w:rsid w:val="20F841A8"/>
    <w:rsid w:val="21292FC6"/>
    <w:rsid w:val="21307616"/>
    <w:rsid w:val="2177331E"/>
    <w:rsid w:val="21C54E8F"/>
    <w:rsid w:val="21D34B65"/>
    <w:rsid w:val="21E07613"/>
    <w:rsid w:val="21E53641"/>
    <w:rsid w:val="21FA4D67"/>
    <w:rsid w:val="220972CA"/>
    <w:rsid w:val="221D13E9"/>
    <w:rsid w:val="224065E9"/>
    <w:rsid w:val="22456E83"/>
    <w:rsid w:val="22462048"/>
    <w:rsid w:val="226F47E2"/>
    <w:rsid w:val="227278E8"/>
    <w:rsid w:val="22765CAC"/>
    <w:rsid w:val="22A91CCF"/>
    <w:rsid w:val="22C90BDB"/>
    <w:rsid w:val="230706D2"/>
    <w:rsid w:val="230B27C1"/>
    <w:rsid w:val="235D69C1"/>
    <w:rsid w:val="236166AD"/>
    <w:rsid w:val="23684E75"/>
    <w:rsid w:val="237B2429"/>
    <w:rsid w:val="23801573"/>
    <w:rsid w:val="23A91789"/>
    <w:rsid w:val="23AD1279"/>
    <w:rsid w:val="23BB3920"/>
    <w:rsid w:val="23C27030"/>
    <w:rsid w:val="23D14CE3"/>
    <w:rsid w:val="23ED200D"/>
    <w:rsid w:val="23F34774"/>
    <w:rsid w:val="23FD5041"/>
    <w:rsid w:val="24015975"/>
    <w:rsid w:val="2403533D"/>
    <w:rsid w:val="242757FF"/>
    <w:rsid w:val="242835F0"/>
    <w:rsid w:val="246345B8"/>
    <w:rsid w:val="246852E5"/>
    <w:rsid w:val="24C77D7F"/>
    <w:rsid w:val="24E94E26"/>
    <w:rsid w:val="24F141DF"/>
    <w:rsid w:val="25673449"/>
    <w:rsid w:val="25900E53"/>
    <w:rsid w:val="259F4932"/>
    <w:rsid w:val="25AF55B6"/>
    <w:rsid w:val="25BB0B7C"/>
    <w:rsid w:val="25BD0507"/>
    <w:rsid w:val="26006BF0"/>
    <w:rsid w:val="260B04D9"/>
    <w:rsid w:val="265F6C6A"/>
    <w:rsid w:val="26722306"/>
    <w:rsid w:val="267728D1"/>
    <w:rsid w:val="268A3AF4"/>
    <w:rsid w:val="268B27BF"/>
    <w:rsid w:val="26B22170"/>
    <w:rsid w:val="26CC2D1F"/>
    <w:rsid w:val="27001A98"/>
    <w:rsid w:val="27145206"/>
    <w:rsid w:val="273C1706"/>
    <w:rsid w:val="2767774A"/>
    <w:rsid w:val="27712B1F"/>
    <w:rsid w:val="279019FD"/>
    <w:rsid w:val="27960766"/>
    <w:rsid w:val="27BF00FA"/>
    <w:rsid w:val="27D72D1C"/>
    <w:rsid w:val="28006CED"/>
    <w:rsid w:val="28935E56"/>
    <w:rsid w:val="28B95682"/>
    <w:rsid w:val="28BF0690"/>
    <w:rsid w:val="28F159FD"/>
    <w:rsid w:val="29137678"/>
    <w:rsid w:val="29154452"/>
    <w:rsid w:val="294155C7"/>
    <w:rsid w:val="299918B2"/>
    <w:rsid w:val="29A75BC5"/>
    <w:rsid w:val="29DB1818"/>
    <w:rsid w:val="29ED5F9C"/>
    <w:rsid w:val="2A36003D"/>
    <w:rsid w:val="2A385FE8"/>
    <w:rsid w:val="2A720B27"/>
    <w:rsid w:val="2A7C7BF7"/>
    <w:rsid w:val="2AE22B7D"/>
    <w:rsid w:val="2B0547EA"/>
    <w:rsid w:val="2B0A0824"/>
    <w:rsid w:val="2B0A2F96"/>
    <w:rsid w:val="2B0E6D7D"/>
    <w:rsid w:val="2B1840F2"/>
    <w:rsid w:val="2B1A3EF1"/>
    <w:rsid w:val="2B1D5659"/>
    <w:rsid w:val="2B285689"/>
    <w:rsid w:val="2B7E2B60"/>
    <w:rsid w:val="2B88032C"/>
    <w:rsid w:val="2BB10388"/>
    <w:rsid w:val="2BE23A8A"/>
    <w:rsid w:val="2BE975ED"/>
    <w:rsid w:val="2C016606"/>
    <w:rsid w:val="2C283082"/>
    <w:rsid w:val="2C4A7132"/>
    <w:rsid w:val="2C532973"/>
    <w:rsid w:val="2C5C4906"/>
    <w:rsid w:val="2C971B37"/>
    <w:rsid w:val="2CB431B9"/>
    <w:rsid w:val="2CB50C49"/>
    <w:rsid w:val="2CC51E4D"/>
    <w:rsid w:val="2CDA56D6"/>
    <w:rsid w:val="2D0A34ED"/>
    <w:rsid w:val="2D104627"/>
    <w:rsid w:val="2D240956"/>
    <w:rsid w:val="2D241E80"/>
    <w:rsid w:val="2D2D1661"/>
    <w:rsid w:val="2D371D7D"/>
    <w:rsid w:val="2D3826E3"/>
    <w:rsid w:val="2D547805"/>
    <w:rsid w:val="2D7A43FD"/>
    <w:rsid w:val="2D9C7D09"/>
    <w:rsid w:val="2D9F6151"/>
    <w:rsid w:val="2DB8419B"/>
    <w:rsid w:val="2DD976CB"/>
    <w:rsid w:val="2DF14458"/>
    <w:rsid w:val="2DF24A3D"/>
    <w:rsid w:val="2DF778AD"/>
    <w:rsid w:val="2E0460B3"/>
    <w:rsid w:val="2E2868D9"/>
    <w:rsid w:val="2E370565"/>
    <w:rsid w:val="2E5A7C8B"/>
    <w:rsid w:val="2E642AC4"/>
    <w:rsid w:val="2E6C6002"/>
    <w:rsid w:val="2E8D74DB"/>
    <w:rsid w:val="2ECC698E"/>
    <w:rsid w:val="2ED2678F"/>
    <w:rsid w:val="2ED31EFF"/>
    <w:rsid w:val="2EE514A1"/>
    <w:rsid w:val="2F041F69"/>
    <w:rsid w:val="2F0A6542"/>
    <w:rsid w:val="2F3950D3"/>
    <w:rsid w:val="2F5618ED"/>
    <w:rsid w:val="2F8A08D9"/>
    <w:rsid w:val="2F925A84"/>
    <w:rsid w:val="2F9A4D44"/>
    <w:rsid w:val="2FEC2F3D"/>
    <w:rsid w:val="2FF37C75"/>
    <w:rsid w:val="2FFB28A7"/>
    <w:rsid w:val="2FFC488C"/>
    <w:rsid w:val="30575792"/>
    <w:rsid w:val="306B26E1"/>
    <w:rsid w:val="30A56F22"/>
    <w:rsid w:val="30AA03C9"/>
    <w:rsid w:val="30F775BA"/>
    <w:rsid w:val="311A0E00"/>
    <w:rsid w:val="3120227A"/>
    <w:rsid w:val="31372DB3"/>
    <w:rsid w:val="31682C84"/>
    <w:rsid w:val="31706B16"/>
    <w:rsid w:val="31734F69"/>
    <w:rsid w:val="31783234"/>
    <w:rsid w:val="31B41A25"/>
    <w:rsid w:val="31DD4494"/>
    <w:rsid w:val="31EE13DB"/>
    <w:rsid w:val="31F0247C"/>
    <w:rsid w:val="31FD7E1E"/>
    <w:rsid w:val="32085B4F"/>
    <w:rsid w:val="322A7FAB"/>
    <w:rsid w:val="322F347C"/>
    <w:rsid w:val="32725C08"/>
    <w:rsid w:val="32DA5129"/>
    <w:rsid w:val="32F6606D"/>
    <w:rsid w:val="330253ED"/>
    <w:rsid w:val="33072028"/>
    <w:rsid w:val="335324C8"/>
    <w:rsid w:val="335343B4"/>
    <w:rsid w:val="33854D57"/>
    <w:rsid w:val="33AB45DD"/>
    <w:rsid w:val="33B026C0"/>
    <w:rsid w:val="33B757FC"/>
    <w:rsid w:val="33CB76E0"/>
    <w:rsid w:val="33CE2A3E"/>
    <w:rsid w:val="33D959F8"/>
    <w:rsid w:val="33E37E55"/>
    <w:rsid w:val="33F16EFD"/>
    <w:rsid w:val="342E28E8"/>
    <w:rsid w:val="34312E68"/>
    <w:rsid w:val="34627D53"/>
    <w:rsid w:val="3468751B"/>
    <w:rsid w:val="34794FB6"/>
    <w:rsid w:val="34A30017"/>
    <w:rsid w:val="34A53E9F"/>
    <w:rsid w:val="34AF2E92"/>
    <w:rsid w:val="34CD49C4"/>
    <w:rsid w:val="34DE4E29"/>
    <w:rsid w:val="34FA7A5F"/>
    <w:rsid w:val="35314BA5"/>
    <w:rsid w:val="356731BB"/>
    <w:rsid w:val="3572587B"/>
    <w:rsid w:val="35DA4596"/>
    <w:rsid w:val="36070CBD"/>
    <w:rsid w:val="361D0B45"/>
    <w:rsid w:val="36384CA0"/>
    <w:rsid w:val="365B6088"/>
    <w:rsid w:val="366F6862"/>
    <w:rsid w:val="36737945"/>
    <w:rsid w:val="3674492E"/>
    <w:rsid w:val="368E37ED"/>
    <w:rsid w:val="369209E8"/>
    <w:rsid w:val="369938DF"/>
    <w:rsid w:val="36A512FA"/>
    <w:rsid w:val="36DC6758"/>
    <w:rsid w:val="36E476EF"/>
    <w:rsid w:val="371A5A0B"/>
    <w:rsid w:val="372F2CAD"/>
    <w:rsid w:val="37440701"/>
    <w:rsid w:val="37533B10"/>
    <w:rsid w:val="376637AC"/>
    <w:rsid w:val="37667CB5"/>
    <w:rsid w:val="37764879"/>
    <w:rsid w:val="377E12A3"/>
    <w:rsid w:val="37D004A7"/>
    <w:rsid w:val="37D416A4"/>
    <w:rsid w:val="380F1329"/>
    <w:rsid w:val="38214B8B"/>
    <w:rsid w:val="382267F0"/>
    <w:rsid w:val="382470D2"/>
    <w:rsid w:val="38274581"/>
    <w:rsid w:val="385507AA"/>
    <w:rsid w:val="38586507"/>
    <w:rsid w:val="3864392A"/>
    <w:rsid w:val="38A87E0A"/>
    <w:rsid w:val="38EC50D0"/>
    <w:rsid w:val="38F84E03"/>
    <w:rsid w:val="38F97119"/>
    <w:rsid w:val="39303E9A"/>
    <w:rsid w:val="393074E8"/>
    <w:rsid w:val="39355B41"/>
    <w:rsid w:val="39371B9C"/>
    <w:rsid w:val="39474C70"/>
    <w:rsid w:val="394D6FA7"/>
    <w:rsid w:val="398E0333"/>
    <w:rsid w:val="39992224"/>
    <w:rsid w:val="39AC422D"/>
    <w:rsid w:val="39D277BD"/>
    <w:rsid w:val="39D44FBA"/>
    <w:rsid w:val="39E77B05"/>
    <w:rsid w:val="39FC040D"/>
    <w:rsid w:val="3A06303A"/>
    <w:rsid w:val="3A1E3D32"/>
    <w:rsid w:val="3A304530"/>
    <w:rsid w:val="3A3842A1"/>
    <w:rsid w:val="3A4E2E71"/>
    <w:rsid w:val="3AC23C2B"/>
    <w:rsid w:val="3ADF0492"/>
    <w:rsid w:val="3B4C0F20"/>
    <w:rsid w:val="3B55499D"/>
    <w:rsid w:val="3B654785"/>
    <w:rsid w:val="3B660234"/>
    <w:rsid w:val="3B8A5801"/>
    <w:rsid w:val="3B9C552E"/>
    <w:rsid w:val="3BFF50CF"/>
    <w:rsid w:val="3C0B7739"/>
    <w:rsid w:val="3C123996"/>
    <w:rsid w:val="3C524CD8"/>
    <w:rsid w:val="3C6F092F"/>
    <w:rsid w:val="3C6F47FD"/>
    <w:rsid w:val="3C9C021C"/>
    <w:rsid w:val="3CD3621D"/>
    <w:rsid w:val="3CFF704B"/>
    <w:rsid w:val="3D16727E"/>
    <w:rsid w:val="3D1A2F01"/>
    <w:rsid w:val="3D1B23E9"/>
    <w:rsid w:val="3D1C79B4"/>
    <w:rsid w:val="3D597514"/>
    <w:rsid w:val="3D7B3F30"/>
    <w:rsid w:val="3E54783E"/>
    <w:rsid w:val="3E5F0F6A"/>
    <w:rsid w:val="3E660B86"/>
    <w:rsid w:val="3E783A05"/>
    <w:rsid w:val="3E841F90"/>
    <w:rsid w:val="3E857A0F"/>
    <w:rsid w:val="3EB523B7"/>
    <w:rsid w:val="3EFA658C"/>
    <w:rsid w:val="3F1C754A"/>
    <w:rsid w:val="3F442E52"/>
    <w:rsid w:val="3F515A93"/>
    <w:rsid w:val="3F6D6214"/>
    <w:rsid w:val="3F715B87"/>
    <w:rsid w:val="3F794602"/>
    <w:rsid w:val="3FB0631E"/>
    <w:rsid w:val="3FB15386"/>
    <w:rsid w:val="3FE41961"/>
    <w:rsid w:val="3FFF1D94"/>
    <w:rsid w:val="4006103B"/>
    <w:rsid w:val="401E455E"/>
    <w:rsid w:val="40553662"/>
    <w:rsid w:val="40D92599"/>
    <w:rsid w:val="40F31F30"/>
    <w:rsid w:val="40F40090"/>
    <w:rsid w:val="40F415EF"/>
    <w:rsid w:val="4109151B"/>
    <w:rsid w:val="411532F7"/>
    <w:rsid w:val="41C36DF9"/>
    <w:rsid w:val="41E60C52"/>
    <w:rsid w:val="41FD7266"/>
    <w:rsid w:val="420B4088"/>
    <w:rsid w:val="421D5E85"/>
    <w:rsid w:val="426370D2"/>
    <w:rsid w:val="42652422"/>
    <w:rsid w:val="426873E8"/>
    <w:rsid w:val="42945933"/>
    <w:rsid w:val="429C7F30"/>
    <w:rsid w:val="42AD499A"/>
    <w:rsid w:val="42CD085A"/>
    <w:rsid w:val="42DC34B6"/>
    <w:rsid w:val="42E13148"/>
    <w:rsid w:val="42EA12B5"/>
    <w:rsid w:val="432329D7"/>
    <w:rsid w:val="43360F8B"/>
    <w:rsid w:val="43402BE1"/>
    <w:rsid w:val="43460E02"/>
    <w:rsid w:val="43673047"/>
    <w:rsid w:val="438A0837"/>
    <w:rsid w:val="439E57CE"/>
    <w:rsid w:val="43E837B0"/>
    <w:rsid w:val="43FC6EB9"/>
    <w:rsid w:val="441477C8"/>
    <w:rsid w:val="44404BA1"/>
    <w:rsid w:val="444214C3"/>
    <w:rsid w:val="449A796D"/>
    <w:rsid w:val="44E47DC8"/>
    <w:rsid w:val="44EE4DF6"/>
    <w:rsid w:val="45040631"/>
    <w:rsid w:val="45237CC4"/>
    <w:rsid w:val="459A0CB8"/>
    <w:rsid w:val="45D4410E"/>
    <w:rsid w:val="45FA2ECF"/>
    <w:rsid w:val="46215AA4"/>
    <w:rsid w:val="4642189D"/>
    <w:rsid w:val="46636BF5"/>
    <w:rsid w:val="46802BDF"/>
    <w:rsid w:val="469A6AFE"/>
    <w:rsid w:val="46AD5B4E"/>
    <w:rsid w:val="46B26B98"/>
    <w:rsid w:val="46C91677"/>
    <w:rsid w:val="46CB0614"/>
    <w:rsid w:val="46D6235B"/>
    <w:rsid w:val="46EA58B1"/>
    <w:rsid w:val="46F11042"/>
    <w:rsid w:val="470149F3"/>
    <w:rsid w:val="4732528E"/>
    <w:rsid w:val="475A46E6"/>
    <w:rsid w:val="476E221E"/>
    <w:rsid w:val="47723308"/>
    <w:rsid w:val="477A7BDE"/>
    <w:rsid w:val="477D5F0A"/>
    <w:rsid w:val="478A34FC"/>
    <w:rsid w:val="478B6D6D"/>
    <w:rsid w:val="47A476DC"/>
    <w:rsid w:val="47B43096"/>
    <w:rsid w:val="47C44123"/>
    <w:rsid w:val="47F21489"/>
    <w:rsid w:val="47F837E0"/>
    <w:rsid w:val="480371F6"/>
    <w:rsid w:val="485E24B5"/>
    <w:rsid w:val="487216E8"/>
    <w:rsid w:val="488B30BD"/>
    <w:rsid w:val="48A22978"/>
    <w:rsid w:val="48DE4D14"/>
    <w:rsid w:val="48FF5824"/>
    <w:rsid w:val="49001FC6"/>
    <w:rsid w:val="492C413F"/>
    <w:rsid w:val="494F67AB"/>
    <w:rsid w:val="49663AF5"/>
    <w:rsid w:val="496A035A"/>
    <w:rsid w:val="49F83FE5"/>
    <w:rsid w:val="4A3F7C9D"/>
    <w:rsid w:val="4A4968C9"/>
    <w:rsid w:val="4A506B6A"/>
    <w:rsid w:val="4A917C3E"/>
    <w:rsid w:val="4AAD3641"/>
    <w:rsid w:val="4AC24D5B"/>
    <w:rsid w:val="4AF83F85"/>
    <w:rsid w:val="4B187071"/>
    <w:rsid w:val="4B321E6E"/>
    <w:rsid w:val="4B5811AD"/>
    <w:rsid w:val="4B5A314F"/>
    <w:rsid w:val="4B626DC4"/>
    <w:rsid w:val="4B7525A6"/>
    <w:rsid w:val="4B907CBF"/>
    <w:rsid w:val="4BA31E30"/>
    <w:rsid w:val="4BBE1841"/>
    <w:rsid w:val="4BEE0D3C"/>
    <w:rsid w:val="4C1D5B96"/>
    <w:rsid w:val="4C2527EB"/>
    <w:rsid w:val="4C3466D3"/>
    <w:rsid w:val="4C4C6FD2"/>
    <w:rsid w:val="4C760506"/>
    <w:rsid w:val="4C7D53DD"/>
    <w:rsid w:val="4C8012C6"/>
    <w:rsid w:val="4C8F707B"/>
    <w:rsid w:val="4CA56A35"/>
    <w:rsid w:val="4D330C8C"/>
    <w:rsid w:val="4D3D2DBF"/>
    <w:rsid w:val="4D4C0259"/>
    <w:rsid w:val="4D8C673F"/>
    <w:rsid w:val="4DB34E2F"/>
    <w:rsid w:val="4DC816AE"/>
    <w:rsid w:val="4DFD3C82"/>
    <w:rsid w:val="4DFE6F9D"/>
    <w:rsid w:val="4E1E1598"/>
    <w:rsid w:val="4E25121E"/>
    <w:rsid w:val="4EB20A1B"/>
    <w:rsid w:val="4ED10696"/>
    <w:rsid w:val="4EE44C9C"/>
    <w:rsid w:val="4EEF09D9"/>
    <w:rsid w:val="4F146336"/>
    <w:rsid w:val="4F301FC2"/>
    <w:rsid w:val="4FAFB9D8"/>
    <w:rsid w:val="4FB21308"/>
    <w:rsid w:val="4FB27D0D"/>
    <w:rsid w:val="4FB5171F"/>
    <w:rsid w:val="4FDE25AA"/>
    <w:rsid w:val="4FFF5169"/>
    <w:rsid w:val="500E2171"/>
    <w:rsid w:val="50204426"/>
    <w:rsid w:val="50544C4E"/>
    <w:rsid w:val="507D7F9B"/>
    <w:rsid w:val="50B06FC4"/>
    <w:rsid w:val="50CD0660"/>
    <w:rsid w:val="51016F61"/>
    <w:rsid w:val="511E6A63"/>
    <w:rsid w:val="517058DC"/>
    <w:rsid w:val="51AB4270"/>
    <w:rsid w:val="51AE0D11"/>
    <w:rsid w:val="51B3364F"/>
    <w:rsid w:val="51C5653D"/>
    <w:rsid w:val="51CD1CEE"/>
    <w:rsid w:val="51E20656"/>
    <w:rsid w:val="51E34174"/>
    <w:rsid w:val="51EF7344"/>
    <w:rsid w:val="51F65C3D"/>
    <w:rsid w:val="52083239"/>
    <w:rsid w:val="521F7D3E"/>
    <w:rsid w:val="522709EE"/>
    <w:rsid w:val="52285DEB"/>
    <w:rsid w:val="523973C1"/>
    <w:rsid w:val="527C6BB0"/>
    <w:rsid w:val="52851C6D"/>
    <w:rsid w:val="52B4570F"/>
    <w:rsid w:val="52D50DC9"/>
    <w:rsid w:val="52E172CA"/>
    <w:rsid w:val="53043434"/>
    <w:rsid w:val="53105563"/>
    <w:rsid w:val="534F4EDB"/>
    <w:rsid w:val="535F138C"/>
    <w:rsid w:val="536A5F90"/>
    <w:rsid w:val="53A52A87"/>
    <w:rsid w:val="53D31560"/>
    <w:rsid w:val="53D53D51"/>
    <w:rsid w:val="54086A30"/>
    <w:rsid w:val="541A1764"/>
    <w:rsid w:val="54256E19"/>
    <w:rsid w:val="54342F09"/>
    <w:rsid w:val="543C047C"/>
    <w:rsid w:val="543C3027"/>
    <w:rsid w:val="543F3BC9"/>
    <w:rsid w:val="545B2902"/>
    <w:rsid w:val="5462224C"/>
    <w:rsid w:val="54957D5E"/>
    <w:rsid w:val="54990BE6"/>
    <w:rsid w:val="54D97674"/>
    <w:rsid w:val="54DC09A2"/>
    <w:rsid w:val="55027C53"/>
    <w:rsid w:val="55747E44"/>
    <w:rsid w:val="55DE4BFD"/>
    <w:rsid w:val="55DE6552"/>
    <w:rsid w:val="55ED715E"/>
    <w:rsid w:val="55EE68C2"/>
    <w:rsid w:val="55F821A8"/>
    <w:rsid w:val="55F8384F"/>
    <w:rsid w:val="56075D18"/>
    <w:rsid w:val="56224489"/>
    <w:rsid w:val="565F35D2"/>
    <w:rsid w:val="56953D3C"/>
    <w:rsid w:val="56A417B8"/>
    <w:rsid w:val="56C146F7"/>
    <w:rsid w:val="574F35D4"/>
    <w:rsid w:val="577B58B1"/>
    <w:rsid w:val="57E57349"/>
    <w:rsid w:val="580B2ECA"/>
    <w:rsid w:val="58445680"/>
    <w:rsid w:val="585272E5"/>
    <w:rsid w:val="586456A3"/>
    <w:rsid w:val="589B4CFF"/>
    <w:rsid w:val="5910753B"/>
    <w:rsid w:val="5954396A"/>
    <w:rsid w:val="59815DE1"/>
    <w:rsid w:val="598C4751"/>
    <w:rsid w:val="59AE54DA"/>
    <w:rsid w:val="59D14FBA"/>
    <w:rsid w:val="59D93E6F"/>
    <w:rsid w:val="59EE281F"/>
    <w:rsid w:val="59F20A8D"/>
    <w:rsid w:val="5A0031AA"/>
    <w:rsid w:val="5A201A9E"/>
    <w:rsid w:val="5A201BE3"/>
    <w:rsid w:val="5A346D9D"/>
    <w:rsid w:val="5A3D26D6"/>
    <w:rsid w:val="5A734511"/>
    <w:rsid w:val="5AE24170"/>
    <w:rsid w:val="5B19501C"/>
    <w:rsid w:val="5B251ED4"/>
    <w:rsid w:val="5B2D663D"/>
    <w:rsid w:val="5B3851A2"/>
    <w:rsid w:val="5B552493"/>
    <w:rsid w:val="5B8444D9"/>
    <w:rsid w:val="5BBD4A2F"/>
    <w:rsid w:val="5C3B1962"/>
    <w:rsid w:val="5C6055EE"/>
    <w:rsid w:val="5C763442"/>
    <w:rsid w:val="5C926290"/>
    <w:rsid w:val="5CB37E02"/>
    <w:rsid w:val="5CBC6D34"/>
    <w:rsid w:val="5CC47E5C"/>
    <w:rsid w:val="5CCE23AD"/>
    <w:rsid w:val="5CD150E5"/>
    <w:rsid w:val="5D292DCB"/>
    <w:rsid w:val="5D3C1F8D"/>
    <w:rsid w:val="5D4A189E"/>
    <w:rsid w:val="5D5F3475"/>
    <w:rsid w:val="5D87241F"/>
    <w:rsid w:val="5D9E1657"/>
    <w:rsid w:val="5DDC431E"/>
    <w:rsid w:val="5E116334"/>
    <w:rsid w:val="5E5670DE"/>
    <w:rsid w:val="5E8E7675"/>
    <w:rsid w:val="5E923168"/>
    <w:rsid w:val="5ED4146F"/>
    <w:rsid w:val="5ED94F6C"/>
    <w:rsid w:val="5EEF779E"/>
    <w:rsid w:val="5EFF2E95"/>
    <w:rsid w:val="5F532079"/>
    <w:rsid w:val="5F69243D"/>
    <w:rsid w:val="5F6D1211"/>
    <w:rsid w:val="5F7E6FF1"/>
    <w:rsid w:val="5F930AB8"/>
    <w:rsid w:val="5FA0502E"/>
    <w:rsid w:val="5FE761F5"/>
    <w:rsid w:val="600125B9"/>
    <w:rsid w:val="605E7294"/>
    <w:rsid w:val="6085297F"/>
    <w:rsid w:val="60940A9B"/>
    <w:rsid w:val="61234433"/>
    <w:rsid w:val="6144535B"/>
    <w:rsid w:val="614C15ED"/>
    <w:rsid w:val="61695AD8"/>
    <w:rsid w:val="617A5F38"/>
    <w:rsid w:val="61865FA4"/>
    <w:rsid w:val="61964A4A"/>
    <w:rsid w:val="61BB1975"/>
    <w:rsid w:val="61D45B9B"/>
    <w:rsid w:val="620C3034"/>
    <w:rsid w:val="622F5C12"/>
    <w:rsid w:val="623A4403"/>
    <w:rsid w:val="6254498E"/>
    <w:rsid w:val="626B3B81"/>
    <w:rsid w:val="62867278"/>
    <w:rsid w:val="62A24FD3"/>
    <w:rsid w:val="62B23BC7"/>
    <w:rsid w:val="62DF145B"/>
    <w:rsid w:val="62E7062B"/>
    <w:rsid w:val="62E71156"/>
    <w:rsid w:val="62F447CE"/>
    <w:rsid w:val="630F6539"/>
    <w:rsid w:val="631C2B20"/>
    <w:rsid w:val="6320601F"/>
    <w:rsid w:val="632E2CCC"/>
    <w:rsid w:val="632F5DF3"/>
    <w:rsid w:val="637B626B"/>
    <w:rsid w:val="637D3ABD"/>
    <w:rsid w:val="63822E81"/>
    <w:rsid w:val="639A641D"/>
    <w:rsid w:val="63B12DAC"/>
    <w:rsid w:val="63C51E90"/>
    <w:rsid w:val="63C91B72"/>
    <w:rsid w:val="63CF21C3"/>
    <w:rsid w:val="63D41E0B"/>
    <w:rsid w:val="63E95A93"/>
    <w:rsid w:val="63F21593"/>
    <w:rsid w:val="63FB4753"/>
    <w:rsid w:val="64130742"/>
    <w:rsid w:val="644E48CA"/>
    <w:rsid w:val="64680078"/>
    <w:rsid w:val="646B496B"/>
    <w:rsid w:val="6482677A"/>
    <w:rsid w:val="6497295D"/>
    <w:rsid w:val="64B5059A"/>
    <w:rsid w:val="64C0772E"/>
    <w:rsid w:val="64D82091"/>
    <w:rsid w:val="64DB5ED0"/>
    <w:rsid w:val="64E029E1"/>
    <w:rsid w:val="64E75692"/>
    <w:rsid w:val="64E76E5D"/>
    <w:rsid w:val="64F8257C"/>
    <w:rsid w:val="650100A2"/>
    <w:rsid w:val="65097B4F"/>
    <w:rsid w:val="6533730C"/>
    <w:rsid w:val="653A2B8A"/>
    <w:rsid w:val="65406093"/>
    <w:rsid w:val="65497600"/>
    <w:rsid w:val="65593F5D"/>
    <w:rsid w:val="65884866"/>
    <w:rsid w:val="65891518"/>
    <w:rsid w:val="658D448B"/>
    <w:rsid w:val="65A22204"/>
    <w:rsid w:val="65A97358"/>
    <w:rsid w:val="65AC3321"/>
    <w:rsid w:val="65CB5681"/>
    <w:rsid w:val="65E84D5F"/>
    <w:rsid w:val="660C375D"/>
    <w:rsid w:val="663542AF"/>
    <w:rsid w:val="668B029F"/>
    <w:rsid w:val="66A873A6"/>
    <w:rsid w:val="66CD5F23"/>
    <w:rsid w:val="66EF6A80"/>
    <w:rsid w:val="66FD3ACF"/>
    <w:rsid w:val="67002856"/>
    <w:rsid w:val="67081DB1"/>
    <w:rsid w:val="671D04B7"/>
    <w:rsid w:val="672F50CE"/>
    <w:rsid w:val="673268F2"/>
    <w:rsid w:val="67701963"/>
    <w:rsid w:val="67757A8E"/>
    <w:rsid w:val="67867AF0"/>
    <w:rsid w:val="682A6F67"/>
    <w:rsid w:val="682E2020"/>
    <w:rsid w:val="68434B55"/>
    <w:rsid w:val="68727AEC"/>
    <w:rsid w:val="687A6264"/>
    <w:rsid w:val="68832F12"/>
    <w:rsid w:val="68B24004"/>
    <w:rsid w:val="68D23947"/>
    <w:rsid w:val="68E54CA7"/>
    <w:rsid w:val="690E4D58"/>
    <w:rsid w:val="691C06C6"/>
    <w:rsid w:val="692F61A4"/>
    <w:rsid w:val="694E3B6A"/>
    <w:rsid w:val="694F391D"/>
    <w:rsid w:val="69525C1A"/>
    <w:rsid w:val="699D1527"/>
    <w:rsid w:val="69E25394"/>
    <w:rsid w:val="69E33F16"/>
    <w:rsid w:val="69FD6740"/>
    <w:rsid w:val="69FF54D8"/>
    <w:rsid w:val="6A10568B"/>
    <w:rsid w:val="6A2B3F64"/>
    <w:rsid w:val="6A32554A"/>
    <w:rsid w:val="6A4115E1"/>
    <w:rsid w:val="6AC93460"/>
    <w:rsid w:val="6AE82399"/>
    <w:rsid w:val="6AFC1C3B"/>
    <w:rsid w:val="6B0C35EC"/>
    <w:rsid w:val="6B137AA4"/>
    <w:rsid w:val="6BAE1FE0"/>
    <w:rsid w:val="6BC241B2"/>
    <w:rsid w:val="6BC32F47"/>
    <w:rsid w:val="6BE8148D"/>
    <w:rsid w:val="6BF02B9A"/>
    <w:rsid w:val="6BF25B74"/>
    <w:rsid w:val="6BF608B1"/>
    <w:rsid w:val="6C1D327B"/>
    <w:rsid w:val="6C376397"/>
    <w:rsid w:val="6C8D0684"/>
    <w:rsid w:val="6C9F2CF6"/>
    <w:rsid w:val="6CB3271C"/>
    <w:rsid w:val="6CBC1B01"/>
    <w:rsid w:val="6CE2606A"/>
    <w:rsid w:val="6D1837C6"/>
    <w:rsid w:val="6D252CE7"/>
    <w:rsid w:val="6D341690"/>
    <w:rsid w:val="6D497F64"/>
    <w:rsid w:val="6D530A73"/>
    <w:rsid w:val="6D531F38"/>
    <w:rsid w:val="6D594B9F"/>
    <w:rsid w:val="6D8850D1"/>
    <w:rsid w:val="6DAB33F9"/>
    <w:rsid w:val="6DB663A6"/>
    <w:rsid w:val="6DCF49BF"/>
    <w:rsid w:val="6DE82327"/>
    <w:rsid w:val="6DF02BC2"/>
    <w:rsid w:val="6E072901"/>
    <w:rsid w:val="6E2A23D7"/>
    <w:rsid w:val="6E6D6B1A"/>
    <w:rsid w:val="6E7855AD"/>
    <w:rsid w:val="6EB36409"/>
    <w:rsid w:val="6EC46ED0"/>
    <w:rsid w:val="6F2467A6"/>
    <w:rsid w:val="6F2B0ABC"/>
    <w:rsid w:val="6F2D48F6"/>
    <w:rsid w:val="6F482C6E"/>
    <w:rsid w:val="6F562E9A"/>
    <w:rsid w:val="6FB52842"/>
    <w:rsid w:val="6FD85ED7"/>
    <w:rsid w:val="6FE97825"/>
    <w:rsid w:val="70282012"/>
    <w:rsid w:val="70335F92"/>
    <w:rsid w:val="704400A5"/>
    <w:rsid w:val="70550FFA"/>
    <w:rsid w:val="70827584"/>
    <w:rsid w:val="70B56FFA"/>
    <w:rsid w:val="70EF0E74"/>
    <w:rsid w:val="71241F38"/>
    <w:rsid w:val="71294479"/>
    <w:rsid w:val="71340900"/>
    <w:rsid w:val="713647EF"/>
    <w:rsid w:val="715229F5"/>
    <w:rsid w:val="715428DF"/>
    <w:rsid w:val="715440AF"/>
    <w:rsid w:val="71956476"/>
    <w:rsid w:val="71AB503C"/>
    <w:rsid w:val="71C01301"/>
    <w:rsid w:val="71D03FC6"/>
    <w:rsid w:val="71EF6B9F"/>
    <w:rsid w:val="720F676A"/>
    <w:rsid w:val="72181581"/>
    <w:rsid w:val="721D06AD"/>
    <w:rsid w:val="72A021AF"/>
    <w:rsid w:val="72A3486F"/>
    <w:rsid w:val="72C9671B"/>
    <w:rsid w:val="73322C6F"/>
    <w:rsid w:val="733463A5"/>
    <w:rsid w:val="73413A65"/>
    <w:rsid w:val="737207E2"/>
    <w:rsid w:val="73973CDB"/>
    <w:rsid w:val="739F03F3"/>
    <w:rsid w:val="73A013FE"/>
    <w:rsid w:val="73AF51C4"/>
    <w:rsid w:val="73E44209"/>
    <w:rsid w:val="740C7950"/>
    <w:rsid w:val="74163470"/>
    <w:rsid w:val="74340667"/>
    <w:rsid w:val="743C0231"/>
    <w:rsid w:val="747964D4"/>
    <w:rsid w:val="74921CF0"/>
    <w:rsid w:val="74CB752F"/>
    <w:rsid w:val="74DC34A0"/>
    <w:rsid w:val="74F57957"/>
    <w:rsid w:val="751B5BB6"/>
    <w:rsid w:val="7530273D"/>
    <w:rsid w:val="753531A1"/>
    <w:rsid w:val="753B5890"/>
    <w:rsid w:val="75556648"/>
    <w:rsid w:val="75634503"/>
    <w:rsid w:val="757665C2"/>
    <w:rsid w:val="75BF30E6"/>
    <w:rsid w:val="75C0301E"/>
    <w:rsid w:val="75FC2F67"/>
    <w:rsid w:val="75FE3F51"/>
    <w:rsid w:val="7600508C"/>
    <w:rsid w:val="760216B3"/>
    <w:rsid w:val="76133814"/>
    <w:rsid w:val="761E2EDE"/>
    <w:rsid w:val="764C1D31"/>
    <w:rsid w:val="768160D9"/>
    <w:rsid w:val="768674F2"/>
    <w:rsid w:val="76A472EE"/>
    <w:rsid w:val="76A52C35"/>
    <w:rsid w:val="76AC04E9"/>
    <w:rsid w:val="770D6FB1"/>
    <w:rsid w:val="7723261B"/>
    <w:rsid w:val="773D1E0C"/>
    <w:rsid w:val="77D32D2B"/>
    <w:rsid w:val="77E6661F"/>
    <w:rsid w:val="77E93513"/>
    <w:rsid w:val="780003DF"/>
    <w:rsid w:val="780F540E"/>
    <w:rsid w:val="782A4738"/>
    <w:rsid w:val="7848230C"/>
    <w:rsid w:val="78686692"/>
    <w:rsid w:val="786B1CDE"/>
    <w:rsid w:val="78736406"/>
    <w:rsid w:val="78BE1364"/>
    <w:rsid w:val="78C71A6C"/>
    <w:rsid w:val="78CA6944"/>
    <w:rsid w:val="78F975FD"/>
    <w:rsid w:val="790436F6"/>
    <w:rsid w:val="791156F9"/>
    <w:rsid w:val="7917313C"/>
    <w:rsid w:val="792233A2"/>
    <w:rsid w:val="793E4426"/>
    <w:rsid w:val="798A01C9"/>
    <w:rsid w:val="79967C5A"/>
    <w:rsid w:val="79D85537"/>
    <w:rsid w:val="7A401675"/>
    <w:rsid w:val="7A4543A9"/>
    <w:rsid w:val="7A4D5B40"/>
    <w:rsid w:val="7A562B5D"/>
    <w:rsid w:val="7A763F6D"/>
    <w:rsid w:val="7A8C2E05"/>
    <w:rsid w:val="7A973F3C"/>
    <w:rsid w:val="7AB365B5"/>
    <w:rsid w:val="7AC91C3D"/>
    <w:rsid w:val="7AD77E0C"/>
    <w:rsid w:val="7AE462EC"/>
    <w:rsid w:val="7B193C74"/>
    <w:rsid w:val="7B206849"/>
    <w:rsid w:val="7B551150"/>
    <w:rsid w:val="7B5D6256"/>
    <w:rsid w:val="7B8D35B8"/>
    <w:rsid w:val="7BB82601"/>
    <w:rsid w:val="7BD80EDF"/>
    <w:rsid w:val="7BD83B2F"/>
    <w:rsid w:val="7BFE3BFC"/>
    <w:rsid w:val="7C263491"/>
    <w:rsid w:val="7C2D79C3"/>
    <w:rsid w:val="7C3F1B77"/>
    <w:rsid w:val="7C652932"/>
    <w:rsid w:val="7C6C09D6"/>
    <w:rsid w:val="7C725DA2"/>
    <w:rsid w:val="7C794737"/>
    <w:rsid w:val="7C7B2C62"/>
    <w:rsid w:val="7C8363A2"/>
    <w:rsid w:val="7CA363BB"/>
    <w:rsid w:val="7D023473"/>
    <w:rsid w:val="7D034BDB"/>
    <w:rsid w:val="7D3F55E8"/>
    <w:rsid w:val="7D474D4D"/>
    <w:rsid w:val="7D537CCE"/>
    <w:rsid w:val="7D5E655A"/>
    <w:rsid w:val="7D5F64E8"/>
    <w:rsid w:val="7D715FE9"/>
    <w:rsid w:val="7D755AD9"/>
    <w:rsid w:val="7D7828B6"/>
    <w:rsid w:val="7D871FB3"/>
    <w:rsid w:val="7D895DC0"/>
    <w:rsid w:val="7DFF51C9"/>
    <w:rsid w:val="7E020282"/>
    <w:rsid w:val="7E12333D"/>
    <w:rsid w:val="7E357016"/>
    <w:rsid w:val="7E594D16"/>
    <w:rsid w:val="7E739E2A"/>
    <w:rsid w:val="7ED874A1"/>
    <w:rsid w:val="7EE06362"/>
    <w:rsid w:val="7EE822DB"/>
    <w:rsid w:val="7F167902"/>
    <w:rsid w:val="7F281BAB"/>
    <w:rsid w:val="7F324AA5"/>
    <w:rsid w:val="7F403EC5"/>
    <w:rsid w:val="7F4C286A"/>
    <w:rsid w:val="7F4D5D2C"/>
    <w:rsid w:val="7F5B0A7E"/>
    <w:rsid w:val="7F5D2062"/>
    <w:rsid w:val="7F5D465E"/>
    <w:rsid w:val="7FA23EEB"/>
    <w:rsid w:val="7FA43C06"/>
    <w:rsid w:val="7FB36D7E"/>
    <w:rsid w:val="7FD178C3"/>
    <w:rsid w:val="7FDD24EF"/>
    <w:rsid w:val="7FEB71F4"/>
    <w:rsid w:val="7FFF806A"/>
    <w:rsid w:val="AFFD10D7"/>
    <w:rsid w:val="D7F35F03"/>
    <w:rsid w:val="DB896058"/>
    <w:rsid w:val="DC7B73B6"/>
    <w:rsid w:val="E42BC440"/>
    <w:rsid w:val="EBFF0ADE"/>
    <w:rsid w:val="EFBD9D42"/>
    <w:rsid w:val="F3FB8483"/>
    <w:rsid w:val="F9FD68E7"/>
    <w:rsid w:val="FBD7BCA3"/>
    <w:rsid w:val="FC07E952"/>
    <w:rsid w:val="FF7C2DB3"/>
    <w:rsid w:val="FFE67C85"/>
    <w:rsid w:val="FFEAA4A6"/>
    <w:rsid w:val="FFFF5BD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textAlignment w:val="baseline"/>
    </w:pPr>
    <w:rPr>
      <w:rFonts w:ascii="Times New Roman" w:hAnsi="Times New Roman" w:eastAsia="宋体" w:cs="Times New Roman"/>
      <w:sz w:val="24"/>
      <w:lang w:val="en-US" w:eastAsia="zh-CN" w:bidi="ar-SA"/>
    </w:rPr>
  </w:style>
  <w:style w:type="paragraph" w:styleId="3">
    <w:name w:val="heading 1"/>
    <w:basedOn w:val="1"/>
    <w:next w:val="1"/>
    <w:qFormat/>
    <w:uiPriority w:val="0"/>
    <w:pPr>
      <w:pageBreakBefore/>
      <w:numPr>
        <w:ilvl w:val="0"/>
        <w:numId w:val="1"/>
      </w:numPr>
      <w:tabs>
        <w:tab w:val="left" w:pos="360"/>
      </w:tabs>
      <w:spacing w:before="480" w:after="240"/>
      <w:jc w:val="center"/>
      <w:outlineLvl w:val="0"/>
    </w:pPr>
    <w:rPr>
      <w:b/>
      <w:sz w:val="44"/>
    </w:rPr>
  </w:style>
  <w:style w:type="paragraph" w:styleId="2">
    <w:name w:val="heading 2"/>
    <w:basedOn w:val="1"/>
    <w:next w:val="1"/>
    <w:link w:val="44"/>
    <w:qFormat/>
    <w:uiPriority w:val="0"/>
    <w:pPr>
      <w:keepLines/>
      <w:widowControl/>
      <w:numPr>
        <w:ilvl w:val="1"/>
        <w:numId w:val="1"/>
      </w:numPr>
      <w:tabs>
        <w:tab w:val="left" w:pos="720"/>
        <w:tab w:val="clear" w:pos="420"/>
      </w:tabs>
      <w:snapToGrid w:val="0"/>
      <w:spacing w:before="60" w:after="60" w:line="360" w:lineRule="auto"/>
      <w:jc w:val="left"/>
      <w:outlineLvl w:val="1"/>
    </w:pPr>
    <w:rPr>
      <w:b/>
      <w:szCs w:val="24"/>
    </w:rPr>
  </w:style>
  <w:style w:type="paragraph" w:styleId="4">
    <w:name w:val="heading 3"/>
    <w:basedOn w:val="1"/>
    <w:next w:val="5"/>
    <w:qFormat/>
    <w:uiPriority w:val="0"/>
    <w:pPr>
      <w:keepLines/>
      <w:widowControl/>
      <w:numPr>
        <w:ilvl w:val="2"/>
        <w:numId w:val="1"/>
      </w:numPr>
      <w:tabs>
        <w:tab w:val="left" w:pos="709"/>
        <w:tab w:val="clear" w:pos="0"/>
      </w:tabs>
      <w:spacing w:line="360" w:lineRule="auto"/>
      <w:jc w:val="left"/>
      <w:outlineLvl w:val="2"/>
    </w:pPr>
    <w:rPr>
      <w:b/>
    </w:rPr>
  </w:style>
  <w:style w:type="paragraph" w:styleId="6">
    <w:name w:val="heading 4"/>
    <w:basedOn w:val="1"/>
    <w:next w:val="1"/>
    <w:link w:val="46"/>
    <w:qFormat/>
    <w:uiPriority w:val="0"/>
    <w:pPr>
      <w:keepNext/>
      <w:keepLines/>
      <w:numPr>
        <w:ilvl w:val="3"/>
        <w:numId w:val="1"/>
      </w:numPr>
      <w:spacing w:before="280" w:after="290" w:line="376" w:lineRule="auto"/>
      <w:outlineLvl w:val="3"/>
    </w:pPr>
    <w:rPr>
      <w:rFonts w:ascii="Arial" w:hAnsi="Arial" w:eastAsia="黑体"/>
      <w:b/>
      <w:bCs/>
      <w:sz w:val="28"/>
      <w:szCs w:val="28"/>
    </w:rPr>
  </w:style>
  <w:style w:type="paragraph" w:styleId="7">
    <w:name w:val="heading 5"/>
    <w:basedOn w:val="1"/>
    <w:next w:val="1"/>
    <w:semiHidden/>
    <w:unhideWhenUsed/>
    <w:qFormat/>
    <w:uiPriority w:val="0"/>
    <w:pPr>
      <w:keepNext/>
      <w:keepLines/>
      <w:numPr>
        <w:ilvl w:val="4"/>
        <w:numId w:val="1"/>
      </w:numPr>
      <w:spacing w:before="280" w:after="290" w:line="372" w:lineRule="auto"/>
      <w:outlineLvl w:val="4"/>
    </w:pPr>
    <w:rPr>
      <w:b/>
      <w:sz w:val="28"/>
    </w:rPr>
  </w:style>
  <w:style w:type="paragraph" w:styleId="8">
    <w:name w:val="heading 6"/>
    <w:basedOn w:val="1"/>
    <w:next w:val="1"/>
    <w:semiHidden/>
    <w:unhideWhenUsed/>
    <w:qFormat/>
    <w:uiPriority w:val="0"/>
    <w:pPr>
      <w:keepNext/>
      <w:keepLines/>
      <w:numPr>
        <w:ilvl w:val="5"/>
        <w:numId w:val="1"/>
      </w:numPr>
      <w:tabs>
        <w:tab w:val="left" w:pos="420"/>
      </w:tabs>
      <w:spacing w:before="240" w:after="64" w:line="317" w:lineRule="auto"/>
      <w:outlineLvl w:val="5"/>
    </w:pPr>
    <w:rPr>
      <w:rFonts w:ascii="Arial" w:hAnsi="Arial" w:eastAsia="黑体"/>
      <w:b/>
    </w:rPr>
  </w:style>
  <w:style w:type="paragraph" w:styleId="9">
    <w:name w:val="heading 7"/>
    <w:basedOn w:val="1"/>
    <w:next w:val="1"/>
    <w:semiHidden/>
    <w:unhideWhenUsed/>
    <w:qFormat/>
    <w:uiPriority w:val="0"/>
    <w:pPr>
      <w:keepNext/>
      <w:keepLines/>
      <w:numPr>
        <w:ilvl w:val="6"/>
        <w:numId w:val="1"/>
      </w:numPr>
      <w:spacing w:before="240" w:after="64" w:line="317" w:lineRule="auto"/>
      <w:outlineLvl w:val="6"/>
    </w:pPr>
    <w:rPr>
      <w:b/>
    </w:rPr>
  </w:style>
  <w:style w:type="paragraph" w:styleId="10">
    <w:name w:val="heading 8"/>
    <w:basedOn w:val="1"/>
    <w:next w:val="1"/>
    <w:semiHidden/>
    <w:unhideWhenUsed/>
    <w:qFormat/>
    <w:uiPriority w:val="0"/>
    <w:pPr>
      <w:keepNext/>
      <w:keepLines/>
      <w:numPr>
        <w:ilvl w:val="7"/>
        <w:numId w:val="1"/>
      </w:numPr>
      <w:spacing w:before="240" w:after="64" w:line="317" w:lineRule="auto"/>
      <w:outlineLvl w:val="7"/>
    </w:pPr>
    <w:rPr>
      <w:rFonts w:ascii="Arial" w:hAnsi="Arial" w:eastAsia="黑体"/>
    </w:rPr>
  </w:style>
  <w:style w:type="paragraph" w:styleId="11">
    <w:name w:val="heading 9"/>
    <w:basedOn w:val="1"/>
    <w:next w:val="1"/>
    <w:semiHidden/>
    <w:unhideWhenUsed/>
    <w:qFormat/>
    <w:uiPriority w:val="0"/>
    <w:pPr>
      <w:keepNext/>
      <w:keepLines/>
      <w:numPr>
        <w:ilvl w:val="8"/>
        <w:numId w:val="1"/>
      </w:numPr>
      <w:spacing w:before="240" w:after="64" w:line="317" w:lineRule="auto"/>
      <w:outlineLvl w:val="8"/>
    </w:pPr>
    <w:rPr>
      <w:rFonts w:ascii="Arial" w:hAnsi="Arial" w:eastAsia="黑体"/>
      <w:sz w:val="21"/>
    </w:r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45"/>
    <w:qFormat/>
    <w:uiPriority w:val="0"/>
    <w:pPr>
      <w:ind w:firstLine="488"/>
    </w:pPr>
  </w:style>
  <w:style w:type="paragraph" w:styleId="12">
    <w:name w:val="Document Map"/>
    <w:basedOn w:val="1"/>
    <w:qFormat/>
    <w:uiPriority w:val="0"/>
    <w:pPr>
      <w:shd w:val="clear" w:color="auto" w:fill="000080"/>
    </w:pPr>
  </w:style>
  <w:style w:type="paragraph" w:styleId="13">
    <w:name w:val="annotation text"/>
    <w:basedOn w:val="1"/>
    <w:link w:val="47"/>
    <w:qFormat/>
    <w:uiPriority w:val="99"/>
    <w:pPr>
      <w:jc w:val="left"/>
    </w:pPr>
  </w:style>
  <w:style w:type="paragraph" w:styleId="14">
    <w:name w:val="Body Text 3"/>
    <w:basedOn w:val="1"/>
    <w:qFormat/>
    <w:uiPriority w:val="0"/>
    <w:pPr>
      <w:spacing w:after="120"/>
    </w:pPr>
    <w:rPr>
      <w:sz w:val="16"/>
      <w:szCs w:val="16"/>
    </w:rPr>
  </w:style>
  <w:style w:type="paragraph" w:styleId="15">
    <w:name w:val="Body Text"/>
    <w:basedOn w:val="1"/>
    <w:next w:val="16"/>
    <w:link w:val="90"/>
    <w:qFormat/>
    <w:uiPriority w:val="0"/>
    <w:pPr>
      <w:spacing w:after="120"/>
    </w:pPr>
  </w:style>
  <w:style w:type="paragraph" w:styleId="16">
    <w:name w:val="Body Text First Indent"/>
    <w:basedOn w:val="15"/>
    <w:next w:val="1"/>
    <w:link w:val="91"/>
    <w:qFormat/>
    <w:uiPriority w:val="0"/>
    <w:pPr>
      <w:ind w:firstLine="420" w:firstLineChars="100"/>
    </w:pPr>
  </w:style>
  <w:style w:type="paragraph" w:styleId="17">
    <w:name w:val="Body Text Indent"/>
    <w:basedOn w:val="1"/>
    <w:next w:val="1"/>
    <w:link w:val="48"/>
    <w:qFormat/>
    <w:uiPriority w:val="0"/>
    <w:pPr>
      <w:tabs>
        <w:tab w:val="left" w:pos="3025"/>
      </w:tabs>
      <w:spacing w:line="420" w:lineRule="exact"/>
      <w:ind w:firstLine="480"/>
    </w:pPr>
  </w:style>
  <w:style w:type="paragraph" w:styleId="18">
    <w:name w:val="Block Text"/>
    <w:basedOn w:val="1"/>
    <w:qFormat/>
    <w:uiPriority w:val="99"/>
    <w:pPr>
      <w:autoSpaceDE/>
      <w:autoSpaceDN/>
      <w:spacing w:before="200" w:line="360" w:lineRule="auto"/>
      <w:ind w:left="284" w:right="284" w:firstLine="570"/>
    </w:pPr>
    <w:rPr>
      <w:rFonts w:ascii="楷体_GB2312" w:hAnsi="宋体" w:eastAsia="楷体_GB2312"/>
      <w:b/>
      <w:spacing w:val="2"/>
      <w:sz w:val="28"/>
    </w:rPr>
  </w:style>
  <w:style w:type="paragraph" w:styleId="19">
    <w:name w:val="Plain Text"/>
    <w:basedOn w:val="1"/>
    <w:link w:val="49"/>
    <w:qFormat/>
    <w:uiPriority w:val="0"/>
    <w:pPr>
      <w:autoSpaceDE/>
      <w:autoSpaceDN/>
      <w:adjustRightInd/>
      <w:textAlignment w:val="auto"/>
    </w:pPr>
    <w:rPr>
      <w:rFonts w:ascii="宋体" w:hAnsi="Courier New"/>
      <w:kern w:val="2"/>
      <w:sz w:val="21"/>
    </w:rPr>
  </w:style>
  <w:style w:type="paragraph" w:styleId="20">
    <w:name w:val="Date"/>
    <w:basedOn w:val="1"/>
    <w:next w:val="1"/>
    <w:link w:val="50"/>
    <w:qFormat/>
    <w:uiPriority w:val="0"/>
    <w:pPr>
      <w:autoSpaceDE/>
      <w:autoSpaceDN/>
      <w:adjustRightInd/>
      <w:textAlignment w:val="auto"/>
    </w:pPr>
    <w:rPr>
      <w:kern w:val="2"/>
    </w:rPr>
  </w:style>
  <w:style w:type="paragraph" w:styleId="21">
    <w:name w:val="Body Text Indent 2"/>
    <w:basedOn w:val="1"/>
    <w:link w:val="51"/>
    <w:qFormat/>
    <w:uiPriority w:val="0"/>
    <w:pPr>
      <w:autoSpaceDE/>
      <w:autoSpaceDN/>
      <w:adjustRightInd/>
      <w:spacing w:after="120" w:line="480" w:lineRule="auto"/>
      <w:ind w:left="420" w:leftChars="200"/>
      <w:textAlignment w:val="auto"/>
    </w:pPr>
    <w:rPr>
      <w:kern w:val="2"/>
      <w:sz w:val="21"/>
    </w:rPr>
  </w:style>
  <w:style w:type="paragraph" w:styleId="22">
    <w:name w:val="Balloon Text"/>
    <w:basedOn w:val="1"/>
    <w:qFormat/>
    <w:uiPriority w:val="0"/>
    <w:rPr>
      <w:sz w:val="18"/>
      <w:szCs w:val="18"/>
    </w:rPr>
  </w:style>
  <w:style w:type="paragraph" w:styleId="23">
    <w:name w:val="footer"/>
    <w:basedOn w:val="1"/>
    <w:qFormat/>
    <w:uiPriority w:val="0"/>
    <w:pPr>
      <w:tabs>
        <w:tab w:val="center" w:pos="4153"/>
        <w:tab w:val="right" w:pos="8306"/>
      </w:tabs>
      <w:snapToGrid w:val="0"/>
      <w:jc w:val="left"/>
    </w:pPr>
    <w:rPr>
      <w:sz w:val="18"/>
      <w:szCs w:val="18"/>
    </w:rPr>
  </w:style>
  <w:style w:type="paragraph" w:styleId="2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rPr>
      <w:sz w:val="28"/>
    </w:rPr>
  </w:style>
  <w:style w:type="paragraph" w:styleId="26">
    <w:name w:val="Subtitle"/>
    <w:basedOn w:val="1"/>
    <w:next w:val="1"/>
    <w:link w:val="52"/>
    <w:qFormat/>
    <w:uiPriority w:val="0"/>
    <w:pPr>
      <w:spacing w:line="360" w:lineRule="auto"/>
      <w:jc w:val="center"/>
      <w:outlineLvl w:val="1"/>
    </w:pPr>
    <w:rPr>
      <w:rFonts w:ascii="Calibri Light" w:hAnsi="Calibri Light"/>
      <w:b/>
      <w:bCs/>
      <w:kern w:val="28"/>
      <w:sz w:val="32"/>
      <w:szCs w:val="32"/>
    </w:rPr>
  </w:style>
  <w:style w:type="paragraph" w:styleId="27">
    <w:name w:val="toc 2"/>
    <w:basedOn w:val="1"/>
    <w:next w:val="1"/>
    <w:qFormat/>
    <w:uiPriority w:val="39"/>
    <w:pPr>
      <w:ind w:left="420" w:leftChars="200"/>
    </w:pPr>
  </w:style>
  <w:style w:type="paragraph" w:styleId="28">
    <w:name w:val="Body Text 2"/>
    <w:basedOn w:val="1"/>
    <w:qFormat/>
    <w:uiPriority w:val="0"/>
    <w:pPr>
      <w:autoSpaceDE/>
      <w:autoSpaceDN/>
      <w:adjustRightInd/>
      <w:textAlignment w:val="auto"/>
    </w:pPr>
    <w:rPr>
      <w:rFonts w:ascii="楷体_GB2312" w:eastAsia="黑体"/>
      <w:b/>
      <w:kern w:val="2"/>
      <w:sz w:val="52"/>
      <w:szCs w:val="52"/>
    </w:rPr>
  </w:style>
  <w:style w:type="paragraph" w:styleId="29">
    <w:name w:val="Normal (Web)"/>
    <w:basedOn w:val="1"/>
    <w:qFormat/>
    <w:uiPriority w:val="0"/>
    <w:pPr>
      <w:widowControl/>
      <w:autoSpaceDE/>
      <w:autoSpaceDN/>
      <w:adjustRightInd/>
      <w:spacing w:before="100" w:beforeAutospacing="1" w:after="100" w:afterAutospacing="1"/>
      <w:jc w:val="left"/>
      <w:textAlignment w:val="auto"/>
    </w:pPr>
    <w:rPr>
      <w:rFonts w:ascii="宋体" w:hAnsi="宋体"/>
      <w:szCs w:val="24"/>
    </w:rPr>
  </w:style>
  <w:style w:type="paragraph" w:styleId="30">
    <w:name w:val="Title"/>
    <w:basedOn w:val="1"/>
    <w:qFormat/>
    <w:uiPriority w:val="0"/>
    <w:pPr>
      <w:spacing w:before="240" w:after="60"/>
      <w:jc w:val="center"/>
      <w:outlineLvl w:val="0"/>
    </w:pPr>
    <w:rPr>
      <w:b/>
      <w:sz w:val="52"/>
    </w:rPr>
  </w:style>
  <w:style w:type="paragraph" w:styleId="31">
    <w:name w:val="annotation subject"/>
    <w:basedOn w:val="13"/>
    <w:next w:val="13"/>
    <w:qFormat/>
    <w:uiPriority w:val="0"/>
    <w:rPr>
      <w:b/>
      <w:bCs/>
    </w:rPr>
  </w:style>
  <w:style w:type="paragraph" w:styleId="32">
    <w:name w:val="Body Text First Indent 2"/>
    <w:basedOn w:val="17"/>
    <w:qFormat/>
    <w:uiPriority w:val="0"/>
    <w:pPr>
      <w:tabs>
        <w:tab w:val="left" w:pos="0"/>
        <w:tab w:val="left" w:pos="1260"/>
        <w:tab w:val="left" w:pos="1365"/>
        <w:tab w:val="clear" w:pos="3025"/>
      </w:tabs>
      <w:ind w:firstLine="420"/>
    </w:pPr>
    <w:rPr>
      <w:rFonts w:cs="宋体"/>
      <w:szCs w:val="21"/>
    </w:rPr>
  </w:style>
  <w:style w:type="table" w:styleId="34">
    <w:name w:val="Table Grid"/>
    <w:basedOn w:val="33"/>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6">
    <w:name w:val="Strong"/>
    <w:qFormat/>
    <w:uiPriority w:val="0"/>
    <w:rPr>
      <w:b/>
      <w:bCs/>
    </w:rPr>
  </w:style>
  <w:style w:type="character" w:styleId="37">
    <w:name w:val="page number"/>
    <w:qFormat/>
    <w:uiPriority w:val="0"/>
  </w:style>
  <w:style w:type="character" w:styleId="38">
    <w:name w:val="Emphasis"/>
    <w:qFormat/>
    <w:uiPriority w:val="20"/>
    <w:rPr>
      <w:i/>
      <w:iCs/>
    </w:rPr>
  </w:style>
  <w:style w:type="character" w:styleId="39">
    <w:name w:val="Hyperlink"/>
    <w:qFormat/>
    <w:uiPriority w:val="99"/>
    <w:rPr>
      <w:color w:val="0000FF"/>
      <w:u w:val="single"/>
    </w:rPr>
  </w:style>
  <w:style w:type="character" w:styleId="40">
    <w:name w:val="annotation reference"/>
    <w:basedOn w:val="35"/>
    <w:qFormat/>
    <w:uiPriority w:val="0"/>
    <w:rPr>
      <w:sz w:val="21"/>
      <w:szCs w:val="21"/>
    </w:rPr>
  </w:style>
  <w:style w:type="paragraph" w:customStyle="1" w:styleId="41">
    <w:name w:val="[Normal]"/>
    <w:qFormat/>
    <w:uiPriority w:val="0"/>
    <w:rPr>
      <w:rFonts w:ascii="宋体" w:hAnsi="宋体" w:eastAsia="宋体" w:cs="Times New Roman"/>
      <w:sz w:val="24"/>
      <w:lang w:val="en-US" w:eastAsia="en-US" w:bidi="ar-SA"/>
    </w:rPr>
  </w:style>
  <w:style w:type="paragraph" w:customStyle="1" w:styleId="42">
    <w:name w:val="正文缩进1"/>
    <w:qFormat/>
    <w:uiPriority w:val="0"/>
    <w:pPr>
      <w:widowControl w:val="0"/>
      <w:autoSpaceDE w:val="0"/>
      <w:autoSpaceDN w:val="0"/>
      <w:adjustRightInd w:val="0"/>
      <w:ind w:firstLine="420" w:firstLineChars="200"/>
      <w:jc w:val="both"/>
      <w:textAlignment w:val="baseline"/>
    </w:pPr>
    <w:rPr>
      <w:rFonts w:ascii="Calibri" w:hAnsi="Calibri" w:eastAsia="宋体" w:cs="Times New Roman"/>
      <w:sz w:val="24"/>
      <w:lang w:val="en-US" w:eastAsia="zh-CN" w:bidi="ar-SA"/>
    </w:rPr>
  </w:style>
  <w:style w:type="character" w:customStyle="1" w:styleId="43">
    <w:name w:val="标题 3 Char"/>
    <w:qFormat/>
    <w:uiPriority w:val="0"/>
    <w:rPr>
      <w:rFonts w:eastAsia="宋体"/>
      <w:b/>
      <w:kern w:val="2"/>
      <w:sz w:val="32"/>
      <w:lang w:val="en-US" w:eastAsia="zh-CN"/>
    </w:rPr>
  </w:style>
  <w:style w:type="character" w:customStyle="1" w:styleId="44">
    <w:name w:val="标题 2 Char"/>
    <w:link w:val="2"/>
    <w:qFormat/>
    <w:uiPriority w:val="0"/>
    <w:rPr>
      <w:rFonts w:eastAsia="宋体"/>
      <w:b/>
      <w:sz w:val="24"/>
      <w:szCs w:val="24"/>
    </w:rPr>
  </w:style>
  <w:style w:type="character" w:customStyle="1" w:styleId="45">
    <w:name w:val="正文缩进 Char"/>
    <w:link w:val="5"/>
    <w:qFormat/>
    <w:uiPriority w:val="0"/>
    <w:rPr>
      <w:rFonts w:eastAsia="宋体"/>
      <w:sz w:val="24"/>
      <w:lang w:val="en-US" w:eastAsia="zh-CN" w:bidi="ar-SA"/>
    </w:rPr>
  </w:style>
  <w:style w:type="character" w:customStyle="1" w:styleId="46">
    <w:name w:val="标题 4 Char"/>
    <w:link w:val="6"/>
    <w:qFormat/>
    <w:uiPriority w:val="0"/>
    <w:rPr>
      <w:rFonts w:ascii="Arial" w:hAnsi="Arial" w:eastAsia="黑体"/>
      <w:b/>
      <w:bCs/>
      <w:sz w:val="28"/>
      <w:szCs w:val="28"/>
      <w:lang w:val="en-US" w:eastAsia="zh-CN" w:bidi="ar-SA"/>
    </w:rPr>
  </w:style>
  <w:style w:type="character" w:customStyle="1" w:styleId="47">
    <w:name w:val="批注文字 Char"/>
    <w:link w:val="13"/>
    <w:qFormat/>
    <w:uiPriority w:val="99"/>
    <w:rPr>
      <w:sz w:val="24"/>
    </w:rPr>
  </w:style>
  <w:style w:type="character" w:customStyle="1" w:styleId="48">
    <w:name w:val="正文文本缩进 Char"/>
    <w:link w:val="17"/>
    <w:qFormat/>
    <w:uiPriority w:val="0"/>
    <w:rPr>
      <w:sz w:val="24"/>
    </w:rPr>
  </w:style>
  <w:style w:type="character" w:customStyle="1" w:styleId="49">
    <w:name w:val="纯文本 Char"/>
    <w:link w:val="19"/>
    <w:qFormat/>
    <w:uiPriority w:val="0"/>
    <w:rPr>
      <w:rFonts w:ascii="宋体" w:hAnsi="Courier New" w:eastAsia="宋体"/>
      <w:kern w:val="2"/>
      <w:sz w:val="21"/>
      <w:lang w:val="en-US" w:eastAsia="zh-CN" w:bidi="ar-SA"/>
    </w:rPr>
  </w:style>
  <w:style w:type="character" w:customStyle="1" w:styleId="50">
    <w:name w:val="日期 Char"/>
    <w:link w:val="20"/>
    <w:qFormat/>
    <w:uiPriority w:val="0"/>
    <w:rPr>
      <w:kern w:val="2"/>
      <w:sz w:val="24"/>
    </w:rPr>
  </w:style>
  <w:style w:type="character" w:customStyle="1" w:styleId="51">
    <w:name w:val="正文文本缩进 2 Char"/>
    <w:link w:val="21"/>
    <w:qFormat/>
    <w:uiPriority w:val="0"/>
    <w:rPr>
      <w:rFonts w:eastAsia="宋体"/>
      <w:kern w:val="2"/>
      <w:sz w:val="21"/>
      <w:lang w:val="en-US" w:eastAsia="zh-CN" w:bidi="ar-SA"/>
    </w:rPr>
  </w:style>
  <w:style w:type="character" w:customStyle="1" w:styleId="52">
    <w:name w:val="副标题 Char"/>
    <w:link w:val="26"/>
    <w:qFormat/>
    <w:uiPriority w:val="0"/>
    <w:rPr>
      <w:rFonts w:ascii="Calibri Light" w:hAnsi="Calibri Light" w:cs="Times New Roman"/>
      <w:b/>
      <w:bCs/>
      <w:kern w:val="28"/>
      <w:sz w:val="32"/>
      <w:szCs w:val="32"/>
    </w:rPr>
  </w:style>
  <w:style w:type="character" w:customStyle="1" w:styleId="53">
    <w:name w:val="正文文本缩进 2 字符"/>
    <w:qFormat/>
    <w:uiPriority w:val="0"/>
    <w:rPr>
      <w:rFonts w:eastAsia="宋体"/>
      <w:kern w:val="2"/>
      <w:sz w:val="21"/>
      <w:lang w:val="en-US" w:eastAsia="zh-CN" w:bidi="ar-SA"/>
    </w:rPr>
  </w:style>
  <w:style w:type="character" w:customStyle="1" w:styleId="54">
    <w:name w:val="font21"/>
    <w:qFormat/>
    <w:uiPriority w:val="0"/>
    <w:rPr>
      <w:rFonts w:hint="default" w:ascii="等线" w:hAnsi="等线" w:eastAsia="等线" w:cs="等线"/>
      <w:color w:val="000000"/>
      <w:sz w:val="22"/>
      <w:szCs w:val="22"/>
      <w:u w:val="none"/>
    </w:rPr>
  </w:style>
  <w:style w:type="character" w:customStyle="1" w:styleId="55">
    <w:name w:val="首行缩进两字 Char"/>
    <w:qFormat/>
    <w:uiPriority w:val="0"/>
    <w:rPr>
      <w:rFonts w:eastAsia="宋体"/>
      <w:kern w:val="2"/>
      <w:sz w:val="21"/>
      <w:szCs w:val="24"/>
      <w:lang w:val="en-US" w:eastAsia="zh-CN" w:bidi="ar-SA"/>
    </w:rPr>
  </w:style>
  <w:style w:type="character" w:customStyle="1" w:styleId="56">
    <w:name w:val="style9"/>
    <w:qFormat/>
    <w:uiPriority w:val="0"/>
  </w:style>
  <w:style w:type="character" w:customStyle="1" w:styleId="57">
    <w:name w:val="正文缩进 Char Char"/>
    <w:qFormat/>
    <w:uiPriority w:val="0"/>
    <w:rPr>
      <w:rFonts w:eastAsia="宋体"/>
      <w:kern w:val="2"/>
      <w:sz w:val="21"/>
      <w:lang w:val="en-US" w:eastAsia="zh-CN"/>
    </w:rPr>
  </w:style>
  <w:style w:type="character" w:customStyle="1" w:styleId="58">
    <w:name w:val="maywed421"/>
    <w:qFormat/>
    <w:uiPriority w:val="0"/>
    <w:rPr>
      <w:color w:val="366FB6"/>
      <w:u w:val="none"/>
    </w:rPr>
  </w:style>
  <w:style w:type="character" w:customStyle="1" w:styleId="59">
    <w:name w:val="批注文字 字符"/>
    <w:qFormat/>
    <w:uiPriority w:val="99"/>
    <w:rPr>
      <w:sz w:val="24"/>
    </w:rPr>
  </w:style>
  <w:style w:type="character" w:customStyle="1" w:styleId="60">
    <w:name w:val="纯文本 Char1"/>
    <w:qFormat/>
    <w:uiPriority w:val="0"/>
    <w:rPr>
      <w:rFonts w:ascii="宋体" w:hAnsi="Courier New" w:eastAsia="宋体"/>
    </w:rPr>
  </w:style>
  <w:style w:type="character" w:customStyle="1" w:styleId="61">
    <w:name w:val="font11"/>
    <w:basedOn w:val="35"/>
    <w:qFormat/>
    <w:uiPriority w:val="0"/>
    <w:rPr>
      <w:rFonts w:hint="default" w:ascii="等线" w:hAnsi="等线" w:eastAsia="等线" w:cs="等线"/>
      <w:color w:val="000000"/>
      <w:sz w:val="22"/>
      <w:szCs w:val="22"/>
      <w:u w:val="none"/>
    </w:rPr>
  </w:style>
  <w:style w:type="character" w:customStyle="1" w:styleId="62">
    <w:name w:val="日期 字符"/>
    <w:qFormat/>
    <w:uiPriority w:val="0"/>
    <w:rPr>
      <w:kern w:val="2"/>
      <w:sz w:val="24"/>
    </w:rPr>
  </w:style>
  <w:style w:type="paragraph" w:customStyle="1" w:styleId="63">
    <w:name w:val="密级编号"/>
    <w:basedOn w:val="1"/>
    <w:qFormat/>
    <w:uiPriority w:val="0"/>
    <w:pPr>
      <w:autoSpaceDE/>
      <w:autoSpaceDN/>
      <w:jc w:val="center"/>
    </w:pPr>
    <w:rPr>
      <w:rFonts w:ascii="仿宋_GB2312" w:eastAsia="仿宋_GB2312"/>
    </w:rPr>
  </w:style>
  <w:style w:type="paragraph" w:customStyle="1" w:styleId="64">
    <w:name w:val="彩色列表 - 强调文字颜色 11"/>
    <w:basedOn w:val="1"/>
    <w:qFormat/>
    <w:uiPriority w:val="0"/>
    <w:pPr>
      <w:autoSpaceDE/>
      <w:autoSpaceDN/>
      <w:adjustRightInd/>
      <w:spacing w:line="360" w:lineRule="auto"/>
      <w:ind w:firstLine="420" w:firstLineChars="200"/>
      <w:textAlignment w:val="auto"/>
    </w:pPr>
    <w:rPr>
      <w:rFonts w:ascii="Arial" w:hAnsi="Arial"/>
      <w:kern w:val="2"/>
      <w:szCs w:val="21"/>
    </w:rPr>
  </w:style>
  <w:style w:type="paragraph" w:customStyle="1" w:styleId="65">
    <w:name w:val="目录"/>
    <w:basedOn w:val="25"/>
    <w:qFormat/>
    <w:uiPriority w:val="0"/>
    <w:pPr>
      <w:tabs>
        <w:tab w:val="right" w:leader="dot" w:pos="7937"/>
      </w:tabs>
      <w:autoSpaceDE/>
      <w:autoSpaceDN/>
      <w:spacing w:before="120" w:after="120" w:line="360" w:lineRule="auto"/>
      <w:jc w:val="center"/>
    </w:pPr>
    <w:rPr>
      <w:rFonts w:ascii="宋体" w:eastAsia="黑体"/>
      <w:b/>
      <w:caps/>
      <w:sz w:val="30"/>
    </w:rPr>
  </w:style>
  <w:style w:type="paragraph" w:customStyle="1" w:styleId="66">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67">
    <w:name w:val="Char1 Char Char Char Char Char Char"/>
    <w:basedOn w:val="1"/>
    <w:qFormat/>
    <w:uiPriority w:val="0"/>
    <w:pPr>
      <w:autoSpaceDE/>
      <w:autoSpaceDN/>
      <w:adjustRightInd/>
      <w:textAlignment w:val="auto"/>
    </w:pPr>
    <w:rPr>
      <w:kern w:val="2"/>
      <w:sz w:val="21"/>
      <w:szCs w:val="24"/>
    </w:rPr>
  </w:style>
  <w:style w:type="paragraph" w:customStyle="1" w:styleId="68">
    <w:name w:val="Char1"/>
    <w:basedOn w:val="1"/>
    <w:qFormat/>
    <w:uiPriority w:val="0"/>
    <w:pPr>
      <w:widowControl/>
      <w:autoSpaceDE/>
      <w:autoSpaceDN/>
      <w:adjustRightInd/>
      <w:spacing w:after="160" w:line="240" w:lineRule="exact"/>
      <w:jc w:val="left"/>
      <w:textAlignment w:val="auto"/>
    </w:pPr>
    <w:rPr>
      <w:rFonts w:ascii="Verdana" w:hAnsi="Verdana"/>
      <w:sz w:val="20"/>
      <w:lang w:eastAsia="en-US"/>
    </w:rPr>
  </w:style>
  <w:style w:type="paragraph" w:customStyle="1" w:styleId="69">
    <w:name w:val="Proposals body"/>
    <w:basedOn w:val="1"/>
    <w:next w:val="1"/>
    <w:qFormat/>
    <w:uiPriority w:val="0"/>
    <w:pPr>
      <w:widowControl/>
      <w:autoSpaceDE/>
      <w:autoSpaceDN/>
      <w:adjustRightInd/>
      <w:spacing w:line="360" w:lineRule="auto"/>
      <w:jc w:val="left"/>
      <w:textAlignment w:val="auto"/>
    </w:pPr>
    <w:rPr>
      <w:rFonts w:ascii="宋体"/>
      <w:color w:val="000000"/>
    </w:rPr>
  </w:style>
  <w:style w:type="paragraph" w:customStyle="1" w:styleId="70">
    <w:name w:val="xl24"/>
    <w:basedOn w:val="1"/>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71">
    <w:name w:val="_Style 16"/>
    <w:basedOn w:val="1"/>
    <w:qFormat/>
    <w:uiPriority w:val="0"/>
    <w:pPr>
      <w:autoSpaceDE/>
      <w:autoSpaceDN/>
      <w:adjustRightInd/>
      <w:snapToGrid w:val="0"/>
      <w:spacing w:line="360" w:lineRule="auto"/>
      <w:ind w:firstLine="200" w:firstLineChars="200"/>
      <w:textAlignment w:val="auto"/>
    </w:pPr>
  </w:style>
  <w:style w:type="paragraph" w:customStyle="1" w:styleId="72">
    <w:name w:val="_Style 62"/>
    <w:semiHidden/>
    <w:qFormat/>
    <w:uiPriority w:val="99"/>
    <w:rPr>
      <w:rFonts w:ascii="Times New Roman" w:hAnsi="Times New Roman" w:eastAsia="宋体" w:cs="Times New Roman"/>
      <w:sz w:val="24"/>
      <w:lang w:val="en-US" w:eastAsia="zh-CN" w:bidi="ar-SA"/>
    </w:rPr>
  </w:style>
  <w:style w:type="paragraph" w:customStyle="1" w:styleId="73">
    <w:name w:val="纯文本1"/>
    <w:basedOn w:val="66"/>
    <w:qFormat/>
    <w:uiPriority w:val="0"/>
    <w:pPr>
      <w:widowControl w:val="0"/>
    </w:pPr>
    <w:rPr>
      <w:rFonts w:hint="eastAsia"/>
      <w:szCs w:val="20"/>
    </w:rPr>
  </w:style>
  <w:style w:type="paragraph" w:customStyle="1" w:styleId="74">
    <w:name w:val="Default"/>
    <w:qFormat/>
    <w:uiPriority w:val="0"/>
    <w:pPr>
      <w:widowControl w:val="0"/>
      <w:autoSpaceDE w:val="0"/>
      <w:autoSpaceDN w:val="0"/>
      <w:adjustRightInd w:val="0"/>
    </w:pPr>
    <w:rPr>
      <w:rFonts w:ascii="黑体" w:hAnsi="Times New Roman" w:eastAsia="黑体" w:cs="Times New Roman"/>
      <w:color w:val="000000"/>
      <w:sz w:val="24"/>
      <w:szCs w:val="24"/>
      <w:lang w:val="en-US" w:eastAsia="zh-CN" w:bidi="ar-SA"/>
    </w:rPr>
  </w:style>
  <w:style w:type="paragraph" w:customStyle="1" w:styleId="75">
    <w:name w:val="Char Char Char Char Char Char Char Char Char"/>
    <w:basedOn w:val="1"/>
    <w:qFormat/>
    <w:uiPriority w:val="0"/>
    <w:pPr>
      <w:widowControl/>
      <w:autoSpaceDE/>
      <w:autoSpaceDN/>
      <w:adjustRightInd/>
      <w:spacing w:after="160" w:line="240" w:lineRule="exact"/>
      <w:jc w:val="left"/>
      <w:textAlignment w:val="auto"/>
    </w:pPr>
    <w:rPr>
      <w:rFonts w:ascii="Verdana" w:hAnsi="Verdana" w:eastAsia="仿宋_GB2312"/>
      <w:lang w:eastAsia="en-US"/>
    </w:rPr>
  </w:style>
  <w:style w:type="paragraph" w:customStyle="1" w:styleId="76">
    <w:name w:val="正文文本 21"/>
    <w:basedOn w:val="1"/>
    <w:qFormat/>
    <w:uiPriority w:val="0"/>
    <w:pPr>
      <w:autoSpaceDE/>
      <w:autoSpaceDN/>
      <w:spacing w:line="300" w:lineRule="auto"/>
      <w:jc w:val="center"/>
    </w:pPr>
    <w:rPr>
      <w:rFonts w:ascii="宋体" w:hAnsi="宋体"/>
      <w:kern w:val="2"/>
    </w:rPr>
  </w:style>
  <w:style w:type="paragraph" w:customStyle="1" w:styleId="77">
    <w:name w:val="Char Char Char1 Char Char Char1 Char Char Char Char Char Char1 Char Char Char1 Char"/>
    <w:basedOn w:val="1"/>
    <w:qFormat/>
    <w:uiPriority w:val="0"/>
    <w:pPr>
      <w:autoSpaceDE/>
      <w:autoSpaceDN/>
      <w:adjustRightInd/>
      <w:textAlignment w:val="auto"/>
    </w:pPr>
    <w:rPr>
      <w:kern w:val="2"/>
      <w:sz w:val="21"/>
      <w:szCs w:val="24"/>
    </w:rPr>
  </w:style>
  <w:style w:type="paragraph" w:customStyle="1" w:styleId="78">
    <w:name w:val="Char Char Char Char Char Char Char"/>
    <w:basedOn w:val="1"/>
    <w:qFormat/>
    <w:uiPriority w:val="0"/>
    <w:pPr>
      <w:autoSpaceDE/>
      <w:autoSpaceDN/>
      <w:adjustRightInd/>
      <w:spacing w:line="360" w:lineRule="auto"/>
      <w:ind w:firstLine="200" w:firstLineChars="200"/>
      <w:textAlignment w:val="auto"/>
    </w:pPr>
    <w:rPr>
      <w:kern w:val="2"/>
      <w:sz w:val="21"/>
    </w:rPr>
  </w:style>
  <w:style w:type="paragraph" w:customStyle="1" w:styleId="79">
    <w:name w:val="正文1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80">
    <w:name w:val="样式1 Char"/>
    <w:basedOn w:val="1"/>
    <w:qFormat/>
    <w:uiPriority w:val="0"/>
    <w:pPr>
      <w:suppressLineNumbers/>
      <w:suppressAutoHyphens/>
      <w:autoSpaceDE/>
      <w:autoSpaceDN/>
      <w:adjustRightInd/>
      <w:spacing w:after="120"/>
      <w:ind w:left="105"/>
      <w:textAlignment w:val="auto"/>
    </w:pPr>
    <w:rPr>
      <w:kern w:val="21"/>
      <w:sz w:val="21"/>
      <w:szCs w:val="21"/>
    </w:rPr>
  </w:style>
  <w:style w:type="paragraph" w:customStyle="1" w:styleId="81">
    <w:name w:val="单位"/>
    <w:basedOn w:val="1"/>
    <w:qFormat/>
    <w:uiPriority w:val="0"/>
    <w:pPr>
      <w:autoSpaceDE/>
      <w:autoSpaceDN/>
      <w:jc w:val="center"/>
    </w:pPr>
    <w:rPr>
      <w:rFonts w:ascii="宋体"/>
      <w:b/>
      <w:sz w:val="32"/>
    </w:rPr>
  </w:style>
  <w:style w:type="paragraph" w:customStyle="1" w:styleId="82">
    <w:name w:val="Char"/>
    <w:basedOn w:val="1"/>
    <w:qFormat/>
    <w:uiPriority w:val="0"/>
    <w:pPr>
      <w:tabs>
        <w:tab w:val="left" w:pos="1200"/>
      </w:tabs>
      <w:autoSpaceDE/>
      <w:autoSpaceDN/>
      <w:adjustRightInd/>
      <w:ind w:left="1200" w:hanging="360"/>
      <w:textAlignment w:val="auto"/>
    </w:pPr>
    <w:rPr>
      <w:kern w:val="2"/>
      <w:szCs w:val="24"/>
    </w:rPr>
  </w:style>
  <w:style w:type="paragraph" w:customStyle="1" w:styleId="83">
    <w:name w:val="Char Char Char Char"/>
    <w:basedOn w:val="1"/>
    <w:qFormat/>
    <w:uiPriority w:val="0"/>
    <w:pPr>
      <w:autoSpaceDE/>
      <w:autoSpaceDN/>
      <w:adjustRightInd/>
      <w:spacing w:line="480" w:lineRule="exact"/>
      <w:textAlignment w:val="auto"/>
    </w:pPr>
    <w:rPr>
      <w:kern w:val="2"/>
      <w:sz w:val="21"/>
      <w:szCs w:val="24"/>
    </w:rPr>
  </w:style>
  <w:style w:type="paragraph" w:customStyle="1" w:styleId="84">
    <w:name w:val="保留正文"/>
    <w:basedOn w:val="1"/>
    <w:qFormat/>
    <w:uiPriority w:val="0"/>
    <w:pPr>
      <w:keepNext/>
      <w:autoSpaceDE/>
      <w:autoSpaceDN/>
      <w:spacing w:after="160" w:line="480" w:lineRule="auto"/>
    </w:pPr>
    <w:rPr>
      <w:rFonts w:ascii="宋体"/>
    </w:rPr>
  </w:style>
  <w:style w:type="paragraph" w:customStyle="1" w:styleId="85">
    <w:name w:val="无间隔1"/>
    <w:qFormat/>
    <w:uiPriority w:val="0"/>
    <w:rPr>
      <w:rFonts w:ascii="Times New Roman" w:hAnsi="Times New Roman" w:eastAsia="??" w:cs="宋体"/>
      <w:sz w:val="22"/>
      <w:szCs w:val="22"/>
      <w:lang w:val="en-US" w:eastAsia="en-US" w:bidi="ar-SA"/>
    </w:rPr>
  </w:style>
  <w:style w:type="paragraph" w:customStyle="1" w:styleId="86">
    <w:name w:val="样式1"/>
    <w:basedOn w:val="5"/>
    <w:qFormat/>
    <w:uiPriority w:val="0"/>
    <w:pPr>
      <w:autoSpaceDE/>
      <w:autoSpaceDN/>
      <w:ind w:firstLine="510"/>
    </w:pPr>
    <w:rPr>
      <w:rFonts w:ascii="宋体"/>
    </w:rPr>
  </w:style>
  <w:style w:type="paragraph" w:customStyle="1" w:styleId="87">
    <w:name w:val="Char Char Char2 Char"/>
    <w:basedOn w:val="1"/>
    <w:qFormat/>
    <w:uiPriority w:val="0"/>
    <w:pPr>
      <w:tabs>
        <w:tab w:val="left" w:pos="1290"/>
      </w:tabs>
      <w:autoSpaceDE/>
      <w:autoSpaceDN/>
      <w:adjustRightInd/>
      <w:ind w:left="1290" w:hanging="855"/>
      <w:textAlignment w:val="auto"/>
    </w:pPr>
    <w:rPr>
      <w:kern w:val="2"/>
      <w:sz w:val="21"/>
      <w:szCs w:val="24"/>
    </w:rPr>
  </w:style>
  <w:style w:type="paragraph" w:styleId="88">
    <w:name w:val="List Paragraph"/>
    <w:basedOn w:val="1"/>
    <w:qFormat/>
    <w:uiPriority w:val="0"/>
    <w:pPr>
      <w:autoSpaceDE/>
      <w:autoSpaceDN/>
      <w:adjustRightInd/>
      <w:ind w:firstLine="420" w:firstLineChars="200"/>
      <w:textAlignment w:val="auto"/>
    </w:pPr>
    <w:rPr>
      <w:rFonts w:ascii="Calibri" w:hAnsi="Calibri"/>
      <w:kern w:val="2"/>
      <w:sz w:val="21"/>
      <w:szCs w:val="22"/>
    </w:rPr>
  </w:style>
  <w:style w:type="paragraph" w:customStyle="1" w:styleId="8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character" w:customStyle="1" w:styleId="90">
    <w:name w:val="正文文本 Char"/>
    <w:basedOn w:val="35"/>
    <w:link w:val="15"/>
    <w:qFormat/>
    <w:uiPriority w:val="0"/>
    <w:rPr>
      <w:sz w:val="24"/>
    </w:rPr>
  </w:style>
  <w:style w:type="character" w:customStyle="1" w:styleId="91">
    <w:name w:val="正文首行缩进 Char"/>
    <w:basedOn w:val="90"/>
    <w:link w:val="16"/>
    <w:qFormat/>
    <w:uiPriority w:val="0"/>
    <w:rPr>
      <w:sz w:val="24"/>
    </w:rPr>
  </w:style>
  <w:style w:type="paragraph" w:customStyle="1" w:styleId="92">
    <w:name w:val="首行缩进"/>
    <w:basedOn w:val="1"/>
    <w:qFormat/>
    <w:uiPriority w:val="0"/>
    <w:pPr>
      <w:ind w:firstLine="480" w:firstLineChars="200"/>
    </w:pPr>
    <w:rPr>
      <w:lang w:val="zh-CN"/>
    </w:rPr>
  </w:style>
  <w:style w:type="paragraph" w:customStyle="1" w:styleId="93">
    <w:name w:val="正文222"/>
    <w:qFormat/>
    <w:uiPriority w:val="0"/>
    <w:pPr>
      <w:widowControl w:val="0"/>
      <w:spacing w:line="360" w:lineRule="auto"/>
      <w:jc w:val="both"/>
    </w:pPr>
    <w:rPr>
      <w:rFonts w:ascii="Calibri" w:hAnsi="宋体" w:eastAsia="宋体" w:cs="Arial"/>
      <w:kern w:val="2"/>
      <w:sz w:val="24"/>
      <w:szCs w:val="24"/>
      <w:lang w:val="en-US" w:eastAsia="zh-CN" w:bidi="ar-SA"/>
    </w:rPr>
  </w:style>
  <w:style w:type="paragraph" w:customStyle="1" w:styleId="94">
    <w:name w:val="修订1"/>
    <w:hidden/>
    <w:semiHidden/>
    <w:qFormat/>
    <w:uiPriority w:val="99"/>
    <w:rPr>
      <w:rFonts w:ascii="Times New Roman" w:hAnsi="Times New Roman" w:eastAsia="宋体" w:cs="Times New Roman"/>
      <w:sz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1.xml.rels><?xml version="1.0" encoding="UTF-8" standalone="yes"?>
<Relationships xmlns="http://schemas.openxmlformats.org/package/2006/relationships"><Relationship Id="rId3" Type="http://schemas.openxmlformats.org/officeDocument/2006/relationships/oleObject" Target="embeddings/oleObject2.bin"/><Relationship Id="rId2" Type="http://schemas.openxmlformats.org/officeDocument/2006/relationships/image" Target="media/image1.png"/><Relationship Id="rId1" Type="http://schemas.openxmlformats.org/officeDocument/2006/relationships/oleObject" Target="embeddings/oleObject1.bin"/></Relationships>
</file>

<file path=word/_rels/footer2.xml.rels><?xml version="1.0" encoding="UTF-8" standalone="yes"?>
<Relationships xmlns="http://schemas.openxmlformats.org/package/2006/relationships"><Relationship Id="rId3" Type="http://schemas.openxmlformats.org/officeDocument/2006/relationships/oleObject" Target="embeddings/oleObject4.bin"/><Relationship Id="rId2" Type="http://schemas.openxmlformats.org/officeDocument/2006/relationships/image" Target="media/image1.png"/><Relationship Id="rId1" Type="http://schemas.openxmlformats.org/officeDocument/2006/relationships/oleObject" Target="embeddings/oleObject3.bin"/></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Info spid="_x0000_s3073"/>
    <customShpInfo spid="_x0000_s3074"/>
    <customShpInfo spid="_x0000_s3077"/>
    <customShpInfo spid="_x0000_s307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56</Pages>
  <Words>22555</Words>
  <Characters>25065</Characters>
  <Lines>220</Lines>
  <Paragraphs>61</Paragraphs>
  <TotalTime>12</TotalTime>
  <ScaleCrop>false</ScaleCrop>
  <LinksUpToDate>false</LinksUpToDate>
  <CharactersWithSpaces>26772</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2021-09-26T11:26:00Z</dcterms:created>
  <dc:creator>微软用户</dc:creator>
  <cp:lastModifiedBy>…D</cp:lastModifiedBy>
  <cp:lastPrinted>2023-02-06T07:48:00Z</cp:lastPrinted>
  <dcterms:modified xsi:type="dcterms:W3CDTF">2023-05-05T00:31:16Z</dcterms:modified>
  <dc:title>投 标 须 知 前 附 表</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6BC55B2EB67E495A87396F2B3AAEE26E_13</vt:lpwstr>
  </property>
</Properties>
</file>