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杭州市临安区数据资源管理局集成服务项目（二期）</w:t>
      </w:r>
    </w:p>
    <w:p>
      <w:pPr>
        <w:adjustRightInd/>
        <w:spacing w:line="360" w:lineRule="auto"/>
        <w:jc w:val="center"/>
        <w:rPr>
          <w:rFonts w:ascii="宋体" w:hAnsi="宋体" w:cs="宋体"/>
          <w:sz w:val="48"/>
          <w:szCs w:val="48"/>
        </w:rPr>
      </w:pPr>
      <w:r>
        <w:rPr>
          <w:rFonts w:hint="eastAsia" w:ascii="宋体" w:hAnsi="宋体" w:cs="宋体"/>
          <w:sz w:val="48"/>
          <w:szCs w:val="48"/>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仿宋_GB2312"/>
          <w:sz w:val="30"/>
          <w:szCs w:val="30"/>
        </w:rPr>
        <w:t xml:space="preserve"> 临[2023]2459号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500" w:lineRule="exact"/>
        <w:ind w:right="532"/>
        <w:jc w:val="center"/>
        <w:rPr>
          <w:color w:val="000000"/>
          <w:sz w:val="32"/>
          <w:szCs w:val="32"/>
        </w:rPr>
      </w:pPr>
    </w:p>
    <w:p>
      <w:pPr>
        <w:spacing w:line="500" w:lineRule="exact"/>
        <w:ind w:right="532"/>
        <w:jc w:val="center"/>
        <w:rPr>
          <w:color w:val="000000"/>
          <w:sz w:val="32"/>
          <w:szCs w:val="32"/>
        </w:rPr>
      </w:pPr>
    </w:p>
    <w:p>
      <w:pPr>
        <w:spacing w:line="500" w:lineRule="exact"/>
        <w:ind w:right="532"/>
        <w:jc w:val="center"/>
        <w:rPr>
          <w:color w:val="000000"/>
          <w:sz w:val="32"/>
          <w:szCs w:val="32"/>
        </w:rPr>
      </w:pPr>
      <w:r>
        <w:rPr>
          <w:rFonts w:hint="eastAsia"/>
          <w:color w:val="000000"/>
          <w:sz w:val="32"/>
          <w:szCs w:val="32"/>
        </w:rPr>
        <w:t>采购人：杭州市临安区数据资源管理局</w:t>
      </w:r>
    </w:p>
    <w:p>
      <w:pPr>
        <w:spacing w:line="500" w:lineRule="exact"/>
        <w:ind w:right="532"/>
        <w:jc w:val="center"/>
        <w:rPr>
          <w:color w:val="000000"/>
          <w:sz w:val="32"/>
          <w:szCs w:val="32"/>
        </w:rPr>
      </w:pPr>
    </w:p>
    <w:p>
      <w:pPr>
        <w:spacing w:line="500" w:lineRule="exact"/>
        <w:ind w:right="532"/>
        <w:jc w:val="center"/>
        <w:rPr>
          <w:color w:val="000000"/>
          <w:sz w:val="32"/>
          <w:szCs w:val="32"/>
        </w:rPr>
      </w:pPr>
      <w:r>
        <w:rPr>
          <w:rFonts w:hint="eastAsia"/>
          <w:color w:val="000000"/>
          <w:sz w:val="32"/>
          <w:szCs w:val="32"/>
        </w:rPr>
        <w:t>采购代理机构：建正工程咨询有限公司</w:t>
      </w:r>
    </w:p>
    <w:p>
      <w:pPr>
        <w:spacing w:line="500" w:lineRule="exact"/>
        <w:ind w:right="532"/>
        <w:jc w:val="center"/>
        <w:rPr>
          <w:color w:val="000000"/>
          <w:sz w:val="32"/>
          <w:szCs w:val="32"/>
        </w:rPr>
      </w:pPr>
    </w:p>
    <w:p>
      <w:pPr>
        <w:spacing w:line="500" w:lineRule="exact"/>
        <w:ind w:right="532"/>
        <w:jc w:val="center"/>
        <w:rPr>
          <w:color w:val="000000"/>
          <w:sz w:val="32"/>
          <w:szCs w:val="32"/>
        </w:rPr>
      </w:pPr>
      <w:r>
        <w:rPr>
          <w:rFonts w:hint="eastAsia"/>
          <w:color w:val="000000"/>
          <w:sz w:val="32"/>
          <w:szCs w:val="32"/>
        </w:rPr>
        <w:t>二〇二三年十月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杭州市临安区数据资源管理局集成服务项目（二期）</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https://www.zcygov.cn/）获取（下载）招标文件，并于2023年11月1</w:t>
      </w:r>
      <w:r>
        <w:rPr>
          <w:rStyle w:val="76"/>
          <w:rFonts w:hint="eastAsia" w:ascii="宋体" w:hAnsi="宋体" w:cs="宋体"/>
          <w:snapToGrid/>
          <w:kern w:val="2"/>
          <w:sz w:val="24"/>
          <w:szCs w:val="24"/>
          <w:lang w:val="en-US" w:eastAsia="zh-CN"/>
        </w:rPr>
        <w:t>6</w:t>
      </w:r>
      <w:bookmarkStart w:id="519" w:name="_GoBack"/>
      <w:bookmarkEnd w:id="519"/>
      <w:r>
        <w:rPr>
          <w:rStyle w:val="76"/>
          <w:rFonts w:hint="eastAsia" w:ascii="宋体" w:hAnsi="宋体" w:eastAsia="宋体" w:cs="宋体"/>
          <w:snapToGrid/>
          <w:kern w:val="2"/>
          <w:sz w:val="24"/>
          <w:szCs w:val="24"/>
        </w:rPr>
        <w:t>日14点00分00秒</w:t>
      </w:r>
      <w:r>
        <w:rPr>
          <w:rStyle w:val="76"/>
          <w:rFonts w:hint="eastAsia" w:ascii="宋体" w:hAnsi="宋体" w:eastAsia="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仿宋_GB2312"/>
          <w:sz w:val="24"/>
        </w:rPr>
        <w:t>临[2023]2459号</w:t>
      </w:r>
      <w:r>
        <w:rPr>
          <w:rFonts w:hint="eastAsia" w:ascii="宋体" w:hAnsi="宋体" w:cs="宋体"/>
          <w:bCs/>
          <w:sz w:val="24"/>
        </w:rPr>
        <w:t xml:space="preserve"> </w:t>
      </w:r>
    </w:p>
    <w:p>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bCs/>
          <w:sz w:val="24"/>
        </w:rPr>
        <w:t>杭州市临安区数据资源管理局集成服务项目（二期）</w:t>
      </w:r>
    </w:p>
    <w:p>
      <w:pPr>
        <w:spacing w:line="360" w:lineRule="auto"/>
        <w:ind w:firstLine="480"/>
        <w:rPr>
          <w:rFonts w:ascii="宋体" w:hAnsi="宋体" w:cs="宋体"/>
          <w:sz w:val="24"/>
        </w:rPr>
      </w:pPr>
      <w:r>
        <w:rPr>
          <w:rFonts w:hint="eastAsia" w:ascii="宋体" w:hAnsi="宋体" w:cs="宋体"/>
          <w:b/>
          <w:sz w:val="24"/>
        </w:rPr>
        <w:t>预算金额（元）：</w:t>
      </w:r>
      <w:r>
        <w:rPr>
          <w:rFonts w:hint="eastAsia" w:ascii="宋体" w:hAnsi="宋体" w:cs="宋体"/>
          <w:bCs/>
          <w:sz w:val="24"/>
        </w:rPr>
        <w:t>7000000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7000000</w:t>
      </w:r>
    </w:p>
    <w:p>
      <w:pPr>
        <w:pStyle w:val="3"/>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snapToGrid/>
          <w:color w:val="auto"/>
          <w:kern w:val="2"/>
          <w:sz w:val="24"/>
          <w:szCs w:val="24"/>
        </w:rPr>
        <w:t>杭州市临安区数据资源管理局集成服务项目，主要内容：详见招标文件第三部分采购需求。</w:t>
      </w:r>
    </w:p>
    <w:p>
      <w:pPr>
        <w:spacing w:line="360" w:lineRule="auto"/>
        <w:ind w:firstLine="422" w:firstLineChars="200"/>
        <w:rPr>
          <w:rFonts w:ascii="宋体" w:hAnsi="宋体" w:cs="宋体"/>
        </w:rPr>
      </w:pPr>
      <w:r>
        <w:rPr>
          <w:rFonts w:hint="eastAsia" w:ascii="宋体" w:hAnsi="宋体" w:cs="宋体"/>
          <w:b/>
        </w:rPr>
        <w:t>合同履约期限：</w:t>
      </w:r>
      <w:r>
        <w:rPr>
          <w:rFonts w:hint="eastAsia" w:ascii="宋体" w:hAnsi="宋体"/>
          <w:sz w:val="24"/>
        </w:rPr>
        <w:t>十二个月</w:t>
      </w:r>
    </w:p>
    <w:p>
      <w:pPr>
        <w:pStyle w:val="3"/>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color w:val="0000FF"/>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2023年11月1</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2023年11月1</w:t>
      </w:r>
      <w:r>
        <w:rPr>
          <w:rFonts w:hint="eastAsia" w:ascii="宋体" w:hAnsi="宋体" w:cs="宋体"/>
          <w:sz w:val="24"/>
          <w:u w:val="single"/>
          <w:lang w:val="en-US" w:eastAsia="zh-CN"/>
        </w:rPr>
        <w:t>6</w:t>
      </w:r>
      <w:r>
        <w:rPr>
          <w:rFonts w:hint="eastAsia" w:ascii="宋体" w:hAnsi="宋体" w:cs="宋体"/>
          <w:sz w:val="24"/>
          <w:u w:val="single"/>
        </w:rPr>
        <w:t>日 1</w:t>
      </w:r>
      <w:r>
        <w:rPr>
          <w:rFonts w:hint="eastAsia" w:ascii="宋体" w:hAnsi="宋体" w:cs="宋体"/>
          <w:sz w:val="24"/>
          <w:u w:val="single"/>
          <w:lang w:val="en-US" w:eastAsia="zh-CN"/>
        </w:rPr>
        <w:t>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2023年11月1</w:t>
      </w:r>
      <w:r>
        <w:rPr>
          <w:rFonts w:hint="eastAsia" w:ascii="宋体" w:hAnsi="宋体" w:cs="宋体"/>
          <w:sz w:val="24"/>
          <w:u w:val="single"/>
          <w:lang w:val="en-US" w:eastAsia="zh-CN"/>
        </w:rPr>
        <w:t>6</w:t>
      </w:r>
      <w:r>
        <w:rPr>
          <w:rFonts w:hint="eastAsia" w:ascii="宋体" w:hAnsi="宋体" w:cs="宋体"/>
          <w:sz w:val="24"/>
          <w:u w:val="single"/>
        </w:rPr>
        <w:t>日 1</w:t>
      </w:r>
      <w:r>
        <w:rPr>
          <w:rFonts w:hint="eastAsia" w:ascii="宋体" w:hAnsi="宋体" w:cs="宋体"/>
          <w:sz w:val="24"/>
          <w:u w:val="single"/>
          <w:lang w:val="en-US" w:eastAsia="zh-CN"/>
        </w:rPr>
        <w:t>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称：杭州市临安区数据资源管理局</w:t>
      </w:r>
    </w:p>
    <w:p>
      <w:pPr>
        <w:spacing w:line="360" w:lineRule="auto"/>
        <w:rPr>
          <w:rFonts w:ascii="宋体" w:hAnsi="宋体"/>
          <w:sz w:val="24"/>
        </w:rPr>
      </w:pPr>
      <w:r>
        <w:rPr>
          <w:rFonts w:hint="eastAsia" w:ascii="宋体" w:hAnsi="宋体"/>
          <w:sz w:val="24"/>
        </w:rPr>
        <w:t xml:space="preserve">    地    址：杭州市临安区锦北街道科技大道4398号</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传    真：/</w:t>
      </w:r>
    </w:p>
    <w:p>
      <w:pPr>
        <w:spacing w:line="360" w:lineRule="auto"/>
        <w:ind w:firstLine="480"/>
        <w:rPr>
          <w:rFonts w:ascii="宋体" w:hAnsi="宋体"/>
          <w:sz w:val="24"/>
        </w:rPr>
      </w:pPr>
      <w:r>
        <w:rPr>
          <w:rFonts w:hint="eastAsia" w:ascii="宋体" w:hAnsi="宋体"/>
          <w:sz w:val="24"/>
        </w:rPr>
        <w:t>项目联系人（询问）：蒋斌</w:t>
      </w:r>
    </w:p>
    <w:p>
      <w:pPr>
        <w:spacing w:line="360" w:lineRule="auto"/>
        <w:ind w:firstLine="480"/>
        <w:rPr>
          <w:rFonts w:ascii="宋体" w:hAnsi="宋体"/>
          <w:sz w:val="24"/>
        </w:rPr>
      </w:pPr>
      <w:r>
        <w:rPr>
          <w:rFonts w:hint="eastAsia" w:ascii="宋体" w:hAnsi="宋体"/>
          <w:sz w:val="24"/>
        </w:rPr>
        <w:t>项目联系方式（询问）：0571-56958001</w:t>
      </w:r>
    </w:p>
    <w:p>
      <w:pPr>
        <w:spacing w:line="360" w:lineRule="auto"/>
        <w:rPr>
          <w:rFonts w:ascii="宋体" w:hAnsi="宋体"/>
          <w:sz w:val="24"/>
        </w:rPr>
      </w:pPr>
      <w:r>
        <w:rPr>
          <w:rFonts w:hint="eastAsia" w:ascii="宋体" w:hAnsi="宋体"/>
          <w:sz w:val="24"/>
        </w:rPr>
        <w:t xml:space="preserve">    质疑联系人：方忠平   </w:t>
      </w:r>
    </w:p>
    <w:p>
      <w:pPr>
        <w:spacing w:line="360" w:lineRule="auto"/>
        <w:rPr>
          <w:rFonts w:ascii="宋体" w:hAnsi="宋体"/>
          <w:sz w:val="24"/>
        </w:rPr>
      </w:pPr>
      <w:r>
        <w:rPr>
          <w:rFonts w:hint="eastAsia" w:ascii="宋体" w:hAnsi="宋体"/>
          <w:sz w:val="24"/>
        </w:rPr>
        <w:t xml:space="preserve">    质疑联系方式： 0571-63700016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宋体" w:hAnsi="宋体"/>
          <w:sz w:val="24"/>
        </w:rPr>
      </w:pPr>
      <w:r>
        <w:rPr>
          <w:rFonts w:hint="eastAsia" w:ascii="宋体" w:hAnsi="宋体"/>
          <w:sz w:val="24"/>
        </w:rPr>
        <w:t xml:space="preserve">名    称：建正工程咨询有限公司             </w:t>
      </w:r>
    </w:p>
    <w:p>
      <w:pPr>
        <w:spacing w:line="360" w:lineRule="auto"/>
        <w:rPr>
          <w:rFonts w:ascii="宋体" w:hAnsi="宋体"/>
          <w:sz w:val="24"/>
        </w:rPr>
      </w:pPr>
      <w:r>
        <w:rPr>
          <w:rFonts w:hint="eastAsia" w:ascii="宋体" w:hAnsi="宋体"/>
          <w:sz w:val="24"/>
        </w:rPr>
        <w:t xml:space="preserve">    地    址：浙江省杭州市临安区锦北街道花石街245号3楼  </w:t>
      </w:r>
      <w:r>
        <w:rPr>
          <w:rFonts w:ascii="宋体" w:hAnsi="宋体"/>
          <w:sz w:val="24"/>
        </w:rPr>
        <w:t xml:space="preserve"> </w:t>
      </w:r>
    </w:p>
    <w:p>
      <w:pPr>
        <w:spacing w:line="360" w:lineRule="auto"/>
        <w:rPr>
          <w:rFonts w:ascii="宋体" w:hAnsi="宋体"/>
          <w:sz w:val="24"/>
        </w:rPr>
      </w:pPr>
      <w:r>
        <w:rPr>
          <w:rFonts w:hint="eastAsia" w:ascii="宋体" w:hAnsi="宋体"/>
          <w:sz w:val="24"/>
        </w:rPr>
        <w:t xml:space="preserve">    传    真：/             </w:t>
      </w:r>
    </w:p>
    <w:p>
      <w:pPr>
        <w:spacing w:line="360" w:lineRule="auto"/>
        <w:rPr>
          <w:rFonts w:ascii="宋体" w:hAnsi="宋体"/>
          <w:sz w:val="24"/>
        </w:rPr>
      </w:pPr>
      <w:r>
        <w:rPr>
          <w:rFonts w:hint="eastAsia" w:ascii="宋体" w:hAnsi="宋体"/>
          <w:sz w:val="24"/>
        </w:rPr>
        <w:t xml:space="preserve">    项目联系人（询问）： 吴昊</w:t>
      </w:r>
    </w:p>
    <w:p>
      <w:pPr>
        <w:spacing w:line="360" w:lineRule="auto"/>
        <w:rPr>
          <w:rFonts w:ascii="宋体" w:hAnsi="宋体"/>
          <w:sz w:val="24"/>
        </w:rPr>
      </w:pPr>
      <w:r>
        <w:rPr>
          <w:rFonts w:hint="eastAsia" w:ascii="宋体" w:hAnsi="宋体"/>
          <w:sz w:val="24"/>
        </w:rPr>
        <w:t xml:space="preserve">    项目联系方式（询问）：0571-61100018   18758303034 </w:t>
      </w:r>
    </w:p>
    <w:p>
      <w:pPr>
        <w:spacing w:line="360" w:lineRule="auto"/>
        <w:rPr>
          <w:rFonts w:ascii="宋体" w:hAnsi="宋体"/>
          <w:sz w:val="24"/>
        </w:rPr>
      </w:pPr>
      <w:r>
        <w:rPr>
          <w:rFonts w:hint="eastAsia" w:ascii="宋体" w:hAnsi="宋体"/>
          <w:sz w:val="24"/>
        </w:rPr>
        <w:t xml:space="preserve">    质疑联系人：孔令忠              </w:t>
      </w:r>
    </w:p>
    <w:p>
      <w:pPr>
        <w:spacing w:line="360" w:lineRule="auto"/>
        <w:rPr>
          <w:rFonts w:ascii="宋体" w:hAnsi="宋体"/>
          <w:sz w:val="24"/>
        </w:rPr>
      </w:pPr>
      <w:r>
        <w:rPr>
          <w:rFonts w:hint="eastAsia" w:ascii="宋体" w:hAnsi="宋体"/>
          <w:sz w:val="24"/>
        </w:rPr>
        <w:t xml:space="preserve">    质疑联系方式：0571-61100018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名    称：杭州市临安区财政局政府采购监督管理科</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sz w:val="24"/>
        </w:rPr>
        <w:t>杭州市临安区临天路1950号</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传    真： 0571-89541600</w:t>
      </w:r>
    </w:p>
    <w:p>
      <w:pPr>
        <w:spacing w:line="360" w:lineRule="auto"/>
        <w:ind w:firstLine="480"/>
        <w:rPr>
          <w:rFonts w:ascii="宋体" w:hAnsi="宋体" w:cs="宋体"/>
          <w:sz w:val="24"/>
        </w:rPr>
      </w:pPr>
      <w:r>
        <w:rPr>
          <w:rFonts w:hint="eastAsia" w:ascii="宋体" w:hAnsi="宋体" w:cs="宋体"/>
          <w:sz w:val="24"/>
        </w:rPr>
        <w:t xml:space="preserve">联系人 ：喻伟建 </w:t>
      </w:r>
    </w:p>
    <w:p>
      <w:pPr>
        <w:spacing w:line="360" w:lineRule="auto"/>
        <w:ind w:firstLine="480"/>
        <w:rPr>
          <w:rFonts w:ascii="宋体" w:hAnsi="宋体" w:cs="宋体"/>
          <w:sz w:val="24"/>
        </w:rPr>
      </w:pPr>
      <w:r>
        <w:rPr>
          <w:rFonts w:hint="eastAsia" w:ascii="宋体" w:hAnsi="宋体" w:cs="宋体"/>
          <w:sz w:val="24"/>
        </w:rPr>
        <w:t xml:space="preserve">监督投诉电话：0571-89541696、 0571-89541691    </w:t>
      </w:r>
    </w:p>
    <w:p>
      <w:pPr>
        <w:spacing w:line="360" w:lineRule="auto"/>
        <w:ind w:firstLine="480" w:firstLineChars="200"/>
        <w:rPr>
          <w:rFonts w:ascii="宋体" w:hAnsi="宋体"/>
          <w:sz w:val="24"/>
        </w:rPr>
      </w:pPr>
      <w:r>
        <w:rPr>
          <w:rFonts w:hint="eastAsia" w:ascii="宋体" w:hAnsi="宋体"/>
          <w:sz w:val="24"/>
        </w:rPr>
        <w:t>若对项目采购电子交易系统操作有疑问，可登录政采云（</w:t>
      </w:r>
      <w:r>
        <w:rPr>
          <w:rFonts w:ascii="宋体" w:hAnsi="宋体"/>
          <w:sz w:val="24"/>
        </w:rPr>
        <w:t>https://www.zcygov.cn/），点击右侧咨询小采，获取采小蜜智能服务管家帮助，或拨打政</w:t>
      </w:r>
      <w:r>
        <w:rPr>
          <w:rFonts w:hint="eastAsia" w:ascii="宋体" w:hAnsi="宋体"/>
          <w:sz w:val="24"/>
        </w:rPr>
        <w:t>采云服务热线95763</w:t>
      </w:r>
      <w:r>
        <w:rPr>
          <w:rFonts w:ascii="宋体" w:hAnsi="宋体"/>
          <w:sz w:val="24"/>
        </w:rPr>
        <w:t>获取热线服务帮助。</w:t>
      </w:r>
      <w:r>
        <w:rPr>
          <w:rFonts w:hint="eastAsia" w:ascii="宋体" w:hAnsi="宋体"/>
          <w:sz w:val="24"/>
        </w:rPr>
        <w:t> </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  </w:t>
      </w:r>
    </w:p>
    <w:p>
      <w:pPr>
        <w:spacing w:line="360" w:lineRule="auto"/>
        <w:ind w:firstLine="480" w:firstLineChars="200"/>
        <w:rPr>
          <w:rFonts w:ascii="宋体" w:hAnsi="宋体"/>
          <w:sz w:val="24"/>
        </w:rPr>
      </w:pPr>
    </w:p>
    <w:p>
      <w:pPr>
        <w:spacing w:line="360" w:lineRule="auto"/>
        <w:ind w:firstLine="480" w:firstLineChars="200"/>
        <w:rPr>
          <w:rFonts w:ascii="宋体" w:hAnsi="宋体" w:cs="宋体"/>
          <w:sz w:val="24"/>
        </w:rPr>
      </w:pPr>
      <w:r>
        <w:rPr>
          <w:rFonts w:ascii="宋体" w:hAnsi="宋体"/>
          <w:sz w:val="24"/>
        </w:rPr>
        <w:t>CA问题联系电话（人工）：</w:t>
      </w:r>
      <w:r>
        <w:rPr>
          <w:rFonts w:hint="eastAsia" w:ascii="宋体" w:hAnsi="宋体"/>
          <w:sz w:val="24"/>
        </w:rPr>
        <w:t>汇信</w:t>
      </w:r>
      <w:r>
        <w:rPr>
          <w:rFonts w:ascii="宋体" w:hAnsi="宋体"/>
          <w:sz w:val="24"/>
        </w:rPr>
        <w:t>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rPr>
                <w:rFonts w:ascii="宋体" w:hAnsi="宋体" w:eastAsia="宋体" w:cs="宋体"/>
                <w:lang w:val="en-US"/>
              </w:rPr>
            </w:pPr>
            <w:r>
              <w:rPr>
                <w:rFonts w:hint="eastAsia" w:ascii="宋体" w:hAnsi="宋体" w:eastAsia="宋体" w:cs="宋体"/>
                <w:b w:val="0"/>
                <w:bCs w:val="0"/>
                <w:sz w:val="24"/>
                <w:szCs w:val="24"/>
                <w:lang w:val="en-US"/>
              </w:rPr>
              <w:t>（1）标的：</w:t>
            </w:r>
            <w:r>
              <w:rPr>
                <w:rFonts w:hint="eastAsia" w:ascii="宋体" w:hAnsi="宋体" w:eastAsia="宋体" w:cs="宋体"/>
                <w:b w:val="0"/>
                <w:bCs w:val="0"/>
                <w:sz w:val="24"/>
                <w:szCs w:val="24"/>
                <w:u w:val="single"/>
                <w:lang w:val="en-US"/>
              </w:rPr>
              <w:t xml:space="preserve">杭州市临安区数据资源管理局集成服务（二期） </w:t>
            </w:r>
            <w:r>
              <w:rPr>
                <w:rFonts w:hint="eastAsia" w:ascii="宋体" w:hAnsi="宋体" w:eastAsia="宋体" w:cs="宋体"/>
                <w:b w:val="0"/>
                <w:bCs w:val="0"/>
                <w:sz w:val="24"/>
                <w:szCs w:val="24"/>
                <w:lang w:val="en-US"/>
              </w:rPr>
              <w:t>，属于</w:t>
            </w:r>
            <w:r>
              <w:rPr>
                <w:rFonts w:hint="eastAsia" w:ascii="宋体" w:hAnsi="宋体" w:eastAsia="宋体" w:cs="宋体"/>
                <w:b w:val="0"/>
                <w:bCs w:val="0"/>
                <w:sz w:val="24"/>
                <w:szCs w:val="24"/>
                <w:u w:val="single"/>
                <w:lang w:val="en-US"/>
              </w:rPr>
              <w:t>软件和信息技术服务行业</w:t>
            </w:r>
            <w:r>
              <w:rPr>
                <w:rFonts w:hint="eastAsia" w:ascii="宋体" w:hAnsi="宋体" w:eastAsia="宋体" w:cs="宋体"/>
                <w:b w:val="0"/>
                <w:bCs w:val="0"/>
                <w:sz w:val="24"/>
                <w:szCs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非技术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（2）方案讲解演示为：</w:t>
            </w:r>
          </w:p>
          <w:p>
            <w:pPr>
              <w:snapToGrid w:val="0"/>
              <w:spacing w:line="360" w:lineRule="auto"/>
              <w:rPr>
                <w:rFonts w:ascii="宋体" w:hAnsi="宋体" w:cs="宋体"/>
                <w:kern w:val="0"/>
                <w:sz w:val="24"/>
                <w:u w:val="single"/>
              </w:rPr>
            </w:pPr>
            <w:r>
              <w:rPr>
                <w:rFonts w:hint="eastAsia" w:ascii="宋体" w:hAnsi="宋体" w:cs="宋体"/>
                <w:kern w:val="0"/>
                <w:sz w:val="24"/>
                <w:u w:val="single"/>
              </w:rPr>
              <w:t>方式一：演示视频制作成U盘，在提交响应文件截止时间前将制作好U盘邮寄到代理公司（以签收时间为准），邮寄地点为杭州市临安区锦北街道花石街245号3楼。</w:t>
            </w:r>
          </w:p>
          <w:p>
            <w:pPr>
              <w:pStyle w:val="8"/>
              <w:spacing w:line="360" w:lineRule="auto"/>
              <w:rPr>
                <w:lang w:val="zh-CN"/>
              </w:rPr>
            </w:pPr>
            <w:r>
              <w:rPr>
                <w:rFonts w:hint="eastAsia" w:hAnsi="宋体" w:cs="宋体"/>
                <w:snapToGrid/>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spacing w:line="360" w:lineRule="auto"/>
              <w:rPr>
                <w:rFonts w:hAnsi="宋体" w:cs="宋体"/>
                <w:kern w:val="28"/>
                <w:sz w:val="24"/>
              </w:rPr>
            </w:pPr>
            <w:r>
              <w:rPr>
                <w:rFonts w:hint="eastAsia" w:hAnsi="宋体" w:cs="宋体"/>
                <w:color w:val="000000"/>
                <w:kern w:val="28"/>
                <w:sz w:val="24"/>
                <w:szCs w:val="24"/>
              </w:rPr>
              <w:t>备份响应文件送达地点：</w:t>
            </w:r>
            <w:r>
              <w:rPr>
                <w:rFonts w:hint="eastAsia" w:hAnsi="宋体" w:cs="宋体"/>
                <w:color w:val="000000"/>
                <w:sz w:val="24"/>
                <w:u w:val="single"/>
              </w:rPr>
              <w:t xml:space="preserve"> 浙江省杭州市临安区锦北街道花石街245号3楼 </w:t>
            </w:r>
            <w:r>
              <w:rPr>
                <w:rFonts w:hint="eastAsia" w:hAnsi="宋体" w:cs="宋体"/>
                <w:color w:val="000000"/>
                <w:kern w:val="28"/>
                <w:sz w:val="24"/>
                <w:szCs w:val="24"/>
              </w:rPr>
              <w:t>；备份响应文件签收人员联系电话：</w:t>
            </w:r>
            <w:r>
              <w:rPr>
                <w:rFonts w:hint="eastAsia" w:hAnsi="宋体" w:cs="宋体"/>
                <w:color w:val="000000"/>
                <w:sz w:val="24"/>
                <w:u w:val="single"/>
              </w:rPr>
              <w:t xml:space="preserve"> 吴昊：18758303034 </w:t>
            </w:r>
            <w:r>
              <w:rPr>
                <w:rFonts w:hint="eastAsia" w:hAnsi="宋体" w:cs="宋体"/>
                <w:color w:val="000000"/>
                <w:sz w:val="24"/>
                <w:szCs w:val="24"/>
              </w:rPr>
              <w:t>。</w:t>
            </w:r>
            <w:r>
              <w:rPr>
                <w:rFonts w:hint="eastAsia" w:hAnsi="宋体" w:cs="宋体"/>
                <w:b/>
                <w:color w:val="000000"/>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eastAsia="仿宋_GB2312"/>
                <w:b/>
                <w:color w:val="000000"/>
                <w:sz w:val="24"/>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12" w:lineRule="auto"/>
              <w:rPr>
                <w:rFonts w:hint="eastAsia" w:ascii="宋体" w:hAnsi="宋体" w:eastAsia="宋体" w:cs="宋体"/>
                <w:color w:val="000000"/>
                <w:sz w:val="24"/>
                <w:lang w:val="en-US" w:eastAsia="zh-CN"/>
              </w:rPr>
            </w:pPr>
            <w:r>
              <w:rPr>
                <w:rFonts w:hint="eastAsia" w:ascii="宋体" w:hAnsi="宋体" w:cs="宋体"/>
                <w:color w:val="000000"/>
                <w:sz w:val="24"/>
              </w:rPr>
              <w:t>代理服务费参照发改价格〔2011〕534号文件、国家发改委计价格〔2002〕1980号文件规定收费,单个采购项目代理服务费不足肆仟元可按肆仟元收取，代理服务收费按差额定率累进法计算。</w:t>
            </w:r>
            <w:r>
              <w:rPr>
                <w:rFonts w:hint="eastAsia" w:ascii="宋体" w:hAnsi="宋体" w:cs="宋体"/>
                <w:color w:val="000000"/>
                <w:sz w:val="24"/>
                <w:lang w:eastAsia="zh-CN"/>
              </w:rPr>
              <w:t>专家费按实收取。</w:t>
            </w:r>
          </w:p>
          <w:p>
            <w:pPr>
              <w:snapToGrid w:val="0"/>
              <w:spacing w:line="312" w:lineRule="auto"/>
              <w:ind w:firstLine="480" w:firstLineChars="200"/>
              <w:rPr>
                <w:rFonts w:ascii="宋体" w:hAnsi="宋体" w:cs="宋体"/>
                <w:color w:val="000000"/>
                <w:sz w:val="24"/>
              </w:rPr>
            </w:pPr>
            <w:r>
              <w:rPr>
                <w:rFonts w:hint="eastAsia" w:ascii="宋体" w:hAnsi="宋体" w:cs="宋体"/>
                <w:color w:val="000000"/>
                <w:sz w:val="24"/>
              </w:rPr>
              <w:drawing>
                <wp:inline distT="0" distB="0" distL="114300" distR="114300">
                  <wp:extent cx="3407410" cy="1607820"/>
                  <wp:effectExtent l="0" t="0" r="2540" b="1143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6"/>
                          <a:stretch>
                            <a:fillRect/>
                          </a:stretch>
                        </pic:blipFill>
                        <pic:spPr>
                          <a:xfrm>
                            <a:off x="0" y="0"/>
                            <a:ext cx="3407410" cy="1607820"/>
                          </a:xfrm>
                          <a:prstGeom prst="rect">
                            <a:avLst/>
                          </a:prstGeom>
                          <a:noFill/>
                          <a:ln>
                            <a:noFill/>
                          </a:ln>
                        </pic:spPr>
                      </pic:pic>
                    </a:graphicData>
                  </a:graphic>
                </wp:inline>
              </w:drawing>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收费对象：本项目代理服务费向成交供应商收取</w:t>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缴纳时间：中标(成交)结果公示后5个工作日内一次性付清</w:t>
            </w:r>
          </w:p>
          <w:p>
            <w:pPr>
              <w:spacing w:line="360" w:lineRule="auto"/>
              <w:rPr>
                <w:rFonts w:cs="Arial" w:asciiTheme="minorEastAsia" w:hAnsiTheme="minorEastAsia" w:eastAsiaTheme="minorEastAsia"/>
                <w:kern w:val="0"/>
                <w:sz w:val="24"/>
              </w:rPr>
            </w:pPr>
            <w:r>
              <w:rPr>
                <w:rFonts w:hint="eastAsia" w:ascii="宋体" w:hAnsi="宋体" w:cs="宋体"/>
                <w:b/>
                <w:snapToGrid w:val="0"/>
                <w:color w:val="000000"/>
                <w:kern w:val="0"/>
                <w:sz w:val="24"/>
              </w:rPr>
              <w:t>缴纳形式</w:t>
            </w:r>
            <w:r>
              <w:rPr>
                <w:rFonts w:hint="eastAsia" w:ascii="宋体" w:hAnsi="宋体" w:cs="宋体"/>
                <w:snapToGrid w:val="0"/>
                <w:color w:val="000000"/>
                <w:kern w:val="0"/>
                <w:sz w:val="24"/>
              </w:rPr>
              <w:t>：汇票/支票/电汇/现金</w:t>
            </w:r>
          </w:p>
        </w:tc>
      </w:tr>
    </w:tbl>
    <w:p>
      <w:pPr>
        <w:snapToGrid w:val="0"/>
        <w:spacing w:line="360" w:lineRule="auto"/>
        <w:jc w:val="center"/>
        <w:rPr>
          <w:rFonts w:ascii="宋体" w:hAnsi="宋体" w:cs="宋体"/>
          <w:b/>
          <w:sz w:val="32"/>
          <w:szCs w:val="20"/>
        </w:rPr>
      </w:pPr>
    </w:p>
    <w:p>
      <w:pPr>
        <w:pStyle w:val="8"/>
        <w:rPr>
          <w:rFonts w:hAnsi="宋体" w:cs="宋体"/>
          <w:b/>
          <w:sz w:val="32"/>
          <w:szCs w:val="20"/>
        </w:rPr>
      </w:pPr>
    </w:p>
    <w:p>
      <w:pPr>
        <w:rPr>
          <w:rFonts w:ascii="宋体" w:hAnsi="宋体" w:cs="宋体"/>
          <w:b/>
          <w:sz w:val="32"/>
          <w:szCs w:val="20"/>
        </w:rPr>
      </w:pPr>
    </w:p>
    <w:p>
      <w:pPr>
        <w:pStyle w:val="8"/>
        <w:rPr>
          <w:rFonts w:hAnsi="宋体" w:cs="宋体"/>
          <w:b/>
          <w:sz w:val="32"/>
          <w:szCs w:val="20"/>
        </w:rPr>
      </w:pPr>
    </w:p>
    <w:p>
      <w:pPr>
        <w:rPr>
          <w:rFonts w:ascii="宋体" w:hAnsi="宋体" w:cs="宋体"/>
          <w:b/>
          <w:sz w:val="32"/>
          <w:szCs w:val="20"/>
        </w:rPr>
      </w:pPr>
    </w:p>
    <w:p>
      <w:pPr>
        <w:pStyle w:val="8"/>
        <w:rPr>
          <w:rFonts w:hAnsi="宋体" w:cs="宋体"/>
          <w:b/>
          <w:sz w:val="32"/>
          <w:szCs w:val="20"/>
        </w:rPr>
      </w:pPr>
    </w:p>
    <w:p>
      <w:pPr>
        <w:rPr>
          <w:rFonts w:ascii="宋体" w:hAnsi="宋体" w:cs="宋体"/>
          <w:b/>
          <w:sz w:val="32"/>
          <w:szCs w:val="20"/>
        </w:rPr>
      </w:pPr>
    </w:p>
    <w:p>
      <w:pPr>
        <w:pStyle w:val="8"/>
        <w:rPr>
          <w:rFonts w:hAnsi="宋体" w:cs="宋体"/>
          <w:b/>
          <w:sz w:val="32"/>
          <w:szCs w:val="20"/>
        </w:rPr>
      </w:pPr>
    </w:p>
    <w:p>
      <w:pPr>
        <w:rPr>
          <w:rFonts w:ascii="宋体" w:hAnsi="宋体" w:cs="宋体"/>
          <w:b/>
          <w:sz w:val="32"/>
          <w:szCs w:val="20"/>
        </w:rPr>
      </w:pPr>
    </w:p>
    <w:p>
      <w:pPr>
        <w:pStyle w:val="8"/>
      </w:pPr>
    </w:p>
    <w:p>
      <w:pPr>
        <w:pStyle w:val="8"/>
      </w:pPr>
    </w:p>
    <w:bookmarkEnd w:id="10"/>
    <w:p>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8"/>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8"/>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8"/>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8"/>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8"/>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8"/>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8"/>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8"/>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8"/>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8"/>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8"/>
        <w:spacing w:line="360" w:lineRule="auto"/>
        <w:rPr>
          <w:rFonts w:hAnsi="宋体" w:cs="宋体"/>
          <w:b/>
          <w:sz w:val="24"/>
          <w:szCs w:val="24"/>
        </w:rPr>
      </w:pPr>
      <w:r>
        <w:rPr>
          <w:rFonts w:hint="eastAsia" w:hAnsi="宋体" w:cs="宋体"/>
          <w:b/>
          <w:sz w:val="24"/>
          <w:szCs w:val="24"/>
        </w:rPr>
        <w:t>5．招标文件的构成</w:t>
      </w:r>
    </w:p>
    <w:p>
      <w:pPr>
        <w:pStyle w:val="8"/>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8"/>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8"/>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8"/>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8"/>
        <w:spacing w:line="360" w:lineRule="auto"/>
        <w:rPr>
          <w:rFonts w:hAnsi="宋体" w:cs="宋体"/>
          <w:b/>
          <w:sz w:val="24"/>
          <w:szCs w:val="24"/>
        </w:rPr>
      </w:pPr>
      <w:r>
        <w:rPr>
          <w:rFonts w:hint="eastAsia" w:hAnsi="宋体" w:cs="宋体"/>
          <w:b/>
          <w:sz w:val="24"/>
          <w:szCs w:val="24"/>
        </w:rPr>
        <w:t>8.开标前答疑会或现场考察</w:t>
      </w:r>
    </w:p>
    <w:p>
      <w:pPr>
        <w:pStyle w:val="8"/>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8"/>
        <w:spacing w:line="360" w:lineRule="auto"/>
        <w:rPr>
          <w:rFonts w:hAnsi="宋体" w:cs="宋体"/>
          <w:b/>
          <w:szCs w:val="24"/>
        </w:rPr>
      </w:pPr>
      <w:r>
        <w:rPr>
          <w:rFonts w:hint="eastAsia" w:hAnsi="宋体" w:cs="宋体"/>
          <w:b/>
          <w:kern w:val="28"/>
          <w:sz w:val="24"/>
          <w:szCs w:val="24"/>
        </w:rPr>
        <w:t>9.投标保证金</w:t>
      </w:r>
    </w:p>
    <w:p>
      <w:pPr>
        <w:pStyle w:val="3"/>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8"/>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8"/>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z w:val="24"/>
        </w:rPr>
        <w:t>（如果有)；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11.1.3落实政府采购政策需满足的资格要求（如果有)；</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11.1.4本项目的特定资格要求（如果有)。</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sz w:val="24"/>
          <w:lang w:val="zh-CN"/>
        </w:rPr>
        <w:t>：</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8"/>
        <w:spacing w:line="360" w:lineRule="auto"/>
        <w:rPr>
          <w:rFonts w:hAnsi="宋体" w:cs="宋体"/>
          <w:b/>
          <w:sz w:val="24"/>
          <w:szCs w:val="24"/>
        </w:rPr>
      </w:pPr>
      <w:r>
        <w:rPr>
          <w:rFonts w:hint="eastAsia" w:hAnsi="宋体" w:cs="宋体"/>
          <w:b/>
          <w:sz w:val="24"/>
          <w:szCs w:val="24"/>
        </w:rPr>
        <w:t>15.备份投标文件</w:t>
      </w:r>
    </w:p>
    <w:p>
      <w:pPr>
        <w:pStyle w:val="8"/>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8"/>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8"/>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8"/>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8"/>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8"/>
      <w:bookmarkEnd w:id="16"/>
      <w:bookmarkStart w:id="17" w:name="_Hlt74730295"/>
      <w:bookmarkEnd w:id="17"/>
      <w:bookmarkStart w:id="18" w:name="_Hlt68403820"/>
      <w:bookmarkEnd w:id="18"/>
      <w:bookmarkStart w:id="19" w:name="_Hlt75236101"/>
      <w:bookmarkEnd w:id="19"/>
      <w:bookmarkStart w:id="20" w:name="_Hlt75236290"/>
      <w:bookmarkEnd w:id="20"/>
      <w:bookmarkStart w:id="21" w:name="_Hlt68073093"/>
      <w:bookmarkEnd w:id="21"/>
      <w:bookmarkStart w:id="22" w:name="_Hlt74729768"/>
      <w:bookmarkEnd w:id="22"/>
      <w:bookmarkStart w:id="23" w:name="_Hlt68057669"/>
      <w:bookmarkEnd w:id="23"/>
      <w:bookmarkStart w:id="24" w:name="_Hlt74707468"/>
      <w:bookmarkEnd w:id="24"/>
      <w:bookmarkStart w:id="25" w:name="_Hlt74714665"/>
      <w:bookmarkEnd w:id="25"/>
      <w:bookmarkStart w:id="26" w:name="_Hlt680729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outlineLvl w:val="0"/>
        <w:rPr>
          <w:rFonts w:ascii="宋体" w:hAnsi="宋体" w:cs="宋体"/>
          <w:b/>
          <w:sz w:val="24"/>
        </w:rPr>
      </w:pPr>
      <w:r>
        <w:rPr>
          <w:rFonts w:hint="eastAsia" w:ascii="宋体" w:hAnsi="宋体" w:cs="宋体"/>
          <w:b/>
          <w:sz w:val="24"/>
        </w:rPr>
        <w:t>一、项目概况</w:t>
      </w:r>
    </w:p>
    <w:p>
      <w:pPr>
        <w:tabs>
          <w:tab w:val="left" w:pos="0"/>
        </w:tabs>
        <w:spacing w:line="360" w:lineRule="auto"/>
        <w:ind w:firstLine="480"/>
        <w:rPr>
          <w:rFonts w:ascii="宋体" w:hAnsi="宋体" w:cs="宋体"/>
          <w:kern w:val="0"/>
          <w:sz w:val="24"/>
        </w:rPr>
      </w:pPr>
      <w:r>
        <w:rPr>
          <w:rFonts w:hint="eastAsia" w:ascii="宋体" w:hAnsi="宋体" w:cs="宋体"/>
          <w:kern w:val="0"/>
          <w:sz w:val="24"/>
        </w:rPr>
        <w:t>紧跟时代发展潮流，为准确把握信息化发展脉搏，高质量、高效率推进数字化建设，谋划一批省内领先、杭州示范、临安特色的政务信息化项目，同时有效解决当前部门信息化人才资源不足的实际情况，将招聘一家技术总集运营服务公司提供项目方案评审把关、代码审核、创新场景预研、专家专业培训、数据体系建设等专业服务</w:t>
      </w:r>
    </w:p>
    <w:p>
      <w:pPr>
        <w:pStyle w:val="8"/>
        <w:adjustRightInd/>
        <w:spacing w:line="360" w:lineRule="auto"/>
        <w:rPr>
          <w:rFonts w:hAnsi="宋体" w:cs="宋体"/>
          <w:b/>
          <w:snapToGrid/>
          <w:sz w:val="24"/>
          <w:szCs w:val="24"/>
        </w:rPr>
      </w:pPr>
      <w:r>
        <w:rPr>
          <w:rFonts w:hint="eastAsia" w:hAnsi="宋体" w:cs="宋体"/>
          <w:b/>
          <w:snapToGrid/>
          <w:sz w:val="24"/>
          <w:szCs w:val="24"/>
        </w:rPr>
        <w:t>二、总体需求</w:t>
      </w:r>
    </w:p>
    <w:p>
      <w:pPr>
        <w:pStyle w:val="7"/>
        <w:adjustRightInd/>
        <w:spacing w:line="360" w:lineRule="auto"/>
        <w:ind w:left="0" w:firstLine="482" w:firstLineChars="200"/>
        <w:rPr>
          <w:rFonts w:ascii="宋体" w:hAnsi="宋体" w:eastAsia="宋体" w:cs="宋体"/>
          <w:b w:val="0"/>
          <w:bCs w:val="0"/>
          <w:kern w:val="0"/>
          <w:sz w:val="24"/>
          <w:szCs w:val="24"/>
          <w:lang w:val="en-US"/>
        </w:rPr>
      </w:pPr>
      <w:r>
        <w:rPr>
          <w:rFonts w:hint="eastAsia" w:ascii="宋体" w:hAnsi="宋体" w:eastAsia="宋体" w:cs="宋体"/>
          <w:bCs w:val="0"/>
          <w:sz w:val="24"/>
          <w:szCs w:val="24"/>
          <w:lang w:val="en-US"/>
        </w:rPr>
        <w:t>（一）项目技术把关服务</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宋体" w:hAnsi="宋体" w:eastAsia="宋体" w:cs="宋体"/>
          <w:b w:val="0"/>
          <w:bCs w:val="0"/>
          <w:kern w:val="0"/>
          <w:sz w:val="24"/>
          <w:szCs w:val="24"/>
          <w:lang w:val="en-US"/>
        </w:rPr>
        <w:t>一方面为数据资源管理局政务信息化项目提供包含项目立项、项目评审、项目实施、项目运维、项目总结全生命周期的技术把关服务。另一方面为部门、镇街政务信息化项目提供项目立项、评审技术把关服务。</w:t>
      </w:r>
    </w:p>
    <w:p>
      <w:pPr>
        <w:adjustRightInd/>
        <w:spacing w:line="360" w:lineRule="auto"/>
        <w:ind w:firstLine="482" w:firstLineChars="200"/>
        <w:rPr>
          <w:rFonts w:ascii="仿宋" w:hAnsi="仿宋" w:eastAsia="仿宋" w:cs="仿宋"/>
          <w:bCs/>
          <w:color w:val="000000" w:themeColor="text1"/>
          <w:sz w:val="32"/>
          <w:szCs w:val="32"/>
          <w14:textFill>
            <w14:solidFill>
              <w14:schemeClr w14:val="tx1"/>
            </w14:solidFill>
          </w14:textFill>
        </w:rPr>
      </w:pPr>
      <w:r>
        <w:rPr>
          <w:rFonts w:hint="eastAsia" w:ascii="宋体" w:hAnsi="宋体" w:cs="宋体"/>
          <w:b/>
          <w:sz w:val="24"/>
        </w:rPr>
        <w:t>1.项目立项阶段：</w:t>
      </w:r>
      <w:r>
        <w:rPr>
          <w:rFonts w:hint="eastAsia" w:ascii="宋体" w:hAnsi="宋体" w:cs="宋体"/>
          <w:kern w:val="0"/>
          <w:sz w:val="24"/>
        </w:rPr>
        <w:t>对全区申报的新建项目进行总体技术把关，包括项目的必要性、技术可行性研判，预算合理性分析，方案创新性评估，安全评估等，保障项目符合省市区整体规划，与IRS中项目不存在类同情况，并对项目提供规划性建议，力争能在省市形成亮点。</w:t>
      </w:r>
    </w:p>
    <w:p>
      <w:pPr>
        <w:adjustRightInd/>
        <w:spacing w:line="360" w:lineRule="auto"/>
        <w:ind w:firstLine="482" w:firstLineChars="200"/>
        <w:rPr>
          <w:rFonts w:ascii="宋体" w:hAnsi="宋体" w:cs="宋体"/>
          <w:kern w:val="0"/>
          <w:sz w:val="24"/>
        </w:rPr>
      </w:pPr>
      <w:r>
        <w:rPr>
          <w:rFonts w:hint="eastAsia" w:ascii="宋体" w:hAnsi="宋体" w:cs="宋体"/>
          <w:b/>
          <w:sz w:val="24"/>
        </w:rPr>
        <w:t>2.项目评审阶段：</w:t>
      </w:r>
      <w:r>
        <w:rPr>
          <w:rFonts w:hint="eastAsia" w:ascii="宋体" w:hAnsi="宋体" w:cs="宋体"/>
          <w:kern w:val="0"/>
          <w:sz w:val="24"/>
        </w:rPr>
        <w:t>对全区新建项目（包含运维项目）的建设方案进行把关，通过对项目建设方案的可行性、先进性评估，提出合理建议，协同完善项目建设方案，特别是对预算价格调整提出具体的建议，辅助建设方案在专家评审会前达到较高质量。</w:t>
      </w:r>
    </w:p>
    <w:p>
      <w:pPr>
        <w:adjustRightInd/>
        <w:spacing w:line="360" w:lineRule="auto"/>
        <w:ind w:firstLine="482" w:firstLineChars="200"/>
        <w:rPr>
          <w:rFonts w:ascii="宋体" w:hAnsi="宋体" w:cs="宋体"/>
          <w:kern w:val="0"/>
          <w:sz w:val="24"/>
        </w:rPr>
      </w:pPr>
      <w:r>
        <w:rPr>
          <w:rFonts w:hint="eastAsia" w:ascii="宋体" w:hAnsi="宋体" w:cs="宋体"/>
          <w:b/>
          <w:sz w:val="24"/>
        </w:rPr>
        <w:t>3.项目实施阶段：</w:t>
      </w:r>
      <w:r>
        <w:rPr>
          <w:rFonts w:hint="eastAsia" w:ascii="宋体" w:hAnsi="宋体" w:cs="宋体"/>
          <w:kern w:val="0"/>
          <w:sz w:val="24"/>
        </w:rPr>
        <w:t>针对数据资源管理局自身的项目，对项目的建设过程进行全程跟踪服务，辅助提升项目建设质量。督促做好项目需求、设计、测试等关键过程文档资料；参与项目初验、终验及验收材料把关。对100万元以上的建设项目需要提交月度进展情况汇总表。同时，根据要求参与项目会议，参与项目节点、管理项目重点问题、预警项目风险，确保项目完整及时交付。</w:t>
      </w:r>
    </w:p>
    <w:p>
      <w:pPr>
        <w:adjustRightInd/>
        <w:spacing w:line="360" w:lineRule="auto"/>
        <w:ind w:firstLine="482" w:firstLineChars="200"/>
        <w:rPr>
          <w:rFonts w:ascii="仿宋" w:hAnsi="仿宋" w:eastAsia="仿宋" w:cs="仿宋"/>
          <w:bCs/>
          <w:color w:val="000000" w:themeColor="text1"/>
          <w:sz w:val="32"/>
          <w:szCs w:val="32"/>
          <w14:textFill>
            <w14:solidFill>
              <w14:schemeClr w14:val="tx1"/>
            </w14:solidFill>
          </w14:textFill>
        </w:rPr>
      </w:pPr>
      <w:r>
        <w:rPr>
          <w:rFonts w:hint="eastAsia" w:ascii="宋体" w:hAnsi="宋体" w:cs="宋体"/>
          <w:b/>
          <w:sz w:val="24"/>
        </w:rPr>
        <w:t>4.项目运维阶段：</w:t>
      </w:r>
      <w:r>
        <w:rPr>
          <w:rFonts w:hint="eastAsia" w:ascii="宋体" w:hAnsi="宋体" w:cs="宋体"/>
          <w:kern w:val="0"/>
          <w:sz w:val="24"/>
        </w:rPr>
        <w:t>对数据资源管理局自身项目建成投入使用后，在项目质保期内协同制定切实有效的项目管理制度，加强项目运行和维护管理的日常监管，确保系统的有效应用。</w:t>
      </w:r>
    </w:p>
    <w:p>
      <w:pPr>
        <w:adjustRightInd/>
        <w:spacing w:line="360" w:lineRule="auto"/>
        <w:ind w:firstLine="482" w:firstLineChars="200"/>
        <w:rPr>
          <w:rFonts w:ascii="仿宋" w:hAnsi="仿宋" w:eastAsia="仿宋" w:cs="仿宋"/>
          <w:color w:val="000000" w:themeColor="text1"/>
          <w:sz w:val="32"/>
          <w:szCs w:val="32"/>
          <w14:textFill>
            <w14:solidFill>
              <w14:schemeClr w14:val="tx1"/>
            </w14:solidFill>
          </w14:textFill>
        </w:rPr>
      </w:pPr>
      <w:r>
        <w:rPr>
          <w:rFonts w:hint="eastAsia" w:ascii="宋体" w:hAnsi="宋体" w:cs="宋体"/>
          <w:b/>
          <w:sz w:val="24"/>
        </w:rPr>
        <w:t>5.项目总结评价阶段：</w:t>
      </w:r>
      <w:r>
        <w:rPr>
          <w:rFonts w:hint="eastAsia" w:ascii="宋体" w:hAnsi="宋体" w:cs="宋体"/>
          <w:kern w:val="0"/>
          <w:sz w:val="24"/>
        </w:rPr>
        <w:t>针对数据资源管理局自身的项目，从项目建设背景、项目方案设计、项目实施过程、数据赋能成效、项目管理措施等维度对年度信息化项目进行复盘总结，对项目建成后的数据共享和赋能进行分析评估，对项目建成后的社会价值与经济价值进行分析评估，提供专业的《信息化项目评估报告》，一方面对项目建设质量做出总结评价，另一方面也为项目运营和管理提供合理建议。</w:t>
      </w:r>
    </w:p>
    <w:p>
      <w:pPr>
        <w:adjustRightInd/>
        <w:spacing w:after="120" w:afterLines="50"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项目技术把关服务需求清单</w:t>
      </w:r>
    </w:p>
    <w:tbl>
      <w:tblPr>
        <w:tblStyle w:val="63"/>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24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424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服务需求</w:t>
            </w:r>
          </w:p>
        </w:tc>
        <w:tc>
          <w:tcPr>
            <w:tcW w:w="3285"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立项阶段</w:t>
            </w:r>
          </w:p>
        </w:tc>
        <w:tc>
          <w:tcPr>
            <w:tcW w:w="424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项目规划审核：IRS项目类同核查</w:t>
            </w:r>
          </w:p>
        </w:tc>
        <w:tc>
          <w:tcPr>
            <w:tcW w:w="3285"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《总集项目立项建议表》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5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总集内部评审服务：技术可行性预判、预算合理性研判</w:t>
            </w:r>
          </w:p>
        </w:tc>
        <w:tc>
          <w:tcPr>
            <w:tcW w:w="3285"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5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项目指导服务：平台建设规范指导；技术创新指导；应用场景创新指导。</w:t>
            </w:r>
          </w:p>
        </w:tc>
        <w:tc>
          <w:tcPr>
            <w:tcW w:w="3285"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5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评审阶段</w:t>
            </w: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总集内部初审服务：方案规范性、符合性、先进性审查，总集内部会议评审</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《总集项目建设方案初审表》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5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项目初审服务：项目初审意见响应指导跟踪</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《总集项目初审意见响应核实表》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专家评审服务：专家评审意见响应指导跟踪</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《专家评审意见》《专家评审意见响应跟踪情况表》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实施阶段</w:t>
            </w:r>
          </w:p>
        </w:tc>
        <w:tc>
          <w:tcPr>
            <w:tcW w:w="4240" w:type="dxa"/>
            <w:vAlign w:val="center"/>
          </w:tcPr>
          <w:p>
            <w:pPr>
              <w:spacing w:line="320" w:lineRule="exact"/>
              <w:rPr>
                <w:rFonts w:ascii="宋体" w:hAnsi="宋体" w:cs="宋体"/>
                <w:sz w:val="24"/>
              </w:rPr>
            </w:pPr>
            <w:r>
              <w:rPr>
                <w:rFonts w:hint="eastAsia" w:ascii="宋体" w:hAnsi="宋体" w:cs="宋体"/>
                <w:sz w:val="24"/>
              </w:rPr>
              <w:t>信息系统集成服务：业务过程集成、应用集成、数据集成、平台集成等信息系统集成服务</w:t>
            </w:r>
          </w:p>
        </w:tc>
        <w:tc>
          <w:tcPr>
            <w:tcW w:w="3285" w:type="dxa"/>
            <w:vAlign w:val="center"/>
          </w:tcPr>
          <w:p>
            <w:pPr>
              <w:spacing w:line="360" w:lineRule="exact"/>
              <w:jc w:val="center"/>
              <w:rPr>
                <w:rFonts w:ascii="宋体" w:hAnsi="宋体" w:cs="宋体"/>
                <w:sz w:val="24"/>
              </w:rPr>
            </w:pPr>
            <w:r>
              <w:rPr>
                <w:rFonts w:hint="eastAsia" w:ascii="宋体" w:hAnsi="宋体" w:cs="宋体"/>
                <w:sz w:val="24"/>
              </w:rPr>
              <w:t>《系统整合方案》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5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项目管理服务：协调指导总平台技术支持，协调系统整合，参加项目例会、初验会议、终验会议，跟踪项目执行进度</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《工作内容纪要》（月度项目进展情况表）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运维阶段</w:t>
            </w: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运维管理服务：项目运维过程跟踪、监督、指导，运维资料审核服务</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《工作内容纪要》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总结评价</w:t>
            </w:r>
          </w:p>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阶段</w:t>
            </w: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项目建设背景、项目方案设计、项目实施过程、数据赋能成效、项目管理措施等维度对年度全区性信息化项目进行复盘总结，对项目建成后的数据共享和赋能进行分析评估，对项目建成后的社会价值与经济价值进行分析评估</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《信息化项目评估报告》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5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全流程</w:t>
            </w:r>
          </w:p>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各阶段</w:t>
            </w:r>
          </w:p>
        </w:tc>
        <w:tc>
          <w:tcPr>
            <w:tcW w:w="4240"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综合技术咨询、业务咨询、运营咨询、标准规范审核保障服务等。</w:t>
            </w:r>
          </w:p>
        </w:tc>
        <w:tc>
          <w:tcPr>
            <w:tcW w:w="3285"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服务意见书</w:t>
            </w:r>
          </w:p>
        </w:tc>
      </w:tr>
    </w:tbl>
    <w:p>
      <w:pPr>
        <w:pStyle w:val="7"/>
        <w:spacing w:line="600" w:lineRule="exact"/>
        <w:ind w:left="0" w:firstLine="482" w:firstLineChars="200"/>
        <w:rPr>
          <w:rFonts w:ascii="宋体" w:hAnsi="宋体" w:eastAsia="宋体" w:cs="宋体"/>
          <w:b w:val="0"/>
          <w:bCs w:val="0"/>
          <w:kern w:val="0"/>
          <w:sz w:val="24"/>
          <w:szCs w:val="24"/>
          <w:lang w:val="en-US"/>
        </w:rPr>
      </w:pPr>
      <w:r>
        <w:rPr>
          <w:rFonts w:hint="eastAsia" w:ascii="宋体" w:hAnsi="宋体" w:eastAsia="宋体" w:cs="宋体"/>
          <w:bCs w:val="0"/>
          <w:sz w:val="24"/>
          <w:szCs w:val="24"/>
          <w:lang w:val="en-US"/>
        </w:rPr>
        <w:t>（二）代码审核服务。</w:t>
      </w:r>
      <w:r>
        <w:rPr>
          <w:rFonts w:hint="eastAsia" w:ascii="宋体" w:hAnsi="宋体" w:eastAsia="宋体" w:cs="宋体"/>
          <w:b w:val="0"/>
          <w:bCs w:val="0"/>
          <w:kern w:val="0"/>
          <w:sz w:val="24"/>
          <w:szCs w:val="24"/>
          <w:lang w:val="en-US"/>
        </w:rPr>
        <w:t>在当前信息安全日益重要的背景下，政务信息化项目在开发过程中的各类资料的保密和审核工作显得尤为重要，尤其是针对项目开发过程中产生的代码，相关代码是否准确、安全可控、满足标准对于数据资源管理局来说非常之重要。在技术总集运营团队的工作过程中，对于全区新建应用系统的代码进行审核，所有定制化开发的代码所有权归数据资源管理局所有。</w:t>
      </w:r>
    </w:p>
    <w:p>
      <w:pPr>
        <w:spacing w:line="600" w:lineRule="exact"/>
        <w:jc w:val="left"/>
        <w:rPr>
          <w:rFonts w:ascii="宋体" w:hAnsi="宋体" w:cs="宋体"/>
          <w:kern w:val="0"/>
          <w:sz w:val="24"/>
        </w:rPr>
      </w:pPr>
      <w:r>
        <w:rPr>
          <w:rFonts w:ascii="仿宋" w:hAnsi="仿宋" w:eastAsia="仿宋" w:cs="仿宋"/>
          <w:b/>
          <w:bCs/>
          <w:color w:val="000000" w:themeColor="text1"/>
          <w:sz w:val="32"/>
          <w:szCs w:val="32"/>
          <w14:textFill>
            <w14:solidFill>
              <w14:schemeClr w14:val="tx1"/>
            </w14:solidFill>
          </w14:textFill>
        </w:rPr>
        <w:t xml:space="preserve">    </w:t>
      </w:r>
      <w:r>
        <w:rPr>
          <w:rFonts w:hint="eastAsia" w:ascii="宋体" w:hAnsi="宋体" w:cs="宋体"/>
          <w:b/>
          <w:sz w:val="24"/>
        </w:rPr>
        <w:t>代码审核服务：</w:t>
      </w:r>
      <w:r>
        <w:rPr>
          <w:rFonts w:hint="eastAsia" w:ascii="宋体" w:hAnsi="宋体" w:cs="宋体"/>
          <w:kern w:val="0"/>
          <w:sz w:val="24"/>
        </w:rPr>
        <w:t>要求技术总集服务团队利用数据资源管理局内的设备设施，将各项目的代码运行测试并验证功能。一是可用性的验证，校验代码是否能在对应的环境下顺利部署和运行；二是功能项验证，校验代码运行后的功能模块和招标文件或建设方案是否能一一对应。</w:t>
      </w:r>
    </w:p>
    <w:p>
      <w:pPr>
        <w:adjustRightInd/>
        <w:spacing w:before="120" w:beforeLines="50" w:after="120" w:afterLines="50"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代码审核服务需求清单</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113"/>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92"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4113"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服务需求</w:t>
            </w:r>
          </w:p>
        </w:tc>
        <w:tc>
          <w:tcPr>
            <w:tcW w:w="309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2"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代码审核</w:t>
            </w:r>
          </w:p>
        </w:tc>
        <w:tc>
          <w:tcPr>
            <w:tcW w:w="4113"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可用性验证：校验代码是否能在对应的环境下顺利部署和运行</w:t>
            </w:r>
          </w:p>
        </w:tc>
        <w:tc>
          <w:tcPr>
            <w:tcW w:w="309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《XX项目代码可用性验证报告》</w:t>
            </w:r>
          </w:p>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《XX项目代码功能项验证报告》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92"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4113" w:type="dxa"/>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功能项验证：校验代码运行后的功能模块和招标文件或建设方案是否能一一对应</w:t>
            </w:r>
          </w:p>
        </w:tc>
        <w:tc>
          <w:tcPr>
            <w:tcW w:w="3090" w:type="dxa"/>
            <w:vMerge w:val="continue"/>
            <w:vAlign w:val="center"/>
          </w:tcPr>
          <w:p>
            <w:pPr>
              <w:spacing w:line="360" w:lineRule="exact"/>
              <w:jc w:val="center"/>
              <w:rPr>
                <w:rFonts w:ascii="仿宋_GB2312" w:hAnsi="仿宋_GB2312" w:eastAsia="仿宋_GB2312" w:cs="仿宋_GB2312"/>
                <w:color w:val="000000" w:themeColor="text1"/>
                <w:szCs w:val="21"/>
                <w14:textFill>
                  <w14:solidFill>
                    <w14:schemeClr w14:val="tx1"/>
                  </w14:solidFill>
                </w14:textFill>
              </w:rPr>
            </w:pPr>
          </w:p>
        </w:tc>
      </w:tr>
    </w:tbl>
    <w:p>
      <w:pPr>
        <w:pStyle w:val="7"/>
        <w:tabs>
          <w:tab w:val="left" w:pos="0"/>
          <w:tab w:val="clear" w:pos="864"/>
        </w:tabs>
        <w:adjustRightInd/>
        <w:spacing w:line="600" w:lineRule="exact"/>
        <w:ind w:left="23" w:leftChars="11" w:firstLine="395" w:firstLineChars="164"/>
        <w:rPr>
          <w:rFonts w:ascii="宋体" w:hAnsi="宋体" w:eastAsia="宋体" w:cs="宋体"/>
          <w:b w:val="0"/>
          <w:bCs w:val="0"/>
          <w:kern w:val="0"/>
          <w:sz w:val="24"/>
          <w:szCs w:val="24"/>
          <w:lang w:val="en-US"/>
        </w:rPr>
      </w:pPr>
      <w:r>
        <w:rPr>
          <w:rFonts w:hint="eastAsia" w:ascii="宋体" w:hAnsi="宋体" w:eastAsia="宋体" w:cs="宋体"/>
          <w:bCs w:val="0"/>
          <w:sz w:val="24"/>
          <w:szCs w:val="24"/>
          <w:lang w:val="en-US"/>
        </w:rPr>
        <w:t>（三）数据体系建设服务。</w:t>
      </w:r>
      <w:r>
        <w:rPr>
          <w:rFonts w:hint="eastAsia" w:ascii="宋体" w:hAnsi="宋体" w:eastAsia="宋体" w:cs="宋体"/>
          <w:b w:val="0"/>
          <w:bCs w:val="0"/>
          <w:kern w:val="0"/>
          <w:sz w:val="24"/>
          <w:szCs w:val="24"/>
          <w:lang w:val="en-US"/>
        </w:rPr>
        <w:t>在当前临安区一体化智能化公共数据平台已有建设成果的基础上，充分运用适配性强、高性能的数据智能工具，进一步完善临安区政务数据治理体系，进一步细化盘点临安区自建业务系统的数据现状以及当前已归集数据现状，指导形成标准化的数据编目、数据归集、数据治理与数据应用闭环，为临安区一体化智能化公共数据平台高质量、高标准地赋能全区部门、镇街、村社提供支撑，推动临安公共数据授权运营落地工作。</w:t>
      </w:r>
    </w:p>
    <w:p>
      <w:pPr>
        <w:adjustRightInd/>
        <w:spacing w:line="600" w:lineRule="exact"/>
        <w:ind w:firstLine="482" w:firstLineChars="200"/>
        <w:rPr>
          <w:rFonts w:ascii="宋体" w:hAnsi="宋体" w:cs="宋体"/>
          <w:kern w:val="0"/>
          <w:sz w:val="24"/>
        </w:rPr>
      </w:pPr>
      <w:r>
        <w:rPr>
          <w:rFonts w:hint="eastAsia" w:ascii="宋体" w:hAnsi="宋体" w:cs="宋体"/>
          <w:b/>
          <w:sz w:val="24"/>
        </w:rPr>
        <w:t>1.咨询规划阶段：</w:t>
      </w:r>
      <w:r>
        <w:rPr>
          <w:rFonts w:hint="eastAsia" w:ascii="宋体" w:hAnsi="宋体" w:cs="宋体"/>
          <w:kern w:val="0"/>
          <w:sz w:val="24"/>
        </w:rPr>
        <w:t>充分整合一体化智能化公共数据平台建设成果，结合“公共数据授权运营”“企业数据服务中心”等本地热点，基于全区数据资源现状，从数据盘点、数据编目、数据归集、数据治理、数据运营等多个维度，为临安一体化平台数据治理建设提供全过程咨询、规划与指导服务。</w:t>
      </w:r>
    </w:p>
    <w:p>
      <w:pPr>
        <w:adjustRightInd/>
        <w:spacing w:line="600" w:lineRule="exact"/>
        <w:ind w:firstLine="482" w:firstLineChars="200"/>
        <w:rPr>
          <w:rFonts w:ascii="宋体" w:hAnsi="宋体" w:cs="宋体"/>
          <w:kern w:val="0"/>
          <w:sz w:val="24"/>
        </w:rPr>
      </w:pPr>
      <w:r>
        <w:rPr>
          <w:rFonts w:hint="eastAsia" w:ascii="宋体" w:hAnsi="宋体" w:cs="宋体"/>
          <w:b/>
          <w:sz w:val="24"/>
        </w:rPr>
        <w:t>2.协同推进阶段：</w:t>
      </w:r>
      <w:r>
        <w:rPr>
          <w:rFonts w:hint="eastAsia" w:ascii="宋体" w:hAnsi="宋体" w:cs="宋体"/>
          <w:kern w:val="0"/>
          <w:sz w:val="24"/>
        </w:rPr>
        <w:t>协助建设数据资源体系。</w:t>
      </w:r>
    </w:p>
    <w:p>
      <w:pPr>
        <w:adjustRightInd/>
        <w:spacing w:line="600" w:lineRule="exact"/>
        <w:ind w:firstLine="482" w:firstLineChars="200"/>
        <w:rPr>
          <w:rFonts w:ascii="宋体" w:hAnsi="宋体" w:cs="宋体"/>
          <w:kern w:val="0"/>
          <w:sz w:val="24"/>
        </w:rPr>
      </w:pPr>
      <w:r>
        <w:rPr>
          <w:rFonts w:hint="eastAsia" w:ascii="宋体" w:hAnsi="宋体" w:cs="宋体"/>
          <w:b/>
          <w:sz w:val="24"/>
        </w:rPr>
        <w:t>3.评估审核阶段：</w:t>
      </w:r>
      <w:r>
        <w:rPr>
          <w:rFonts w:hint="eastAsia" w:ascii="宋体" w:hAnsi="宋体" w:cs="宋体"/>
          <w:kern w:val="0"/>
          <w:sz w:val="24"/>
        </w:rPr>
        <w:t>对数据资源体系建设的设计实施中涉及的编目、归集、治理、共享、安全、运营等六大方面进行综合评审把控。</w:t>
      </w:r>
    </w:p>
    <w:p>
      <w:pPr>
        <w:adjustRightInd/>
        <w:spacing w:after="120" w:afterLines="50"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数字资源综合服务需求清单</w:t>
      </w:r>
    </w:p>
    <w:tbl>
      <w:tblPr>
        <w:tblStyle w:val="6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49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1240" w:type="dxa"/>
            <w:vAlign w:val="center"/>
          </w:tcPr>
          <w:p>
            <w:pPr>
              <w:spacing w:line="40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服务内容</w:t>
            </w:r>
          </w:p>
        </w:tc>
        <w:tc>
          <w:tcPr>
            <w:tcW w:w="4490" w:type="dxa"/>
            <w:vAlign w:val="center"/>
          </w:tcPr>
          <w:p>
            <w:pPr>
              <w:spacing w:line="40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服务需求</w:t>
            </w:r>
          </w:p>
        </w:tc>
        <w:tc>
          <w:tcPr>
            <w:tcW w:w="3070" w:type="dxa"/>
            <w:vAlign w:val="center"/>
          </w:tcPr>
          <w:p>
            <w:pPr>
              <w:spacing w:line="40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jc w:val="center"/>
        </w:trPr>
        <w:tc>
          <w:tcPr>
            <w:tcW w:w="124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咨询规划阶段</w:t>
            </w:r>
          </w:p>
        </w:tc>
        <w:tc>
          <w:tcPr>
            <w:tcW w:w="449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整合临安区建设成果，从数据盘点、数据编目、数据归集、数据治理等多个维度，规划迭代临安区数据治理</w:t>
            </w:r>
          </w:p>
        </w:tc>
        <w:tc>
          <w:tcPr>
            <w:tcW w:w="307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《数据治理迭代规划》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4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协同推进阶段</w:t>
            </w:r>
          </w:p>
        </w:tc>
        <w:tc>
          <w:tcPr>
            <w:tcW w:w="449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协助区数据局建设数据资源体系</w:t>
            </w:r>
          </w:p>
        </w:tc>
        <w:tc>
          <w:tcPr>
            <w:tcW w:w="307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《建设方案》、数据开放绩效评估报告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评估审核阶段</w:t>
            </w:r>
          </w:p>
        </w:tc>
        <w:tc>
          <w:tcPr>
            <w:tcW w:w="449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对数据资源体系建设的设计实施中涉及的编目、归集、治理、共享、安全、运营等六大方面进行综合评审把控。</w:t>
            </w:r>
          </w:p>
        </w:tc>
        <w:tc>
          <w:tcPr>
            <w:tcW w:w="3070" w:type="dxa"/>
            <w:vAlign w:val="center"/>
          </w:tcPr>
          <w:p>
            <w:pPr>
              <w:adjustRightInd/>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数据编目、归集、治理、共享、安全、运营《总集评审意见表》</w:t>
            </w:r>
          </w:p>
        </w:tc>
      </w:tr>
    </w:tbl>
    <w:p>
      <w:pPr>
        <w:ind w:firstLine="720" w:firstLineChars="300"/>
        <w:rPr>
          <w:rFonts w:ascii="宋体" w:hAnsi="宋体" w:cs="宋体"/>
          <w:kern w:val="0"/>
          <w:sz w:val="24"/>
        </w:rPr>
      </w:pPr>
    </w:p>
    <w:p>
      <w:pPr>
        <w:ind w:firstLine="720" w:firstLineChars="300"/>
        <w:rPr>
          <w:rFonts w:ascii="宋体" w:hAnsi="宋体" w:cs="宋体"/>
          <w:kern w:val="0"/>
          <w:sz w:val="24"/>
        </w:rPr>
      </w:pPr>
      <w:r>
        <w:rPr>
          <w:rFonts w:hint="eastAsia" w:ascii="宋体" w:hAnsi="宋体" w:cs="宋体"/>
          <w:kern w:val="0"/>
          <w:sz w:val="24"/>
        </w:rPr>
        <w:t>数据智能工具要求：</w:t>
      </w:r>
    </w:p>
    <w:p>
      <w:pPr>
        <w:ind w:firstLine="720" w:firstLineChars="3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数据服务链平台</w:t>
      </w:r>
    </w:p>
    <w:tbl>
      <w:tblPr>
        <w:tblStyle w:val="62"/>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6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tcBorders>
              <w:tl2br w:val="nil"/>
              <w:tr2bl w:val="nil"/>
            </w:tcBorders>
            <w:shd w:val="clear" w:color="auto" w:fill="auto"/>
            <w:vAlign w:val="center"/>
          </w:tcPr>
          <w:p>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指标项</w:t>
            </w:r>
          </w:p>
        </w:tc>
        <w:tc>
          <w:tcPr>
            <w:tcW w:w="6995" w:type="dxa"/>
            <w:tcBorders>
              <w:tl2br w:val="nil"/>
              <w:tr2bl w:val="nil"/>
            </w:tcBorders>
            <w:shd w:val="clear" w:color="auto" w:fill="auto"/>
            <w:vAlign w:val="center"/>
          </w:tcPr>
          <w:p>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1500" w:type="dxa"/>
            <w:vMerge w:val="restart"/>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资源目录管理</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具备目录编制、目录提交、目录修改、目录导入与导出、目录删除、目录发布与版本管理等资源目录管理功能。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资源目录具备服务挂接功能，服务类型包括协议转换等。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具备资源关联功能，能够实现库表、接口、文件类型的资源关联。具备库表挂接方式选择、交换方式设置、目录分类展示、目录检索、资源审核、周期设置功能。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具备流程化的资源发布、申请、供应、流程审批功能；具备批量审批功能；操作目录的发布具备部门级和平台级审批；资源的授权需具备部门审批。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具备流程管理能力，能够具备自定义审批流程，具备管理流程设计功能，具备创建、复制、编辑、导入、导出、删除等功能；具备流程的版本管理功能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资源目录具备通过图形化的拖拉拽方式配置模板的功能，可根据具体场景需求调整。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具备展示信息资源目录之间的依赖和关联关系的功能。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具备个人中心管理功能，提供任务管理、数据对账、法规标准等辅助功能。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资源服务使用</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具备资源服务订阅功能，用户订阅后可以获取针对资源的各种不同服务；具备为订阅者设置订阅期限，订阅期满后，须重新购置订阅才可继续使用服务；具备审批机制，审批后才可以使用服务。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restart"/>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资源服务管理</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对服务进行分组，将有关联的服务汇聚在一起，便于用户使用、管理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具备基于信息资源目录的服务展示、检索、统计功能。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具备RESTful反向代理能力，具备手工录入和通过Swagger文档导入API服务。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具备WebService转RESTful能力，具备通过指定WSDL文档自动生成RESTfulAPI功能。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具备数据表转服务能力，具备SQL语句录入和图形模式，具备根据主流关系型数据库的数据元信息自动生成RESTfulAPI功能，包括MySQL、Oracle和PostgreSQL。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具备HTTP自定义服务能力，具备对服务请求报文和应答报文的转换。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具备Dubbo转服务能力，具备通过指定Dubbo接口文档自动生成RESTfulAPI功能。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具备以webSocket形式提供服务的能力。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具备加密或特殊认证的HTTP服务接入功能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具备服务组管理功能，具备服务级限速、应用级限速、防重复设置功能；具备服务认证功能，提供服务插件管理功能。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提供插件Maven工程下载、插件上传、插件更新、插件删除、插件热加载、部门级插件、具备系统级插件、服务具备关联已部署插件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具备订阅期限设置、应用订阅申请、审批功能。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信息资源目录具备通过统一编制模板、统一发布流程、统一申请流程实现数据编目的能力。要求使用统一流程编制库表、文件、API、流式数据源（需具备至少一种流式数据源）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restart"/>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协议转换服务</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具备HTTP自定义服务能力，具备对服务请求报文和应答报文的转换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具备Dubbo转服务能力，具备通过指定接口文档自动生成RESTfulAPI功能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具备沙箱机制的服务联调对接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具备RESTful反向代理能力，具备手工录入和通过文档导入API服务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具备WebService转RESTful能力，具备通过指定文档自动生成RESTfulAPI功能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具备Oracle、MySQL、PostgreSQL的表及视图通过UI或者SQL语句快速生成RESTful API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目录驱动交换</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具备用户通过资源目录申请数据资源的能力。具备通过审批流程后，将资源目录下的信息资源传输至用户指定位置功能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restart"/>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资源目录安全</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具备目录针对特定部门可见功能；具备目录针对特定部门共享功能。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具备应用申请数据表生成RESTful服务的字段访问控制能力。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vMerge w:val="continue"/>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具备基于部门进行操作的能力，部门之间数据隔离。具备一个用户归属多个不同部门。具备部门内进行审批流程订制。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资源服务安全</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具备黑白名单功能，具备禁止指定的IP或IP段访问该服务；具备仅允许指定的IP或IP段访问该服务。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加密传输</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具备网络传输及数据存储加密机制功能。数据存储加密机制包括但不限于AES、SM2、SM4，具备数据加密。 </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网络传输加密机制具备数据传输通道加密功能（SSL）。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服务响应性能</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用户访问应用的时效性要求，在500 并发数时平均延时小于1秒</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，投标人承诺或项目需求偏离表的响应不予认定。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兼容国产操作系统</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采用的软件产品需能兼容国产操作系统。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00" w:type="dxa"/>
            <w:tcBorders>
              <w:tl2br w:val="nil"/>
              <w:tr2bl w:val="nil"/>
            </w:tcBorders>
            <w:shd w:val="clear" w:color="auto" w:fill="auto"/>
            <w:vAlign w:val="center"/>
          </w:tcPr>
          <w:p>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兼容大数据平台组件</w:t>
            </w:r>
          </w:p>
        </w:tc>
        <w:tc>
          <w:tcPr>
            <w:tcW w:w="6995" w:type="dxa"/>
            <w:tcBorders>
              <w:tl2br w:val="nil"/>
              <w:tr2bl w:val="nil"/>
            </w:tcBorders>
            <w:shd w:val="clear" w:color="auto" w:fill="auto"/>
            <w:vAlign w:val="center"/>
          </w:tcPr>
          <w:p>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具备兼容通用大数据平台组件，包括华为大数据平台、开源大数据平台（Hive、Hadoop）等。</w:t>
            </w:r>
          </w:p>
        </w:tc>
      </w:tr>
    </w:tbl>
    <w:p>
      <w:pPr>
        <w:rPr>
          <w:rFonts w:ascii="宋体" w:hAnsi="宋体" w:cs="宋体"/>
          <w:kern w:val="0"/>
          <w:sz w:val="24"/>
        </w:rPr>
      </w:pPr>
    </w:p>
    <w:p>
      <w:pPr>
        <w:ind w:firstLine="720" w:firstLineChars="300"/>
        <w:rPr>
          <w:rFonts w:ascii="宋体" w:hAnsi="宋体" w:cs="宋体"/>
          <w:kern w:val="0"/>
          <w:sz w:val="24"/>
        </w:rPr>
      </w:pPr>
      <w:r>
        <w:rPr>
          <w:rFonts w:ascii="宋体" w:hAnsi="宋体" w:cs="宋体"/>
          <w:kern w:val="0"/>
          <w:sz w:val="24"/>
        </w:rPr>
        <w:t>2.</w:t>
      </w:r>
      <w:r>
        <w:rPr>
          <w:rFonts w:hint="eastAsia" w:ascii="宋体" w:hAnsi="宋体" w:cs="宋体"/>
          <w:kern w:val="0"/>
          <w:sz w:val="24"/>
        </w:rPr>
        <w:t>数据填报组件</w:t>
      </w:r>
    </w:p>
    <w:tbl>
      <w:tblPr>
        <w:tblStyle w:val="62"/>
        <w:tblW w:w="8495" w:type="dxa"/>
        <w:tblInd w:w="0" w:type="dxa"/>
        <w:tblLayout w:type="fixed"/>
        <w:tblCellMar>
          <w:top w:w="0" w:type="dxa"/>
          <w:left w:w="108" w:type="dxa"/>
          <w:bottom w:w="0" w:type="dxa"/>
          <w:right w:w="108" w:type="dxa"/>
        </w:tblCellMar>
      </w:tblPr>
      <w:tblGrid>
        <w:gridCol w:w="1150"/>
        <w:gridCol w:w="7345"/>
      </w:tblGrid>
      <w:tr>
        <w:tblPrEx>
          <w:tblCellMar>
            <w:top w:w="0" w:type="dxa"/>
            <w:left w:w="108" w:type="dxa"/>
            <w:bottom w:w="0" w:type="dxa"/>
            <w:right w:w="108" w:type="dxa"/>
          </w:tblCellMar>
        </w:tblPrEx>
        <w:trPr>
          <w:trHeight w:val="990"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数据填报</w:t>
            </w:r>
          </w:p>
        </w:tc>
        <w:tc>
          <w:tcPr>
            <w:tcW w:w="7345" w:type="dxa"/>
            <w:tcBorders>
              <w:top w:val="single" w:color="000000" w:sz="4" w:space="0"/>
              <w:left w:val="nil"/>
              <w:bottom w:val="single" w:color="000000" w:sz="4" w:space="0"/>
              <w:right w:val="nil"/>
            </w:tcBorders>
            <w:shd w:val="clear" w:color="auto" w:fill="auto"/>
            <w:vAlign w:val="center"/>
          </w:tcPr>
          <w:p>
            <w:pPr>
              <w:widowControl/>
              <w:adjustRightInd/>
              <w:jc w:val="left"/>
              <w:rPr>
                <w:rFonts w:ascii="宋体" w:hAnsi="宋体" w:cs="宋体"/>
                <w:color w:val="000000"/>
                <w:kern w:val="0"/>
                <w:sz w:val="24"/>
              </w:rPr>
            </w:pPr>
            <w:r>
              <w:rPr>
                <w:rFonts w:hint="eastAsia" w:ascii="宋体" w:hAnsi="宋体" w:cs="宋体"/>
                <w:color w:val="000000"/>
                <w:kern w:val="0"/>
                <w:sz w:val="24"/>
              </w:rPr>
              <w:t>具备表单设计功能，具备表单工具组件功能，包括单行文本、多行文本、单项选择、多项选择、数字控件、日期时间控件、文件上传控件、地图控件。</w:t>
            </w:r>
          </w:p>
        </w:tc>
      </w:tr>
      <w:tr>
        <w:tblPrEx>
          <w:tblCellMar>
            <w:top w:w="0" w:type="dxa"/>
            <w:left w:w="108" w:type="dxa"/>
            <w:bottom w:w="0" w:type="dxa"/>
            <w:right w:w="108" w:type="dxa"/>
          </w:tblCellMar>
        </w:tblPrEx>
        <w:trPr>
          <w:trHeight w:val="660"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kern w:val="0"/>
                <w:sz w:val="24"/>
              </w:rPr>
            </w:pPr>
          </w:p>
        </w:tc>
        <w:tc>
          <w:tcPr>
            <w:tcW w:w="7345" w:type="dxa"/>
            <w:tcBorders>
              <w:top w:val="nil"/>
              <w:left w:val="nil"/>
              <w:bottom w:val="single" w:color="000000" w:sz="4" w:space="0"/>
              <w:right w:val="nil"/>
            </w:tcBorders>
            <w:shd w:val="clear" w:color="auto" w:fill="auto"/>
            <w:vAlign w:val="center"/>
          </w:tcPr>
          <w:p>
            <w:pPr>
              <w:widowControl/>
              <w:adjustRightInd/>
              <w:jc w:val="left"/>
              <w:rPr>
                <w:rFonts w:ascii="宋体" w:hAnsi="宋体" w:cs="宋体"/>
                <w:color w:val="000000"/>
                <w:kern w:val="0"/>
                <w:sz w:val="24"/>
              </w:rPr>
            </w:pPr>
            <w:r>
              <w:rPr>
                <w:rFonts w:hint="eastAsia" w:ascii="宋体" w:hAnsi="宋体" w:cs="宋体"/>
                <w:color w:val="000000"/>
                <w:kern w:val="0"/>
                <w:sz w:val="24"/>
              </w:rPr>
              <w:t>具备多方联合制表功能，具备按照多部门及个人指定角色处理。</w:t>
            </w:r>
          </w:p>
        </w:tc>
      </w:tr>
      <w:tr>
        <w:tblPrEx>
          <w:tblCellMar>
            <w:top w:w="0" w:type="dxa"/>
            <w:left w:w="108" w:type="dxa"/>
            <w:bottom w:w="0" w:type="dxa"/>
            <w:right w:w="108" w:type="dxa"/>
          </w:tblCellMar>
        </w:tblPrEx>
        <w:trPr>
          <w:trHeight w:val="660"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kern w:val="0"/>
                <w:sz w:val="24"/>
              </w:rPr>
            </w:pPr>
          </w:p>
        </w:tc>
        <w:tc>
          <w:tcPr>
            <w:tcW w:w="7345" w:type="dxa"/>
            <w:tcBorders>
              <w:top w:val="nil"/>
              <w:left w:val="nil"/>
              <w:bottom w:val="single" w:color="000000" w:sz="4" w:space="0"/>
              <w:right w:val="nil"/>
            </w:tcBorders>
            <w:shd w:val="clear" w:color="auto" w:fill="auto"/>
            <w:vAlign w:val="center"/>
          </w:tcPr>
          <w:p>
            <w:pPr>
              <w:widowControl/>
              <w:adjustRightInd/>
              <w:jc w:val="left"/>
              <w:rPr>
                <w:rFonts w:ascii="宋体" w:hAnsi="宋体" w:cs="宋体"/>
                <w:color w:val="000000"/>
                <w:kern w:val="0"/>
                <w:sz w:val="24"/>
              </w:rPr>
            </w:pPr>
            <w:r>
              <w:rPr>
                <w:rFonts w:hint="eastAsia" w:ascii="宋体" w:hAnsi="宋体" w:cs="宋体"/>
                <w:color w:val="000000"/>
                <w:kern w:val="0"/>
                <w:sz w:val="24"/>
              </w:rPr>
              <w:t>具备批量任务派发功能，能够具备设定包含多部门、多用户的任务组，并面向不同任务组派发填报任务。</w:t>
            </w:r>
          </w:p>
        </w:tc>
      </w:tr>
      <w:tr>
        <w:tblPrEx>
          <w:tblCellMar>
            <w:top w:w="0" w:type="dxa"/>
            <w:left w:w="108" w:type="dxa"/>
            <w:bottom w:w="0" w:type="dxa"/>
            <w:right w:w="108" w:type="dxa"/>
          </w:tblCellMar>
        </w:tblPrEx>
        <w:trPr>
          <w:trHeight w:val="660"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kern w:val="0"/>
                <w:sz w:val="24"/>
              </w:rPr>
            </w:pPr>
          </w:p>
        </w:tc>
        <w:tc>
          <w:tcPr>
            <w:tcW w:w="7345" w:type="dxa"/>
            <w:tcBorders>
              <w:top w:val="nil"/>
              <w:left w:val="nil"/>
              <w:bottom w:val="single" w:color="000000" w:sz="4" w:space="0"/>
              <w:right w:val="nil"/>
            </w:tcBorders>
            <w:shd w:val="clear" w:color="auto" w:fill="auto"/>
            <w:vAlign w:val="center"/>
          </w:tcPr>
          <w:p>
            <w:pPr>
              <w:widowControl/>
              <w:adjustRightInd/>
              <w:jc w:val="left"/>
              <w:rPr>
                <w:rFonts w:ascii="宋体" w:hAnsi="宋体" w:cs="宋体"/>
                <w:color w:val="000000"/>
                <w:kern w:val="0"/>
                <w:sz w:val="24"/>
              </w:rPr>
            </w:pPr>
            <w:r>
              <w:rPr>
                <w:rFonts w:hint="eastAsia" w:ascii="宋体" w:hAnsi="宋体" w:cs="宋体"/>
                <w:color w:val="000000"/>
                <w:kern w:val="0"/>
                <w:sz w:val="24"/>
              </w:rPr>
              <w:t>具备数据核录功能，具备按照均分、匹配、范围等多种策略针对性派发核对、补录任务。</w:t>
            </w:r>
          </w:p>
        </w:tc>
      </w:tr>
      <w:tr>
        <w:tblPrEx>
          <w:tblCellMar>
            <w:top w:w="0" w:type="dxa"/>
            <w:left w:w="108" w:type="dxa"/>
            <w:bottom w:w="0" w:type="dxa"/>
            <w:right w:w="108" w:type="dxa"/>
          </w:tblCellMar>
        </w:tblPrEx>
        <w:trPr>
          <w:trHeight w:val="660"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kern w:val="0"/>
                <w:sz w:val="24"/>
              </w:rPr>
            </w:pPr>
          </w:p>
        </w:tc>
        <w:tc>
          <w:tcPr>
            <w:tcW w:w="7345" w:type="dxa"/>
            <w:tcBorders>
              <w:top w:val="nil"/>
              <w:left w:val="nil"/>
              <w:bottom w:val="single" w:color="000000" w:sz="4" w:space="0"/>
              <w:right w:val="nil"/>
            </w:tcBorders>
            <w:shd w:val="clear" w:color="auto" w:fill="auto"/>
            <w:vAlign w:val="center"/>
          </w:tcPr>
          <w:p>
            <w:pPr>
              <w:widowControl/>
              <w:adjustRightInd/>
              <w:jc w:val="left"/>
              <w:rPr>
                <w:rFonts w:ascii="宋体" w:hAnsi="宋体" w:cs="宋体"/>
                <w:color w:val="000000"/>
                <w:kern w:val="0"/>
                <w:sz w:val="24"/>
              </w:rPr>
            </w:pPr>
            <w:r>
              <w:rPr>
                <w:rFonts w:hint="eastAsia" w:ascii="宋体" w:hAnsi="宋体" w:cs="宋体"/>
                <w:color w:val="000000"/>
                <w:kern w:val="0"/>
                <w:sz w:val="24"/>
              </w:rPr>
              <w:t>具备填报任务的审核功能，可根据实际要求设置审批流程，具备多部门、个人的并行与串行审批。</w:t>
            </w:r>
          </w:p>
        </w:tc>
      </w:tr>
      <w:tr>
        <w:tblPrEx>
          <w:tblCellMar>
            <w:top w:w="0" w:type="dxa"/>
            <w:left w:w="108" w:type="dxa"/>
            <w:bottom w:w="0" w:type="dxa"/>
            <w:right w:w="108" w:type="dxa"/>
          </w:tblCellMar>
        </w:tblPrEx>
        <w:trPr>
          <w:trHeight w:val="330"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kern w:val="0"/>
                <w:sz w:val="24"/>
              </w:rPr>
            </w:pPr>
          </w:p>
        </w:tc>
        <w:tc>
          <w:tcPr>
            <w:tcW w:w="7345" w:type="dxa"/>
            <w:tcBorders>
              <w:top w:val="nil"/>
              <w:left w:val="nil"/>
              <w:bottom w:val="single" w:color="000000" w:sz="4" w:space="0"/>
              <w:right w:val="nil"/>
            </w:tcBorders>
            <w:shd w:val="clear" w:color="auto" w:fill="auto"/>
            <w:vAlign w:val="center"/>
          </w:tcPr>
          <w:p>
            <w:pPr>
              <w:widowControl/>
              <w:adjustRightInd/>
              <w:jc w:val="left"/>
              <w:rPr>
                <w:rFonts w:ascii="宋体" w:hAnsi="宋体" w:cs="宋体"/>
                <w:color w:val="000000"/>
                <w:kern w:val="0"/>
                <w:sz w:val="24"/>
              </w:rPr>
            </w:pPr>
            <w:r>
              <w:rPr>
                <w:rFonts w:hint="eastAsia" w:ascii="宋体" w:hAnsi="宋体" w:cs="宋体"/>
                <w:color w:val="000000"/>
                <w:kern w:val="0"/>
                <w:sz w:val="24"/>
              </w:rPr>
              <w:t>具备批量数据填报功能，具备本地数据以Excel等文件格式进行批量填报的能力。</w:t>
            </w:r>
          </w:p>
        </w:tc>
      </w:tr>
    </w:tbl>
    <w:p>
      <w:pPr>
        <w:ind w:firstLine="720" w:firstLineChars="300"/>
        <w:rPr>
          <w:rFonts w:ascii="宋体" w:hAnsi="宋体" w:cs="宋体"/>
          <w:kern w:val="0"/>
          <w:sz w:val="24"/>
        </w:rPr>
      </w:pPr>
    </w:p>
    <w:p>
      <w:pPr>
        <w:ind w:firstLine="720" w:firstLineChars="300"/>
        <w:rPr>
          <w:rFonts w:ascii="宋体" w:hAnsi="宋体" w:cs="宋体"/>
          <w:kern w:val="0"/>
          <w:sz w:val="24"/>
        </w:rPr>
      </w:pPr>
    </w:p>
    <w:p>
      <w:pPr>
        <w:pStyle w:val="7"/>
        <w:spacing w:line="600" w:lineRule="exact"/>
        <w:ind w:left="0" w:firstLine="482" w:firstLineChars="200"/>
        <w:rPr>
          <w:rFonts w:ascii="宋体" w:hAnsi="宋体" w:eastAsia="宋体" w:cs="宋体"/>
          <w:b w:val="0"/>
          <w:bCs w:val="0"/>
          <w:kern w:val="0"/>
          <w:sz w:val="24"/>
          <w:szCs w:val="24"/>
          <w:lang w:val="en-US"/>
        </w:rPr>
      </w:pPr>
      <w:r>
        <w:rPr>
          <w:rFonts w:hint="eastAsia" w:ascii="宋体" w:hAnsi="宋体" w:eastAsia="宋体" w:cs="宋体"/>
          <w:bCs w:val="0"/>
          <w:sz w:val="24"/>
          <w:szCs w:val="24"/>
          <w:lang w:val="en-US"/>
        </w:rPr>
        <w:t>（四）创新场景预研服务。</w:t>
      </w:r>
      <w:r>
        <w:rPr>
          <w:rFonts w:hint="eastAsia" w:ascii="宋体" w:hAnsi="宋体" w:eastAsia="宋体" w:cs="宋体"/>
          <w:b w:val="0"/>
          <w:bCs w:val="0"/>
          <w:kern w:val="0"/>
          <w:sz w:val="24"/>
          <w:szCs w:val="24"/>
          <w:lang w:val="en-US"/>
        </w:rPr>
        <w:t>面向各部门、镇街的数据产品需求，结合一体化平台大数据能力和基础应用能力，内部孵化数据创新应用。同时承接临安区数据资源管理局提出的合理化产品预研需求，提供产品预研服务，包括创新产品需求调研、原型设计、软件开发工作及后续的培训推广工作。将数据资源管理局关于信息化项目、数据运营交易相关想法和思路进行方案呈现，并且协助推进项目开展前期可行性合理性评估和可行性评估，包括但不限于PPT、Word等方式。</w:t>
      </w:r>
    </w:p>
    <w:p>
      <w:pPr>
        <w:adjustRightInd/>
        <w:spacing w:before="120" w:beforeLines="50" w:after="120" w:afterLines="50" w:line="6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创新场景预研服务需求清单</w:t>
      </w:r>
    </w:p>
    <w:tbl>
      <w:tblPr>
        <w:tblStyle w:val="6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4610"/>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2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461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服务需求</w:t>
            </w:r>
          </w:p>
        </w:tc>
        <w:tc>
          <w:tcPr>
            <w:tcW w:w="287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jc w:val="center"/>
        </w:trPr>
        <w:tc>
          <w:tcPr>
            <w:tcW w:w="132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方案规划</w:t>
            </w:r>
          </w:p>
        </w:tc>
        <w:tc>
          <w:tcPr>
            <w:tcW w:w="461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结合临安区实际现状和数据资源管理局实际需求，将相关思路整理成规划方案。</w:t>
            </w:r>
          </w:p>
        </w:tc>
        <w:tc>
          <w:tcPr>
            <w:tcW w:w="287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《XX方案规划》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32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产品规划</w:t>
            </w:r>
          </w:p>
        </w:tc>
        <w:tc>
          <w:tcPr>
            <w:tcW w:w="461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协助数据资源管理局进行产品流程设计，明确整体业务流和数据流，明确产品大致功能模块。</w:t>
            </w:r>
          </w:p>
        </w:tc>
        <w:tc>
          <w:tcPr>
            <w:tcW w:w="287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《产品流程设计方案》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32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开发推进</w:t>
            </w:r>
          </w:p>
        </w:tc>
        <w:tc>
          <w:tcPr>
            <w:tcW w:w="461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若数据资源管理局明确某创新场景需要进行落地开发，将由第三方厂家进行承接，由技术总集服务团队定期跟进相关开发进度和问题，并且及时和数据资源管理局进行反馈对接。</w:t>
            </w:r>
          </w:p>
        </w:tc>
        <w:tc>
          <w:tcPr>
            <w:tcW w:w="287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《开发推进跟进表》</w:t>
            </w:r>
          </w:p>
        </w:tc>
      </w:tr>
    </w:tbl>
    <w:p>
      <w:pPr>
        <w:pStyle w:val="7"/>
        <w:spacing w:line="600" w:lineRule="exact"/>
        <w:ind w:left="0" w:firstLine="482" w:firstLineChars="200"/>
        <w:rPr>
          <w:rFonts w:ascii="宋体" w:hAnsi="宋体" w:eastAsia="宋体" w:cs="宋体"/>
          <w:b w:val="0"/>
          <w:bCs w:val="0"/>
          <w:kern w:val="0"/>
          <w:sz w:val="24"/>
          <w:szCs w:val="24"/>
          <w:lang w:val="en-US"/>
        </w:rPr>
      </w:pPr>
      <w:r>
        <w:rPr>
          <w:rFonts w:hint="eastAsia" w:ascii="宋体" w:hAnsi="宋体" w:eastAsia="宋体" w:cs="宋体"/>
          <w:bCs w:val="0"/>
          <w:sz w:val="24"/>
          <w:szCs w:val="24"/>
          <w:lang w:val="en-US"/>
        </w:rPr>
        <w:t>（五）综合技术服务。</w:t>
      </w:r>
      <w:r>
        <w:rPr>
          <w:rFonts w:hint="eastAsia" w:ascii="宋体" w:hAnsi="宋体" w:eastAsia="宋体" w:cs="宋体"/>
          <w:b w:val="0"/>
          <w:bCs w:val="0"/>
          <w:kern w:val="0"/>
          <w:sz w:val="24"/>
          <w:szCs w:val="24"/>
          <w:lang w:val="en-US"/>
        </w:rPr>
        <w:t>整合优质资源，引入外部行业内高端智囊团，负责提供顶层规划、考察策划、专家咨询、新技术与厂商引进、技术培训、智囊团服务工作。</w:t>
      </w:r>
    </w:p>
    <w:p>
      <w:pPr>
        <w:spacing w:line="360" w:lineRule="auto"/>
        <w:ind w:firstLine="426" w:firstLineChars="177"/>
        <w:rPr>
          <w:rFonts w:ascii="宋体" w:hAnsi="宋体" w:cs="宋体"/>
          <w:kern w:val="0"/>
          <w:sz w:val="24"/>
          <w:highlight w:val="yellow"/>
        </w:rPr>
      </w:pPr>
      <w:r>
        <w:rPr>
          <w:rFonts w:hint="eastAsia" w:ascii="宋体" w:hAnsi="宋体" w:cs="宋体"/>
          <w:b/>
          <w:sz w:val="24"/>
        </w:rPr>
        <w:t>1.考察策划：</w:t>
      </w:r>
      <w:r>
        <w:rPr>
          <w:rFonts w:hint="eastAsia" w:ascii="宋体" w:hAnsi="宋体" w:cs="宋体"/>
          <w:kern w:val="0"/>
          <w:sz w:val="24"/>
        </w:rPr>
        <w:t>通过深入的考察调研借鉴各地区在基础设施、一网统管、公共数据授权运营、数据资产价值评估、数据要素市场化等数字化应用场景与运营模式，吸取其成功经验，降低自身试错成本,</w:t>
      </w:r>
      <w:r>
        <w:rPr>
          <w:rFonts w:hint="eastAsia" w:ascii="宋体" w:hAnsi="宋体" w:cs="宋体"/>
          <w:kern w:val="0"/>
          <w:sz w:val="24"/>
          <w:highlight w:val="none"/>
        </w:rPr>
        <w:t>组织考察策划活动。</w:t>
      </w:r>
    </w:p>
    <w:p>
      <w:pPr>
        <w:spacing w:line="360" w:lineRule="auto"/>
        <w:ind w:firstLine="569" w:firstLineChars="177"/>
        <w:rPr>
          <w:rFonts w:ascii="宋体" w:hAnsi="宋体" w:cs="宋体"/>
          <w:b/>
          <w:bCs/>
          <w:color w:val="000000" w:themeColor="text1"/>
          <w:sz w:val="32"/>
          <w:szCs w:val="32"/>
          <w14:textFill>
            <w14:solidFill>
              <w14:schemeClr w14:val="tx1"/>
            </w14:solidFill>
          </w14:textFill>
        </w:rPr>
      </w:pPr>
    </w:p>
    <w:p>
      <w:pPr>
        <w:spacing w:line="360" w:lineRule="auto"/>
        <w:ind w:firstLine="426" w:firstLineChars="177"/>
        <w:rPr>
          <w:rFonts w:ascii="宋体" w:hAnsi="宋体" w:cs="宋体"/>
          <w:kern w:val="0"/>
          <w:sz w:val="24"/>
        </w:rPr>
      </w:pPr>
      <w:r>
        <w:rPr>
          <w:rFonts w:hint="eastAsia" w:ascii="宋体" w:hAnsi="宋体" w:cs="宋体"/>
          <w:b/>
          <w:sz w:val="24"/>
        </w:rPr>
        <w:t>2.技术咨询：</w:t>
      </w:r>
      <w:r>
        <w:rPr>
          <w:rFonts w:hint="eastAsia" w:ascii="宋体" w:hAnsi="宋体" w:cs="宋体"/>
          <w:kern w:val="0"/>
          <w:sz w:val="24"/>
        </w:rPr>
        <w:t>面向临安区各部门、镇街、村社，提供技术前瞻性研究、技术架构设计、业务创新、系统集成、项目运营运维等咨询服务。</w:t>
      </w:r>
    </w:p>
    <w:p>
      <w:pPr>
        <w:spacing w:line="360" w:lineRule="auto"/>
        <w:ind w:firstLine="426" w:firstLineChars="177"/>
        <w:rPr>
          <w:rFonts w:ascii="宋体" w:hAnsi="宋体" w:cs="宋体"/>
          <w:color w:val="000000" w:themeColor="text1"/>
          <w:sz w:val="32"/>
          <w:szCs w:val="32"/>
          <w14:textFill>
            <w14:solidFill>
              <w14:schemeClr w14:val="tx1"/>
            </w14:solidFill>
          </w14:textFill>
        </w:rPr>
      </w:pPr>
      <w:r>
        <w:rPr>
          <w:rFonts w:hint="eastAsia" w:ascii="宋体" w:hAnsi="宋体" w:cs="宋体"/>
          <w:b/>
          <w:sz w:val="24"/>
        </w:rPr>
        <w:t>3.新技术与厂商推介：</w:t>
      </w:r>
      <w:r>
        <w:rPr>
          <w:rFonts w:hint="eastAsia" w:ascii="宋体" w:hAnsi="宋体" w:cs="宋体"/>
          <w:kern w:val="0"/>
          <w:sz w:val="24"/>
        </w:rPr>
        <w:t>充分考虑数字化需求，提供专业的新技术与厂商推荐服务，既要保证信息技术的先进性和前瞻性，又要避免由于技术过于超前、或技术不成熟所导致的资源投入浪费。考察并引入行业优秀厂商，考察调研厂商实力，对比方案选型，赋能平台建设。拟引入新技术类型包括但不限于云计算、数据交易运营、AI大模型、时空大数据、智能算法等。</w:t>
      </w:r>
    </w:p>
    <w:p>
      <w:pPr>
        <w:spacing w:line="360" w:lineRule="auto"/>
        <w:ind w:firstLine="426" w:firstLineChars="177"/>
        <w:rPr>
          <w:rFonts w:ascii="宋体" w:hAnsi="宋体" w:cs="宋体"/>
          <w:kern w:val="0"/>
          <w:sz w:val="24"/>
        </w:rPr>
      </w:pPr>
      <w:r>
        <w:rPr>
          <w:rFonts w:hint="eastAsia" w:ascii="宋体" w:hAnsi="宋体" w:cs="宋体"/>
          <w:b/>
          <w:sz w:val="24"/>
        </w:rPr>
        <w:t>4.技术培训：</w:t>
      </w:r>
      <w:r>
        <w:rPr>
          <w:rFonts w:hint="eastAsia" w:ascii="宋体" w:hAnsi="宋体" w:cs="宋体"/>
          <w:kern w:val="0"/>
          <w:sz w:val="24"/>
        </w:rPr>
        <w:t>组织各类专题的技术培训，不断加深部门、镇街领导和数据联络员的信息化认识水平，从而极大地提高政府人员利用现代化手段开展社会治理和群众服务工作的积极性。要求提供专业技术培训，包括但不限于公共数据授权运营、数据资产价值评估、数据要素市场化等新技术领域。</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技术培训参考</w:t>
      </w:r>
    </w:p>
    <w:tbl>
      <w:tblPr>
        <w:tblStyle w:val="63"/>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80"/>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771"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280" w:type="dxa"/>
            <w:vAlign w:val="center"/>
          </w:tcPr>
          <w:p>
            <w:pPr>
              <w:widowControl/>
              <w:jc w:val="center"/>
              <w:rPr>
                <w:rFonts w:ascii="宋体" w:hAnsi="宋体" w:cs="宋体"/>
                <w:b/>
                <w:bCs/>
                <w:kern w:val="0"/>
                <w:sz w:val="24"/>
              </w:rPr>
            </w:pPr>
            <w:r>
              <w:rPr>
                <w:rFonts w:hint="eastAsia" w:ascii="宋体" w:hAnsi="宋体" w:cs="宋体"/>
                <w:b/>
                <w:bCs/>
                <w:kern w:val="0"/>
                <w:sz w:val="24"/>
              </w:rPr>
              <w:t>培训课题</w:t>
            </w:r>
          </w:p>
        </w:tc>
        <w:tc>
          <w:tcPr>
            <w:tcW w:w="5390" w:type="dxa"/>
            <w:vAlign w:val="center"/>
          </w:tcPr>
          <w:p>
            <w:pPr>
              <w:widowControl/>
              <w:jc w:val="center"/>
              <w:rPr>
                <w:rFonts w:ascii="宋体" w:hAnsi="宋体" w:cs="宋体"/>
                <w:b/>
                <w:bCs/>
                <w:kern w:val="0"/>
                <w:sz w:val="24"/>
              </w:rPr>
            </w:pPr>
            <w:r>
              <w:rPr>
                <w:rFonts w:hint="eastAsia" w:ascii="宋体" w:hAnsi="宋体" w:cs="宋体"/>
                <w:b/>
                <w:bCs/>
                <w:kern w:val="0"/>
                <w:sz w:val="24"/>
              </w:rPr>
              <w:t>培训目的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《政府数据开放共享标准研究与制定》</w:t>
            </w:r>
          </w:p>
        </w:tc>
        <w:tc>
          <w:tcPr>
            <w:tcW w:w="5390" w:type="dxa"/>
            <w:vAlign w:val="center"/>
          </w:tcPr>
          <w:p>
            <w:pPr>
              <w:widowControl/>
              <w:jc w:val="center"/>
              <w:rPr>
                <w:rFonts w:ascii="宋体" w:hAnsi="宋体" w:cs="宋体"/>
                <w:kern w:val="0"/>
                <w:sz w:val="24"/>
              </w:rPr>
            </w:pPr>
            <w:r>
              <w:rPr>
                <w:rFonts w:hint="eastAsia" w:ascii="宋体" w:hAnsi="宋体" w:cs="宋体"/>
                <w:kern w:val="0"/>
                <w:sz w:val="24"/>
              </w:rPr>
              <w:t>涵盖政府数据开放共享的基本原则、数据质量标准、数据安全标准、数据利用标准等方面的知识，提升其数据处理和应用能力，推动政府数据的开放共享和利用，加强政府数据的规范化、科学化、标准化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《数字经济中的创新与变革》</w:t>
            </w:r>
          </w:p>
        </w:tc>
        <w:tc>
          <w:tcPr>
            <w:tcW w:w="5390" w:type="dxa"/>
            <w:vAlign w:val="center"/>
          </w:tcPr>
          <w:p>
            <w:pPr>
              <w:widowControl/>
              <w:jc w:val="center"/>
              <w:rPr>
                <w:rFonts w:ascii="宋体" w:hAnsi="宋体" w:cs="宋体"/>
                <w:kern w:val="0"/>
                <w:sz w:val="24"/>
              </w:rPr>
            </w:pPr>
            <w:r>
              <w:rPr>
                <w:rFonts w:hint="eastAsia" w:ascii="宋体" w:hAnsi="宋体" w:cs="宋体"/>
                <w:kern w:val="0"/>
                <w:sz w:val="24"/>
              </w:rPr>
              <w:t>加强对数字经济的理解、数字技能、应对数字鸿沟问题，从而提升自己在数字经济中的竞争力，并更好地适应未来的发展。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《数据加密技术在网络安全中的应用》</w:t>
            </w:r>
          </w:p>
        </w:tc>
        <w:tc>
          <w:tcPr>
            <w:tcW w:w="5390" w:type="dxa"/>
            <w:vAlign w:val="center"/>
          </w:tcPr>
          <w:p>
            <w:pPr>
              <w:widowControl/>
              <w:jc w:val="center"/>
              <w:rPr>
                <w:rFonts w:ascii="宋体" w:hAnsi="宋体" w:cs="宋体"/>
                <w:kern w:val="0"/>
                <w:sz w:val="24"/>
              </w:rPr>
            </w:pPr>
            <w:r>
              <w:rPr>
                <w:rFonts w:hint="eastAsia" w:ascii="宋体" w:hAnsi="宋体" w:cs="宋体"/>
                <w:kern w:val="0"/>
                <w:sz w:val="24"/>
              </w:rPr>
              <w:t>增强理解数据加密的基本概念，掌握常用的数据加密算法，了解加密技术的应用场景，学习加密技术的未来发展趋势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《数字经济与产业生态发展趋势》</w:t>
            </w:r>
          </w:p>
        </w:tc>
        <w:tc>
          <w:tcPr>
            <w:tcW w:w="5390" w:type="dxa"/>
            <w:vAlign w:val="center"/>
          </w:tcPr>
          <w:p>
            <w:pPr>
              <w:widowControl/>
              <w:rPr>
                <w:rFonts w:ascii="宋体" w:hAnsi="宋体" w:cs="宋体"/>
                <w:kern w:val="0"/>
                <w:sz w:val="24"/>
              </w:rPr>
            </w:pPr>
            <w:r>
              <w:rPr>
                <w:rFonts w:hint="eastAsia" w:ascii="宋体" w:hAnsi="宋体" w:cs="宋体"/>
                <w:kern w:val="0"/>
                <w:sz w:val="24"/>
              </w:rPr>
              <w:t>了解数字经济背景下的产业生态发展趋势，掌握数字经济与产业生态之间的关系，学习现今产业生态发展的新模式，以提高企业在数字经济时代的竞争力，促进个人和组织在数字经济中的发展。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《数字经济与创新发展》</w:t>
            </w:r>
          </w:p>
        </w:tc>
        <w:tc>
          <w:tcPr>
            <w:tcW w:w="5390" w:type="dxa"/>
            <w:vAlign w:val="center"/>
          </w:tcPr>
          <w:p>
            <w:pPr>
              <w:widowControl/>
              <w:rPr>
                <w:rFonts w:ascii="宋体" w:hAnsi="宋体" w:cs="宋体"/>
                <w:kern w:val="0"/>
                <w:sz w:val="24"/>
              </w:rPr>
            </w:pPr>
            <w:r>
              <w:rPr>
                <w:rFonts w:hint="eastAsia" w:ascii="宋体" w:hAnsi="宋体" w:cs="宋体"/>
                <w:kern w:val="0"/>
                <w:sz w:val="24"/>
              </w:rPr>
              <w:t>深入了解数字经济的发展趋势和创新模式，学习如何在数字经济背景下推动创新和实现持续发展。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《数据供应链支撑数据要素市场》</w:t>
            </w:r>
          </w:p>
        </w:tc>
        <w:tc>
          <w:tcPr>
            <w:tcW w:w="5390" w:type="dxa"/>
            <w:vAlign w:val="center"/>
          </w:tcPr>
          <w:p>
            <w:pPr>
              <w:widowControl/>
              <w:jc w:val="center"/>
              <w:rPr>
                <w:rFonts w:ascii="宋体" w:hAnsi="宋体" w:cs="宋体"/>
                <w:kern w:val="0"/>
                <w:sz w:val="24"/>
              </w:rPr>
            </w:pPr>
            <w:r>
              <w:rPr>
                <w:rFonts w:hint="eastAsia" w:ascii="宋体" w:hAnsi="宋体" w:cs="宋体"/>
                <w:kern w:val="0"/>
                <w:sz w:val="24"/>
              </w:rPr>
              <w:t>了解数据供应链和数据要素市场的概念及其运作方式以及数据要素市场在国民经济和社会发展中的作用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《产业发展与创新》</w:t>
            </w:r>
          </w:p>
        </w:tc>
        <w:tc>
          <w:tcPr>
            <w:tcW w:w="5390" w:type="dxa"/>
            <w:vAlign w:val="center"/>
          </w:tcPr>
          <w:p>
            <w:pPr>
              <w:widowControl/>
              <w:rPr>
                <w:rFonts w:ascii="宋体" w:hAnsi="宋体" w:cs="宋体"/>
                <w:kern w:val="0"/>
                <w:sz w:val="24"/>
              </w:rPr>
            </w:pPr>
            <w:r>
              <w:rPr>
                <w:rFonts w:hint="eastAsia" w:ascii="宋体" w:hAnsi="宋体" w:cs="宋体"/>
                <w:kern w:val="0"/>
                <w:sz w:val="24"/>
              </w:rPr>
              <w:t>了解产业发展的趋势和未来产业的发展方向，以及如何通过创新推动产业发展。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《标准化管理与优化：理论与实践》</w:t>
            </w:r>
          </w:p>
        </w:tc>
        <w:tc>
          <w:tcPr>
            <w:tcW w:w="5390" w:type="dxa"/>
            <w:vAlign w:val="center"/>
          </w:tcPr>
          <w:p>
            <w:pPr>
              <w:widowControl/>
              <w:jc w:val="center"/>
              <w:rPr>
                <w:rFonts w:ascii="宋体" w:hAnsi="宋体" w:cs="宋体"/>
                <w:kern w:val="0"/>
                <w:sz w:val="24"/>
              </w:rPr>
            </w:pPr>
            <w:r>
              <w:rPr>
                <w:rFonts w:hint="eastAsia" w:ascii="宋体" w:hAnsi="宋体" w:cs="宋体"/>
                <w:kern w:val="0"/>
                <w:sz w:val="24"/>
              </w:rPr>
              <w:t>提升理解标准化管理的核心理念和原则，掌握标准化管理的实践方法，提高在标准化管理背景下的创新和改进能力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《城市大脑概述及实践》</w:t>
            </w:r>
          </w:p>
        </w:tc>
        <w:tc>
          <w:tcPr>
            <w:tcW w:w="5390" w:type="dxa"/>
            <w:vAlign w:val="center"/>
          </w:tcPr>
          <w:p>
            <w:pPr>
              <w:widowControl/>
              <w:jc w:val="center"/>
              <w:rPr>
                <w:rFonts w:ascii="宋体" w:hAnsi="宋体" w:cs="宋体"/>
                <w:kern w:val="0"/>
                <w:sz w:val="24"/>
              </w:rPr>
            </w:pPr>
            <w:r>
              <w:rPr>
                <w:rFonts w:hint="eastAsia" w:ascii="宋体" w:hAnsi="宋体" w:cs="宋体"/>
                <w:kern w:val="0"/>
                <w:sz w:val="24"/>
              </w:rPr>
              <w:t>培让参与者了解城市大脑的基本理念、目标和重要性，理解其对于新型智慧城市、数字中国建设的关键作用。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2280" w:type="dxa"/>
            <w:vAlign w:val="center"/>
          </w:tcPr>
          <w:p>
            <w:pPr>
              <w:widowControl/>
              <w:jc w:val="center"/>
              <w:rPr>
                <w:rFonts w:ascii="宋体" w:hAnsi="宋体" w:cs="宋体"/>
                <w:kern w:val="0"/>
                <w:sz w:val="24"/>
              </w:rPr>
            </w:pPr>
            <w:r>
              <w:rPr>
                <w:rFonts w:hint="eastAsia" w:ascii="宋体" w:hAnsi="宋体" w:cs="宋体"/>
                <w:kern w:val="0"/>
                <w:sz w:val="24"/>
              </w:rPr>
              <w:t>《指标体系设计及数据血缘图谱技术》</w:t>
            </w:r>
          </w:p>
        </w:tc>
        <w:tc>
          <w:tcPr>
            <w:tcW w:w="5390" w:type="dxa"/>
            <w:vAlign w:val="center"/>
          </w:tcPr>
          <w:p>
            <w:pPr>
              <w:widowControl/>
              <w:rPr>
                <w:rFonts w:ascii="宋体" w:hAnsi="宋体" w:cs="宋体"/>
                <w:kern w:val="0"/>
                <w:sz w:val="24"/>
              </w:rPr>
            </w:pPr>
            <w:r>
              <w:rPr>
                <w:rFonts w:hint="eastAsia" w:ascii="宋体" w:hAnsi="宋体" w:cs="宋体"/>
                <w:kern w:val="0"/>
                <w:sz w:val="24"/>
              </w:rPr>
              <w:t>分享指标体系梳理及数据血缘图谱技术发展经验，提升相关业务实践。</w:t>
            </w:r>
          </w:p>
        </w:tc>
      </w:tr>
    </w:tbl>
    <w:p>
      <w:pPr>
        <w:adjustRightInd/>
        <w:spacing w:line="600" w:lineRule="exact"/>
        <w:ind w:firstLine="482" w:firstLineChars="200"/>
        <w:rPr>
          <w:rFonts w:ascii="宋体" w:hAnsi="宋体" w:cs="宋体"/>
          <w:color w:val="000000" w:themeColor="text1"/>
          <w:sz w:val="32"/>
          <w:szCs w:val="32"/>
          <w14:textFill>
            <w14:solidFill>
              <w14:schemeClr w14:val="tx1"/>
            </w14:solidFill>
          </w14:textFill>
        </w:rPr>
      </w:pPr>
      <w:r>
        <w:rPr>
          <w:rFonts w:hint="eastAsia" w:ascii="宋体" w:hAnsi="宋体" w:cs="宋体"/>
          <w:b/>
          <w:sz w:val="24"/>
        </w:rPr>
        <w:t>5.智囊团服务：</w:t>
      </w:r>
      <w:r>
        <w:rPr>
          <w:rFonts w:hint="eastAsia" w:ascii="宋体" w:hAnsi="宋体" w:cs="宋体"/>
          <w:color w:val="000000" w:themeColor="text1"/>
          <w:sz w:val="24"/>
          <w14:textFill>
            <w14:solidFill>
              <w14:schemeClr w14:val="tx1"/>
            </w14:solidFill>
          </w14:textFill>
        </w:rPr>
        <w:t>依托自身最优质资源，协同国内行业专家生态资源，提供高端专家智囊团指导服务，服务形式包括但不限于培训、讲座、技术服务等方式。要求提供高端服务。</w:t>
      </w:r>
    </w:p>
    <w:p>
      <w:pPr>
        <w:adjustRightInd/>
        <w:spacing w:before="120" w:beforeLines="50" w:after="120" w:afterLines="50" w:line="6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综合技术服务需求清单</w:t>
      </w:r>
    </w:p>
    <w:tbl>
      <w:tblPr>
        <w:tblStyle w:val="63"/>
        <w:tblW w:w="812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4627"/>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3"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462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服务需求</w:t>
            </w:r>
          </w:p>
        </w:tc>
        <w:tc>
          <w:tcPr>
            <w:tcW w:w="199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3"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考察策划</w:t>
            </w:r>
          </w:p>
        </w:tc>
        <w:tc>
          <w:tcPr>
            <w:tcW w:w="4627"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深入的考察调研借鉴各地区在基础设施、一网统管、公共数据授权运营、数据资产价值评估、数据要素市场化等数字化改革应用场景与运营模式，吸取其成功经验，降低自身试错成本。年度不少于两次考察策划活动。</w:t>
            </w:r>
          </w:p>
        </w:tc>
        <w:tc>
          <w:tcPr>
            <w:tcW w:w="199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《XX地区XX主题调研报告》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03"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技术咨询</w:t>
            </w:r>
          </w:p>
        </w:tc>
        <w:tc>
          <w:tcPr>
            <w:tcW w:w="4627"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面向各单位、镇街提供方案技术架构、业务创新融合等专家咨询服务</w:t>
            </w:r>
          </w:p>
        </w:tc>
        <w:tc>
          <w:tcPr>
            <w:tcW w:w="199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3"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新技术与厂商引进</w:t>
            </w:r>
          </w:p>
        </w:tc>
        <w:tc>
          <w:tcPr>
            <w:tcW w:w="4627"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考察并引入行业优秀厂商，考察调研厂商实力，对比方案选型，赋能临安数字化改革</w:t>
            </w:r>
          </w:p>
        </w:tc>
        <w:tc>
          <w:tcPr>
            <w:tcW w:w="199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《厂商调研报告》《方案比选报告》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03"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技术培训</w:t>
            </w:r>
          </w:p>
        </w:tc>
        <w:tc>
          <w:tcPr>
            <w:tcW w:w="4627"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定期为临安区相关部门提供专业技术培训</w:t>
            </w:r>
          </w:p>
        </w:tc>
        <w:tc>
          <w:tcPr>
            <w:tcW w:w="199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3"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智囊团服务</w:t>
            </w:r>
          </w:p>
        </w:tc>
        <w:tc>
          <w:tcPr>
            <w:tcW w:w="4627"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提供高端专家智囊团指导服务，服务形式包括但不限于专家讲坛、培训、讲座等方式。要求提供培训、论坛、讲座等服务。</w:t>
            </w:r>
          </w:p>
        </w:tc>
        <w:tc>
          <w:tcPr>
            <w:tcW w:w="199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服务资料</w:t>
            </w:r>
          </w:p>
        </w:tc>
      </w:tr>
    </w:tbl>
    <w:p>
      <w:pPr>
        <w:spacing w:line="600" w:lineRule="exact"/>
        <w:rPr>
          <w:rFonts w:ascii="宋体" w:hAnsi="宋体" w:cs="宋体"/>
          <w:kern w:val="0"/>
          <w:sz w:val="24"/>
        </w:rPr>
      </w:pPr>
    </w:p>
    <w:p>
      <w:pPr>
        <w:spacing w:line="600" w:lineRule="exact"/>
        <w:ind w:firstLine="482" w:firstLineChars="200"/>
        <w:rPr>
          <w:rFonts w:ascii="宋体" w:hAnsi="宋体" w:cs="宋体"/>
          <w:b/>
          <w:sz w:val="24"/>
        </w:rPr>
      </w:pPr>
      <w:r>
        <w:rPr>
          <w:rFonts w:hint="eastAsia" w:ascii="宋体" w:hAnsi="宋体" w:cs="宋体"/>
          <w:b/>
          <w:sz w:val="24"/>
        </w:rPr>
        <w:t>二、项目考核</w:t>
      </w:r>
    </w:p>
    <w:p>
      <w:pPr>
        <w:spacing w:line="600" w:lineRule="exact"/>
        <w:ind w:firstLine="480" w:firstLineChars="200"/>
        <w:rPr>
          <w:rFonts w:ascii="宋体" w:hAnsi="宋体" w:cs="宋体"/>
          <w:kern w:val="0"/>
          <w:sz w:val="24"/>
        </w:rPr>
      </w:pPr>
      <w:r>
        <w:rPr>
          <w:rFonts w:hint="eastAsia" w:ascii="宋体" w:hAnsi="宋体" w:cs="宋体"/>
          <w:kern w:val="0"/>
          <w:sz w:val="24"/>
        </w:rPr>
        <w:t>对技术总集考核分为日常考核和具体贡献两个维度，以及考核结果运用。</w:t>
      </w:r>
    </w:p>
    <w:p>
      <w:pPr>
        <w:spacing w:line="600" w:lineRule="exact"/>
        <w:ind w:firstLine="482" w:firstLineChars="200"/>
        <w:rPr>
          <w:rFonts w:ascii="宋体" w:hAnsi="宋体" w:cs="宋体"/>
          <w:b/>
          <w:sz w:val="24"/>
        </w:rPr>
      </w:pPr>
      <w:r>
        <w:rPr>
          <w:rFonts w:hint="eastAsia" w:ascii="宋体" w:hAnsi="宋体" w:cs="宋体"/>
          <w:b/>
          <w:sz w:val="24"/>
        </w:rPr>
        <w:t>（一）日常考核</w:t>
      </w:r>
    </w:p>
    <w:p>
      <w:pPr>
        <w:spacing w:line="600" w:lineRule="exact"/>
        <w:ind w:firstLine="482" w:firstLineChars="200"/>
        <w:rPr>
          <w:rFonts w:ascii="宋体" w:hAnsi="宋体" w:cs="宋体"/>
          <w:kern w:val="0"/>
          <w:sz w:val="24"/>
        </w:rPr>
      </w:pPr>
      <w:r>
        <w:rPr>
          <w:rFonts w:hint="eastAsia" w:ascii="宋体" w:hAnsi="宋体" w:cs="宋体"/>
          <w:b/>
          <w:sz w:val="24"/>
        </w:rPr>
        <w:t>1.人员考核（5分）：</w:t>
      </w:r>
      <w:r>
        <w:rPr>
          <w:rFonts w:hint="eastAsia" w:ascii="宋体" w:hAnsi="宋体" w:cs="宋体"/>
          <w:kern w:val="0"/>
          <w:sz w:val="24"/>
        </w:rPr>
        <w:t>技术总集方人员按照要求配备到位，人员不得随意调整，确需调整需经数据资源局同意；对技术能力水平、工作态度、到岗考勤等达不到要求的人员，数据局有权要求更换同等资质人员。因总集方工作态度问题更换人员超过3人次的本项不得分，若在考勤过程中发现未经数据资源管理局管理人员同意缺勤的情况，一次扣0.2分，扣完为止。其他管理参照《杭州市临安区数据资源管理局驻场人员日常管理暂行办法》执行。</w:t>
      </w:r>
    </w:p>
    <w:p>
      <w:pPr>
        <w:spacing w:line="600" w:lineRule="exact"/>
        <w:ind w:firstLine="482" w:firstLineChars="200"/>
        <w:rPr>
          <w:rFonts w:ascii="宋体" w:hAnsi="宋体" w:cs="宋体"/>
          <w:kern w:val="0"/>
          <w:sz w:val="24"/>
        </w:rPr>
      </w:pPr>
      <w:r>
        <w:rPr>
          <w:rFonts w:hint="eastAsia" w:ascii="宋体" w:hAnsi="宋体" w:cs="宋体"/>
          <w:b/>
          <w:bCs/>
          <w:color w:val="000000" w:themeColor="text1"/>
          <w:sz w:val="24"/>
          <w14:textFill>
            <w14:solidFill>
              <w14:schemeClr w14:val="tx1"/>
            </w14:solidFill>
          </w14:textFill>
        </w:rPr>
        <w:t>2.输出成果考核（30分）</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rPr>
        <w:t>技术总集对所有输出成果负责，输出成果均需负责人签字确认；输出成果应按时按量完成，若因逾期导致损失的由技术总集负责。输出成果量化考核到每月一结，任务项未完成扣0.1分/项。</w:t>
      </w:r>
    </w:p>
    <w:p>
      <w:pPr>
        <w:spacing w:line="6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3.服务情况考核（15分）</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rPr>
        <w:t>根据技术总集服务情况进行考评，合同结束前由数据资源管理局所有工作人员对总集服务进行打分，按班子占比5</w:t>
      </w:r>
      <w:r>
        <w:rPr>
          <w:rFonts w:ascii="宋体" w:hAnsi="宋体" w:cs="宋体"/>
          <w:kern w:val="0"/>
          <w:sz w:val="24"/>
        </w:rPr>
        <w:t xml:space="preserve">  </w:t>
      </w:r>
      <w:r>
        <w:rPr>
          <w:rFonts w:hint="eastAsia" w:ascii="宋体" w:hAnsi="宋体" w:cs="宋体"/>
          <w:kern w:val="0"/>
          <w:sz w:val="24"/>
        </w:rPr>
        <w:t>0%、中层占比30%、其他人员占比20%，即最终得分=10*（班子平均得分*50%+中层平均得分*30%+其他人员平均得分*20%）/100。</w:t>
      </w:r>
    </w:p>
    <w:p>
      <w:pPr>
        <w:spacing w:line="6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（二）贡献考核</w:t>
      </w:r>
    </w:p>
    <w:p>
      <w:pPr>
        <w:spacing w:line="600" w:lineRule="exact"/>
        <w:ind w:firstLine="482" w:firstLineChars="200"/>
        <w:rPr>
          <w:rFonts w:ascii="宋体" w:hAnsi="宋体" w:cs="宋体"/>
          <w:kern w:val="0"/>
          <w:sz w:val="24"/>
        </w:rPr>
      </w:pPr>
      <w:r>
        <w:rPr>
          <w:rFonts w:hint="eastAsia" w:ascii="宋体" w:hAnsi="宋体" w:cs="宋体"/>
          <w:b/>
          <w:bCs/>
          <w:color w:val="000000" w:themeColor="text1"/>
          <w:sz w:val="24"/>
          <w14:textFill>
            <w14:solidFill>
              <w14:schemeClr w14:val="tx1"/>
            </w14:solidFill>
          </w14:textFill>
        </w:rPr>
        <w:t>1.项目技术把关：</w:t>
      </w:r>
      <w:r>
        <w:rPr>
          <w:rFonts w:hint="eastAsia" w:ascii="宋体" w:hAnsi="宋体" w:cs="宋体"/>
          <w:kern w:val="0"/>
          <w:sz w:val="24"/>
        </w:rPr>
        <w:t>项目资金节约度、项目评审偏离度</w:t>
      </w:r>
    </w:p>
    <w:p>
      <w:pPr>
        <w:spacing w:line="600" w:lineRule="exact"/>
        <w:ind w:firstLine="482" w:firstLineChars="200"/>
        <w:rPr>
          <w:rFonts w:ascii="宋体" w:hAnsi="宋体" w:cs="宋体"/>
          <w:kern w:val="0"/>
          <w:sz w:val="24"/>
        </w:rPr>
      </w:pPr>
      <w:r>
        <w:rPr>
          <w:rFonts w:hint="eastAsia" w:ascii="宋体" w:hAnsi="宋体" w:cs="宋体"/>
          <w:b/>
          <w:bCs/>
          <w:color w:val="000000" w:themeColor="text1"/>
          <w:sz w:val="24"/>
          <w14:textFill>
            <w14:solidFill>
              <w14:schemeClr w14:val="tx1"/>
            </w14:solidFill>
          </w14:textFill>
        </w:rPr>
        <w:t>2.创新场景预研：</w:t>
      </w:r>
      <w:r>
        <w:rPr>
          <w:rFonts w:hint="eastAsia" w:ascii="宋体" w:hAnsi="宋体" w:cs="宋体"/>
          <w:kern w:val="0"/>
          <w:sz w:val="24"/>
        </w:rPr>
        <w:t>场景和产品落地情况</w:t>
      </w:r>
    </w:p>
    <w:p>
      <w:pPr>
        <w:spacing w:line="600" w:lineRule="exact"/>
        <w:ind w:firstLine="482" w:firstLineChars="200"/>
        <w:rPr>
          <w:rFonts w:ascii="宋体" w:hAnsi="宋体" w:cs="宋体"/>
          <w:kern w:val="0"/>
          <w:sz w:val="24"/>
        </w:rPr>
      </w:pPr>
      <w:r>
        <w:rPr>
          <w:rFonts w:hint="eastAsia" w:ascii="宋体" w:hAnsi="宋体" w:cs="宋体"/>
          <w:b/>
          <w:bCs/>
          <w:color w:val="000000" w:themeColor="text1"/>
          <w:sz w:val="24"/>
          <w14:textFill>
            <w14:solidFill>
              <w14:schemeClr w14:val="tx1"/>
            </w14:solidFill>
          </w14:textFill>
        </w:rPr>
        <w:t>3.行业标准：</w:t>
      </w:r>
      <w:r>
        <w:rPr>
          <w:rFonts w:hint="eastAsia" w:ascii="宋体" w:hAnsi="宋体" w:cs="宋体"/>
          <w:kern w:val="0"/>
          <w:sz w:val="24"/>
        </w:rPr>
        <w:t>项目评奖评优、参观接待、媒体报道</w:t>
      </w:r>
    </w:p>
    <w:p>
      <w:pPr>
        <w:spacing w:line="600" w:lineRule="exact"/>
        <w:ind w:firstLine="482" w:firstLineChars="200"/>
        <w:rPr>
          <w:rFonts w:ascii="宋体" w:hAnsi="宋体" w:cs="宋体"/>
          <w:kern w:val="0"/>
          <w:sz w:val="24"/>
        </w:rPr>
      </w:pPr>
      <w:r>
        <w:rPr>
          <w:rFonts w:hint="eastAsia" w:ascii="宋体" w:hAnsi="宋体" w:cs="宋体"/>
          <w:b/>
          <w:bCs/>
          <w:color w:val="000000" w:themeColor="text1"/>
          <w:sz w:val="24"/>
          <w14:textFill>
            <w14:solidFill>
              <w14:schemeClr w14:val="tx1"/>
            </w14:solidFill>
          </w14:textFill>
        </w:rPr>
        <w:t>4.总集服务和运营：</w:t>
      </w:r>
      <w:r>
        <w:rPr>
          <w:rFonts w:hint="eastAsia" w:ascii="宋体" w:hAnsi="宋体" w:cs="宋体"/>
          <w:kern w:val="0"/>
          <w:sz w:val="24"/>
        </w:rPr>
        <w:t>考察参观、制度成果等</w:t>
      </w:r>
    </w:p>
    <w:p>
      <w:pPr>
        <w:spacing w:line="600" w:lineRule="exact"/>
        <w:ind w:firstLine="482" w:firstLineChars="200"/>
        <w:rPr>
          <w:rFonts w:ascii="宋体" w:hAnsi="宋体" w:cs="宋体"/>
          <w:kern w:val="0"/>
          <w:sz w:val="24"/>
        </w:rPr>
      </w:pPr>
      <w:r>
        <w:rPr>
          <w:rFonts w:hint="eastAsia" w:ascii="宋体" w:hAnsi="宋体" w:cs="宋体"/>
          <w:b/>
          <w:color w:val="000000" w:themeColor="text1"/>
          <w:sz w:val="24"/>
          <w14:textFill>
            <w14:solidFill>
              <w14:schemeClr w14:val="tx1"/>
            </w14:solidFill>
          </w14:textFill>
        </w:rPr>
        <w:t>5.其他：</w:t>
      </w:r>
      <w:r>
        <w:rPr>
          <w:rFonts w:hint="eastAsia" w:ascii="宋体" w:hAnsi="宋体" w:cs="宋体"/>
          <w:kern w:val="0"/>
          <w:sz w:val="24"/>
        </w:rPr>
        <w:t>由数据局认定的重大贡献，比如在省市考核中给予重大支持等等。</w:t>
      </w:r>
    </w:p>
    <w:p>
      <w:pPr>
        <w:spacing w:line="600" w:lineRule="exact"/>
        <w:ind w:firstLine="482" w:firstLineChars="2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贡献考核赋分标准</w:t>
      </w:r>
    </w:p>
    <w:tbl>
      <w:tblPr>
        <w:tblStyle w:val="63"/>
        <w:tblW w:w="812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00"/>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1200"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考核维度</w:t>
            </w:r>
          </w:p>
        </w:tc>
        <w:tc>
          <w:tcPr>
            <w:tcW w:w="190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具体指标</w:t>
            </w:r>
          </w:p>
        </w:tc>
        <w:tc>
          <w:tcPr>
            <w:tcW w:w="502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项目技术把关</w:t>
            </w: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项目资金节约度（上限10分）</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内经过总集服务的预审，全区信息化项目节约的资金与项目申报时的资金的比例在40%（含）以上的得10分、35%（含）以上得8分、30%（含）以上得6分、25%（含）以上得4分、25%以下不得分，偏离值=（项目申报资金总价-总集提供指导项目总价格）/项目申报资金总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项目预审偏离度（上限5分）</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内总集服务提供的所有项目指导总价格与专家评审总价格偏离值在5%（含）以内的得5分、10%（含）以内得4.5分、20%（含）以内得4分、30%（含）以内得3分、30%以外不得分，偏离值=（总集提供指导项目总价格-专家评审项目总价格）/专家评审总价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创新场景预研</w:t>
            </w: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场景和产品落地</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技术总集服务团队预研跟踪的场景，落地转化成实际产品或项目的每一个得10分。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行业标准</w:t>
            </w: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项目评奖评优（上限15分）</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国家级奖项15分/次（主办方或者指导单位是国家部委或国家级智库）</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省级奖项5分/次（主办方或者指导单位是省厅或省级智库）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参观接待（上限10分）</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包括政府内部、各类机构、智库的参观接待。</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国家级5分/次；省部级3分/次；地市级2分/次；区县级1分/次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媒体报道（上限10分）</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国家级5分/次；省部级3分/次；地市级2分/次；区县级1分/次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restart"/>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总集服务和运营</w:t>
            </w: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制度规范体系规划</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国家级标准申报15分/个；省级地方标准申报10分/个；市级地方标准申报5分/个；团体级标准申报3分/个。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考察调研</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省级及直辖市8分/次；副省级城市5分/次；地市级或直辖市的区县3分/次；区县2分/次。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Merge w:val="continue"/>
            <w:vAlign w:val="center"/>
          </w:tcPr>
          <w:p>
            <w:pPr>
              <w:spacing w:line="360" w:lineRule="exact"/>
              <w:jc w:val="center"/>
              <w:rPr>
                <w:rFonts w:ascii="宋体" w:hAnsi="宋体" w:cs="宋体"/>
                <w:color w:val="000000" w:themeColor="text1"/>
                <w:sz w:val="24"/>
                <w14:textFill>
                  <w14:solidFill>
                    <w14:schemeClr w14:val="tx1"/>
                  </w14:solidFill>
                </w14:textFill>
              </w:rPr>
            </w:pP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浙江省数据开放大赛</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指导临安队伍参加省市数据开放大赛情况：省决赛获奖10分/个；进入省决赛5分/个；市决赛获奖5分/个；进入市决赛2分/个；邀请省级专家或数字浙江专家指导3分/次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1900"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重大贡献</w:t>
            </w:r>
          </w:p>
        </w:tc>
        <w:tc>
          <w:tcPr>
            <w:tcW w:w="5020" w:type="dxa"/>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r>
    </w:tbl>
    <w:p>
      <w:pPr>
        <w:spacing w:line="600" w:lineRule="exact"/>
        <w:ind w:firstLine="482" w:firstLineChars="200"/>
        <w:rPr>
          <w:rFonts w:ascii="宋体" w:hAnsi="宋体" w:cs="宋体"/>
          <w:kern w:val="0"/>
          <w:sz w:val="24"/>
        </w:rPr>
      </w:pPr>
      <w:r>
        <w:rPr>
          <w:rFonts w:hint="eastAsia" w:ascii="宋体" w:hAnsi="宋体" w:cs="宋体"/>
          <w:b/>
          <w:bCs/>
          <w:color w:val="000000" w:themeColor="text1"/>
          <w:sz w:val="24"/>
          <w14:textFill>
            <w14:solidFill>
              <w14:schemeClr w14:val="tx1"/>
            </w14:solidFill>
          </w14:textFill>
        </w:rPr>
        <w:t>（三）考核结果运用。</w:t>
      </w:r>
      <w:r>
        <w:rPr>
          <w:rFonts w:hint="eastAsia" w:ascii="宋体" w:hAnsi="宋体" w:cs="宋体"/>
          <w:kern w:val="0"/>
          <w:sz w:val="24"/>
        </w:rPr>
        <w:t>项目资金分三期拨付。第一期为启动资金，合同签订后七个工作日内支付合同金额的60%；第二期为中期资金，在合同签订6个月后支付合同金额的20%；第三期为剩余资金，服务期结束后五个工作日内完成服务成果考核（满分100分），第三期支付与考核分数挂钩，考核分数60分以上启动拨付，60分至80分（含80分）按照考核实际得分/100*合同金额的20%支付剩余资金，80分以上则全额拨付合同金额的20%资金，第三期支付在考核完成后七个工作日内支付完成。</w:t>
      </w:r>
    </w:p>
    <w:p>
      <w:pPr>
        <w:spacing w:line="6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三、人员需求</w:t>
      </w:r>
    </w:p>
    <w:p>
      <w:pPr>
        <w:adjustRightInd/>
        <w:spacing w:before="120" w:beforeLines="50" w:after="120" w:afterLines="50" w:line="6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总集人员需求表</w:t>
      </w:r>
    </w:p>
    <w:tbl>
      <w:tblPr>
        <w:tblStyle w:val="6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80"/>
        <w:gridCol w:w="4093"/>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940" w:type="dxa"/>
            <w:vAlign w:val="center"/>
          </w:tcPr>
          <w:p>
            <w:pPr>
              <w:pStyle w:val="2"/>
              <w:snapToGrid w:val="0"/>
              <w:spacing w:line="400" w:lineRule="exact"/>
              <w:ind w:firstLine="0" w:firstLineChars="0"/>
              <w:jc w:val="center"/>
              <w:rPr>
                <w:rFonts w:cs="宋体"/>
              </w:rPr>
            </w:pPr>
            <w:r>
              <w:rPr>
                <w:rFonts w:hint="eastAsia" w:cs="宋体"/>
              </w:rPr>
              <w:t>序号</w:t>
            </w:r>
          </w:p>
        </w:tc>
        <w:tc>
          <w:tcPr>
            <w:tcW w:w="1780" w:type="dxa"/>
            <w:vAlign w:val="center"/>
          </w:tcPr>
          <w:p>
            <w:pPr>
              <w:pStyle w:val="2"/>
              <w:snapToGrid w:val="0"/>
              <w:spacing w:line="400" w:lineRule="exact"/>
              <w:ind w:firstLine="0" w:firstLineChars="0"/>
              <w:jc w:val="center"/>
              <w:rPr>
                <w:rFonts w:cs="宋体"/>
              </w:rPr>
            </w:pPr>
            <w:r>
              <w:rPr>
                <w:rFonts w:hint="eastAsia" w:cs="宋体"/>
              </w:rPr>
              <w:t>服务项目</w:t>
            </w:r>
          </w:p>
        </w:tc>
        <w:tc>
          <w:tcPr>
            <w:tcW w:w="4093" w:type="dxa"/>
            <w:vAlign w:val="center"/>
          </w:tcPr>
          <w:p>
            <w:pPr>
              <w:pStyle w:val="2"/>
              <w:snapToGrid w:val="0"/>
              <w:spacing w:line="400" w:lineRule="exact"/>
              <w:ind w:firstLine="0" w:firstLineChars="0"/>
              <w:jc w:val="center"/>
              <w:rPr>
                <w:rFonts w:cs="宋体"/>
              </w:rPr>
            </w:pPr>
            <w:r>
              <w:rPr>
                <w:rFonts w:hint="eastAsia" w:cs="宋体"/>
              </w:rPr>
              <w:t>服务内容</w:t>
            </w:r>
          </w:p>
        </w:tc>
        <w:tc>
          <w:tcPr>
            <w:tcW w:w="2067" w:type="dxa"/>
            <w:vAlign w:val="center"/>
          </w:tcPr>
          <w:p>
            <w:pPr>
              <w:pStyle w:val="2"/>
              <w:snapToGrid w:val="0"/>
              <w:spacing w:line="400" w:lineRule="exact"/>
              <w:ind w:firstLine="0" w:firstLineChars="0"/>
              <w:jc w:val="center"/>
              <w:rPr>
                <w:rFonts w:cs="宋体"/>
              </w:rPr>
            </w:pPr>
            <w:r>
              <w:rPr>
                <w:rFonts w:hint="eastAsia" w:cs="宋体"/>
              </w:rPr>
              <w:t>人员需求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40" w:type="dxa"/>
            <w:vMerge w:val="restart"/>
            <w:vAlign w:val="center"/>
          </w:tcPr>
          <w:p>
            <w:pPr>
              <w:pStyle w:val="2"/>
              <w:snapToGrid w:val="0"/>
              <w:spacing w:line="400" w:lineRule="exact"/>
              <w:ind w:firstLine="0" w:firstLineChars="0"/>
              <w:jc w:val="center"/>
              <w:rPr>
                <w:rFonts w:cs="宋体"/>
              </w:rPr>
            </w:pPr>
            <w:r>
              <w:rPr>
                <w:rFonts w:hint="eastAsia" w:cs="宋体"/>
              </w:rPr>
              <w:t>1</w:t>
            </w:r>
          </w:p>
        </w:tc>
        <w:tc>
          <w:tcPr>
            <w:tcW w:w="1780" w:type="dxa"/>
            <w:vMerge w:val="restart"/>
            <w:vAlign w:val="center"/>
          </w:tcPr>
          <w:p>
            <w:pPr>
              <w:pStyle w:val="2"/>
              <w:snapToGrid w:val="0"/>
              <w:spacing w:line="400" w:lineRule="exact"/>
              <w:ind w:firstLine="0" w:firstLineChars="0"/>
              <w:jc w:val="center"/>
              <w:rPr>
                <w:rFonts w:cs="宋体"/>
              </w:rPr>
            </w:pPr>
            <w:r>
              <w:rPr>
                <w:rFonts w:hint="eastAsia" w:cs="宋体"/>
                <w:color w:val="000000" w:themeColor="text1"/>
                <w14:textFill>
                  <w14:solidFill>
                    <w14:schemeClr w14:val="tx1"/>
                  </w14:solidFill>
                </w14:textFill>
              </w:rPr>
              <w:t>项目群把关技术服务</w:t>
            </w:r>
          </w:p>
        </w:tc>
        <w:tc>
          <w:tcPr>
            <w:tcW w:w="4093" w:type="dxa"/>
            <w:vAlign w:val="center"/>
          </w:tcPr>
          <w:p>
            <w:pPr>
              <w:pStyle w:val="2"/>
              <w:snapToGrid w:val="0"/>
              <w:spacing w:line="400" w:lineRule="exact"/>
              <w:ind w:firstLine="0" w:firstLineChars="0"/>
              <w:jc w:val="center"/>
              <w:rPr>
                <w:rFonts w:cs="宋体"/>
              </w:rPr>
            </w:pPr>
            <w:r>
              <w:rPr>
                <w:rFonts w:hint="eastAsia" w:cs="宋体"/>
              </w:rPr>
              <w:t>项目立项阶段把关服务</w:t>
            </w:r>
          </w:p>
        </w:tc>
        <w:tc>
          <w:tcPr>
            <w:tcW w:w="2067" w:type="dxa"/>
            <w:vMerge w:val="restart"/>
            <w:vAlign w:val="center"/>
          </w:tcPr>
          <w:p>
            <w:pPr>
              <w:pStyle w:val="2"/>
              <w:snapToGrid w:val="0"/>
              <w:spacing w:line="400" w:lineRule="exact"/>
              <w:ind w:firstLine="0" w:firstLineChars="0"/>
              <w:jc w:val="center"/>
              <w:rPr>
                <w:rFonts w:cs="宋体"/>
              </w:rPr>
            </w:pPr>
            <w:r>
              <w:rPr>
                <w:rFonts w:hint="eastAsia" w:cs="宋体"/>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项目评审阶段把关服务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项目实施阶段把关服务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项目运维阶段把关服务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项目总结评价阶段把关服务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40" w:type="dxa"/>
            <w:vAlign w:val="center"/>
          </w:tcPr>
          <w:p>
            <w:pPr>
              <w:pStyle w:val="2"/>
              <w:snapToGrid w:val="0"/>
              <w:spacing w:line="400" w:lineRule="exact"/>
              <w:ind w:firstLine="0" w:firstLineChars="0"/>
              <w:jc w:val="center"/>
              <w:rPr>
                <w:rFonts w:cs="宋体"/>
              </w:rPr>
            </w:pPr>
            <w:r>
              <w:rPr>
                <w:rFonts w:hint="eastAsia" w:cs="宋体"/>
              </w:rPr>
              <w:t>2</w:t>
            </w:r>
          </w:p>
        </w:tc>
        <w:tc>
          <w:tcPr>
            <w:tcW w:w="1780" w:type="dxa"/>
            <w:vAlign w:val="center"/>
          </w:tcPr>
          <w:p>
            <w:pPr>
              <w:pStyle w:val="2"/>
              <w:snapToGrid w:val="0"/>
              <w:spacing w:line="400" w:lineRule="exact"/>
              <w:ind w:firstLine="0" w:firstLineChars="0"/>
              <w:jc w:val="center"/>
              <w:rPr>
                <w:rFonts w:cs="宋体"/>
              </w:rPr>
            </w:pPr>
            <w:r>
              <w:rPr>
                <w:rFonts w:hint="eastAsia" w:cs="宋体"/>
              </w:rPr>
              <w:t>代码审核服务</w:t>
            </w:r>
          </w:p>
        </w:tc>
        <w:tc>
          <w:tcPr>
            <w:tcW w:w="4093" w:type="dxa"/>
            <w:vAlign w:val="center"/>
          </w:tcPr>
          <w:p>
            <w:pPr>
              <w:pStyle w:val="2"/>
              <w:snapToGrid w:val="0"/>
              <w:spacing w:line="400" w:lineRule="exact"/>
              <w:ind w:firstLine="0" w:firstLineChars="0"/>
              <w:jc w:val="center"/>
              <w:rPr>
                <w:rFonts w:cs="宋体"/>
              </w:rPr>
            </w:pPr>
            <w:r>
              <w:rPr>
                <w:rFonts w:hint="eastAsia" w:cs="宋体"/>
              </w:rPr>
              <w:t>代码审核服务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dxa"/>
            <w:vMerge w:val="restart"/>
            <w:vAlign w:val="center"/>
          </w:tcPr>
          <w:p>
            <w:pPr>
              <w:pStyle w:val="2"/>
              <w:snapToGrid w:val="0"/>
              <w:spacing w:line="400" w:lineRule="exact"/>
              <w:ind w:firstLine="0" w:firstLineChars="0"/>
              <w:jc w:val="center"/>
              <w:rPr>
                <w:rFonts w:cs="宋体"/>
              </w:rPr>
            </w:pPr>
            <w:r>
              <w:rPr>
                <w:rFonts w:hint="eastAsia" w:cs="宋体"/>
              </w:rPr>
              <w:t>3</w:t>
            </w:r>
          </w:p>
        </w:tc>
        <w:tc>
          <w:tcPr>
            <w:tcW w:w="1780" w:type="dxa"/>
            <w:vMerge w:val="restart"/>
            <w:vAlign w:val="center"/>
          </w:tcPr>
          <w:p>
            <w:pPr>
              <w:pStyle w:val="2"/>
              <w:snapToGrid w:val="0"/>
              <w:spacing w:line="400" w:lineRule="exact"/>
              <w:ind w:firstLine="0" w:firstLineChars="0"/>
              <w:jc w:val="center"/>
              <w:rPr>
                <w:rFonts w:cs="宋体"/>
              </w:rPr>
            </w:pPr>
            <w:r>
              <w:rPr>
                <w:rFonts w:hint="eastAsia" w:cs="宋体"/>
              </w:rPr>
              <w:t>数据治理技术服务</w:t>
            </w:r>
          </w:p>
        </w:tc>
        <w:tc>
          <w:tcPr>
            <w:tcW w:w="4093" w:type="dxa"/>
            <w:vAlign w:val="center"/>
          </w:tcPr>
          <w:p>
            <w:pPr>
              <w:pStyle w:val="2"/>
              <w:snapToGrid w:val="0"/>
              <w:spacing w:line="400" w:lineRule="exact"/>
              <w:ind w:firstLine="0" w:firstLineChars="0"/>
              <w:jc w:val="center"/>
              <w:rPr>
                <w:rFonts w:cs="宋体"/>
              </w:rPr>
            </w:pPr>
            <w:r>
              <w:rPr>
                <w:rFonts w:hint="eastAsia" w:cs="宋体"/>
              </w:rPr>
              <w:t>咨询规划阶段服务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协同推进阶段服务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评估审核阶段服务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pStyle w:val="2"/>
              <w:snapToGrid w:val="0"/>
              <w:spacing w:line="400" w:lineRule="exact"/>
              <w:ind w:firstLine="0" w:firstLineChars="0"/>
              <w:jc w:val="center"/>
              <w:rPr>
                <w:rFonts w:cs="宋体"/>
              </w:rPr>
            </w:pPr>
            <w:r>
              <w:rPr>
                <w:rFonts w:hint="eastAsia" w:cs="宋体"/>
              </w:rPr>
              <w:t>4</w:t>
            </w:r>
          </w:p>
        </w:tc>
        <w:tc>
          <w:tcPr>
            <w:tcW w:w="1780" w:type="dxa"/>
            <w:vMerge w:val="restart"/>
            <w:vAlign w:val="center"/>
          </w:tcPr>
          <w:p>
            <w:pPr>
              <w:pStyle w:val="2"/>
              <w:snapToGrid w:val="0"/>
              <w:spacing w:line="400" w:lineRule="exact"/>
              <w:ind w:firstLine="0" w:firstLineChars="0"/>
              <w:jc w:val="center"/>
              <w:rPr>
                <w:rFonts w:cs="宋体"/>
              </w:rPr>
            </w:pPr>
            <w:r>
              <w:rPr>
                <w:rFonts w:hint="eastAsia" w:cs="宋体"/>
              </w:rPr>
              <w:t>创新场景预研服务</w:t>
            </w:r>
          </w:p>
        </w:tc>
        <w:tc>
          <w:tcPr>
            <w:tcW w:w="4093" w:type="dxa"/>
          </w:tcPr>
          <w:p>
            <w:pPr>
              <w:pStyle w:val="2"/>
              <w:snapToGrid w:val="0"/>
              <w:spacing w:line="400" w:lineRule="exact"/>
              <w:ind w:firstLine="0" w:firstLineChars="0"/>
              <w:jc w:val="center"/>
              <w:rPr>
                <w:rFonts w:cs="宋体"/>
              </w:rPr>
            </w:pPr>
            <w:r>
              <w:rPr>
                <w:rFonts w:hint="eastAsia" w:cs="宋体"/>
              </w:rPr>
              <w:t>方案规划</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tcPr>
          <w:p>
            <w:pPr>
              <w:pStyle w:val="2"/>
              <w:snapToGrid w:val="0"/>
              <w:spacing w:line="400" w:lineRule="exact"/>
              <w:ind w:firstLine="0" w:firstLineChars="0"/>
              <w:jc w:val="center"/>
              <w:rPr>
                <w:rFonts w:cs="宋体"/>
              </w:rPr>
            </w:pPr>
            <w:r>
              <w:rPr>
                <w:rFonts w:hint="eastAsia" w:cs="宋体"/>
              </w:rPr>
              <w:t>产品规划</w:t>
            </w:r>
          </w:p>
        </w:tc>
        <w:tc>
          <w:tcPr>
            <w:tcW w:w="2067" w:type="dxa"/>
            <w:vMerge w:val="continue"/>
            <w:vAlign w:val="center"/>
          </w:tcPr>
          <w:p>
            <w:pPr>
              <w:pStyle w:val="2"/>
              <w:snapToGrid w:val="0"/>
              <w:spacing w:line="40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tcPr>
          <w:p>
            <w:pPr>
              <w:pStyle w:val="2"/>
              <w:snapToGrid w:val="0"/>
              <w:spacing w:line="400" w:lineRule="exact"/>
              <w:ind w:firstLine="0" w:firstLineChars="0"/>
              <w:jc w:val="center"/>
              <w:rPr>
                <w:rFonts w:cs="宋体"/>
              </w:rPr>
            </w:pPr>
            <w:r>
              <w:rPr>
                <w:rFonts w:hint="eastAsia" w:cs="宋体"/>
              </w:rPr>
              <w:t>开发推进</w:t>
            </w:r>
          </w:p>
        </w:tc>
        <w:tc>
          <w:tcPr>
            <w:tcW w:w="2067" w:type="dxa"/>
            <w:vMerge w:val="continue"/>
            <w:vAlign w:val="center"/>
          </w:tcPr>
          <w:p>
            <w:pPr>
              <w:pStyle w:val="2"/>
              <w:snapToGrid w:val="0"/>
              <w:spacing w:line="40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pStyle w:val="2"/>
              <w:snapToGrid w:val="0"/>
              <w:spacing w:line="400" w:lineRule="exact"/>
              <w:ind w:firstLine="0" w:firstLineChars="0"/>
              <w:jc w:val="center"/>
              <w:rPr>
                <w:rFonts w:cs="宋体"/>
              </w:rPr>
            </w:pPr>
            <w:r>
              <w:rPr>
                <w:rFonts w:hint="eastAsia" w:cs="宋体"/>
              </w:rPr>
              <w:t>5</w:t>
            </w:r>
          </w:p>
        </w:tc>
        <w:tc>
          <w:tcPr>
            <w:tcW w:w="1780" w:type="dxa"/>
            <w:vMerge w:val="restart"/>
            <w:vAlign w:val="center"/>
          </w:tcPr>
          <w:p>
            <w:pPr>
              <w:pStyle w:val="2"/>
              <w:snapToGrid w:val="0"/>
              <w:spacing w:line="400" w:lineRule="exact"/>
              <w:ind w:firstLine="0" w:firstLineChars="0"/>
              <w:jc w:val="center"/>
              <w:rPr>
                <w:rFonts w:cs="宋体"/>
              </w:rPr>
            </w:pPr>
            <w:r>
              <w:rPr>
                <w:rFonts w:hint="eastAsia" w:cs="宋体"/>
              </w:rPr>
              <w:t>综合技术服务</w:t>
            </w:r>
          </w:p>
        </w:tc>
        <w:tc>
          <w:tcPr>
            <w:tcW w:w="4093" w:type="dxa"/>
            <w:vAlign w:val="center"/>
          </w:tcPr>
          <w:p>
            <w:pPr>
              <w:pStyle w:val="2"/>
              <w:snapToGrid w:val="0"/>
              <w:spacing w:line="400" w:lineRule="exact"/>
              <w:ind w:firstLine="0" w:firstLineChars="0"/>
              <w:jc w:val="center"/>
              <w:rPr>
                <w:rFonts w:cs="宋体"/>
              </w:rPr>
            </w:pPr>
            <w:r>
              <w:rPr>
                <w:rFonts w:hint="eastAsia" w:cs="宋体"/>
              </w:rPr>
              <w:t>考察策划服务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方案编制范围</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技术咨询服务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新技术与厂商推介服务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技术培训服务</w:t>
            </w:r>
          </w:p>
        </w:tc>
        <w:tc>
          <w:tcPr>
            <w:tcW w:w="2067" w:type="dxa"/>
            <w:vMerge w:val="continue"/>
            <w:vAlign w:val="center"/>
          </w:tcPr>
          <w:p>
            <w:pPr>
              <w:pStyle w:val="2"/>
              <w:snapToGrid w:val="0"/>
              <w:spacing w:line="400" w:lineRule="exact"/>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pStyle w:val="2"/>
              <w:snapToGrid w:val="0"/>
              <w:spacing w:line="400" w:lineRule="exact"/>
              <w:ind w:firstLine="0" w:firstLineChars="0"/>
              <w:jc w:val="center"/>
              <w:rPr>
                <w:rFonts w:cs="宋体"/>
              </w:rPr>
            </w:pPr>
          </w:p>
        </w:tc>
        <w:tc>
          <w:tcPr>
            <w:tcW w:w="1780" w:type="dxa"/>
            <w:vMerge w:val="continue"/>
            <w:vAlign w:val="center"/>
          </w:tcPr>
          <w:p>
            <w:pPr>
              <w:pStyle w:val="2"/>
              <w:snapToGrid w:val="0"/>
              <w:spacing w:line="400" w:lineRule="exact"/>
              <w:ind w:firstLine="0" w:firstLineChars="0"/>
              <w:jc w:val="center"/>
              <w:rPr>
                <w:rFonts w:cs="宋体"/>
              </w:rPr>
            </w:pPr>
          </w:p>
        </w:tc>
        <w:tc>
          <w:tcPr>
            <w:tcW w:w="4093" w:type="dxa"/>
            <w:vAlign w:val="center"/>
          </w:tcPr>
          <w:p>
            <w:pPr>
              <w:pStyle w:val="2"/>
              <w:snapToGrid w:val="0"/>
              <w:spacing w:line="400" w:lineRule="exact"/>
              <w:ind w:firstLine="0" w:firstLineChars="0"/>
              <w:jc w:val="center"/>
              <w:rPr>
                <w:rFonts w:cs="宋体"/>
              </w:rPr>
            </w:pPr>
            <w:r>
              <w:rPr>
                <w:rFonts w:hint="eastAsia" w:cs="宋体"/>
              </w:rPr>
              <w:t>智囊团服务</w:t>
            </w:r>
          </w:p>
        </w:tc>
        <w:tc>
          <w:tcPr>
            <w:tcW w:w="2067" w:type="dxa"/>
            <w:vMerge w:val="continue"/>
            <w:vAlign w:val="center"/>
          </w:tcPr>
          <w:p>
            <w:pPr>
              <w:pStyle w:val="2"/>
              <w:snapToGrid w:val="0"/>
              <w:spacing w:line="400" w:lineRule="exact"/>
              <w:ind w:firstLine="0" w:firstLineChars="0"/>
              <w:jc w:val="center"/>
              <w:rPr>
                <w:rFonts w:cs="宋体"/>
              </w:rPr>
            </w:pPr>
          </w:p>
        </w:tc>
      </w:tr>
    </w:tbl>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四、服务时间</w:t>
      </w:r>
    </w:p>
    <w:p>
      <w:pPr>
        <w:pStyle w:val="2"/>
        <w:snapToGrid w:val="0"/>
        <w:spacing w:line="360" w:lineRule="auto"/>
        <w:rPr>
          <w:rFonts w:cs="宋体"/>
          <w:kern w:val="0"/>
        </w:rPr>
      </w:pPr>
      <w:r>
        <w:rPr>
          <w:rFonts w:hint="eastAsia" w:cs="宋体"/>
          <w:kern w:val="0"/>
        </w:rPr>
        <w:t>本项目服务期为12个月，自合同签订日开始计算。</w:t>
      </w:r>
    </w:p>
    <w:p>
      <w:pPr>
        <w:pStyle w:val="2"/>
        <w:snapToGrid w:val="0"/>
        <w:spacing w:line="360" w:lineRule="auto"/>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五、付款方式</w:t>
      </w:r>
    </w:p>
    <w:p>
      <w:pPr>
        <w:spacing w:line="600" w:lineRule="exact"/>
        <w:ind w:firstLine="480" w:firstLineChars="200"/>
        <w:rPr>
          <w:rFonts w:ascii="宋体" w:hAnsi="宋体" w:cs="宋体"/>
          <w:kern w:val="0"/>
          <w:sz w:val="24"/>
          <w:highlight w:val="yellow"/>
        </w:rPr>
      </w:pPr>
      <w:r>
        <w:rPr>
          <w:rFonts w:hint="eastAsia" w:ascii="宋体" w:hAnsi="宋体" w:cs="宋体"/>
          <w:kern w:val="0"/>
          <w:sz w:val="24"/>
          <w:highlight w:val="none"/>
        </w:rPr>
        <w:t>项目资金分三期拨付。第一期为启动资金，合同签订后七个工作日内支付合同金额的60%；第二期为中期资金，在合同签订6个月后支付合同金额的20%；第三期为剩余资金，服务期结束后五个工作日内完成服务成果考核（满分100分），第三期支付与考核分数挂钩，考核分数60分以上启动拨付，60分至80分（含80分）按照考核实际得分/100*合同金额的20%支付剩余资金，80分以上则全额拨付合同金额的20%资金，第三期支付在考核完成后七个工作日内支付完成。</w:t>
      </w: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08070"/>
      <w:bookmarkEnd w:id="28"/>
      <w:bookmarkStart w:id="29" w:name="_Toc184314451"/>
      <w:bookmarkEnd w:id="29"/>
      <w:bookmarkStart w:id="30" w:name="_Toc184314426"/>
      <w:bookmarkEnd w:id="30"/>
      <w:bookmarkStart w:id="31" w:name="_Toc184310332"/>
      <w:bookmarkEnd w:id="31"/>
      <w:bookmarkStart w:id="32" w:name="_Toc184308063"/>
      <w:bookmarkEnd w:id="32"/>
      <w:bookmarkStart w:id="33" w:name="_Toc184313296"/>
      <w:bookmarkEnd w:id="33"/>
      <w:bookmarkStart w:id="34" w:name="_Toc184313252"/>
      <w:bookmarkEnd w:id="34"/>
      <w:bookmarkStart w:id="35" w:name="_Toc184312119"/>
      <w:bookmarkEnd w:id="35"/>
      <w:bookmarkStart w:id="36" w:name="_Toc184310313"/>
      <w:bookmarkEnd w:id="36"/>
      <w:bookmarkStart w:id="37" w:name="_Toc184313268"/>
      <w:bookmarkEnd w:id="37"/>
      <w:bookmarkStart w:id="38" w:name="_Toc184314475"/>
      <w:bookmarkEnd w:id="38"/>
      <w:bookmarkStart w:id="39" w:name="_Toc184313307"/>
      <w:bookmarkEnd w:id="39"/>
      <w:bookmarkStart w:id="40" w:name="_Toc184308060"/>
      <w:bookmarkEnd w:id="40"/>
      <w:bookmarkStart w:id="41" w:name="_Toc184314435"/>
      <w:bookmarkEnd w:id="41"/>
      <w:bookmarkStart w:id="42" w:name="_Toc184314424"/>
      <w:bookmarkEnd w:id="42"/>
      <w:bookmarkStart w:id="43" w:name="_Toc184314455"/>
      <w:bookmarkEnd w:id="43"/>
      <w:bookmarkStart w:id="44" w:name="_Toc184313283"/>
      <w:bookmarkEnd w:id="44"/>
      <w:bookmarkStart w:id="45" w:name="_Toc184310282"/>
      <w:bookmarkEnd w:id="45"/>
      <w:bookmarkStart w:id="46" w:name="_Toc184313292"/>
      <w:bookmarkEnd w:id="46"/>
      <w:bookmarkStart w:id="47" w:name="_Toc184313240"/>
      <w:bookmarkEnd w:id="47"/>
      <w:bookmarkStart w:id="48" w:name="_Toc184313305"/>
      <w:bookmarkEnd w:id="48"/>
      <w:bookmarkStart w:id="49" w:name="_Toc184313255"/>
      <w:bookmarkEnd w:id="49"/>
      <w:bookmarkStart w:id="50" w:name="_Toc184312080"/>
      <w:bookmarkEnd w:id="50"/>
      <w:bookmarkStart w:id="51" w:name="_Toc184313258"/>
      <w:bookmarkEnd w:id="51"/>
      <w:bookmarkStart w:id="52" w:name="_Toc184310287"/>
      <w:bookmarkEnd w:id="52"/>
      <w:bookmarkStart w:id="53" w:name="_Toc184310285"/>
      <w:bookmarkEnd w:id="53"/>
      <w:bookmarkStart w:id="54" w:name="_Toc184308095"/>
      <w:bookmarkEnd w:id="54"/>
      <w:bookmarkStart w:id="55" w:name="_Toc184310304"/>
      <w:bookmarkEnd w:id="55"/>
      <w:bookmarkStart w:id="56" w:name="_Toc184314444"/>
      <w:bookmarkEnd w:id="56"/>
      <w:bookmarkStart w:id="57" w:name="_Toc184312075"/>
      <w:bookmarkEnd w:id="57"/>
      <w:bookmarkStart w:id="58" w:name="_Toc184313244"/>
      <w:bookmarkEnd w:id="58"/>
      <w:bookmarkStart w:id="59" w:name="_Toc184312091"/>
      <w:bookmarkEnd w:id="59"/>
      <w:bookmarkStart w:id="60" w:name="_Toc184313250"/>
      <w:bookmarkEnd w:id="60"/>
      <w:bookmarkStart w:id="61" w:name="_Toc184308092"/>
      <w:bookmarkEnd w:id="61"/>
      <w:bookmarkStart w:id="62" w:name="_Toc184314440"/>
      <w:bookmarkEnd w:id="62"/>
      <w:bookmarkStart w:id="63" w:name="_Toc184312136"/>
      <w:bookmarkEnd w:id="63"/>
      <w:bookmarkStart w:id="64" w:name="_Toc184314430"/>
      <w:bookmarkEnd w:id="64"/>
      <w:bookmarkStart w:id="65" w:name="_Toc184314414"/>
      <w:bookmarkEnd w:id="65"/>
      <w:bookmarkStart w:id="66" w:name="_Toc184312093"/>
      <w:bookmarkEnd w:id="66"/>
      <w:bookmarkStart w:id="67" w:name="_Toc184312117"/>
      <w:bookmarkEnd w:id="67"/>
      <w:bookmarkStart w:id="68" w:name="_Toc184310327"/>
      <w:bookmarkEnd w:id="68"/>
      <w:bookmarkStart w:id="69" w:name="_Toc184310305"/>
      <w:bookmarkEnd w:id="69"/>
      <w:bookmarkStart w:id="70" w:name="_Toc184313286"/>
      <w:bookmarkEnd w:id="70"/>
      <w:bookmarkStart w:id="71" w:name="_Toc184310334"/>
      <w:bookmarkEnd w:id="71"/>
      <w:bookmarkStart w:id="72" w:name="_Toc184314478"/>
      <w:bookmarkEnd w:id="72"/>
      <w:bookmarkStart w:id="73" w:name="_Toc184314415"/>
      <w:bookmarkEnd w:id="73"/>
      <w:bookmarkStart w:id="74" w:name="_Toc184308076"/>
      <w:bookmarkEnd w:id="74"/>
      <w:bookmarkStart w:id="75" w:name="_Toc184313282"/>
      <w:bookmarkEnd w:id="75"/>
      <w:bookmarkStart w:id="76" w:name="_Toc184313310"/>
      <w:bookmarkEnd w:id="76"/>
      <w:bookmarkStart w:id="77" w:name="_Toc184312126"/>
      <w:bookmarkEnd w:id="77"/>
      <w:bookmarkStart w:id="78" w:name="_Toc184308073"/>
      <w:bookmarkEnd w:id="78"/>
      <w:bookmarkStart w:id="79" w:name="_Toc184312078"/>
      <w:bookmarkEnd w:id="79"/>
      <w:bookmarkStart w:id="80" w:name="_Toc184313277"/>
      <w:bookmarkEnd w:id="80"/>
      <w:bookmarkStart w:id="81" w:name="_Toc184308047"/>
      <w:bookmarkEnd w:id="81"/>
      <w:bookmarkStart w:id="82" w:name="_Toc184312088"/>
      <w:bookmarkEnd w:id="82"/>
      <w:bookmarkStart w:id="83" w:name="_Toc184310284"/>
      <w:bookmarkEnd w:id="83"/>
      <w:bookmarkStart w:id="84" w:name="_Toc184314450"/>
      <w:bookmarkEnd w:id="84"/>
      <w:bookmarkStart w:id="85" w:name="_Toc184314418"/>
      <w:bookmarkEnd w:id="85"/>
      <w:bookmarkStart w:id="86" w:name="_Toc184312086"/>
      <w:bookmarkEnd w:id="86"/>
      <w:bookmarkStart w:id="87" w:name="_Toc184314427"/>
      <w:bookmarkEnd w:id="87"/>
      <w:bookmarkStart w:id="88" w:name="_Toc184310273"/>
      <w:bookmarkEnd w:id="88"/>
      <w:bookmarkStart w:id="89" w:name="_Toc184310340"/>
      <w:bookmarkEnd w:id="89"/>
      <w:bookmarkStart w:id="90" w:name="_Toc184313278"/>
      <w:bookmarkEnd w:id="90"/>
      <w:bookmarkStart w:id="91" w:name="_Toc184310320"/>
      <w:bookmarkEnd w:id="91"/>
      <w:bookmarkStart w:id="92" w:name="_Toc184314429"/>
      <w:bookmarkEnd w:id="92"/>
      <w:bookmarkStart w:id="93" w:name="_Toc184314423"/>
      <w:bookmarkEnd w:id="93"/>
      <w:bookmarkStart w:id="94" w:name="_Toc184310338"/>
      <w:bookmarkEnd w:id="94"/>
      <w:bookmarkStart w:id="95" w:name="_Toc184312129"/>
      <w:bookmarkEnd w:id="95"/>
      <w:bookmarkStart w:id="96" w:name="_Toc184314437"/>
      <w:bookmarkEnd w:id="96"/>
      <w:bookmarkStart w:id="97" w:name="_Toc184308080"/>
      <w:bookmarkEnd w:id="97"/>
      <w:bookmarkStart w:id="98" w:name="_Toc184308046"/>
      <w:bookmarkEnd w:id="98"/>
      <w:bookmarkStart w:id="99" w:name="_Toc184310293"/>
      <w:bookmarkEnd w:id="99"/>
      <w:bookmarkStart w:id="100" w:name="_Toc184308052"/>
      <w:bookmarkEnd w:id="100"/>
      <w:bookmarkStart w:id="101" w:name="_Toc184310302"/>
      <w:bookmarkEnd w:id="101"/>
      <w:bookmarkStart w:id="102" w:name="_Toc184312134"/>
      <w:bookmarkEnd w:id="102"/>
      <w:bookmarkStart w:id="103" w:name="_Toc184308079"/>
      <w:bookmarkEnd w:id="103"/>
      <w:bookmarkStart w:id="104" w:name="_Toc184314413"/>
      <w:bookmarkEnd w:id="104"/>
      <w:bookmarkStart w:id="105" w:name="_Toc184308085"/>
      <w:bookmarkEnd w:id="105"/>
      <w:bookmarkStart w:id="106" w:name="_Toc184308050"/>
      <w:bookmarkEnd w:id="106"/>
      <w:bookmarkStart w:id="107" w:name="_Toc184313275"/>
      <w:bookmarkEnd w:id="107"/>
      <w:bookmarkStart w:id="108" w:name="_Toc184310312"/>
      <w:bookmarkEnd w:id="108"/>
      <w:bookmarkStart w:id="109" w:name="_Toc184308036"/>
      <w:bookmarkEnd w:id="109"/>
      <w:bookmarkStart w:id="110" w:name="_Toc184310319"/>
      <w:bookmarkEnd w:id="110"/>
      <w:bookmarkStart w:id="111" w:name="_Toc184308098"/>
      <w:bookmarkEnd w:id="111"/>
      <w:bookmarkStart w:id="112" w:name="_Toc184310295"/>
      <w:bookmarkEnd w:id="112"/>
      <w:bookmarkStart w:id="113" w:name="_Toc184313309"/>
      <w:bookmarkEnd w:id="113"/>
      <w:bookmarkStart w:id="114" w:name="_Toc184310314"/>
      <w:bookmarkEnd w:id="114"/>
      <w:bookmarkStart w:id="115" w:name="_Toc184313295"/>
      <w:bookmarkEnd w:id="115"/>
      <w:bookmarkStart w:id="116" w:name="_Toc184312138"/>
      <w:bookmarkEnd w:id="116"/>
      <w:bookmarkStart w:id="117" w:name="_Toc184308049"/>
      <w:bookmarkEnd w:id="117"/>
      <w:bookmarkStart w:id="118" w:name="_Toc184313306"/>
      <w:bookmarkEnd w:id="118"/>
      <w:bookmarkStart w:id="119" w:name="_Toc184313246"/>
      <w:bookmarkEnd w:id="119"/>
      <w:bookmarkStart w:id="120" w:name="_Toc184314472"/>
      <w:bookmarkEnd w:id="120"/>
      <w:bookmarkStart w:id="121" w:name="_Toc184313271"/>
      <w:bookmarkEnd w:id="121"/>
      <w:bookmarkStart w:id="122" w:name="_Toc184312132"/>
      <w:bookmarkEnd w:id="122"/>
      <w:bookmarkStart w:id="123" w:name="_Toc184313269"/>
      <w:bookmarkEnd w:id="123"/>
      <w:bookmarkStart w:id="124" w:name="_Toc184313291"/>
      <w:bookmarkEnd w:id="124"/>
      <w:bookmarkStart w:id="125" w:name="_Toc184308068"/>
      <w:bookmarkEnd w:id="125"/>
      <w:bookmarkStart w:id="126" w:name="_Toc184310325"/>
      <w:bookmarkEnd w:id="126"/>
      <w:bookmarkStart w:id="127" w:name="_Toc184312123"/>
      <w:bookmarkEnd w:id="127"/>
      <w:bookmarkStart w:id="128" w:name="_Toc184310274"/>
      <w:bookmarkEnd w:id="128"/>
      <w:bookmarkStart w:id="129" w:name="_Toc184313308"/>
      <w:bookmarkEnd w:id="129"/>
      <w:bookmarkStart w:id="130" w:name="_Toc184308067"/>
      <w:bookmarkEnd w:id="130"/>
      <w:bookmarkStart w:id="131" w:name="_Toc184313242"/>
      <w:bookmarkEnd w:id="131"/>
      <w:bookmarkStart w:id="132" w:name="_Toc184308041"/>
      <w:bookmarkEnd w:id="132"/>
      <w:bookmarkStart w:id="133" w:name="_Toc184313288"/>
      <w:bookmarkEnd w:id="133"/>
      <w:bookmarkStart w:id="134" w:name="_Toc184312128"/>
      <w:bookmarkEnd w:id="134"/>
      <w:bookmarkStart w:id="135" w:name="_Toc184313249"/>
      <w:bookmarkEnd w:id="135"/>
      <w:bookmarkStart w:id="136" w:name="_Toc184313298"/>
      <w:bookmarkEnd w:id="136"/>
      <w:bookmarkStart w:id="137" w:name="_Toc184310308"/>
      <w:bookmarkEnd w:id="137"/>
      <w:bookmarkStart w:id="138" w:name="_Toc184310328"/>
      <w:bookmarkEnd w:id="138"/>
      <w:bookmarkStart w:id="139" w:name="_Toc184308042"/>
      <w:bookmarkEnd w:id="139"/>
      <w:bookmarkStart w:id="140" w:name="_Toc184310317"/>
      <w:bookmarkEnd w:id="140"/>
      <w:bookmarkStart w:id="141" w:name="_Toc184313285"/>
      <w:bookmarkEnd w:id="141"/>
      <w:bookmarkStart w:id="142" w:name="_Toc184314432"/>
      <w:bookmarkEnd w:id="142"/>
      <w:bookmarkStart w:id="143" w:name="_Toc184312116"/>
      <w:bookmarkEnd w:id="143"/>
      <w:bookmarkStart w:id="144" w:name="_Toc184313253"/>
      <w:bookmarkEnd w:id="144"/>
      <w:bookmarkStart w:id="145" w:name="_Toc184312139"/>
      <w:bookmarkEnd w:id="145"/>
      <w:bookmarkStart w:id="146" w:name="_Toc184310342"/>
      <w:bookmarkEnd w:id="146"/>
      <w:bookmarkStart w:id="147" w:name="_Toc184310337"/>
      <w:bookmarkEnd w:id="147"/>
      <w:bookmarkStart w:id="148" w:name="_Toc184308075"/>
      <w:bookmarkEnd w:id="148"/>
      <w:bookmarkStart w:id="149" w:name="_Toc184312113"/>
      <w:bookmarkEnd w:id="149"/>
      <w:bookmarkStart w:id="150" w:name="_Toc184313248"/>
      <w:bookmarkEnd w:id="150"/>
      <w:bookmarkStart w:id="151" w:name="_Toc184314479"/>
      <w:bookmarkEnd w:id="151"/>
      <w:bookmarkStart w:id="152" w:name="_Toc184308087"/>
      <w:bookmarkEnd w:id="152"/>
      <w:bookmarkStart w:id="153" w:name="_Toc184312109"/>
      <w:bookmarkEnd w:id="153"/>
      <w:bookmarkStart w:id="154" w:name="_Toc184308084"/>
      <w:bookmarkEnd w:id="154"/>
      <w:bookmarkStart w:id="155" w:name="_Toc184308059"/>
      <w:bookmarkEnd w:id="155"/>
      <w:bookmarkStart w:id="156" w:name="_Toc184308044"/>
      <w:bookmarkEnd w:id="156"/>
      <w:bookmarkStart w:id="157" w:name="_Toc184308089"/>
      <w:bookmarkEnd w:id="157"/>
      <w:bookmarkStart w:id="158" w:name="_Toc184310333"/>
      <w:bookmarkEnd w:id="158"/>
      <w:bookmarkStart w:id="159" w:name="_Toc184314467"/>
      <w:bookmarkEnd w:id="159"/>
      <w:bookmarkStart w:id="160" w:name="_Toc184313294"/>
      <w:bookmarkEnd w:id="160"/>
      <w:bookmarkStart w:id="161" w:name="_Toc184313260"/>
      <w:bookmarkEnd w:id="161"/>
      <w:bookmarkStart w:id="162" w:name="_Toc184313301"/>
      <w:bookmarkEnd w:id="162"/>
      <w:bookmarkStart w:id="163" w:name="_Toc184310315"/>
      <w:bookmarkEnd w:id="163"/>
      <w:bookmarkStart w:id="164" w:name="_Toc184313256"/>
      <w:bookmarkEnd w:id="164"/>
      <w:bookmarkStart w:id="165" w:name="_Toc184313245"/>
      <w:bookmarkEnd w:id="165"/>
      <w:bookmarkStart w:id="166" w:name="_Toc184314431"/>
      <w:bookmarkEnd w:id="166"/>
      <w:bookmarkStart w:id="167" w:name="_Toc184310297"/>
      <w:bookmarkEnd w:id="167"/>
      <w:bookmarkStart w:id="168" w:name="_Toc184313264"/>
      <w:bookmarkEnd w:id="168"/>
      <w:bookmarkStart w:id="169" w:name="_Toc184314439"/>
      <w:bookmarkEnd w:id="169"/>
      <w:bookmarkStart w:id="170" w:name="_Toc184310326"/>
      <w:bookmarkEnd w:id="170"/>
      <w:bookmarkStart w:id="171" w:name="_Toc184310316"/>
      <w:bookmarkEnd w:id="171"/>
      <w:bookmarkStart w:id="172" w:name="_Toc184314453"/>
      <w:bookmarkEnd w:id="172"/>
      <w:bookmarkStart w:id="173" w:name="_Toc184308088"/>
      <w:bookmarkEnd w:id="173"/>
      <w:bookmarkStart w:id="174" w:name="_Toc184312098"/>
      <w:bookmarkEnd w:id="174"/>
      <w:bookmarkStart w:id="175" w:name="_Toc184314480"/>
      <w:bookmarkEnd w:id="175"/>
      <w:bookmarkStart w:id="176" w:name="_Toc184313281"/>
      <w:bookmarkEnd w:id="176"/>
      <w:bookmarkStart w:id="177" w:name="_Toc184312137"/>
      <w:bookmarkEnd w:id="177"/>
      <w:bookmarkStart w:id="178" w:name="_Toc184312079"/>
      <w:bookmarkEnd w:id="178"/>
      <w:bookmarkStart w:id="179" w:name="_Toc184310335"/>
      <w:bookmarkEnd w:id="179"/>
      <w:bookmarkStart w:id="180" w:name="_Toc184313267"/>
      <w:bookmarkEnd w:id="180"/>
      <w:bookmarkStart w:id="181" w:name="_Toc184312102"/>
      <w:bookmarkEnd w:id="181"/>
      <w:bookmarkStart w:id="182" w:name="_Toc184312074"/>
      <w:bookmarkEnd w:id="182"/>
      <w:bookmarkStart w:id="183" w:name="_Toc184310288"/>
      <w:bookmarkEnd w:id="183"/>
      <w:bookmarkStart w:id="184" w:name="_Toc184308043"/>
      <w:bookmarkEnd w:id="184"/>
      <w:bookmarkStart w:id="185" w:name="_Toc184308086"/>
      <w:bookmarkEnd w:id="185"/>
      <w:bookmarkStart w:id="186" w:name="_Toc184314422"/>
      <w:bookmarkEnd w:id="186"/>
      <w:bookmarkStart w:id="187" w:name="_Toc184312092"/>
      <w:bookmarkEnd w:id="187"/>
      <w:bookmarkStart w:id="188" w:name="_Toc184308071"/>
      <w:bookmarkEnd w:id="188"/>
      <w:bookmarkStart w:id="189" w:name="_Toc184314462"/>
      <w:bookmarkEnd w:id="189"/>
      <w:bookmarkStart w:id="190" w:name="_Toc184308062"/>
      <w:bookmarkEnd w:id="190"/>
      <w:bookmarkStart w:id="191" w:name="_Toc184314449"/>
      <w:bookmarkEnd w:id="191"/>
      <w:bookmarkStart w:id="192" w:name="_Toc184313254"/>
      <w:bookmarkEnd w:id="192"/>
      <w:bookmarkStart w:id="193" w:name="_Toc184310289"/>
      <w:bookmarkEnd w:id="193"/>
      <w:bookmarkStart w:id="194" w:name="_Toc184310344"/>
      <w:bookmarkEnd w:id="194"/>
      <w:bookmarkStart w:id="195" w:name="_Toc184312087"/>
      <w:bookmarkEnd w:id="195"/>
      <w:bookmarkStart w:id="196" w:name="_Toc184313266"/>
      <w:bookmarkEnd w:id="196"/>
      <w:bookmarkStart w:id="197" w:name="_Toc184308083"/>
      <w:bookmarkEnd w:id="197"/>
      <w:bookmarkStart w:id="198" w:name="_Toc184308106"/>
      <w:bookmarkEnd w:id="198"/>
      <w:bookmarkStart w:id="199" w:name="_Toc184312081"/>
      <w:bookmarkEnd w:id="199"/>
      <w:bookmarkStart w:id="200" w:name="_Toc184308048"/>
      <w:bookmarkEnd w:id="200"/>
      <w:bookmarkStart w:id="201" w:name="_Toc184314417"/>
      <w:bookmarkEnd w:id="201"/>
      <w:bookmarkStart w:id="202" w:name="_Toc184314482"/>
      <w:bookmarkEnd w:id="202"/>
      <w:bookmarkStart w:id="203" w:name="_Toc184308066"/>
      <w:bookmarkEnd w:id="203"/>
      <w:bookmarkStart w:id="204" w:name="_Toc184310292"/>
      <w:bookmarkEnd w:id="204"/>
      <w:bookmarkStart w:id="205" w:name="_Toc184308055"/>
      <w:bookmarkEnd w:id="205"/>
      <w:bookmarkStart w:id="206" w:name="_Toc184308093"/>
      <w:bookmarkEnd w:id="206"/>
      <w:bookmarkStart w:id="207" w:name="_Toc184313265"/>
      <w:bookmarkEnd w:id="207"/>
      <w:bookmarkStart w:id="208" w:name="_Toc184313238"/>
      <w:bookmarkEnd w:id="208"/>
      <w:bookmarkStart w:id="209" w:name="_Toc184312106"/>
      <w:bookmarkEnd w:id="209"/>
      <w:bookmarkStart w:id="210" w:name="_Toc184313287"/>
      <w:bookmarkEnd w:id="210"/>
      <w:bookmarkStart w:id="211" w:name="_Toc184310281"/>
      <w:bookmarkEnd w:id="211"/>
      <w:bookmarkStart w:id="212" w:name="_Toc184312068"/>
      <w:bookmarkEnd w:id="212"/>
      <w:bookmarkStart w:id="213" w:name="_Toc184312097"/>
      <w:bookmarkEnd w:id="213"/>
      <w:bookmarkStart w:id="214" w:name="_Toc184313300"/>
      <w:bookmarkEnd w:id="214"/>
      <w:bookmarkStart w:id="215" w:name="_Toc184312096"/>
      <w:bookmarkEnd w:id="215"/>
      <w:bookmarkStart w:id="216" w:name="_Toc184310277"/>
      <w:bookmarkEnd w:id="216"/>
      <w:bookmarkStart w:id="217" w:name="_Toc184314457"/>
      <w:bookmarkEnd w:id="217"/>
      <w:bookmarkStart w:id="218" w:name="_Toc184312070"/>
      <w:bookmarkEnd w:id="218"/>
      <w:bookmarkStart w:id="219" w:name="_Toc184308096"/>
      <w:bookmarkEnd w:id="219"/>
      <w:bookmarkStart w:id="220" w:name="_Toc184308040"/>
      <w:bookmarkEnd w:id="220"/>
      <w:bookmarkStart w:id="221" w:name="_Toc184313303"/>
      <w:bookmarkEnd w:id="221"/>
      <w:bookmarkStart w:id="222" w:name="_Toc184313262"/>
      <w:bookmarkEnd w:id="222"/>
      <w:bookmarkStart w:id="223" w:name="_Toc184310318"/>
      <w:bookmarkEnd w:id="223"/>
      <w:bookmarkStart w:id="224" w:name="_Toc184310278"/>
      <w:bookmarkEnd w:id="224"/>
      <w:bookmarkStart w:id="225" w:name="_Toc184308037"/>
      <w:bookmarkEnd w:id="225"/>
      <w:bookmarkStart w:id="226" w:name="_Toc184314459"/>
      <w:bookmarkEnd w:id="226"/>
      <w:bookmarkStart w:id="227" w:name="_Toc184310301"/>
      <w:bookmarkEnd w:id="227"/>
      <w:bookmarkStart w:id="228" w:name="_Toc184312105"/>
      <w:bookmarkEnd w:id="228"/>
      <w:bookmarkStart w:id="229" w:name="_Toc184310291"/>
      <w:bookmarkEnd w:id="229"/>
      <w:bookmarkStart w:id="230" w:name="_Toc184308064"/>
      <w:bookmarkEnd w:id="230"/>
      <w:bookmarkStart w:id="231" w:name="_Toc184308054"/>
      <w:bookmarkEnd w:id="231"/>
      <w:bookmarkStart w:id="232" w:name="_Toc184312100"/>
      <w:bookmarkEnd w:id="232"/>
      <w:bookmarkStart w:id="233" w:name="_Toc184313297"/>
      <w:bookmarkEnd w:id="233"/>
      <w:bookmarkStart w:id="234" w:name="_Toc184308045"/>
      <w:bookmarkEnd w:id="234"/>
      <w:bookmarkStart w:id="235" w:name="_Toc184310341"/>
      <w:bookmarkEnd w:id="235"/>
      <w:bookmarkStart w:id="236" w:name="_Toc184308091"/>
      <w:bookmarkEnd w:id="236"/>
      <w:bookmarkStart w:id="237" w:name="_Toc184312085"/>
      <w:bookmarkEnd w:id="237"/>
      <w:bookmarkStart w:id="238" w:name="_Toc184313276"/>
      <w:bookmarkEnd w:id="238"/>
      <w:bookmarkStart w:id="239" w:name="_Toc184312083"/>
      <w:bookmarkEnd w:id="239"/>
      <w:bookmarkStart w:id="240" w:name="_Toc184314425"/>
      <w:bookmarkEnd w:id="240"/>
      <w:bookmarkStart w:id="241" w:name="_Toc184314447"/>
      <w:bookmarkEnd w:id="241"/>
      <w:bookmarkStart w:id="242" w:name="_Toc184310299"/>
      <w:bookmarkEnd w:id="242"/>
      <w:bookmarkStart w:id="243" w:name="_Toc184313274"/>
      <w:bookmarkEnd w:id="243"/>
      <w:bookmarkStart w:id="244" w:name="_Toc184312101"/>
      <w:bookmarkEnd w:id="244"/>
      <w:bookmarkStart w:id="245" w:name="_Toc184308097"/>
      <w:bookmarkEnd w:id="245"/>
      <w:bookmarkStart w:id="246" w:name="_Toc184310331"/>
      <w:bookmarkEnd w:id="246"/>
      <w:bookmarkStart w:id="247" w:name="_Toc184308090"/>
      <w:bookmarkEnd w:id="247"/>
      <w:bookmarkStart w:id="248" w:name="_Toc184312120"/>
      <w:bookmarkEnd w:id="248"/>
      <w:bookmarkStart w:id="249" w:name="_Toc184312107"/>
      <w:bookmarkEnd w:id="249"/>
      <w:bookmarkStart w:id="250" w:name="_Toc184312076"/>
      <w:bookmarkEnd w:id="250"/>
      <w:bookmarkStart w:id="251" w:name="_Toc184308057"/>
      <w:bookmarkEnd w:id="251"/>
      <w:bookmarkStart w:id="252" w:name="_Toc184313259"/>
      <w:bookmarkEnd w:id="252"/>
      <w:bookmarkStart w:id="253" w:name="_Toc184308094"/>
      <w:bookmarkEnd w:id="253"/>
      <w:bookmarkStart w:id="254" w:name="_Toc184310286"/>
      <w:bookmarkEnd w:id="254"/>
      <w:bookmarkStart w:id="255" w:name="_Toc184313289"/>
      <w:bookmarkEnd w:id="255"/>
      <w:bookmarkStart w:id="256" w:name="_Toc184310290"/>
      <w:bookmarkEnd w:id="256"/>
      <w:bookmarkStart w:id="257" w:name="_Toc184308102"/>
      <w:bookmarkEnd w:id="257"/>
      <w:bookmarkStart w:id="258" w:name="_Toc184314477"/>
      <w:bookmarkEnd w:id="258"/>
      <w:bookmarkStart w:id="259" w:name="_Toc184310303"/>
      <w:bookmarkEnd w:id="259"/>
      <w:bookmarkStart w:id="260" w:name="_Toc184308058"/>
      <w:bookmarkEnd w:id="260"/>
      <w:bookmarkStart w:id="261" w:name="_Toc184314465"/>
      <w:bookmarkEnd w:id="261"/>
      <w:bookmarkStart w:id="262" w:name="_Toc184314481"/>
      <w:bookmarkEnd w:id="262"/>
      <w:bookmarkStart w:id="263" w:name="_Toc184308105"/>
      <w:bookmarkEnd w:id="263"/>
      <w:bookmarkStart w:id="264" w:name="_Toc184314441"/>
      <w:bookmarkEnd w:id="264"/>
      <w:bookmarkStart w:id="265" w:name="_Toc184313261"/>
      <w:bookmarkEnd w:id="265"/>
      <w:bookmarkStart w:id="266" w:name="_Toc184308061"/>
      <w:bookmarkEnd w:id="266"/>
      <w:bookmarkStart w:id="267" w:name="_Toc184313239"/>
      <w:bookmarkEnd w:id="267"/>
      <w:bookmarkStart w:id="268" w:name="_Toc184312135"/>
      <w:bookmarkEnd w:id="268"/>
      <w:bookmarkStart w:id="269" w:name="_Toc184314474"/>
      <w:bookmarkEnd w:id="269"/>
      <w:bookmarkStart w:id="270" w:name="_Toc184312122"/>
      <w:bookmarkEnd w:id="270"/>
      <w:bookmarkStart w:id="271" w:name="_Toc184310343"/>
      <w:bookmarkEnd w:id="271"/>
      <w:bookmarkStart w:id="272" w:name="_Toc184308069"/>
      <w:bookmarkEnd w:id="272"/>
      <w:bookmarkStart w:id="273" w:name="_Toc184312108"/>
      <w:bookmarkEnd w:id="273"/>
      <w:bookmarkStart w:id="274" w:name="_Toc184312071"/>
      <w:bookmarkEnd w:id="274"/>
      <w:bookmarkStart w:id="275" w:name="_Toc184313299"/>
      <w:bookmarkEnd w:id="275"/>
      <w:bookmarkStart w:id="276" w:name="_Toc184314438"/>
      <w:bookmarkEnd w:id="276"/>
      <w:bookmarkStart w:id="277" w:name="_Toc184308051"/>
      <w:bookmarkEnd w:id="277"/>
      <w:bookmarkStart w:id="278" w:name="_Toc184310322"/>
      <w:bookmarkEnd w:id="278"/>
      <w:bookmarkStart w:id="279" w:name="_Toc184313257"/>
      <w:bookmarkEnd w:id="279"/>
      <w:bookmarkStart w:id="280" w:name="_Toc184313241"/>
      <w:bookmarkEnd w:id="280"/>
      <w:bookmarkStart w:id="281" w:name="_Toc184310276"/>
      <w:bookmarkEnd w:id="281"/>
      <w:bookmarkStart w:id="282" w:name="_Toc184312072"/>
      <w:bookmarkEnd w:id="282"/>
      <w:bookmarkStart w:id="283" w:name="_Toc184312110"/>
      <w:bookmarkEnd w:id="283"/>
      <w:bookmarkStart w:id="284" w:name="_Toc184312073"/>
      <w:bookmarkEnd w:id="284"/>
      <w:bookmarkStart w:id="285" w:name="_Toc184314470"/>
      <w:bookmarkEnd w:id="285"/>
      <w:bookmarkStart w:id="286" w:name="_Toc184310300"/>
      <w:bookmarkEnd w:id="286"/>
      <w:bookmarkStart w:id="287" w:name="_Toc184314468"/>
      <w:bookmarkEnd w:id="287"/>
      <w:bookmarkStart w:id="288" w:name="_Toc184308082"/>
      <w:bookmarkEnd w:id="288"/>
      <w:bookmarkStart w:id="289" w:name="_Toc184312095"/>
      <w:bookmarkEnd w:id="289"/>
      <w:bookmarkStart w:id="290" w:name="_Toc184314434"/>
      <w:bookmarkEnd w:id="290"/>
      <w:bookmarkStart w:id="291" w:name="_Toc184314461"/>
      <w:bookmarkEnd w:id="291"/>
      <w:bookmarkStart w:id="292" w:name="_Toc184314448"/>
      <w:bookmarkEnd w:id="292"/>
      <w:bookmarkStart w:id="293" w:name="_Toc184308056"/>
      <w:bookmarkEnd w:id="293"/>
      <w:bookmarkStart w:id="294" w:name="_Toc184312089"/>
      <w:bookmarkEnd w:id="294"/>
      <w:bookmarkStart w:id="295" w:name="_Toc184312115"/>
      <w:bookmarkEnd w:id="295"/>
      <w:bookmarkStart w:id="296" w:name="_Toc184308103"/>
      <w:bookmarkEnd w:id="296"/>
      <w:bookmarkStart w:id="297" w:name="_Toc184313270"/>
      <w:bookmarkEnd w:id="297"/>
      <w:bookmarkStart w:id="298" w:name="_Toc184312118"/>
      <w:bookmarkEnd w:id="298"/>
      <w:bookmarkStart w:id="299" w:name="_Toc184313243"/>
      <w:bookmarkEnd w:id="299"/>
      <w:bookmarkStart w:id="300" w:name="_Toc184310275"/>
      <w:bookmarkEnd w:id="300"/>
      <w:bookmarkStart w:id="301" w:name="_Toc184314458"/>
      <w:bookmarkEnd w:id="301"/>
      <w:bookmarkStart w:id="302" w:name="_Toc184314442"/>
      <w:bookmarkEnd w:id="302"/>
      <w:bookmarkStart w:id="303" w:name="_Toc184312084"/>
      <w:bookmarkEnd w:id="303"/>
      <w:bookmarkStart w:id="304" w:name="_Toc184314473"/>
      <w:bookmarkEnd w:id="304"/>
      <w:bookmarkStart w:id="305" w:name="_Toc184308078"/>
      <w:bookmarkEnd w:id="305"/>
      <w:bookmarkStart w:id="306" w:name="_Toc184312077"/>
      <w:bookmarkEnd w:id="306"/>
      <w:bookmarkStart w:id="307" w:name="_Toc184314454"/>
      <w:bookmarkEnd w:id="307"/>
      <w:bookmarkStart w:id="308" w:name="_Toc184312069"/>
      <w:bookmarkEnd w:id="308"/>
      <w:bookmarkStart w:id="309" w:name="_Toc184314416"/>
      <w:bookmarkEnd w:id="309"/>
      <w:bookmarkStart w:id="310" w:name="_Toc184314466"/>
      <w:bookmarkEnd w:id="310"/>
      <w:bookmarkStart w:id="311" w:name="_Toc184314446"/>
      <w:bookmarkEnd w:id="311"/>
      <w:bookmarkStart w:id="312" w:name="_Toc184312082"/>
      <w:bookmarkEnd w:id="312"/>
      <w:bookmarkStart w:id="313" w:name="_Toc184314463"/>
      <w:bookmarkEnd w:id="313"/>
      <w:bookmarkStart w:id="314" w:name="_Toc184312127"/>
      <w:bookmarkEnd w:id="314"/>
      <w:bookmarkStart w:id="315" w:name="_Toc184314433"/>
      <w:bookmarkEnd w:id="315"/>
      <w:bookmarkStart w:id="316" w:name="_Toc184310330"/>
      <w:bookmarkEnd w:id="316"/>
      <w:bookmarkStart w:id="317" w:name="_Toc184313272"/>
      <w:bookmarkEnd w:id="317"/>
      <w:bookmarkStart w:id="318" w:name="_Toc184308038"/>
      <w:bookmarkEnd w:id="318"/>
      <w:bookmarkStart w:id="319" w:name="_Toc184314412"/>
      <w:bookmarkEnd w:id="319"/>
      <w:bookmarkStart w:id="320" w:name="_Toc184310294"/>
      <w:bookmarkEnd w:id="320"/>
      <w:bookmarkStart w:id="321" w:name="_Toc184312104"/>
      <w:bookmarkEnd w:id="321"/>
      <w:bookmarkStart w:id="322" w:name="_Toc184310336"/>
      <w:bookmarkEnd w:id="322"/>
      <w:bookmarkStart w:id="323" w:name="_Toc184308072"/>
      <w:bookmarkEnd w:id="323"/>
      <w:bookmarkStart w:id="324" w:name="_Toc184308104"/>
      <w:bookmarkEnd w:id="324"/>
      <w:bookmarkStart w:id="325" w:name="_Toc184314464"/>
      <w:bookmarkEnd w:id="325"/>
      <w:bookmarkStart w:id="326" w:name="_Toc184312130"/>
      <w:bookmarkEnd w:id="326"/>
      <w:bookmarkStart w:id="327" w:name="_Toc184310329"/>
      <w:bookmarkEnd w:id="327"/>
      <w:bookmarkStart w:id="328" w:name="_Toc184308107"/>
      <w:bookmarkEnd w:id="328"/>
      <w:bookmarkStart w:id="329" w:name="_Toc184312094"/>
      <w:bookmarkEnd w:id="329"/>
      <w:bookmarkStart w:id="330" w:name="_Toc184308065"/>
      <w:bookmarkEnd w:id="330"/>
      <w:bookmarkStart w:id="331" w:name="_Toc184308099"/>
      <w:bookmarkEnd w:id="331"/>
      <w:bookmarkStart w:id="332" w:name="_Toc184313263"/>
      <w:bookmarkEnd w:id="332"/>
      <w:bookmarkStart w:id="333" w:name="_Toc184313302"/>
      <w:bookmarkEnd w:id="333"/>
      <w:bookmarkStart w:id="334" w:name="_Toc184314420"/>
      <w:bookmarkEnd w:id="334"/>
      <w:bookmarkStart w:id="335" w:name="_Toc184314436"/>
      <w:bookmarkEnd w:id="335"/>
      <w:bookmarkStart w:id="336" w:name="_Toc184310307"/>
      <w:bookmarkEnd w:id="336"/>
      <w:bookmarkStart w:id="337" w:name="_Toc184310339"/>
      <w:bookmarkEnd w:id="337"/>
      <w:bookmarkStart w:id="338" w:name="_Toc184310311"/>
      <w:bookmarkEnd w:id="338"/>
      <w:bookmarkStart w:id="339" w:name="_Toc184310279"/>
      <w:bookmarkEnd w:id="339"/>
      <w:bookmarkStart w:id="340" w:name="_Toc184312121"/>
      <w:bookmarkEnd w:id="340"/>
      <w:bookmarkStart w:id="341" w:name="_Toc184313251"/>
      <w:bookmarkEnd w:id="341"/>
      <w:bookmarkStart w:id="342" w:name="_Toc184314419"/>
      <w:bookmarkEnd w:id="342"/>
      <w:bookmarkStart w:id="343" w:name="_Toc184310309"/>
      <w:bookmarkEnd w:id="343"/>
      <w:bookmarkStart w:id="344" w:name="_Toc184313290"/>
      <w:bookmarkEnd w:id="344"/>
      <w:bookmarkStart w:id="345" w:name="_Toc184310283"/>
      <w:bookmarkEnd w:id="345"/>
      <w:bookmarkStart w:id="346" w:name="_Toc184314428"/>
      <w:bookmarkEnd w:id="346"/>
      <w:bookmarkStart w:id="347" w:name="_Toc184314445"/>
      <w:bookmarkEnd w:id="347"/>
      <w:bookmarkStart w:id="348" w:name="_Toc184313304"/>
      <w:bookmarkEnd w:id="348"/>
      <w:bookmarkStart w:id="349" w:name="_Toc184314421"/>
      <w:bookmarkEnd w:id="349"/>
      <w:bookmarkStart w:id="350" w:name="_Toc184312111"/>
      <w:bookmarkEnd w:id="350"/>
      <w:bookmarkStart w:id="351" w:name="_Toc184312099"/>
      <w:bookmarkEnd w:id="351"/>
      <w:bookmarkStart w:id="352" w:name="_Toc184313280"/>
      <w:bookmarkEnd w:id="352"/>
      <w:bookmarkStart w:id="353" w:name="_Toc184314469"/>
      <w:bookmarkEnd w:id="353"/>
      <w:bookmarkStart w:id="354" w:name="_Toc184308101"/>
      <w:bookmarkEnd w:id="354"/>
      <w:bookmarkStart w:id="355" w:name="_Toc184308077"/>
      <w:bookmarkEnd w:id="355"/>
      <w:bookmarkStart w:id="356" w:name="_Toc184314452"/>
      <w:bookmarkEnd w:id="356"/>
      <w:bookmarkStart w:id="357" w:name="_Toc184310323"/>
      <w:bookmarkEnd w:id="357"/>
      <w:bookmarkStart w:id="358" w:name="_Toc184314411"/>
      <w:bookmarkEnd w:id="358"/>
      <w:bookmarkStart w:id="359" w:name="_Toc184314443"/>
      <w:bookmarkEnd w:id="359"/>
      <w:bookmarkStart w:id="360" w:name="_Toc184314460"/>
      <w:bookmarkEnd w:id="360"/>
      <w:bookmarkStart w:id="361" w:name="_Toc184310324"/>
      <w:bookmarkEnd w:id="361"/>
      <w:bookmarkStart w:id="362" w:name="_Toc184314456"/>
      <w:bookmarkEnd w:id="362"/>
      <w:bookmarkStart w:id="363" w:name="_Toc184310280"/>
      <w:bookmarkEnd w:id="363"/>
      <w:bookmarkStart w:id="364" w:name="_Toc184312067"/>
      <w:bookmarkEnd w:id="364"/>
      <w:bookmarkStart w:id="365" w:name="_Toc184312124"/>
      <w:bookmarkEnd w:id="365"/>
      <w:bookmarkStart w:id="366" w:name="_Toc184312112"/>
      <w:bookmarkEnd w:id="366"/>
      <w:bookmarkStart w:id="367" w:name="_Toc184312131"/>
      <w:bookmarkEnd w:id="367"/>
      <w:bookmarkStart w:id="368" w:name="_Toc184313293"/>
      <w:bookmarkEnd w:id="368"/>
      <w:bookmarkStart w:id="369" w:name="_Toc184310321"/>
      <w:bookmarkEnd w:id="369"/>
      <w:bookmarkStart w:id="370" w:name="_Toc184312090"/>
      <w:bookmarkEnd w:id="370"/>
      <w:bookmarkStart w:id="371" w:name="_Toc184310272"/>
      <w:bookmarkEnd w:id="371"/>
      <w:bookmarkStart w:id="372" w:name="_Toc184314476"/>
      <w:bookmarkEnd w:id="372"/>
      <w:bookmarkStart w:id="373" w:name="_Toc184312114"/>
      <w:bookmarkEnd w:id="373"/>
      <w:bookmarkStart w:id="374" w:name="_Toc184308100"/>
      <w:bookmarkEnd w:id="374"/>
      <w:bookmarkStart w:id="375" w:name="_Toc184308039"/>
      <w:bookmarkEnd w:id="375"/>
      <w:bookmarkStart w:id="376" w:name="_Toc184312133"/>
      <w:bookmarkEnd w:id="376"/>
      <w:bookmarkStart w:id="377" w:name="_Toc184313279"/>
      <w:bookmarkEnd w:id="377"/>
      <w:bookmarkStart w:id="378" w:name="_Toc184308108"/>
      <w:bookmarkEnd w:id="378"/>
      <w:bookmarkStart w:id="379" w:name="_Toc184313273"/>
      <w:bookmarkEnd w:id="379"/>
      <w:bookmarkStart w:id="380" w:name="_Toc184312125"/>
      <w:bookmarkEnd w:id="380"/>
      <w:bookmarkStart w:id="381" w:name="_Toc184308081"/>
      <w:bookmarkEnd w:id="381"/>
      <w:bookmarkStart w:id="382" w:name="_Toc184310296"/>
      <w:bookmarkEnd w:id="382"/>
      <w:bookmarkStart w:id="383" w:name="_Toc184313247"/>
      <w:bookmarkEnd w:id="383"/>
      <w:bookmarkStart w:id="384" w:name="_Toc184308074"/>
      <w:bookmarkEnd w:id="384"/>
      <w:bookmarkStart w:id="385" w:name="_Toc184312103"/>
      <w:bookmarkEnd w:id="385"/>
      <w:bookmarkStart w:id="386" w:name="_Toc184313284"/>
      <w:bookmarkEnd w:id="386"/>
      <w:bookmarkStart w:id="387" w:name="_Toc184308053"/>
      <w:bookmarkEnd w:id="387"/>
      <w:bookmarkStart w:id="388" w:name="_Toc184314471"/>
      <w:bookmarkEnd w:id="388"/>
      <w:bookmarkStart w:id="389" w:name="_Toc184310298"/>
      <w:bookmarkEnd w:id="389"/>
      <w:bookmarkStart w:id="390" w:name="_Toc184310310"/>
      <w:bookmarkEnd w:id="390"/>
      <w:bookmarkStart w:id="391" w:name="_Toc184314410"/>
      <w:bookmarkEnd w:id="391"/>
      <w:bookmarkStart w:id="392" w:name="_Toc184310306"/>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80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552"/>
        <w:gridCol w:w="800"/>
        <w:gridCol w:w="94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序号</w:t>
            </w:r>
          </w:p>
        </w:tc>
        <w:tc>
          <w:tcPr>
            <w:tcW w:w="5552"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评审标准</w:t>
            </w:r>
          </w:p>
        </w:tc>
        <w:tc>
          <w:tcPr>
            <w:tcW w:w="800"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权重</w:t>
            </w:r>
          </w:p>
        </w:tc>
        <w:tc>
          <w:tcPr>
            <w:tcW w:w="943" w:type="dxa"/>
            <w:vAlign w:val="center"/>
          </w:tcPr>
          <w:p>
            <w:pPr>
              <w:pStyle w:val="128"/>
              <w:spacing w:before="0"/>
              <w:ind w:firstLine="0" w:firstLineChars="0"/>
              <w:jc w:val="center"/>
              <w:rPr>
                <w:rFonts w:ascii="宋体" w:hAnsi="宋体" w:cs="宋体"/>
                <w:bCs/>
              </w:rPr>
            </w:pPr>
            <w:r>
              <w:rPr>
                <w:rFonts w:hint="eastAsia" w:ascii="宋体" w:hAnsi="宋体" w:cs="宋体"/>
                <w:bCs/>
              </w:rPr>
              <w:t>主观分/客观分属性</w:t>
            </w:r>
          </w:p>
        </w:tc>
        <w:tc>
          <w:tcPr>
            <w:tcW w:w="1594"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招标文件中评审标准相应的商务技术资料目录</w:t>
            </w:r>
            <w:r>
              <w:rPr>
                <w:rFonts w:hint="eastAsia" w:ascii="宋体" w:hAnsi="宋体" w:cs="宋体"/>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1</w:t>
            </w:r>
          </w:p>
        </w:tc>
        <w:tc>
          <w:tcPr>
            <w:tcW w:w="5552" w:type="dxa"/>
            <w:vAlign w:val="center"/>
          </w:tcPr>
          <w:p>
            <w:pPr>
              <w:pStyle w:val="128"/>
              <w:spacing w:before="0"/>
              <w:ind w:firstLine="0" w:firstLineChars="0"/>
              <w:jc w:val="left"/>
              <w:rPr>
                <w:rFonts w:ascii="宋体" w:hAnsi="宋体" w:cs="仿宋_GB2312"/>
                <w:szCs w:val="24"/>
              </w:rPr>
            </w:pPr>
            <w:r>
              <w:rPr>
                <w:rFonts w:hint="eastAsia" w:ascii="宋体" w:hAnsi="宋体" w:cs="宋体"/>
                <w:color w:val="000000"/>
                <w:kern w:val="0"/>
                <w:sz w:val="22"/>
                <w:szCs w:val="22"/>
              </w:rPr>
              <w:t>根据投标文件有关技术服务响应表及其证明材料等进行评议：投标响应的技术及商务指标全部满足招标要求的，得10分，技术指标低于招标要求的（负偏离）的每个扣1分；本项最高得10分，最低得0分。</w:t>
            </w:r>
          </w:p>
        </w:tc>
        <w:tc>
          <w:tcPr>
            <w:tcW w:w="800" w:type="dxa"/>
            <w:vAlign w:val="center"/>
          </w:tcPr>
          <w:p>
            <w:pPr>
              <w:jc w:val="center"/>
              <w:rPr>
                <w:rFonts w:ascii="宋体" w:hAnsi="宋体" w:cs="宋体"/>
                <w:sz w:val="24"/>
                <w:szCs w:val="20"/>
              </w:rPr>
            </w:pPr>
            <w:r>
              <w:rPr>
                <w:rFonts w:hint="eastAsia" w:ascii="宋体" w:hAnsi="宋体" w:cs="宋体"/>
                <w:sz w:val="24"/>
                <w:szCs w:val="20"/>
              </w:rPr>
              <w:t>10</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客观分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2</w:t>
            </w:r>
          </w:p>
        </w:tc>
        <w:tc>
          <w:tcPr>
            <w:tcW w:w="5552" w:type="dxa"/>
            <w:vAlign w:val="center"/>
          </w:tcPr>
          <w:p>
            <w:pPr>
              <w:widowControl/>
              <w:spacing w:line="360" w:lineRule="auto"/>
              <w:jc w:val="left"/>
              <w:rPr>
                <w:rFonts w:ascii="宋体" w:hAnsi="宋体" w:cs="仿宋_GB2312"/>
                <w:sz w:val="24"/>
              </w:rPr>
            </w:pPr>
            <w:r>
              <w:rPr>
                <w:rFonts w:hint="eastAsia" w:ascii="宋体" w:hAnsi="宋体" w:cs="宋体"/>
                <w:color w:val="000000"/>
                <w:kern w:val="0"/>
                <w:sz w:val="22"/>
                <w:szCs w:val="22"/>
              </w:rPr>
              <w:t>采购需求理解与分析情况的评价。投标人根据采购文件阐明的项目情况和采购需求，对本项目的需求进行理解和分析，评委根据理解与分析的全面性、合理性进行评价给分。（1）理解与分析结论全面且合理的得5分；（2）存在欠缺但基本全面、合理的得3分；（3）不全面或不合理的得1分；（4）未提出有实质性理解与分析结论的得0分。</w:t>
            </w:r>
          </w:p>
        </w:tc>
        <w:tc>
          <w:tcPr>
            <w:tcW w:w="800" w:type="dxa"/>
            <w:vAlign w:val="center"/>
          </w:tcPr>
          <w:p>
            <w:pPr>
              <w:jc w:val="center"/>
              <w:rPr>
                <w:rFonts w:ascii="宋体" w:hAnsi="宋体" w:cs="宋体"/>
                <w:sz w:val="24"/>
                <w:szCs w:val="20"/>
              </w:rPr>
            </w:pPr>
            <w:r>
              <w:rPr>
                <w:rFonts w:hint="eastAsia"/>
              </w:rPr>
              <w:t>5</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3</w:t>
            </w:r>
          </w:p>
        </w:tc>
        <w:tc>
          <w:tcPr>
            <w:tcW w:w="5552" w:type="dxa"/>
            <w:vAlign w:val="center"/>
          </w:tcPr>
          <w:p>
            <w:pPr>
              <w:widowControl/>
              <w:spacing w:line="360" w:lineRule="auto"/>
              <w:jc w:val="left"/>
              <w:rPr>
                <w:rFonts w:ascii="宋体" w:hAnsi="宋体" w:cs="仿宋_GB2312"/>
                <w:sz w:val="24"/>
              </w:rPr>
            </w:pPr>
            <w:r>
              <w:rPr>
                <w:rFonts w:hint="eastAsia" w:ascii="宋体" w:hAnsi="宋体" w:cs="宋体"/>
                <w:color w:val="000000"/>
                <w:kern w:val="0"/>
                <w:sz w:val="22"/>
                <w:szCs w:val="22"/>
              </w:rPr>
              <w:t>针对本项目提出的“项目技术把关服务”服务方案评价。投标人应基于采购需求，对项目技术把关服务实施方案提出详细阐述，包括技术可行性研判、预算合理性分析、方案创新性评估等，以及如何对项目全流程进行把控把关，评委根据其完整性、合理性进行评价给分。（1）方案完整且合理的得6分；（2）方案存在欠缺但基本完整、合理的得4分；（3）方案不完整或不合理的得2分；（4）未提出实质性方案阐述的得0分。</w:t>
            </w:r>
          </w:p>
        </w:tc>
        <w:tc>
          <w:tcPr>
            <w:tcW w:w="800" w:type="dxa"/>
            <w:vAlign w:val="center"/>
          </w:tcPr>
          <w:p>
            <w:pPr>
              <w:jc w:val="center"/>
              <w:rPr>
                <w:rFonts w:ascii="宋体" w:hAnsi="宋体" w:cs="宋体"/>
                <w:sz w:val="24"/>
                <w:szCs w:val="20"/>
              </w:rPr>
            </w:pPr>
            <w:r>
              <w:rPr>
                <w:rFonts w:hint="eastAsia" w:ascii="宋体" w:hAnsi="宋体" w:cs="宋体"/>
                <w:sz w:val="24"/>
                <w:szCs w:val="20"/>
              </w:rPr>
              <w:t>6</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4</w:t>
            </w:r>
          </w:p>
        </w:tc>
        <w:tc>
          <w:tcPr>
            <w:tcW w:w="5552" w:type="dxa"/>
            <w:vAlign w:val="center"/>
          </w:tcPr>
          <w:p>
            <w:pPr>
              <w:widowControl/>
              <w:spacing w:line="360" w:lineRule="auto"/>
              <w:jc w:val="left"/>
              <w:rPr>
                <w:rFonts w:ascii="宋体" w:hAnsi="宋体" w:cs="仿宋_GB2312"/>
                <w:sz w:val="24"/>
              </w:rPr>
            </w:pPr>
            <w:r>
              <w:rPr>
                <w:rFonts w:hint="eastAsia" w:ascii="宋体" w:hAnsi="宋体" w:cs="宋体"/>
                <w:color w:val="000000"/>
                <w:kern w:val="0"/>
                <w:sz w:val="22"/>
                <w:szCs w:val="22"/>
              </w:rPr>
              <w:t>针对本项目提出的“代码审核服务”服务方案评价。投标人应基于采购需求，对代码审核服务实施方案提出详细阐述，包括代码审核、代码存档展示等方面。评委根据其完整性、合理性进行评价给分。（1）方案完整且合理的得6分；（2）方案存在欠缺但基本完整、合理的得4分；（3）方案不完整或不合理的得2分；（4）未提出实质性方案阐述的得0分。</w:t>
            </w:r>
          </w:p>
        </w:tc>
        <w:tc>
          <w:tcPr>
            <w:tcW w:w="800" w:type="dxa"/>
            <w:vAlign w:val="center"/>
          </w:tcPr>
          <w:p>
            <w:pPr>
              <w:jc w:val="center"/>
              <w:rPr>
                <w:rFonts w:ascii="宋体" w:hAnsi="宋体" w:cs="宋体"/>
                <w:sz w:val="24"/>
                <w:szCs w:val="20"/>
              </w:rPr>
            </w:pPr>
            <w:r>
              <w:rPr>
                <w:rFonts w:hint="eastAsia" w:ascii="宋体" w:hAnsi="宋体" w:cs="宋体"/>
                <w:sz w:val="24"/>
                <w:szCs w:val="20"/>
              </w:rPr>
              <w:t>6</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5</w:t>
            </w:r>
          </w:p>
        </w:tc>
        <w:tc>
          <w:tcPr>
            <w:tcW w:w="5552" w:type="dxa"/>
            <w:vAlign w:val="center"/>
          </w:tcPr>
          <w:p>
            <w:pPr>
              <w:spacing w:line="360" w:lineRule="auto"/>
              <w:rPr>
                <w:rFonts w:ascii="宋体" w:hAnsi="宋体" w:cs="仿宋_GB2312"/>
                <w:sz w:val="24"/>
              </w:rPr>
            </w:pPr>
            <w:r>
              <w:rPr>
                <w:rFonts w:hint="eastAsia" w:ascii="宋体" w:hAnsi="宋体" w:cs="宋体"/>
                <w:color w:val="000000"/>
                <w:kern w:val="0"/>
                <w:sz w:val="22"/>
                <w:szCs w:val="22"/>
              </w:rPr>
              <w:t>针对本项目提出的“数据体系建设服务”服务方案评价。投标人应基于采购需求，充分结合临安区一体化智能化公共数据平台的建设现状、部门需求，对数据治理技术服务实施方案提出详细阐述，包括数据治理规划和建议、操作办法和管理思路等，进而夯实临安一体化平台的建设成效。评委根据其完整性、合理性进行评价给分。（1）方案完整且结合现状提出对一体化平台的具体治理规划的得6分；（2）方案存在欠缺但基本完整、合理的得4分；（3）方案不完整或不合理的得2分；（4）未提出实质性方案阐述的得0分。</w:t>
            </w:r>
          </w:p>
        </w:tc>
        <w:tc>
          <w:tcPr>
            <w:tcW w:w="800" w:type="dxa"/>
            <w:vAlign w:val="center"/>
          </w:tcPr>
          <w:p>
            <w:pPr>
              <w:jc w:val="center"/>
              <w:rPr>
                <w:rFonts w:ascii="宋体" w:hAnsi="宋体" w:cs="宋体"/>
                <w:sz w:val="24"/>
                <w:szCs w:val="20"/>
              </w:rPr>
            </w:pPr>
            <w:r>
              <w:rPr>
                <w:rFonts w:hint="eastAsia" w:ascii="宋体" w:hAnsi="宋体" w:cs="宋体"/>
                <w:sz w:val="24"/>
                <w:szCs w:val="20"/>
              </w:rPr>
              <w:t>6</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6</w:t>
            </w:r>
          </w:p>
        </w:tc>
        <w:tc>
          <w:tcPr>
            <w:tcW w:w="5552" w:type="dxa"/>
            <w:vAlign w:val="center"/>
          </w:tcPr>
          <w:p>
            <w:pPr>
              <w:spacing w:line="360" w:lineRule="auto"/>
              <w:rPr>
                <w:rFonts w:ascii="宋体" w:hAnsi="宋体" w:cs="宋体"/>
                <w:color w:val="000000"/>
                <w:kern w:val="0"/>
                <w:sz w:val="22"/>
                <w:szCs w:val="22"/>
              </w:rPr>
            </w:pPr>
            <w:r>
              <w:rPr>
                <w:rFonts w:hint="eastAsia" w:ascii="宋体" w:hAnsi="宋体" w:cs="宋体"/>
                <w:color w:val="000000"/>
                <w:kern w:val="0"/>
                <w:sz w:val="22"/>
                <w:szCs w:val="22"/>
              </w:rPr>
              <w:t>针对本项目提出的“创新场景预研服务”服务方案评价。投标人应基于采购需求，对创新场景预研服务实施方案提出详细阐述，包括如何构建创新场景预研服务团队，并且结合省市相关最新的政策、方向，基于临安区实际情况，在数字化和信息化方面提出创新场景，并且针对相关系统、产品进行预研和设计。评委根据其完整性、合理性进行评价给分。（1）方案完整且合理的得6分；（2）方案存在欠缺但基本完整、合理的得4分；（3）方案不完整或不合理的得2分；（4）未提出实质性方案阐述的得0分。</w:t>
            </w:r>
          </w:p>
        </w:tc>
        <w:tc>
          <w:tcPr>
            <w:tcW w:w="800" w:type="dxa"/>
            <w:vAlign w:val="center"/>
          </w:tcPr>
          <w:p>
            <w:pPr>
              <w:jc w:val="center"/>
              <w:rPr>
                <w:rFonts w:ascii="宋体" w:hAnsi="宋体" w:cs="宋体"/>
                <w:sz w:val="24"/>
                <w:szCs w:val="20"/>
              </w:rPr>
            </w:pPr>
            <w:r>
              <w:rPr>
                <w:rFonts w:hint="eastAsia"/>
              </w:rPr>
              <w:t>6</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7</w:t>
            </w:r>
          </w:p>
        </w:tc>
        <w:tc>
          <w:tcPr>
            <w:tcW w:w="5552" w:type="dxa"/>
            <w:vAlign w:val="center"/>
          </w:tcPr>
          <w:p>
            <w:pPr>
              <w:spacing w:line="360" w:lineRule="auto"/>
              <w:rPr>
                <w:rFonts w:ascii="宋体" w:hAnsi="宋体" w:cs="宋体"/>
                <w:color w:val="000000"/>
                <w:kern w:val="0"/>
                <w:sz w:val="22"/>
                <w:szCs w:val="22"/>
              </w:rPr>
            </w:pPr>
            <w:r>
              <w:rPr>
                <w:rFonts w:hint="eastAsia" w:ascii="宋体" w:hAnsi="宋体" w:cs="宋体"/>
                <w:color w:val="000000"/>
                <w:kern w:val="0"/>
                <w:sz w:val="22"/>
                <w:szCs w:val="22"/>
              </w:rPr>
              <w:t>针对本项目提出的“综合技术服务”服务方案评价。投标人应基于采购需求，对综合技术服务实施方案提出详细阐述，包括如何构建整合优质资源，负责提供考察策划、技术咨询、新技术与厂商推介、技术培训、智囊团服务工作，并为数据资源局项目的顺利建设和全区信息化基础能力提升提供全方位的技术支撑。评委根据其完整性、合理性进行评价给分。（1）方案完整且合理的得5分；（2）方案存在欠缺但基本完整、合理的得3分；（3）方案不完整或不合理的得1分；（4）未提出实质性方案阐述的得0分。</w:t>
            </w:r>
          </w:p>
        </w:tc>
        <w:tc>
          <w:tcPr>
            <w:tcW w:w="800" w:type="dxa"/>
            <w:vAlign w:val="center"/>
          </w:tcPr>
          <w:p>
            <w:pPr>
              <w:jc w:val="center"/>
              <w:rPr>
                <w:rFonts w:ascii="宋体" w:hAnsi="宋体" w:cs="宋体"/>
                <w:sz w:val="24"/>
                <w:szCs w:val="20"/>
              </w:rPr>
            </w:pPr>
            <w:r>
              <w:rPr>
                <w:rFonts w:hint="eastAsia"/>
              </w:rPr>
              <w:t>5</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8</w:t>
            </w:r>
          </w:p>
        </w:tc>
        <w:tc>
          <w:tcPr>
            <w:tcW w:w="5552" w:type="dxa"/>
            <w:vAlign w:val="center"/>
          </w:tcPr>
          <w:p>
            <w:pPr>
              <w:widowControl/>
              <w:spacing w:line="360" w:lineRule="auto"/>
              <w:jc w:val="left"/>
            </w:pPr>
            <w:r>
              <w:rPr>
                <w:rFonts w:hint="eastAsia" w:ascii="宋体" w:hAnsi="宋体" w:cs="宋体"/>
                <w:color w:val="000000"/>
                <w:kern w:val="0"/>
                <w:sz w:val="22"/>
                <w:szCs w:val="22"/>
              </w:rPr>
              <w:t>针对本项目的快速服务方案评价，综合服务机构时间、快速响应人数（除驻场人员外）、响应时间进行方案阐述，（1）方案完整且合理的得5分；（2）方案存在欠缺但基本完整、合理的得3分；（3）方案不完整或不合理的得1分；（4）未提出实质性方案阐述的得0分。</w:t>
            </w:r>
          </w:p>
        </w:tc>
        <w:tc>
          <w:tcPr>
            <w:tcW w:w="800" w:type="dxa"/>
            <w:vAlign w:val="center"/>
          </w:tcPr>
          <w:p>
            <w:pPr>
              <w:jc w:val="center"/>
              <w:rPr>
                <w:rFonts w:ascii="宋体" w:hAnsi="宋体" w:cs="宋体"/>
                <w:sz w:val="24"/>
                <w:szCs w:val="20"/>
              </w:rPr>
            </w:pPr>
            <w:r>
              <w:rPr>
                <w:rFonts w:hint="eastAsia"/>
              </w:rPr>
              <w:t>5</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9</w:t>
            </w:r>
          </w:p>
        </w:tc>
        <w:tc>
          <w:tcPr>
            <w:tcW w:w="5552" w:type="dxa"/>
            <w:vAlign w:val="center"/>
          </w:tcPr>
          <w:p>
            <w:pPr>
              <w:widowControl/>
              <w:spacing w:line="360" w:lineRule="auto"/>
              <w:jc w:val="left"/>
              <w:rPr>
                <w:rFonts w:ascii="宋体" w:hAnsi="宋体" w:cs="仿宋_GB2312"/>
                <w:sz w:val="24"/>
              </w:rPr>
            </w:pPr>
            <w:r>
              <w:rPr>
                <w:rFonts w:hint="eastAsia" w:ascii="宋体" w:hAnsi="宋体" w:cs="宋体"/>
                <w:color w:val="000000"/>
                <w:kern w:val="0"/>
                <w:sz w:val="22"/>
                <w:szCs w:val="22"/>
              </w:rPr>
              <w:t>针对本项目开展过程中的各项保障措施方案评价。（1）方案合理的得5分；（2）方案存在欠缺，但基本合理的得3分；（3）提出了方案，但不合理的得1分；（4）未提出实质性方案的得0分。</w:t>
            </w:r>
          </w:p>
        </w:tc>
        <w:tc>
          <w:tcPr>
            <w:tcW w:w="800" w:type="dxa"/>
            <w:vAlign w:val="center"/>
          </w:tcPr>
          <w:p>
            <w:pPr>
              <w:jc w:val="center"/>
              <w:rPr>
                <w:rFonts w:ascii="宋体" w:hAnsi="宋体" w:cs="宋体"/>
                <w:sz w:val="24"/>
                <w:szCs w:val="20"/>
              </w:rPr>
            </w:pPr>
            <w:r>
              <w:rPr>
                <w:rFonts w:hint="eastAsia" w:ascii="宋体" w:hAnsi="宋体" w:cs="宋体"/>
                <w:sz w:val="24"/>
                <w:szCs w:val="20"/>
              </w:rPr>
              <w:t>5</w:t>
            </w:r>
          </w:p>
        </w:tc>
        <w:tc>
          <w:tcPr>
            <w:tcW w:w="943" w:type="dxa"/>
            <w:vAlign w:val="center"/>
          </w:tcPr>
          <w:p>
            <w:pPr>
              <w:pStyle w:val="128"/>
              <w:spacing w:before="0"/>
              <w:ind w:firstLine="0" w:firstLineChars="0"/>
              <w:jc w:val="center"/>
              <w:rPr>
                <w:rFonts w:ascii="宋体" w:hAnsi="宋体" w:cs="仿宋_GB2312"/>
                <w:szCs w:val="24"/>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10</w:t>
            </w:r>
          </w:p>
        </w:tc>
        <w:tc>
          <w:tcPr>
            <w:tcW w:w="5552"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投标人根据以下功能要求提供演示视频，演示内容使用真实平台进行运行展示的完整清晰的每项得3分，有缺漏的每项得2分，有严重缺陷的得1分，未提供的不得分，共15分。（采用PPT、图片彩页形式演示的不得分，每个功能要求演示视频时长不超过3分钟）</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1.支持可视化配置多种异构数据源间的全量转换，适配各种主流数据库，包括但不限于Oracle、MySQL、SQL Server、PostgreSQL、MongoDB、Sybase、Teradata和DM、GBase、GaussDB等；适配兼容多种主流大数据平台，包括但不限于Hadoop、MaxCompute（阿里）等主流大数据平台。</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2.应通过可视化的方式进行数据运营管理，支持Web页面的拖拉拽式数据交换管理，方便运维人员通过图、表的形式直观的了解数据ETL任务的情况，并进行任务的管理。</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3.数据治理运营工具应具备智能化运维功能，支持运维监控。提供了数据统计、数据对账、表空间监控、任务监控、增量监控、预警管理、预警列表、告警记录等子模块。支持预警管理，通过设置预警类型（作业/数据连接/表空间/转换等）、设置检测间隔、设置预警级别构建新的预警管理，支持预警信息和告警记录的列表展现。</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4.支持信息资源目录发布流程、数据填报审批流程定制化配置功能</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5.支持数据填报（数据手工上报）服务；支持自定义填报表单，表单配置控件包括文本、数字、选择、日期时间、文件上传、坐标获取等；支持多种任务分配方式，包括按部门分配、按填报人分配和按授权码分配。</w:t>
            </w:r>
          </w:p>
        </w:tc>
        <w:tc>
          <w:tcPr>
            <w:tcW w:w="800" w:type="dxa"/>
            <w:vAlign w:val="center"/>
          </w:tcPr>
          <w:p>
            <w:pPr>
              <w:pStyle w:val="128"/>
              <w:spacing w:before="0"/>
              <w:ind w:firstLine="0" w:firstLineChars="0"/>
              <w:jc w:val="center"/>
              <w:rPr>
                <w:rFonts w:ascii="宋体" w:hAnsi="宋体" w:cs="仿宋_GB2312"/>
                <w:szCs w:val="24"/>
              </w:rPr>
            </w:pPr>
            <w:r>
              <w:rPr>
                <w:rFonts w:hint="eastAsia" w:ascii="宋体" w:hAnsi="宋体" w:cs="宋体"/>
              </w:rPr>
              <w:t>15</w:t>
            </w:r>
          </w:p>
        </w:tc>
        <w:tc>
          <w:tcPr>
            <w:tcW w:w="943" w:type="dxa"/>
            <w:vAlign w:val="center"/>
          </w:tcPr>
          <w:p>
            <w:pPr>
              <w:pStyle w:val="128"/>
              <w:spacing w:before="0"/>
              <w:ind w:firstLine="0" w:firstLineChars="0"/>
              <w:jc w:val="center"/>
              <w:rPr>
                <w:rFonts w:ascii="宋体" w:hAnsi="宋体" w:cs="宋体"/>
                <w:bCs/>
              </w:rPr>
            </w:pPr>
            <w:r>
              <w:rPr>
                <w:rFonts w:hint="eastAsia" w:ascii="宋体" w:hAnsi="宋体" w:cs="宋体"/>
                <w:bCs/>
              </w:rPr>
              <w:t>主观分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11</w:t>
            </w:r>
          </w:p>
        </w:tc>
        <w:tc>
          <w:tcPr>
            <w:tcW w:w="5552"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投标人具有有效的质量管理体系认证证书，信息安全管理体系认证证书，信息技术服务管理体系认证证书，每提供1项得1分，最高得3分。（提供证书原件扫描件）</w:t>
            </w:r>
          </w:p>
        </w:tc>
        <w:tc>
          <w:tcPr>
            <w:tcW w:w="800"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3</w:t>
            </w:r>
          </w:p>
        </w:tc>
        <w:tc>
          <w:tcPr>
            <w:tcW w:w="943" w:type="dxa"/>
            <w:vAlign w:val="center"/>
          </w:tcPr>
          <w:p>
            <w:pPr>
              <w:pStyle w:val="128"/>
              <w:spacing w:before="0"/>
              <w:ind w:firstLine="0" w:firstLineChars="0"/>
              <w:jc w:val="center"/>
              <w:rPr>
                <w:rFonts w:ascii="宋体" w:hAnsi="宋体" w:cs="宋体"/>
                <w:bCs/>
              </w:rPr>
            </w:pPr>
            <w:r>
              <w:rPr>
                <w:rFonts w:hint="eastAsia" w:ascii="宋体" w:hAnsi="宋体" w:cs="宋体"/>
                <w:bCs/>
              </w:rPr>
              <w:t>客观分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12</w:t>
            </w:r>
          </w:p>
        </w:tc>
        <w:tc>
          <w:tcPr>
            <w:tcW w:w="5552"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1.项目负责人须具有中级及以上工程师证书的得1分；</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投标单位须承诺中标后项目负责人须驻场的得2分，提供承诺函格式自拟，说明：合同期间，发现中标供应商违反上述承诺的，取消其中标资格，并追究相关责任。</w:t>
            </w:r>
          </w:p>
          <w:p>
            <w:pPr>
              <w:widowControl/>
              <w:numPr>
                <w:ilvl w:val="0"/>
                <w:numId w:val="1"/>
              </w:numPr>
              <w:spacing w:line="360" w:lineRule="auto"/>
              <w:jc w:val="left"/>
              <w:rPr>
                <w:rFonts w:hint="eastAsia" w:ascii="宋体" w:hAnsi="宋体" w:cs="宋体"/>
                <w:color w:val="000000"/>
                <w:kern w:val="0"/>
                <w:sz w:val="22"/>
                <w:szCs w:val="22"/>
              </w:rPr>
            </w:pPr>
            <w:r>
              <w:rPr>
                <w:rFonts w:hint="eastAsia" w:ascii="宋体" w:hAnsi="宋体" w:cs="宋体"/>
                <w:color w:val="000000"/>
                <w:kern w:val="0"/>
                <w:sz w:val="22"/>
                <w:szCs w:val="22"/>
              </w:rPr>
              <w:t>项目组成员具有人力资源和社会保障部门颁发的“信息系统项目管理师”认证证书的，每提供一个证书得1分，最高3分。</w:t>
            </w:r>
          </w:p>
          <w:p>
            <w:pPr>
              <w:widowControl/>
              <w:numPr>
                <w:ilvl w:val="0"/>
                <w:numId w:val="0"/>
              </w:numPr>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本项最高得6分。</w:t>
            </w:r>
          </w:p>
          <w:p>
            <w:pPr>
              <w:widowControl/>
              <w:spacing w:line="360" w:lineRule="auto"/>
              <w:jc w:val="left"/>
              <w:rPr>
                <w:rFonts w:ascii="宋体" w:hAnsi="宋体" w:cs="宋体"/>
                <w:color w:val="000000"/>
                <w:kern w:val="0"/>
                <w:sz w:val="22"/>
                <w:szCs w:val="22"/>
              </w:rPr>
            </w:pPr>
            <w:r>
              <w:rPr>
                <w:rFonts w:hint="eastAsia" w:ascii="宋体" w:hAnsi="宋体" w:cs="宋体"/>
                <w:b/>
                <w:bCs/>
                <w:color w:val="000000"/>
                <w:kern w:val="0"/>
                <w:sz w:val="22"/>
                <w:szCs w:val="22"/>
              </w:rPr>
              <w:t>注：</w:t>
            </w:r>
            <w:r>
              <w:rPr>
                <w:rFonts w:hint="eastAsia" w:ascii="宋体" w:hAnsi="宋体" w:cs="宋体"/>
                <w:color w:val="000000"/>
                <w:kern w:val="0"/>
                <w:sz w:val="22"/>
                <w:szCs w:val="22"/>
              </w:rPr>
              <w:t>以上人员均须提供证书原件扫描件及社保证明，否则不予认可</w:t>
            </w:r>
          </w:p>
        </w:tc>
        <w:tc>
          <w:tcPr>
            <w:tcW w:w="800"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6</w:t>
            </w:r>
          </w:p>
        </w:tc>
        <w:tc>
          <w:tcPr>
            <w:tcW w:w="943" w:type="dxa"/>
            <w:vAlign w:val="center"/>
          </w:tcPr>
          <w:p>
            <w:pPr>
              <w:pStyle w:val="128"/>
              <w:spacing w:before="0"/>
              <w:ind w:firstLine="0" w:firstLineChars="0"/>
              <w:jc w:val="center"/>
              <w:rPr>
                <w:rFonts w:ascii="宋体" w:hAnsi="宋体" w:cs="宋体"/>
                <w:bCs/>
              </w:rPr>
            </w:pPr>
            <w:r>
              <w:rPr>
                <w:rFonts w:hint="eastAsia" w:ascii="宋体" w:hAnsi="宋体" w:cs="宋体"/>
                <w:bCs/>
              </w:rPr>
              <w:t>客观分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13</w:t>
            </w:r>
          </w:p>
        </w:tc>
        <w:tc>
          <w:tcPr>
            <w:tcW w:w="5552" w:type="dxa"/>
            <w:vAlign w:val="center"/>
          </w:tcPr>
          <w:p>
            <w:pPr>
              <w:widowControl/>
              <w:spacing w:line="360" w:lineRule="auto"/>
              <w:jc w:val="left"/>
              <w:rPr>
                <w:rFonts w:hint="eastAsia" w:ascii="宋体" w:hAnsi="宋体" w:cs="宋体"/>
                <w:color w:val="000000"/>
                <w:kern w:val="0"/>
                <w:sz w:val="22"/>
                <w:szCs w:val="22"/>
              </w:rPr>
            </w:pPr>
            <w:r>
              <w:rPr>
                <w:rFonts w:hint="eastAsia" w:ascii="宋体" w:hAnsi="宋体" w:cs="宋体"/>
                <w:color w:val="000000"/>
                <w:kern w:val="0"/>
                <w:sz w:val="22"/>
                <w:szCs w:val="22"/>
              </w:rPr>
              <w:t>自2020年1月1日以来(以合同签订时间为准)，根据投标人完成过的项目建设或服务案例进行打分，项目案例须和城市大脑或政务信息化相关，每提供1个案例得</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分，最高得2分。</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注：须提供完整的项目合同、中标通知书，验收报告和发票证明，以上材料缺一不得分。</w:t>
            </w:r>
          </w:p>
        </w:tc>
        <w:tc>
          <w:tcPr>
            <w:tcW w:w="800"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2</w:t>
            </w:r>
          </w:p>
        </w:tc>
        <w:tc>
          <w:tcPr>
            <w:tcW w:w="943" w:type="dxa"/>
            <w:vAlign w:val="center"/>
          </w:tcPr>
          <w:p>
            <w:pPr>
              <w:pStyle w:val="128"/>
              <w:spacing w:before="0"/>
              <w:ind w:firstLine="0" w:firstLineChars="0"/>
              <w:jc w:val="center"/>
              <w:rPr>
                <w:rFonts w:ascii="宋体" w:hAnsi="宋体" w:cs="宋体"/>
                <w:bCs/>
              </w:rPr>
            </w:pPr>
            <w:r>
              <w:rPr>
                <w:rFonts w:hint="eastAsia" w:ascii="宋体" w:hAnsi="宋体" w:cs="宋体"/>
                <w:bCs/>
              </w:rPr>
              <w:t>客观分</w:t>
            </w:r>
          </w:p>
        </w:tc>
        <w:tc>
          <w:tcPr>
            <w:tcW w:w="1594" w:type="dxa"/>
            <w:vAlign w:val="center"/>
          </w:tcPr>
          <w:p>
            <w:pPr>
              <w:pStyle w:val="128"/>
              <w:spacing w:before="0"/>
              <w:ind w:firstLine="0" w:firstLineChars="0"/>
              <w:jc w:val="center"/>
              <w:rPr>
                <w:rFonts w:ascii="宋体" w:hAnsi="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16"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14</w:t>
            </w:r>
          </w:p>
        </w:tc>
        <w:tc>
          <w:tcPr>
            <w:tcW w:w="5552"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有效投标报价的最低价作为评标基准价，其最低报价为满分；按［投标报价得分=（评标基准价/投标报价）*20］的计算公式计算。</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评标过程中，不得去掉报价中的最高报价和最低报价。</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因落实政府采购政策需要进行价格调整的，以调整后的价格计算评标基准价和投标报价。</w:t>
            </w:r>
          </w:p>
        </w:tc>
        <w:tc>
          <w:tcPr>
            <w:tcW w:w="800" w:type="dxa"/>
            <w:vAlign w:val="center"/>
          </w:tcPr>
          <w:p>
            <w:pPr>
              <w:pStyle w:val="128"/>
              <w:spacing w:before="0"/>
              <w:ind w:firstLine="0" w:firstLineChars="0"/>
              <w:jc w:val="center"/>
              <w:rPr>
                <w:rFonts w:ascii="宋体" w:hAnsi="宋体" w:cs="仿宋_GB2312"/>
                <w:szCs w:val="24"/>
              </w:rPr>
            </w:pPr>
            <w:r>
              <w:rPr>
                <w:rFonts w:hint="eastAsia" w:ascii="宋体" w:hAnsi="宋体" w:cs="仿宋_GB2312"/>
                <w:szCs w:val="24"/>
              </w:rPr>
              <w:t>20</w:t>
            </w:r>
          </w:p>
        </w:tc>
        <w:tc>
          <w:tcPr>
            <w:tcW w:w="943" w:type="dxa"/>
            <w:vAlign w:val="center"/>
          </w:tcPr>
          <w:p>
            <w:pPr>
              <w:pStyle w:val="128"/>
              <w:spacing w:before="0"/>
              <w:ind w:firstLine="0" w:firstLineChars="0"/>
              <w:jc w:val="center"/>
              <w:rPr>
                <w:rFonts w:ascii="宋体" w:hAnsi="宋体" w:cs="宋体"/>
                <w:bCs/>
              </w:rPr>
            </w:pPr>
          </w:p>
        </w:tc>
        <w:tc>
          <w:tcPr>
            <w:tcW w:w="1594" w:type="dxa"/>
            <w:vAlign w:val="center"/>
          </w:tcPr>
          <w:p>
            <w:pPr>
              <w:pStyle w:val="128"/>
              <w:spacing w:before="0"/>
              <w:ind w:firstLine="0" w:firstLineChars="0"/>
              <w:jc w:val="center"/>
              <w:rPr>
                <w:rFonts w:ascii="宋体" w:hAnsi="宋体" w:cs="仿宋_GB2312"/>
                <w:szCs w:val="24"/>
              </w:rPr>
            </w:pP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36"/>
          <w:szCs w:val="36"/>
        </w:rPr>
      </w:pPr>
      <w:r>
        <w:rPr>
          <w:rFonts w:hint="eastAsia" w:ascii="宋体" w:hAnsi="宋体" w:cs="宋体"/>
          <w:b/>
          <w:sz w:val="36"/>
          <w:szCs w:val="36"/>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36"/>
          <w:szCs w:val="36"/>
        </w:rPr>
      </w:pPr>
      <w:r>
        <w:rPr>
          <w:rFonts w:hint="eastAsia" w:ascii="宋体" w:hAnsi="宋体" w:cs="宋体"/>
          <w:b/>
          <w:sz w:val="36"/>
          <w:szCs w:val="36"/>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宋体" w:hAnsi="宋体" w:cs="宋体"/>
          <w:b/>
          <w:sz w:val="36"/>
          <w:szCs w:val="36"/>
        </w:rPr>
      </w:pPr>
      <w:r>
        <w:rPr>
          <w:rFonts w:hint="eastAsia" w:ascii="宋体" w:hAnsi="宋体" w:cs="宋体"/>
          <w:b/>
          <w:sz w:val="36"/>
          <w:szCs w:val="36"/>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p>
      <w:pPr>
        <w:pStyle w:val="3"/>
        <w:rPr>
          <w:rFonts w:cs="宋体"/>
        </w:rPr>
      </w:pPr>
    </w:p>
    <w:p>
      <w:pPr>
        <w:pStyle w:val="3"/>
        <w:rPr>
          <w:rFonts w:cs="宋体"/>
        </w:rPr>
      </w:pPr>
    </w:p>
    <w:p>
      <w:pPr>
        <w:pStyle w:val="3"/>
        <w:rPr>
          <w:rFonts w:cs="宋体"/>
        </w:rPr>
      </w:pPr>
    </w:p>
    <w:p>
      <w:pPr>
        <w:pStyle w:val="3"/>
        <w:rPr>
          <w:rFonts w:cs="宋体"/>
        </w:rPr>
      </w:pPr>
    </w:p>
    <w:p>
      <w:pPr>
        <w:pStyle w:val="3"/>
        <w:rPr>
          <w:rFonts w:cs="宋体"/>
        </w:rPr>
      </w:pPr>
    </w:p>
    <w:p>
      <w:pPr>
        <w:pStyle w:val="3"/>
        <w:rPr>
          <w:rFonts w:cs="宋体"/>
        </w:rPr>
      </w:pPr>
    </w:p>
    <w:p>
      <w:pPr>
        <w:pStyle w:val="3"/>
        <w:rPr>
          <w:rFonts w:cs="宋体"/>
        </w:rPr>
      </w:pPr>
    </w:p>
    <w:bookmarkEnd w:id="27"/>
    <w:p>
      <w:pPr>
        <w:widowControl/>
        <w:adjustRightInd/>
        <w:jc w:val="left"/>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15367"/>
      <w:bookmarkStart w:id="396" w:name="_Toc19273"/>
      <w:bookmarkStart w:id="397" w:name="_Toc22967"/>
      <w:bookmarkStart w:id="398" w:name="_Toc20421"/>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22185"/>
      <w:bookmarkStart w:id="401" w:name="_Toc6773"/>
      <w:bookmarkStart w:id="402" w:name="_Toc18585"/>
      <w:bookmarkStart w:id="403" w:name="_Toc6311"/>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5635"/>
      <w:bookmarkStart w:id="406" w:name="_Toc4929"/>
      <w:bookmarkStart w:id="407" w:name="_Toc21124"/>
      <w:bookmarkStart w:id="408" w:name="_Toc1386"/>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654"/>
      <w:bookmarkStart w:id="411" w:name="_Toc14993"/>
      <w:bookmarkStart w:id="412" w:name="_Toc30506"/>
      <w:bookmarkStart w:id="413" w:name="_Toc30158"/>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7"/>
        <w:spacing w:before="0" w:beforeAutospacing="0" w:after="0" w:afterAutospacing="0" w:line="360" w:lineRule="auto"/>
        <w:ind w:firstLine="480"/>
        <w:rPr>
          <w:b/>
        </w:rPr>
      </w:pPr>
      <w:bookmarkStart w:id="415" w:name="_Toc1814"/>
      <w:bookmarkStart w:id="416" w:name="_Toc22618"/>
      <w:bookmarkStart w:id="417" w:name="_Toc10340"/>
      <w:bookmarkStart w:id="418" w:name="_Toc8772"/>
      <w:bookmarkStart w:id="419" w:name="_Toc4760"/>
      <w:bookmarkStart w:id="420" w:name="_Toc3625"/>
      <w:bookmarkStart w:id="421" w:name="_Toc11108"/>
      <w:bookmarkStart w:id="422" w:name="_Toc31421"/>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8586"/>
      <w:bookmarkStart w:id="424" w:name="_Toc3079"/>
      <w:bookmarkStart w:id="425" w:name="_Toc24662"/>
      <w:bookmarkStart w:id="426" w:name="_Toc2375"/>
      <w:bookmarkStart w:id="427"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26807"/>
      <w:bookmarkStart w:id="429" w:name="_Toc9497"/>
      <w:bookmarkStart w:id="430" w:name="_Toc30329"/>
      <w:bookmarkStart w:id="431" w:name="_Toc18683"/>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28375"/>
      <w:bookmarkStart w:id="434" w:name="_Toc15583"/>
      <w:bookmarkStart w:id="435" w:name="_Toc16021"/>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7245"/>
      <w:bookmarkStart w:id="437" w:name="_Toc11173"/>
      <w:bookmarkStart w:id="438" w:name="_Toc15322"/>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14021"/>
      <w:bookmarkStart w:id="440" w:name="_Toc19680"/>
      <w:bookmarkStart w:id="441" w:name="_Toc25079"/>
      <w:bookmarkStart w:id="442" w:name="_Toc31297"/>
      <w:bookmarkStart w:id="443" w:name="_Toc5228"/>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31402"/>
      <w:bookmarkStart w:id="445" w:name="_Toc3769"/>
      <w:bookmarkStart w:id="446" w:name="_Toc23289"/>
      <w:bookmarkStart w:id="447" w:name="_Toc19539"/>
      <w:bookmarkStart w:id="448" w:name="_Toc16752"/>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9161"/>
      <w:bookmarkStart w:id="450" w:name="_Toc12412"/>
      <w:bookmarkStart w:id="451" w:name="_Toc13673"/>
      <w:bookmarkStart w:id="452" w:name="_Toc4133"/>
      <w:bookmarkStart w:id="453" w:name="_Toc27945"/>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22011"/>
      <w:bookmarkStart w:id="455" w:name="_Toc26555"/>
      <w:bookmarkStart w:id="456" w:name="_Toc32670"/>
      <w:bookmarkStart w:id="457" w:name="_Toc15447"/>
      <w:bookmarkStart w:id="458" w:name="_Toc31233"/>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30507"/>
      <w:bookmarkStart w:id="460" w:name="_Toc16163"/>
      <w:bookmarkStart w:id="461" w:name="_Toc13467"/>
      <w:bookmarkStart w:id="462" w:name="_Toc18990"/>
      <w:bookmarkStart w:id="463" w:name="_Toc13154"/>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1830"/>
      <w:bookmarkStart w:id="468" w:name="_Toc10663"/>
      <w:bookmarkStart w:id="469" w:name="_Toc23368"/>
      <w:bookmarkStart w:id="470" w:name="_Toc26689"/>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32494"/>
      <w:bookmarkStart w:id="473" w:name="_Toc4720"/>
      <w:bookmarkStart w:id="474" w:name="_Toc25571"/>
      <w:bookmarkStart w:id="475" w:name="_Toc14371"/>
      <w:bookmarkStart w:id="476" w:name="_Toc26633"/>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14115"/>
      <w:bookmarkStart w:id="478" w:name="_Toc23854"/>
      <w:bookmarkStart w:id="479" w:name="_Toc25783"/>
      <w:bookmarkStart w:id="480" w:name="_Toc24465"/>
      <w:bookmarkStart w:id="481" w:name="_Toc3638"/>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26883"/>
      <w:bookmarkStart w:id="483" w:name="_Toc25525"/>
      <w:bookmarkStart w:id="484" w:name="_Toc30105"/>
      <w:bookmarkStart w:id="485" w:name="_Toc14814"/>
      <w:bookmarkStart w:id="486" w:name="_Toc731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9808"/>
      <w:bookmarkStart w:id="494" w:name="_Toc31892"/>
      <w:bookmarkStart w:id="495" w:name="_Toc12666"/>
      <w:bookmarkStart w:id="496" w:name="_Toc2308"/>
      <w:bookmarkStart w:id="497" w:name="_Toc25198"/>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5063"/>
      <w:bookmarkStart w:id="501" w:name="_Toc28906"/>
      <w:bookmarkStart w:id="502" w:name="_Toc20808"/>
      <w:bookmarkStart w:id="503" w:name="_Toc27644"/>
      <w:bookmarkStart w:id="50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30599"/>
      <w:bookmarkStart w:id="506" w:name="_Toc18540"/>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50"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50" w:type="dxa"/>
            <w:vAlign w:val="center"/>
          </w:tcPr>
          <w:p>
            <w:pPr>
              <w:spacing w:line="360" w:lineRule="auto"/>
              <w:rPr>
                <w:rFonts w:ascii="宋体" w:hAnsi="宋体" w:cs="宋体"/>
                <w:sz w:val="24"/>
              </w:rPr>
            </w:pPr>
            <w:r>
              <w:rPr>
                <w:rFonts w:hint="eastAsia" w:ascii="宋体" w:hAnsi="宋体" w:cs="宋体"/>
                <w:sz w:val="24"/>
              </w:rPr>
              <w:t>履约保证金：本合同不涉及履约保证金，甲方无需向乙方支付履约保证金。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50"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50"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50"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50" w:type="dxa"/>
            <w:vAlign w:val="center"/>
          </w:tcPr>
          <w:p>
            <w:pPr>
              <w:spacing w:line="360" w:lineRule="auto"/>
              <w:rPr>
                <w:rFonts w:ascii="宋体" w:hAnsi="宋体" w:cs="宋体"/>
                <w:sz w:val="24"/>
              </w:rPr>
            </w:pPr>
            <w:r>
              <w:rPr>
                <w:rFonts w:hint="eastAsia" w:ascii="宋体" w:hAnsi="宋体" w:cs="宋体"/>
                <w:sz w:val="24"/>
                <w:shd w:val="clear" w:color="auto" w:fill="FFFF00"/>
              </w:rPr>
              <w:t>项目资金分三期拨付。第一期为启动资金，合同签订后七个工作日内支付合同金额的60%；第二期为中期资金，在合同签订6个月后支付合同金额的20%；第三期为剩余资金，服务期结束后五个工作日内完成服务成果考核（满分100分），第三期支付与考核分数挂钩，考核分数60分以上启动拨付，60分至80分（含80分）按照考核实际得分/100*合同金额的20%支付剩余资金，80分以上则全额拨付合同金额的20%资金，第三期支付在考核完成后七个工作日内支付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50" w:type="dxa"/>
            <w:vAlign w:val="center"/>
          </w:tcPr>
          <w:p>
            <w:pPr>
              <w:spacing w:line="360" w:lineRule="auto"/>
              <w:rPr>
                <w:rFonts w:ascii="宋体" w:hAnsi="宋体" w:cs="宋体"/>
                <w:sz w:val="24"/>
              </w:rPr>
            </w:pPr>
            <w:r>
              <w:rPr>
                <w:rFonts w:hint="eastAsia" w:ascii="宋体" w:hAnsi="宋体"/>
                <w:sz w:val="24"/>
              </w:rPr>
              <w:t>服务交付（实施）的时间（期限）：自合同签订之日起1年；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50" w:type="dxa"/>
            <w:vAlign w:val="center"/>
          </w:tcPr>
          <w:p>
            <w:pPr>
              <w:spacing w:line="360" w:lineRule="auto"/>
              <w:rPr>
                <w:rFonts w:ascii="宋体" w:hAnsi="宋体" w:cs="宋体"/>
                <w:sz w:val="24"/>
              </w:rPr>
            </w:pPr>
            <w:r>
              <w:rPr>
                <w:rFonts w:hint="eastAsia" w:ascii="宋体" w:hAnsi="宋体"/>
                <w:sz w:val="24"/>
              </w:rPr>
              <w:t>服</w:t>
            </w:r>
            <w:r>
              <w:rPr>
                <w:rFonts w:hint="eastAsia" w:ascii="宋体" w:hAnsi="宋体" w:cs="宋体"/>
                <w:sz w:val="24"/>
              </w:rPr>
              <w:t>务交付（实施）的地点（地域范围）：临安区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50" w:type="dxa"/>
            <w:vAlign w:val="center"/>
          </w:tcPr>
          <w:p>
            <w:pPr>
              <w:spacing w:line="360" w:lineRule="auto"/>
              <w:rPr>
                <w:rFonts w:ascii="宋体" w:hAnsi="宋体" w:cs="宋体"/>
                <w:sz w:val="24"/>
              </w:rPr>
            </w:pPr>
            <w:r>
              <w:rPr>
                <w:rFonts w:hint="eastAsia" w:ascii="宋体" w:hAnsi="宋体"/>
                <w:sz w:val="24"/>
              </w:rPr>
              <w:t>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50"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50" w:type="dxa"/>
            <w:vAlign w:val="center"/>
          </w:tcPr>
          <w:p>
            <w:pPr>
              <w:spacing w:line="360" w:lineRule="auto"/>
              <w:rPr>
                <w:rFonts w:ascii="宋体" w:hAnsi="宋体" w:cs="宋体"/>
                <w:sz w:val="24"/>
              </w:rPr>
            </w:pPr>
            <w:r>
              <w:rPr>
                <w:rFonts w:hint="eastAsia" w:ascii="宋体" w:hAnsi="宋体" w:cs="宋体"/>
                <w:sz w:val="24"/>
              </w:rPr>
              <w:t>交付地点：临安区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50"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50" w:type="dxa"/>
            <w:vAlign w:val="center"/>
          </w:tcPr>
          <w:p>
            <w:pPr>
              <w:spacing w:line="360" w:lineRule="auto"/>
              <w:rPr>
                <w:rFonts w:ascii="宋体" w:hAnsi="宋体" w:cs="宋体"/>
                <w:sz w:val="24"/>
              </w:rPr>
            </w:pPr>
            <w:r>
              <w:rPr>
                <w:rFonts w:hint="eastAsia" w:ascii="宋体" w:hAnsi="宋体" w:cs="宋体"/>
                <w:sz w:val="24"/>
              </w:rPr>
              <w:t>违约责任：1．合同在履行过程中发生争议时，甲方与乙方及时协商解决。协商不成时，在甲方所在地的人民法院进行诉讼。</w:t>
            </w:r>
          </w:p>
          <w:p>
            <w:pPr>
              <w:spacing w:line="360" w:lineRule="auto"/>
              <w:rPr>
                <w:rFonts w:ascii="宋体" w:hAnsi="宋体" w:cs="宋体"/>
                <w:sz w:val="24"/>
              </w:rPr>
            </w:pPr>
            <w:r>
              <w:rPr>
                <w:rFonts w:hint="eastAsia" w:ascii="宋体" w:hAnsi="宋体" w:cs="宋体"/>
                <w:sz w:val="24"/>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50" w:type="dxa"/>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50" w:type="dxa"/>
            <w:vAlign w:val="center"/>
          </w:tcPr>
          <w:p>
            <w:pPr>
              <w:spacing w:line="360" w:lineRule="auto"/>
              <w:rPr>
                <w:rFonts w:ascii="宋体" w:hAnsi="宋体" w:cs="宋体"/>
                <w:sz w:val="24"/>
              </w:rPr>
            </w:pPr>
            <w:r>
              <w:rPr>
                <w:rFonts w:hint="eastAsia" w:ascii="宋体" w:hAnsi="宋体" w:cs="宋体"/>
                <w:sz w:val="24"/>
              </w:rPr>
              <w:t>甲方所地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50" w:type="dxa"/>
            <w:vAlign w:val="center"/>
          </w:tcPr>
          <w:p>
            <w:pPr>
              <w:tabs>
                <w:tab w:val="left" w:pos="0"/>
              </w:tabs>
              <w:spacing w:line="360" w:lineRule="auto"/>
              <w:ind w:right="19" w:rightChars="9"/>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pPr>
              <w:spacing w:line="360" w:lineRule="auto"/>
              <w:rPr>
                <w:rFonts w:ascii="宋体" w:hAnsi="宋体" w:cs="宋体"/>
                <w:sz w:val="24"/>
              </w:rPr>
            </w:pPr>
            <w:r>
              <w:rPr>
                <w:rFonts w:hint="eastAsia" w:ascii="宋体" w:hAnsi="宋体" w:cs="宋体"/>
                <w:kern w:val="0"/>
                <w:sz w:val="24"/>
              </w:rPr>
              <w:t>按年支付服务费，乙方应及时开具发票，甲方在收到乙方发票后，一周内支付款项。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pPr>
              <w:spacing w:line="360" w:lineRule="auto"/>
              <w:rPr>
                <w:rFonts w:ascii="宋体" w:hAnsi="宋体" w:cs="宋体"/>
                <w:sz w:val="24"/>
              </w:rPr>
            </w:pPr>
            <w:r>
              <w:rPr>
                <w:rFonts w:hint="eastAsia" w:ascii="宋体" w:hAnsi="宋体" w:cs="宋体"/>
                <w:sz w:val="24"/>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50" w:type="dxa"/>
          </w:tcPr>
          <w:p>
            <w:pPr>
              <w:spacing w:line="360" w:lineRule="auto"/>
              <w:rPr>
                <w:rFonts w:ascii="宋体" w:hAnsi="宋体" w:cs="宋体"/>
                <w:sz w:val="24"/>
              </w:rPr>
            </w:pPr>
            <w:r>
              <w:rPr>
                <w:rFonts w:hint="eastAsia" w:ascii="宋体" w:hAnsi="宋体" w:cs="宋体"/>
                <w:sz w:val="24"/>
              </w:rPr>
              <w:t>受不可抗力影响的一方在不可抗力发生后，应在30日内以书面形式通知对方当事人，并在30日内，将有关部门出具的证明文件送达对方当事人。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pPr>
              <w:spacing w:line="360" w:lineRule="auto"/>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150" w:type="dxa"/>
          </w:tcPr>
          <w:p>
            <w:pPr>
              <w:spacing w:line="360" w:lineRule="auto"/>
              <w:rPr>
                <w:rFonts w:ascii="宋体" w:hAnsi="宋体" w:cs="宋体"/>
                <w:sz w:val="24"/>
              </w:rPr>
            </w:pPr>
            <w:r>
              <w:rPr>
                <w:rFonts w:hint="eastAsia" w:ascii="宋体" w:hAnsi="宋体"/>
                <w:sz w:val="24"/>
              </w:rPr>
              <w:t>壹式陆份，甲方执叁份，乙方执叁</w:t>
            </w:r>
            <w:r>
              <w:rPr>
                <w:rFonts w:hint="eastAsia" w:ascii="宋体" w:hAnsi="宋体"/>
                <w:color w:val="000000"/>
                <w:sz w:val="24"/>
              </w:rPr>
              <w:t>份，每一份都具有同等法律效率。</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t></w:t>
    </w:r>
    <w:r>
      <w:tab/>
    </w:r>
    <w:r>
      <w:rPr>
        <w:rFonts w:hint="eastAsia"/>
      </w:rPr>
      <w:t xml:space="preserve">杭州市临安区数据资源管理局集成服务项目（二期）招标文件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杭州市临安区数据资源管理局集成服务项目（二期）招标文件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9885"/>
    <w:multiLevelType w:val="singleLevel"/>
    <w:tmpl w:val="8100988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ZmE3MmJlZWQzNjc2YzAyOWNlN2FmZmY3YTcy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179"/>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C7C"/>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97"/>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E92"/>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66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A01"/>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DB6"/>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44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A18"/>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44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85C"/>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0C9"/>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C08E3"/>
    <w:rsid w:val="048F763B"/>
    <w:rsid w:val="049F330E"/>
    <w:rsid w:val="04AA775C"/>
    <w:rsid w:val="04AF1889"/>
    <w:rsid w:val="04B86C60"/>
    <w:rsid w:val="04F66F48"/>
    <w:rsid w:val="05251E14"/>
    <w:rsid w:val="05906D16"/>
    <w:rsid w:val="05A16594"/>
    <w:rsid w:val="05A7762D"/>
    <w:rsid w:val="060E5941"/>
    <w:rsid w:val="06110FAF"/>
    <w:rsid w:val="06493CA7"/>
    <w:rsid w:val="065A6178"/>
    <w:rsid w:val="066F1CF3"/>
    <w:rsid w:val="06930BB8"/>
    <w:rsid w:val="06B80288"/>
    <w:rsid w:val="06B816D7"/>
    <w:rsid w:val="07245D42"/>
    <w:rsid w:val="07264C62"/>
    <w:rsid w:val="07393E83"/>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77A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C238D"/>
    <w:rsid w:val="16A8729C"/>
    <w:rsid w:val="16B33777"/>
    <w:rsid w:val="16BC70A7"/>
    <w:rsid w:val="16C6339E"/>
    <w:rsid w:val="172F2D79"/>
    <w:rsid w:val="17557BEF"/>
    <w:rsid w:val="17D349C1"/>
    <w:rsid w:val="1830729E"/>
    <w:rsid w:val="1870062C"/>
    <w:rsid w:val="18817102"/>
    <w:rsid w:val="18830A15"/>
    <w:rsid w:val="18852B28"/>
    <w:rsid w:val="188B5321"/>
    <w:rsid w:val="18C74976"/>
    <w:rsid w:val="19932372"/>
    <w:rsid w:val="19A20DD5"/>
    <w:rsid w:val="19AE03F1"/>
    <w:rsid w:val="1A071A03"/>
    <w:rsid w:val="1A1F16AE"/>
    <w:rsid w:val="1A3B5C77"/>
    <w:rsid w:val="1A3D1CF1"/>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42D83"/>
    <w:rsid w:val="1F5771FF"/>
    <w:rsid w:val="1FD52DD5"/>
    <w:rsid w:val="1FE868A9"/>
    <w:rsid w:val="20034907"/>
    <w:rsid w:val="20173E4B"/>
    <w:rsid w:val="204E48BC"/>
    <w:rsid w:val="208921B3"/>
    <w:rsid w:val="20973DEB"/>
    <w:rsid w:val="20B26522"/>
    <w:rsid w:val="20B44310"/>
    <w:rsid w:val="20DF6A1B"/>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6877E5"/>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40914"/>
    <w:rsid w:val="276142BF"/>
    <w:rsid w:val="27783712"/>
    <w:rsid w:val="27907362"/>
    <w:rsid w:val="28333E1D"/>
    <w:rsid w:val="28454BD6"/>
    <w:rsid w:val="28455253"/>
    <w:rsid w:val="28551971"/>
    <w:rsid w:val="285B1C53"/>
    <w:rsid w:val="289F7086"/>
    <w:rsid w:val="28C32028"/>
    <w:rsid w:val="28CC490F"/>
    <w:rsid w:val="28DE40AA"/>
    <w:rsid w:val="28E06D31"/>
    <w:rsid w:val="29345E77"/>
    <w:rsid w:val="2935044B"/>
    <w:rsid w:val="294C65AD"/>
    <w:rsid w:val="29806583"/>
    <w:rsid w:val="298B3C4C"/>
    <w:rsid w:val="29F26D24"/>
    <w:rsid w:val="2A15033F"/>
    <w:rsid w:val="2A1662C1"/>
    <w:rsid w:val="2A1C7367"/>
    <w:rsid w:val="2A2815FA"/>
    <w:rsid w:val="2A6D6092"/>
    <w:rsid w:val="2A7D76B4"/>
    <w:rsid w:val="2A911B4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45F80"/>
    <w:rsid w:val="2E4B082A"/>
    <w:rsid w:val="2E5D4E86"/>
    <w:rsid w:val="2E5D790B"/>
    <w:rsid w:val="2E9A3C18"/>
    <w:rsid w:val="2EBB0FEE"/>
    <w:rsid w:val="2EC63002"/>
    <w:rsid w:val="2F0A6B38"/>
    <w:rsid w:val="2F946CCB"/>
    <w:rsid w:val="2FD25781"/>
    <w:rsid w:val="2FDC745C"/>
    <w:rsid w:val="2FFD7934"/>
    <w:rsid w:val="30673CFE"/>
    <w:rsid w:val="30733ACD"/>
    <w:rsid w:val="308C3862"/>
    <w:rsid w:val="309379D8"/>
    <w:rsid w:val="30A270F7"/>
    <w:rsid w:val="30DF1478"/>
    <w:rsid w:val="30EC586F"/>
    <w:rsid w:val="30FA731E"/>
    <w:rsid w:val="314550B7"/>
    <w:rsid w:val="319C6071"/>
    <w:rsid w:val="31AC537E"/>
    <w:rsid w:val="31E3679B"/>
    <w:rsid w:val="31E732FD"/>
    <w:rsid w:val="32517576"/>
    <w:rsid w:val="32AA1CE2"/>
    <w:rsid w:val="32BE5C2C"/>
    <w:rsid w:val="32FB6478"/>
    <w:rsid w:val="33263B3F"/>
    <w:rsid w:val="3351136B"/>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C19AA"/>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944AE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9229B"/>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B78AC"/>
    <w:rsid w:val="40C31A53"/>
    <w:rsid w:val="40FF545D"/>
    <w:rsid w:val="410067C8"/>
    <w:rsid w:val="410E6949"/>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E2584"/>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968E8"/>
    <w:rsid w:val="46893F2B"/>
    <w:rsid w:val="46C4686E"/>
    <w:rsid w:val="477B778F"/>
    <w:rsid w:val="478203EC"/>
    <w:rsid w:val="47907F82"/>
    <w:rsid w:val="47B025FA"/>
    <w:rsid w:val="4809698F"/>
    <w:rsid w:val="4811697D"/>
    <w:rsid w:val="487A3E25"/>
    <w:rsid w:val="488B5503"/>
    <w:rsid w:val="48937E21"/>
    <w:rsid w:val="489A0361"/>
    <w:rsid w:val="48B94FF3"/>
    <w:rsid w:val="48DB1476"/>
    <w:rsid w:val="48E37AAB"/>
    <w:rsid w:val="48FD4B4C"/>
    <w:rsid w:val="490A68E0"/>
    <w:rsid w:val="491055FE"/>
    <w:rsid w:val="495F5B3E"/>
    <w:rsid w:val="496F77D7"/>
    <w:rsid w:val="497654FD"/>
    <w:rsid w:val="49B64211"/>
    <w:rsid w:val="49E56AF9"/>
    <w:rsid w:val="49EE2F45"/>
    <w:rsid w:val="49F6167F"/>
    <w:rsid w:val="4A064FA0"/>
    <w:rsid w:val="4A16615C"/>
    <w:rsid w:val="4A4424D7"/>
    <w:rsid w:val="4A895384"/>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B6364"/>
    <w:rsid w:val="4E793892"/>
    <w:rsid w:val="4E800872"/>
    <w:rsid w:val="4EC569ED"/>
    <w:rsid w:val="4ED50EA1"/>
    <w:rsid w:val="4EEC050C"/>
    <w:rsid w:val="4F104EC3"/>
    <w:rsid w:val="4F47354A"/>
    <w:rsid w:val="4F7A673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552D6"/>
    <w:rsid w:val="58B85899"/>
    <w:rsid w:val="58E363A9"/>
    <w:rsid w:val="59414328"/>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476CE"/>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72C96"/>
    <w:rsid w:val="607330CE"/>
    <w:rsid w:val="60825176"/>
    <w:rsid w:val="609F2AC4"/>
    <w:rsid w:val="60FA2EE8"/>
    <w:rsid w:val="61054A27"/>
    <w:rsid w:val="610A52BC"/>
    <w:rsid w:val="611638C1"/>
    <w:rsid w:val="611D2366"/>
    <w:rsid w:val="61421856"/>
    <w:rsid w:val="615227C4"/>
    <w:rsid w:val="61654E3F"/>
    <w:rsid w:val="6182292A"/>
    <w:rsid w:val="619F7F92"/>
    <w:rsid w:val="61F94C26"/>
    <w:rsid w:val="62000E56"/>
    <w:rsid w:val="624F3E49"/>
    <w:rsid w:val="626162A1"/>
    <w:rsid w:val="62632286"/>
    <w:rsid w:val="62885958"/>
    <w:rsid w:val="62F40B65"/>
    <w:rsid w:val="62FC2CFE"/>
    <w:rsid w:val="63024505"/>
    <w:rsid w:val="63186145"/>
    <w:rsid w:val="634132D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94608"/>
    <w:rsid w:val="67551CE3"/>
    <w:rsid w:val="67A22552"/>
    <w:rsid w:val="67B22DCC"/>
    <w:rsid w:val="67BE71AA"/>
    <w:rsid w:val="67D90273"/>
    <w:rsid w:val="67DD6A2D"/>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403C1"/>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17E2B"/>
    <w:rsid w:val="71360107"/>
    <w:rsid w:val="713B688E"/>
    <w:rsid w:val="71D43752"/>
    <w:rsid w:val="71F1796A"/>
    <w:rsid w:val="72154626"/>
    <w:rsid w:val="72262B5D"/>
    <w:rsid w:val="72283FF7"/>
    <w:rsid w:val="722E7212"/>
    <w:rsid w:val="723A0474"/>
    <w:rsid w:val="725923E4"/>
    <w:rsid w:val="72864BF7"/>
    <w:rsid w:val="728959E5"/>
    <w:rsid w:val="729023FC"/>
    <w:rsid w:val="73C0646E"/>
    <w:rsid w:val="74100A7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59721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EF944E8"/>
    <w:rsid w:val="7F0768EB"/>
    <w:rsid w:val="7F143BEC"/>
    <w:rsid w:val="7F671083"/>
    <w:rsid w:val="7F715AF2"/>
    <w:rsid w:val="7F736D13"/>
    <w:rsid w:val="7F886E69"/>
    <w:rsid w:val="7FD7478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3"/>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8">
    <w:name w:val="Plain Text"/>
    <w:basedOn w:val="1"/>
    <w:link w:val="122"/>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3"/>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3"/>
    <w:qFormat/>
    <w:uiPriority w:val="0"/>
    <w:rPr>
      <w:b/>
      <w:bCs/>
    </w:rPr>
  </w:style>
  <w:style w:type="paragraph" w:styleId="60">
    <w:name w:val="Body Text First Indent"/>
    <w:basedOn w:val="25"/>
    <w:next w:val="50"/>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8"/>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3"/>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3"/>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8"/>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7731</Words>
  <Characters>44067</Characters>
  <Lines>367</Lines>
  <Paragraphs>103</Paragraphs>
  <TotalTime>4</TotalTime>
  <ScaleCrop>false</ScaleCrop>
  <LinksUpToDate>false</LinksUpToDate>
  <CharactersWithSpaces>51695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2023-10-24T03:55:00Z</dcterms:created>
  <dc:creator>玥</dc:creator>
  <cp:lastModifiedBy>吴昊‮屁个了放后然‭</cp:lastModifiedBy>
  <cp:lastPrinted>2021-12-27T11:06:00Z</cp:lastPrinted>
  <dcterms:modified xsi:type="dcterms:W3CDTF">2023-10-25T01:36:53Z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1046C832740A4A1C95CF790C7451A17E_13</vt:lpwstr>
  </property>
</Properties>
</file>