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hint="eastAsia" w:ascii="宋体" w:hAnsi="宋体" w:eastAsia="宋体" w:cs="宋体"/>
          <w:b/>
          <w:color w:val="auto"/>
          <w:sz w:val="24"/>
          <w:highlight w:val="none"/>
        </w:rPr>
      </w:pPr>
    </w:p>
    <w:p w14:paraId="5377C8A7">
      <w:pPr>
        <w:spacing w:line="360" w:lineRule="auto"/>
        <w:jc w:val="center"/>
        <w:rPr>
          <w:rFonts w:hint="eastAsia" w:ascii="宋体" w:hAnsi="宋体" w:eastAsia="宋体" w:cs="宋体"/>
          <w:b/>
          <w:color w:val="auto"/>
          <w:sz w:val="24"/>
          <w:highlight w:val="none"/>
        </w:rPr>
      </w:pPr>
    </w:p>
    <w:p w14:paraId="0C2015D3">
      <w:pPr>
        <w:bidi w:val="0"/>
        <w:rPr>
          <w:rFonts w:hint="eastAsia"/>
          <w:color w:val="auto"/>
          <w:highlight w:val="none"/>
        </w:rPr>
      </w:pPr>
    </w:p>
    <w:p w14:paraId="0A5C5A0D">
      <w:pPr>
        <w:spacing w:line="360" w:lineRule="auto"/>
        <w:jc w:val="center"/>
        <w:rPr>
          <w:rFonts w:hint="eastAsia" w:ascii="宋体" w:hAnsi="宋体" w:eastAsia="宋体" w:cs="宋体"/>
          <w:b/>
          <w:color w:val="auto"/>
          <w:sz w:val="24"/>
          <w:highlight w:val="none"/>
        </w:rPr>
      </w:pPr>
    </w:p>
    <w:p w14:paraId="0F01F23D">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余杭径山中学图书馆和宿舍值班室家具采购项目</w:t>
      </w:r>
    </w:p>
    <w:p w14:paraId="7F808CB1">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2C8D9204">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1F4C79A8">
      <w:pPr>
        <w:snapToGrid w:val="0"/>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编号:（</w:t>
      </w:r>
      <w:r>
        <w:rPr>
          <w:rFonts w:hint="eastAsia" w:ascii="宋体" w:hAnsi="宋体" w:cs="宋体"/>
          <w:color w:val="auto"/>
          <w:sz w:val="30"/>
          <w:szCs w:val="30"/>
          <w:highlight w:val="none"/>
          <w:lang w:eastAsia="zh-CN"/>
        </w:rPr>
        <w:t>ZJZDCGYH-2025-027</w:t>
      </w:r>
      <w:r>
        <w:rPr>
          <w:rFonts w:hint="eastAsia" w:ascii="宋体" w:hAnsi="宋体" w:eastAsia="宋体" w:cs="宋体"/>
          <w:color w:val="auto"/>
          <w:sz w:val="30"/>
          <w:szCs w:val="30"/>
          <w:highlight w:val="none"/>
        </w:rPr>
        <w:t>）</w:t>
      </w:r>
    </w:p>
    <w:p w14:paraId="58F02B09">
      <w:pPr>
        <w:bidi w:val="0"/>
        <w:rPr>
          <w:rFonts w:hint="eastAsia"/>
          <w:color w:val="auto"/>
          <w:highlight w:val="none"/>
        </w:rPr>
      </w:pPr>
    </w:p>
    <w:p w14:paraId="6B0DE46D">
      <w:pPr>
        <w:bidi w:val="0"/>
        <w:rPr>
          <w:rFonts w:hint="eastAsia"/>
          <w:color w:val="auto"/>
          <w:highlight w:val="none"/>
        </w:rPr>
      </w:pPr>
    </w:p>
    <w:p w14:paraId="5997803B">
      <w:pPr>
        <w:bidi w:val="0"/>
        <w:rPr>
          <w:rFonts w:hint="eastAsia"/>
          <w:color w:val="auto"/>
          <w:highlight w:val="none"/>
        </w:rPr>
      </w:pPr>
    </w:p>
    <w:p w14:paraId="3C5302A0">
      <w:pPr>
        <w:bidi w:val="0"/>
        <w:rPr>
          <w:rFonts w:hint="eastAsia"/>
          <w:color w:val="auto"/>
          <w:highlight w:val="none"/>
        </w:rPr>
      </w:pPr>
    </w:p>
    <w:p w14:paraId="710E2487">
      <w:pPr>
        <w:bidi w:val="0"/>
        <w:rPr>
          <w:rFonts w:hint="eastAsia"/>
          <w:color w:val="auto"/>
          <w:highlight w:val="none"/>
        </w:rPr>
      </w:pPr>
    </w:p>
    <w:p w14:paraId="2C4DAAD5">
      <w:pPr>
        <w:bidi w:val="0"/>
        <w:rPr>
          <w:rFonts w:hint="eastAsia"/>
          <w:color w:val="auto"/>
          <w:highlight w:val="none"/>
        </w:rPr>
      </w:pPr>
    </w:p>
    <w:p w14:paraId="37C4B94F">
      <w:pPr>
        <w:bidi w:val="0"/>
        <w:rPr>
          <w:rFonts w:hint="eastAsia"/>
          <w:color w:val="auto"/>
          <w:highlight w:val="none"/>
        </w:rPr>
      </w:pPr>
    </w:p>
    <w:p w14:paraId="4349C44E">
      <w:pPr>
        <w:bidi w:val="0"/>
        <w:rPr>
          <w:rFonts w:hint="eastAsia"/>
          <w:color w:val="auto"/>
          <w:highlight w:val="none"/>
        </w:rPr>
      </w:pPr>
    </w:p>
    <w:p w14:paraId="21D032EA">
      <w:pPr>
        <w:bidi w:val="0"/>
        <w:rPr>
          <w:rFonts w:hint="eastAsia"/>
          <w:color w:val="auto"/>
          <w:highlight w:val="none"/>
        </w:rPr>
      </w:pPr>
    </w:p>
    <w:p w14:paraId="3A0E9036">
      <w:pPr>
        <w:bidi w:val="0"/>
        <w:rPr>
          <w:rFonts w:hint="eastAsia"/>
          <w:color w:val="auto"/>
          <w:highlight w:val="none"/>
        </w:rPr>
      </w:pPr>
    </w:p>
    <w:p w14:paraId="64797684">
      <w:pPr>
        <w:bidi w:val="0"/>
        <w:rPr>
          <w:rFonts w:hint="eastAsia"/>
          <w:color w:val="auto"/>
          <w:highlight w:val="none"/>
        </w:rPr>
      </w:pPr>
    </w:p>
    <w:p w14:paraId="7B412169">
      <w:pPr>
        <w:bidi w:val="0"/>
        <w:rPr>
          <w:rFonts w:hint="eastAsia"/>
          <w:color w:val="auto"/>
          <w:highlight w:val="none"/>
        </w:rPr>
      </w:pPr>
    </w:p>
    <w:p w14:paraId="58A4B973">
      <w:pPr>
        <w:bidi w:val="0"/>
        <w:rPr>
          <w:rFonts w:hint="eastAsia"/>
          <w:color w:val="auto"/>
          <w:highlight w:val="none"/>
        </w:rPr>
      </w:pPr>
    </w:p>
    <w:p w14:paraId="6174DE30">
      <w:pPr>
        <w:bidi w:val="0"/>
        <w:rPr>
          <w:rFonts w:hint="eastAsia"/>
          <w:color w:val="auto"/>
          <w:highlight w:val="none"/>
        </w:rPr>
      </w:pPr>
    </w:p>
    <w:p w14:paraId="3DAB1291">
      <w:pPr>
        <w:bidi w:val="0"/>
        <w:rPr>
          <w:rFonts w:hint="eastAsia"/>
          <w:color w:val="auto"/>
          <w:highlight w:val="none"/>
        </w:rPr>
      </w:pPr>
    </w:p>
    <w:p w14:paraId="279614DA">
      <w:pPr>
        <w:bidi w:val="0"/>
        <w:rPr>
          <w:rFonts w:hint="eastAsia"/>
          <w:color w:val="auto"/>
          <w:highlight w:val="none"/>
        </w:rPr>
      </w:pPr>
    </w:p>
    <w:p w14:paraId="37EA2FD1">
      <w:pPr>
        <w:bidi w:val="0"/>
        <w:rPr>
          <w:rFonts w:hint="eastAsia"/>
          <w:color w:val="auto"/>
          <w:highlight w:val="none"/>
        </w:rPr>
      </w:pPr>
    </w:p>
    <w:p w14:paraId="48C3227E">
      <w:pPr>
        <w:bidi w:val="0"/>
        <w:rPr>
          <w:rFonts w:hint="eastAsia"/>
          <w:color w:val="auto"/>
          <w:highlight w:val="none"/>
        </w:rPr>
      </w:pPr>
    </w:p>
    <w:p w14:paraId="405B9AAC">
      <w:pPr>
        <w:bidi w:val="0"/>
        <w:rPr>
          <w:rFonts w:hint="eastAsia"/>
          <w:color w:val="auto"/>
          <w:highlight w:val="none"/>
        </w:rPr>
      </w:pPr>
    </w:p>
    <w:p w14:paraId="324A3527">
      <w:pPr>
        <w:bidi w:val="0"/>
        <w:rPr>
          <w:rFonts w:hint="eastAsia"/>
          <w:color w:val="auto"/>
          <w:highlight w:val="none"/>
        </w:rPr>
      </w:pPr>
    </w:p>
    <w:p w14:paraId="5447E722">
      <w:pPr>
        <w:bidi w:val="0"/>
        <w:rPr>
          <w:rFonts w:hint="eastAsia"/>
          <w:color w:val="auto"/>
          <w:highlight w:val="none"/>
        </w:rPr>
      </w:pPr>
    </w:p>
    <w:p w14:paraId="46C38D6F">
      <w:pPr>
        <w:bidi w:val="0"/>
        <w:rPr>
          <w:rFonts w:hint="eastAsia"/>
          <w:color w:val="auto"/>
          <w:highlight w:val="none"/>
        </w:rPr>
      </w:pPr>
    </w:p>
    <w:p w14:paraId="72941B48">
      <w:pPr>
        <w:bidi w:val="0"/>
        <w:rPr>
          <w:rFonts w:hint="eastAsia"/>
          <w:color w:val="auto"/>
          <w:highlight w:val="none"/>
        </w:rPr>
      </w:pPr>
    </w:p>
    <w:p w14:paraId="721EBD27">
      <w:pPr>
        <w:bidi w:val="0"/>
        <w:rPr>
          <w:rFonts w:hint="eastAsia"/>
          <w:color w:val="auto"/>
          <w:highlight w:val="none"/>
        </w:rPr>
      </w:pPr>
    </w:p>
    <w:p w14:paraId="2D39ED03">
      <w:pPr>
        <w:snapToGrid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采购人：</w:t>
      </w:r>
      <w:r>
        <w:rPr>
          <w:rFonts w:hint="eastAsia" w:ascii="宋体" w:hAnsi="宋体" w:cs="宋体"/>
          <w:color w:val="auto"/>
          <w:sz w:val="32"/>
          <w:szCs w:val="32"/>
          <w:highlight w:val="none"/>
          <w:lang w:eastAsia="zh-CN"/>
        </w:rPr>
        <w:t>杭州市余杭文昌高级中学</w:t>
      </w:r>
      <w:r>
        <w:rPr>
          <w:rFonts w:hint="eastAsia" w:ascii="宋体" w:hAnsi="宋体" w:eastAsia="宋体" w:cs="宋体"/>
          <w:color w:val="auto"/>
          <w:sz w:val="32"/>
          <w:szCs w:val="32"/>
          <w:highlight w:val="none"/>
        </w:rPr>
        <w:t xml:space="preserve"> </w:t>
      </w:r>
    </w:p>
    <w:p w14:paraId="15D95E56">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采购代理机构：</w:t>
      </w:r>
      <w:r>
        <w:rPr>
          <w:rFonts w:hint="eastAsia" w:ascii="宋体" w:hAnsi="宋体" w:eastAsia="宋体" w:cs="宋体"/>
          <w:color w:val="auto"/>
          <w:sz w:val="32"/>
          <w:szCs w:val="32"/>
          <w:highlight w:val="none"/>
          <w:lang w:eastAsia="zh-CN"/>
        </w:rPr>
        <w:t>浙江中达工程造价事务所有限公司</w:t>
      </w:r>
    </w:p>
    <w:p w14:paraId="77671EE0">
      <w:pPr>
        <w:snapToGrid w:val="0"/>
        <w:spacing w:line="360" w:lineRule="auto"/>
        <w:jc w:val="center"/>
        <w:rPr>
          <w:rFonts w:hint="eastAsia" w:ascii="宋体" w:hAnsi="宋体" w:eastAsia="宋体" w:cs="宋体"/>
          <w:bCs/>
          <w:color w:val="auto"/>
          <w:sz w:val="32"/>
          <w:szCs w:val="32"/>
          <w:highlight w:val="none"/>
        </w:rPr>
      </w:pPr>
    </w:p>
    <w:p w14:paraId="59BEA590">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eastAsia="zh-CN"/>
        </w:rPr>
        <w:t>五</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六</w:t>
      </w:r>
      <w:r>
        <w:rPr>
          <w:rFonts w:hint="eastAsia" w:ascii="宋体" w:hAnsi="宋体" w:eastAsia="宋体" w:cs="宋体"/>
          <w:bCs/>
          <w:color w:val="auto"/>
          <w:sz w:val="32"/>
          <w:szCs w:val="32"/>
          <w:highlight w:val="none"/>
          <w:lang w:val="en-US" w:eastAsia="zh-CN"/>
        </w:rPr>
        <w:t>月</w:t>
      </w:r>
    </w:p>
    <w:p w14:paraId="74548DD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5F9C2E21">
      <w:pPr>
        <w:spacing w:line="360" w:lineRule="auto"/>
        <w:jc w:val="center"/>
        <w:rPr>
          <w:rFonts w:hint="eastAsia" w:ascii="宋体" w:hAnsi="宋体" w:eastAsia="宋体" w:cs="宋体"/>
          <w:color w:val="auto"/>
          <w:sz w:val="24"/>
          <w:highlight w:val="none"/>
        </w:rPr>
      </w:pPr>
    </w:p>
    <w:p w14:paraId="6B8A5152">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489A9BD0">
      <w:pPr>
        <w:spacing w:line="360" w:lineRule="auto"/>
        <w:rPr>
          <w:rFonts w:hint="eastAsia" w:ascii="宋体" w:hAnsi="宋体" w:eastAsia="宋体" w:cs="宋体"/>
          <w:color w:val="auto"/>
          <w:sz w:val="32"/>
          <w:szCs w:val="32"/>
          <w:highlight w:val="none"/>
        </w:rPr>
      </w:pPr>
    </w:p>
    <w:p w14:paraId="39310043">
      <w:pPr>
        <w:spacing w:line="360" w:lineRule="auto"/>
        <w:rPr>
          <w:rFonts w:hint="eastAsia" w:ascii="宋体" w:hAnsi="宋体" w:eastAsia="宋体" w:cs="宋体"/>
          <w:color w:val="auto"/>
          <w:sz w:val="32"/>
          <w:szCs w:val="32"/>
          <w:highlight w:val="none"/>
        </w:rPr>
      </w:pPr>
    </w:p>
    <w:p w14:paraId="3E1E250B">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51E1D4E6">
      <w:pPr>
        <w:spacing w:line="360" w:lineRule="auto"/>
        <w:ind w:firstLine="1280" w:firstLineChars="4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305F3E80">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336CAFA1">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5C804E4A">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165806D2">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296C02C7">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hint="eastAsia" w:ascii="宋体" w:hAnsi="宋体" w:eastAsia="宋体" w:cs="宋体"/>
          <w:color w:val="auto"/>
          <w:sz w:val="24"/>
          <w:highlight w:val="none"/>
        </w:rPr>
      </w:pPr>
    </w:p>
    <w:p w14:paraId="62671EFF">
      <w:pPr>
        <w:spacing w:line="360" w:lineRule="auto"/>
        <w:ind w:firstLine="549" w:firstLineChars="229"/>
        <w:rPr>
          <w:rFonts w:hint="eastAsia" w:ascii="宋体" w:hAnsi="宋体" w:eastAsia="宋体" w:cs="宋体"/>
          <w:color w:val="auto"/>
          <w:sz w:val="24"/>
          <w:highlight w:val="none"/>
        </w:rPr>
      </w:pPr>
    </w:p>
    <w:p w14:paraId="73672AC6">
      <w:pPr>
        <w:spacing w:line="360" w:lineRule="auto"/>
        <w:ind w:firstLine="549" w:firstLineChars="229"/>
        <w:rPr>
          <w:rFonts w:hint="eastAsia" w:ascii="宋体" w:hAnsi="宋体" w:eastAsia="宋体" w:cs="宋体"/>
          <w:color w:val="auto"/>
          <w:sz w:val="24"/>
          <w:highlight w:val="none"/>
        </w:rPr>
      </w:pPr>
    </w:p>
    <w:p w14:paraId="075E3567">
      <w:pPr>
        <w:spacing w:line="360" w:lineRule="auto"/>
        <w:ind w:firstLine="549" w:firstLineChars="229"/>
        <w:rPr>
          <w:rFonts w:hint="eastAsia" w:ascii="宋体" w:hAnsi="宋体" w:eastAsia="宋体" w:cs="宋体"/>
          <w:color w:val="auto"/>
          <w:sz w:val="24"/>
          <w:highlight w:val="none"/>
        </w:rPr>
      </w:pPr>
    </w:p>
    <w:p w14:paraId="00CAD937">
      <w:pPr>
        <w:spacing w:line="360" w:lineRule="auto"/>
        <w:ind w:firstLine="549" w:firstLineChars="229"/>
        <w:rPr>
          <w:rFonts w:hint="eastAsia" w:ascii="宋体" w:hAnsi="宋体" w:eastAsia="宋体" w:cs="宋体"/>
          <w:color w:val="auto"/>
          <w:sz w:val="24"/>
          <w:highlight w:val="none"/>
        </w:rPr>
      </w:pPr>
    </w:p>
    <w:p w14:paraId="3E95B8A5">
      <w:pPr>
        <w:spacing w:line="360" w:lineRule="auto"/>
        <w:ind w:firstLine="549" w:firstLineChars="229"/>
        <w:rPr>
          <w:rFonts w:hint="eastAsia" w:ascii="宋体" w:hAnsi="宋体" w:eastAsia="宋体" w:cs="宋体"/>
          <w:color w:val="auto"/>
          <w:sz w:val="24"/>
          <w:highlight w:val="none"/>
        </w:rPr>
      </w:pPr>
    </w:p>
    <w:p w14:paraId="50070A86">
      <w:pPr>
        <w:spacing w:line="360" w:lineRule="auto"/>
        <w:ind w:firstLine="549" w:firstLineChars="229"/>
        <w:rPr>
          <w:rFonts w:hint="eastAsia" w:ascii="宋体" w:hAnsi="宋体" w:eastAsia="宋体" w:cs="宋体"/>
          <w:color w:val="auto"/>
          <w:sz w:val="24"/>
          <w:highlight w:val="none"/>
        </w:rPr>
      </w:pPr>
    </w:p>
    <w:p w14:paraId="74012B10">
      <w:pPr>
        <w:spacing w:line="360" w:lineRule="auto"/>
        <w:ind w:firstLine="549" w:firstLineChars="229"/>
        <w:rPr>
          <w:rFonts w:hint="eastAsia" w:ascii="宋体" w:hAnsi="宋体" w:eastAsia="宋体" w:cs="宋体"/>
          <w:color w:val="auto"/>
          <w:sz w:val="24"/>
          <w:highlight w:val="none"/>
        </w:rPr>
      </w:pPr>
    </w:p>
    <w:p w14:paraId="7897C8E2">
      <w:pPr>
        <w:spacing w:line="360" w:lineRule="auto"/>
        <w:ind w:firstLine="549" w:firstLineChars="229"/>
        <w:rPr>
          <w:rFonts w:hint="eastAsia" w:ascii="宋体" w:hAnsi="宋体" w:eastAsia="宋体" w:cs="宋体"/>
          <w:color w:val="auto"/>
          <w:sz w:val="24"/>
          <w:highlight w:val="none"/>
        </w:rPr>
      </w:pPr>
    </w:p>
    <w:p w14:paraId="1C9D0826">
      <w:pPr>
        <w:spacing w:line="360" w:lineRule="auto"/>
        <w:ind w:firstLine="549" w:firstLineChars="229"/>
        <w:rPr>
          <w:rFonts w:hint="eastAsia" w:ascii="宋体" w:hAnsi="宋体" w:eastAsia="宋体" w:cs="宋体"/>
          <w:color w:val="auto"/>
          <w:sz w:val="24"/>
          <w:highlight w:val="none"/>
        </w:rPr>
      </w:pPr>
    </w:p>
    <w:p w14:paraId="24943F00">
      <w:pPr>
        <w:spacing w:line="360" w:lineRule="auto"/>
        <w:ind w:firstLine="549" w:firstLineChars="229"/>
        <w:rPr>
          <w:rFonts w:hint="eastAsia" w:ascii="宋体" w:hAnsi="宋体" w:eastAsia="宋体" w:cs="宋体"/>
          <w:color w:val="auto"/>
          <w:sz w:val="24"/>
          <w:highlight w:val="none"/>
        </w:rPr>
      </w:pPr>
    </w:p>
    <w:p w14:paraId="77D3AFFF">
      <w:pPr>
        <w:spacing w:line="360" w:lineRule="auto"/>
        <w:ind w:firstLine="549" w:firstLineChars="229"/>
        <w:rPr>
          <w:rFonts w:hint="eastAsia" w:ascii="宋体" w:hAnsi="宋体" w:eastAsia="宋体" w:cs="宋体"/>
          <w:color w:val="auto"/>
          <w:sz w:val="24"/>
          <w:highlight w:val="none"/>
        </w:rPr>
      </w:pPr>
    </w:p>
    <w:p w14:paraId="0DC7F393">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余杭径山中学图书馆和宿舍值班室家具采购项目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w:t>
      </w:r>
      <w:r>
        <w:rPr>
          <w:rStyle w:val="76"/>
          <w:rFonts w:hint="eastAsia" w:ascii="宋体" w:hAnsi="宋体" w:eastAsia="宋体" w:cs="宋体"/>
          <w:snapToGrid/>
          <w:color w:val="auto"/>
          <w:kern w:val="2"/>
          <w:sz w:val="24"/>
          <w:szCs w:val="24"/>
          <w:highlight w:val="none"/>
          <w:u w:val="single"/>
        </w:rPr>
        <w:t>202</w:t>
      </w:r>
      <w:r>
        <w:rPr>
          <w:rStyle w:val="76"/>
          <w:rFonts w:hint="eastAsia" w:ascii="宋体" w:hAnsi="宋体" w:eastAsia="宋体" w:cs="宋体"/>
          <w:snapToGrid/>
          <w:color w:val="auto"/>
          <w:kern w:val="2"/>
          <w:sz w:val="24"/>
          <w:szCs w:val="24"/>
          <w:highlight w:val="none"/>
          <w:u w:val="single"/>
          <w:lang w:val="en-US" w:eastAsia="zh-CN"/>
        </w:rPr>
        <w:t>5</w:t>
      </w:r>
      <w:r>
        <w:rPr>
          <w:rStyle w:val="76"/>
          <w:rFonts w:hint="eastAsia" w:ascii="宋体" w:hAnsi="宋体" w:eastAsia="宋体" w:cs="宋体"/>
          <w:snapToGrid/>
          <w:color w:val="auto"/>
          <w:kern w:val="2"/>
          <w:sz w:val="24"/>
          <w:szCs w:val="24"/>
          <w:highlight w:val="none"/>
          <w:u w:val="single"/>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11</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14</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0</w:t>
      </w:r>
      <w:r>
        <w:rPr>
          <w:rStyle w:val="76"/>
          <w:rFonts w:hint="eastAsia" w:ascii="宋体" w:hAnsi="宋体" w:eastAsia="宋体" w:cs="宋体"/>
          <w:snapToGrid/>
          <w:color w:val="auto"/>
          <w:kern w:val="2"/>
          <w:sz w:val="24"/>
          <w:szCs w:val="24"/>
          <w:highlight w:val="none"/>
          <w:u w:val="single"/>
          <w:lang w:val="en-US" w:eastAsia="zh-CN"/>
        </w:rPr>
        <w:t>0</w:t>
      </w:r>
      <w:r>
        <w:rPr>
          <w:rStyle w:val="76"/>
          <w:rFonts w:hint="eastAsia" w:ascii="宋体" w:hAnsi="宋体" w:eastAsia="宋体" w:cs="宋体"/>
          <w:snapToGrid/>
          <w:color w:val="auto"/>
          <w:kern w:val="2"/>
          <w:sz w:val="24"/>
          <w:szCs w:val="24"/>
          <w:highlight w:val="none"/>
          <w:u w:val="single"/>
        </w:rPr>
        <w:t>分</w:t>
      </w:r>
      <w:r>
        <w:rPr>
          <w:rStyle w:val="76"/>
          <w:rFonts w:hint="eastAsia" w:ascii="宋体" w:hAnsi="宋体" w:eastAsia="宋体" w:cs="宋体"/>
          <w:bCs/>
          <w:snapToGrid/>
          <w:color w:val="auto"/>
          <w:kern w:val="2"/>
          <w:sz w:val="24"/>
          <w:szCs w:val="24"/>
          <w:highlight w:val="none"/>
          <w:u w:val="singl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4463AFE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2175D3A8">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ZJZDCGYH-2025-027</w:t>
      </w:r>
    </w:p>
    <w:p w14:paraId="4155E44C">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color w:val="auto"/>
          <w:sz w:val="24"/>
          <w:highlight w:val="none"/>
          <w:lang w:eastAsia="zh-CN"/>
        </w:rPr>
        <w:t>余杭径山中学图书馆和宿舍值班室家具采购项目</w:t>
      </w:r>
    </w:p>
    <w:p w14:paraId="038FAFF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b/>
          <w:color w:val="auto"/>
          <w:sz w:val="24"/>
          <w:highlight w:val="none"/>
          <w:lang w:val="en-US" w:eastAsia="zh-CN"/>
        </w:rPr>
        <w:t>750000</w:t>
      </w:r>
      <w:r>
        <w:rPr>
          <w:rFonts w:hint="eastAsia" w:ascii="宋体" w:hAnsi="宋体" w:eastAsia="宋体" w:cs="宋体"/>
          <w:color w:val="auto"/>
          <w:sz w:val="24"/>
          <w:highlight w:val="none"/>
        </w:rPr>
        <w:t xml:space="preserve"> </w:t>
      </w:r>
    </w:p>
    <w:p w14:paraId="664174EC">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cs="宋体"/>
          <w:b/>
          <w:color w:val="auto"/>
          <w:sz w:val="24"/>
          <w:highlight w:val="none"/>
          <w:lang w:val="en-US" w:eastAsia="zh-CN"/>
        </w:rPr>
        <w:t>750000</w:t>
      </w:r>
      <w:r>
        <w:rPr>
          <w:rFonts w:hint="eastAsia" w:ascii="宋体" w:hAnsi="宋体" w:eastAsia="宋体" w:cs="宋体"/>
          <w:color w:val="auto"/>
          <w:sz w:val="24"/>
          <w:highlight w:val="none"/>
        </w:rPr>
        <w:t xml:space="preserve"> </w:t>
      </w:r>
    </w:p>
    <w:p w14:paraId="5B41C99A">
      <w:pPr>
        <w:spacing w:line="360" w:lineRule="auto"/>
        <w:ind w:left="481" w:leftChars="229"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r>
        <w:rPr>
          <w:rFonts w:hint="eastAsia" w:ascii="宋体" w:hAnsi="宋体" w:cs="宋体"/>
          <w:bCs/>
          <w:snapToGrid/>
          <w:color w:val="auto"/>
          <w:kern w:val="2"/>
          <w:sz w:val="24"/>
          <w:szCs w:val="24"/>
          <w:highlight w:val="none"/>
          <w:lang w:eastAsia="zh-CN"/>
        </w:rPr>
        <w:t>余杭径山中学图书馆和宿舍值班室家具采购项目</w:t>
      </w:r>
      <w:r>
        <w:rPr>
          <w:rFonts w:hint="eastAsia" w:ascii="宋体" w:hAnsi="宋体" w:eastAsia="宋体" w:cs="宋体"/>
          <w:bCs/>
          <w:snapToGrid/>
          <w:color w:val="auto"/>
          <w:kern w:val="2"/>
          <w:sz w:val="24"/>
          <w:szCs w:val="24"/>
          <w:highlight w:val="none"/>
        </w:rPr>
        <w:t>。</w:t>
      </w:r>
      <w:r>
        <w:rPr>
          <w:rFonts w:hint="eastAsia" w:ascii="宋体" w:hAnsi="宋体" w:eastAsia="宋体" w:cs="宋体"/>
          <w:snapToGrid/>
          <w:color w:val="auto"/>
          <w:kern w:val="2"/>
          <w:sz w:val="24"/>
          <w:szCs w:val="24"/>
          <w:highlight w:val="none"/>
        </w:rPr>
        <w:t>具体以招标文件第三部分采购需求为</w:t>
      </w:r>
      <w:r>
        <w:rPr>
          <w:rFonts w:hint="eastAsia" w:ascii="宋体" w:hAnsi="宋体" w:eastAsia="宋体" w:cs="宋体"/>
          <w:b w:val="0"/>
          <w:bCs/>
          <w:color w:val="auto"/>
          <w:sz w:val="24"/>
          <w:highlight w:val="none"/>
        </w:rPr>
        <w:t>准，供应商可点击本公告下方“浏览采购文件”查看采购需求。</w:t>
      </w:r>
    </w:p>
    <w:p w14:paraId="510EBA74">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合同履约期限：详见招标文件第三部分采购需求</w:t>
      </w:r>
    </w:p>
    <w:p w14:paraId="43F20924">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b/>
            <w:color w:val="auto"/>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宋体" w:hAnsi="宋体" w:eastAsia="宋体" w:cs="宋体"/>
              <w:b/>
              <w:color w:val="auto"/>
              <w:sz w:val="24"/>
              <w:highlight w:val="none"/>
            </w:rPr>
            <w:sym w:font="Wingdings" w:char="F0FE"/>
          </w:r>
        </w:sdtContent>
      </w:sdt>
      <w:r>
        <w:rPr>
          <w:rFonts w:hint="eastAsia" w:ascii="宋体" w:hAnsi="宋体" w:eastAsia="宋体" w:cs="宋体"/>
          <w:b/>
          <w:color w:val="auto"/>
          <w:sz w:val="24"/>
          <w:highlight w:val="none"/>
        </w:rPr>
        <w:t>是；</w:t>
      </w:r>
      <w:sdt>
        <w:sdtPr>
          <w:rPr>
            <w:rFonts w:hint="eastAsia" w:ascii="宋体" w:hAnsi="宋体" w:eastAsia="宋体" w:cs="宋体"/>
            <w:b/>
            <w:color w:val="auto"/>
            <w:sz w:val="24"/>
            <w:highlight w:val="none"/>
          </w:rPr>
          <w:id w:val="-1"/>
          <w14:checkbox>
            <w14:checked w14:val="0"/>
            <w14:checkedState w14:val="00FE" w14:font="Wingdings"/>
            <w14:uncheckedState w14:val="2610" w14:font="MS Gothic"/>
          </w14:checkbox>
        </w:sdtPr>
        <w:sdtEndPr>
          <w:rPr>
            <w:rFonts w:hint="eastAsia" w:ascii="宋体" w:hAnsi="宋体" w:eastAsia="宋体" w:cs="宋体"/>
            <w:b/>
            <w:color w:val="auto"/>
            <w:sz w:val="24"/>
            <w:highlight w:val="none"/>
          </w:rPr>
        </w:sdtEndPr>
        <w:sdtContent>
          <w:r>
            <w:rPr>
              <w:rFonts w:hint="eastAsia" w:ascii="宋体" w:hAnsi="宋体" w:eastAsia="宋体" w:cs="宋体"/>
              <w:b/>
              <w:color w:val="auto"/>
              <w:sz w:val="24"/>
              <w:highlight w:val="none"/>
            </w:rPr>
            <w:t>☐</w:t>
          </w:r>
        </w:sdtContent>
      </w:sdt>
      <w:r>
        <w:rPr>
          <w:rFonts w:hint="eastAsia" w:ascii="宋体" w:hAnsi="宋体" w:eastAsia="宋体" w:cs="宋体"/>
          <w:b/>
          <w:color w:val="auto"/>
          <w:sz w:val="24"/>
          <w:highlight w:val="none"/>
        </w:rPr>
        <w:t>否。</w:t>
      </w:r>
    </w:p>
    <w:p w14:paraId="1B29313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14:paraId="59FFA480">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6F9F0325">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6C201491">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4C79E10F">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7526CE6F">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货物全部由符合政策要求的中小企业制造，提供中小企业声明函；</w:t>
      </w:r>
    </w:p>
    <w:p w14:paraId="6687E698">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货物全部由符合政策要求的小微企业制造，提供中小企业声明函；</w:t>
      </w:r>
    </w:p>
    <w:p w14:paraId="23144444">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bookmarkStart w:id="12" w:name="_Hlk101132524"/>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1913C3FD">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3E29ACB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eastAsia="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lang w:val="en-US" w:eastAsia="zh-CN"/>
        </w:rPr>
        <w:t>无。</w:t>
      </w:r>
    </w:p>
    <w:p w14:paraId="54F80419">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有特定资格要求：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，该特定条件的法律法规依据：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DA40C3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31126F1D">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Style w:val="76"/>
          <w:rFonts w:hint="eastAsia" w:ascii="宋体" w:hAnsi="宋体" w:eastAsia="宋体" w:cs="宋体"/>
          <w:snapToGrid/>
          <w:color w:val="auto"/>
          <w:kern w:val="2"/>
          <w:sz w:val="24"/>
          <w:szCs w:val="24"/>
          <w:highlight w:val="none"/>
          <w:u w:val="single"/>
        </w:rPr>
        <w:t>202</w:t>
      </w:r>
      <w:r>
        <w:rPr>
          <w:rStyle w:val="76"/>
          <w:rFonts w:hint="eastAsia" w:ascii="宋体" w:hAnsi="宋体" w:eastAsia="宋体" w:cs="宋体"/>
          <w:snapToGrid/>
          <w:color w:val="auto"/>
          <w:kern w:val="2"/>
          <w:sz w:val="24"/>
          <w:szCs w:val="24"/>
          <w:highlight w:val="none"/>
          <w:u w:val="single"/>
          <w:lang w:val="en-US" w:eastAsia="zh-CN"/>
        </w:rPr>
        <w:t>5</w:t>
      </w:r>
      <w:r>
        <w:rPr>
          <w:rStyle w:val="76"/>
          <w:rFonts w:hint="eastAsia" w:ascii="宋体" w:hAnsi="宋体" w:eastAsia="宋体" w:cs="宋体"/>
          <w:snapToGrid/>
          <w:color w:val="auto"/>
          <w:kern w:val="2"/>
          <w:sz w:val="24"/>
          <w:szCs w:val="24"/>
          <w:highlight w:val="none"/>
          <w:u w:val="single"/>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11</w:t>
      </w:r>
      <w:r>
        <w:rPr>
          <w:rStyle w:val="76"/>
          <w:rFonts w:hint="eastAsia" w:ascii="宋体" w:hAnsi="宋体" w:eastAsia="宋体" w:cs="宋体"/>
          <w:snapToGrid/>
          <w:color w:val="auto"/>
          <w:kern w:val="2"/>
          <w:sz w:val="24"/>
          <w:szCs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706CD96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22C9124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48C6DE2">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024038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w:t>
      </w:r>
      <w:r>
        <w:rPr>
          <w:rStyle w:val="76"/>
          <w:rFonts w:hint="eastAsia" w:ascii="宋体" w:hAnsi="宋体" w:eastAsia="宋体" w:cs="宋体"/>
          <w:snapToGrid/>
          <w:color w:val="auto"/>
          <w:kern w:val="2"/>
          <w:sz w:val="24"/>
          <w:szCs w:val="24"/>
          <w:highlight w:val="none"/>
          <w:u w:val="single"/>
        </w:rPr>
        <w:t>202</w:t>
      </w:r>
      <w:r>
        <w:rPr>
          <w:rStyle w:val="76"/>
          <w:rFonts w:hint="eastAsia" w:ascii="宋体" w:hAnsi="宋体" w:eastAsia="宋体" w:cs="宋体"/>
          <w:snapToGrid/>
          <w:color w:val="auto"/>
          <w:kern w:val="2"/>
          <w:sz w:val="24"/>
          <w:szCs w:val="24"/>
          <w:highlight w:val="none"/>
          <w:u w:val="single"/>
          <w:lang w:val="en-US" w:eastAsia="zh-CN"/>
        </w:rPr>
        <w:t>5</w:t>
      </w:r>
      <w:r>
        <w:rPr>
          <w:rStyle w:val="76"/>
          <w:rFonts w:hint="eastAsia" w:ascii="宋体" w:hAnsi="宋体" w:eastAsia="宋体" w:cs="宋体"/>
          <w:snapToGrid/>
          <w:color w:val="auto"/>
          <w:kern w:val="2"/>
          <w:sz w:val="24"/>
          <w:szCs w:val="24"/>
          <w:highlight w:val="none"/>
          <w:u w:val="single"/>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11</w:t>
      </w:r>
      <w:r>
        <w:rPr>
          <w:rStyle w:val="76"/>
          <w:rFonts w:hint="eastAsia" w:ascii="宋体" w:hAnsi="宋体" w:eastAsia="宋体" w:cs="宋体"/>
          <w:snapToGrid/>
          <w:color w:val="auto"/>
          <w:kern w:val="2"/>
          <w:sz w:val="24"/>
          <w:szCs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w:t>
      </w:r>
      <w:r>
        <w:rPr>
          <w:rFonts w:hint="eastAsia" w:ascii="宋体" w:hAnsi="宋体" w:eastAsia="宋体" w:cs="宋体"/>
          <w:color w:val="auto"/>
          <w:sz w:val="24"/>
          <w:highlight w:val="none"/>
          <w:u w:val="single"/>
          <w:lang w:val="en-US" w:eastAsia="zh-CN"/>
        </w:rPr>
        <w:t>0</w:t>
      </w:r>
      <w:r>
        <w:rPr>
          <w:rFonts w:hint="eastAsia" w:ascii="宋体" w:hAnsi="宋体" w:eastAsia="宋体" w:cs="宋体"/>
          <w:color w:val="auto"/>
          <w:sz w:val="24"/>
          <w:highlight w:val="none"/>
          <w:u w:val="single"/>
        </w:rPr>
        <w:t>分00秒</w:t>
      </w:r>
      <w:r>
        <w:rPr>
          <w:rFonts w:hint="eastAsia" w:ascii="宋体" w:hAnsi="宋体" w:eastAsia="宋体" w:cs="宋体"/>
          <w:color w:val="auto"/>
          <w:sz w:val="24"/>
          <w:highlight w:val="none"/>
        </w:rPr>
        <w:t>（北京时间）</w:t>
      </w:r>
    </w:p>
    <w:p w14:paraId="13933AAA">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581157A2">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6"/>
          <w:rFonts w:hint="eastAsia" w:ascii="宋体" w:hAnsi="宋体" w:eastAsia="宋体" w:cs="宋体"/>
          <w:snapToGrid/>
          <w:color w:val="auto"/>
          <w:kern w:val="2"/>
          <w:sz w:val="24"/>
          <w:szCs w:val="24"/>
          <w:highlight w:val="none"/>
          <w:u w:val="single"/>
        </w:rPr>
        <w:t>202</w:t>
      </w:r>
      <w:r>
        <w:rPr>
          <w:rStyle w:val="76"/>
          <w:rFonts w:hint="eastAsia" w:ascii="宋体" w:hAnsi="宋体" w:eastAsia="宋体" w:cs="宋体"/>
          <w:snapToGrid/>
          <w:color w:val="auto"/>
          <w:kern w:val="2"/>
          <w:sz w:val="24"/>
          <w:szCs w:val="24"/>
          <w:highlight w:val="none"/>
          <w:u w:val="single"/>
          <w:lang w:val="en-US" w:eastAsia="zh-CN"/>
        </w:rPr>
        <w:t>5</w:t>
      </w:r>
      <w:r>
        <w:rPr>
          <w:rStyle w:val="76"/>
          <w:rFonts w:hint="eastAsia" w:ascii="宋体" w:hAnsi="宋体" w:eastAsia="宋体" w:cs="宋体"/>
          <w:snapToGrid/>
          <w:color w:val="auto"/>
          <w:kern w:val="2"/>
          <w:sz w:val="24"/>
          <w:szCs w:val="24"/>
          <w:highlight w:val="none"/>
          <w:u w:val="single"/>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11</w:t>
      </w:r>
      <w:r>
        <w:rPr>
          <w:rStyle w:val="76"/>
          <w:rFonts w:hint="eastAsia" w:ascii="宋体" w:hAnsi="宋体" w:eastAsia="宋体" w:cs="宋体"/>
          <w:snapToGrid/>
          <w:color w:val="auto"/>
          <w:kern w:val="2"/>
          <w:sz w:val="24"/>
          <w:szCs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w:t>
      </w:r>
      <w:r>
        <w:rPr>
          <w:rFonts w:hint="eastAsia" w:ascii="宋体" w:hAnsi="宋体" w:eastAsia="宋体" w:cs="宋体"/>
          <w:color w:val="auto"/>
          <w:sz w:val="24"/>
          <w:highlight w:val="none"/>
          <w:u w:val="single"/>
          <w:lang w:val="en-US" w:eastAsia="zh-CN"/>
        </w:rPr>
        <w:t>0</w:t>
      </w:r>
      <w:r>
        <w:rPr>
          <w:rFonts w:hint="eastAsia" w:ascii="宋体" w:hAnsi="宋体" w:eastAsia="宋体" w:cs="宋体"/>
          <w:color w:val="auto"/>
          <w:sz w:val="24"/>
          <w:highlight w:val="none"/>
          <w:u w:val="single"/>
        </w:rPr>
        <w:t>分00秒</w:t>
      </w:r>
    </w:p>
    <w:p w14:paraId="6659827D">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11469AEF">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1A44348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489C3C7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24BA9D0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FCBC5D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2FC59191">
      <w:pPr>
        <w:spacing w:line="360" w:lineRule="auto"/>
        <w:rPr>
          <w:rFonts w:ascii="宋体" w:hAnsi="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cs="宋体"/>
          <w:color w:val="auto"/>
          <w:sz w:val="24"/>
          <w:highlight w:val="none"/>
        </w:rPr>
        <w:t>1.采购人信息</w:t>
      </w:r>
    </w:p>
    <w:p w14:paraId="1EF0A63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称：</w:t>
      </w:r>
      <w:r>
        <w:rPr>
          <w:rFonts w:hint="eastAsia" w:ascii="宋体" w:hAnsi="宋体" w:cs="宋体"/>
          <w:color w:val="auto"/>
          <w:sz w:val="24"/>
          <w:highlight w:val="none"/>
          <w:lang w:eastAsia="zh-CN"/>
        </w:rPr>
        <w:t>杭州市余杭文昌高级中学</w:t>
      </w:r>
      <w:r>
        <w:rPr>
          <w:rFonts w:hint="eastAsia" w:ascii="宋体" w:hAnsi="宋体" w:cs="宋体"/>
          <w:color w:val="auto"/>
          <w:sz w:val="24"/>
          <w:highlight w:val="none"/>
        </w:rPr>
        <w:t xml:space="preserve"> </w:t>
      </w:r>
    </w:p>
    <w:p w14:paraId="169F0FB6">
      <w:pPr>
        <w:spacing w:line="360" w:lineRule="auto"/>
        <w:ind w:firstLine="480"/>
        <w:rPr>
          <w:rFonts w:hint="eastAsia" w:ascii="宋体" w:hAnsi="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cs="宋体"/>
          <w:color w:val="auto"/>
          <w:sz w:val="24"/>
          <w:highlight w:val="none"/>
          <w:lang w:eastAsia="zh-CN"/>
        </w:rPr>
        <w:t>余杭区余杭街道太炎路67号</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rPr>
        <w:t xml:space="preserve">   </w:t>
      </w:r>
    </w:p>
    <w:p w14:paraId="6F2A88B0">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传    真： /</w:t>
      </w:r>
    </w:p>
    <w:p w14:paraId="76DD254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胡</w:t>
      </w:r>
      <w:r>
        <w:rPr>
          <w:rFonts w:hint="eastAsia" w:ascii="宋体" w:hAnsi="宋体" w:cs="宋体"/>
          <w:color w:val="auto"/>
          <w:sz w:val="24"/>
          <w:highlight w:val="none"/>
        </w:rPr>
        <w:t>老师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项目联系方式（询问）：0571-89055855</w:t>
      </w:r>
      <w:r>
        <w:rPr>
          <w:rFonts w:hint="eastAsia" w:ascii="宋体" w:hAnsi="宋体" w:cs="宋体"/>
          <w:color w:val="auto"/>
          <w:sz w:val="24"/>
          <w:highlight w:val="none"/>
          <w:lang w:val="en-US" w:eastAsia="zh-CN"/>
        </w:rPr>
        <w:t xml:space="preserve">  </w:t>
      </w:r>
    </w:p>
    <w:p w14:paraId="6CEDB642">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 xml:space="preserve">苏老师          </w:t>
      </w: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 xml:space="preserve">0571-86238145   </w:t>
      </w:r>
    </w:p>
    <w:p w14:paraId="4A6470C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5C31746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    称：浙江中达工程造价事务所有限公司</w:t>
      </w:r>
    </w:p>
    <w:p w14:paraId="704A8EF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    址：浙江省杭州市临平区星桥街道星桥北路64号1幢1102室</w:t>
      </w:r>
    </w:p>
    <w:p w14:paraId="775AAE5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    真： /</w:t>
      </w:r>
    </w:p>
    <w:p w14:paraId="60F5443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项目联系人（询问）：万工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项目联系方式（询问）：15967187374</w:t>
      </w:r>
    </w:p>
    <w:p w14:paraId="14ACBDAA">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徐</w:t>
      </w:r>
      <w:r>
        <w:rPr>
          <w:rFonts w:hint="eastAsia" w:ascii="宋体" w:hAnsi="宋体" w:cs="宋体"/>
          <w:color w:val="auto"/>
          <w:sz w:val="24"/>
          <w:highlight w:val="none"/>
        </w:rPr>
        <w:t>工</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质疑联系方式：0571-89000091</w:t>
      </w:r>
    </w:p>
    <w:p w14:paraId="2977BDD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539CDB03">
      <w:pPr>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名称：</w:t>
      </w:r>
      <w:r>
        <w:rPr>
          <w:rFonts w:hint="eastAsia" w:ascii="宋体" w:hAnsi="宋体" w:eastAsia="宋体" w:cs="宋体"/>
          <w:i w:val="0"/>
          <w:iCs w:val="0"/>
          <w:caps w:val="0"/>
          <w:color w:val="auto"/>
          <w:spacing w:val="0"/>
          <w:sz w:val="24"/>
          <w:szCs w:val="24"/>
          <w:highlight w:val="none"/>
          <w:shd w:val="clear"/>
        </w:rPr>
        <w:t>杭州市余杭区财政局、浙江省政府采购行政裁决服务中心（杭州）</w:t>
      </w:r>
    </w:p>
    <w:p w14:paraId="64007521">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地址：杭州市上城区清泰街549号城建综合大楼11楼（快递仅限ems或顺丰）</w:t>
      </w:r>
    </w:p>
    <w:p w14:paraId="3D61CFF9">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传真： /</w:t>
      </w:r>
    </w:p>
    <w:p w14:paraId="036AF258">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 xml:space="preserve">联系人 ：匡老师    </w:t>
      </w:r>
    </w:p>
    <w:p w14:paraId="3FFC3CF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监督投诉电话：0571-87807798</w:t>
      </w:r>
    </w:p>
    <w:p w14:paraId="3C11735C">
      <w:pPr>
        <w:bidi w:val="0"/>
        <w:rPr>
          <w:rFonts w:hint="eastAsia" w:ascii="宋体" w:hAnsi="宋体" w:eastAsia="宋体" w:cs="宋体"/>
          <w:color w:val="auto"/>
          <w:highlight w:val="none"/>
          <w:lang w:val="en-US" w:eastAsia="zh-CN"/>
        </w:rPr>
      </w:pPr>
    </w:p>
    <w:p w14:paraId="0BA22B1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6BE3253">
      <w:pPr>
        <w:spacing w:line="360" w:lineRule="auto"/>
        <w:ind w:firstLine="480" w:firstLineChars="200"/>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 xml:space="preserve">CA问题联系电话（人工）：汇信CA 400-888-4636；天谷CA 400-087-8198。                    </w:t>
      </w:r>
      <w:r>
        <w:rPr>
          <w:rFonts w:hint="eastAsia" w:ascii="宋体" w:hAnsi="宋体" w:eastAsia="宋体" w:cs="宋体"/>
          <w:b/>
          <w:color w:val="auto"/>
          <w:sz w:val="36"/>
          <w:szCs w:val="20"/>
          <w:highlight w:val="none"/>
        </w:rPr>
        <w:t xml:space="preserve"> </w:t>
      </w:r>
    </w:p>
    <w:p w14:paraId="5DD6328D">
      <w:pPr>
        <w:bidi w:val="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AE15874">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85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57ECAE53">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B9B7672">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006F6482">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50B682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2065A29">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p>
          <w:p w14:paraId="77F95BB0">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rPr>
              <w:t>阅览椅</w:t>
            </w:r>
            <w:r>
              <w:rPr>
                <w:rFonts w:hint="eastAsia" w:ascii="宋体" w:hAnsi="宋体" w:cs="宋体"/>
                <w:color w:val="auto"/>
                <w:sz w:val="24"/>
                <w:highlight w:val="none"/>
                <w:u w:val="single"/>
                <w:lang w:eastAsia="zh-CN"/>
              </w:rPr>
              <w:t>、带折叠写字板会议椅、</w:t>
            </w:r>
            <w:r>
              <w:rPr>
                <w:rFonts w:hint="eastAsia" w:ascii="宋体" w:hAnsi="宋体" w:cs="宋体"/>
                <w:color w:val="auto"/>
                <w:sz w:val="24"/>
                <w:highlight w:val="none"/>
                <w:u w:val="single"/>
                <w:lang w:val="en-US" w:eastAsia="zh-CN"/>
              </w:rPr>
              <w:t>阅览桌、</w:t>
            </w:r>
            <w:r>
              <w:rPr>
                <w:rFonts w:hint="eastAsia" w:ascii="宋体" w:hAnsi="宋体" w:eastAsia="宋体" w:cs="宋体"/>
                <w:color w:val="auto"/>
                <w:sz w:val="24"/>
                <w:highlight w:val="none"/>
                <w:u w:val="single"/>
              </w:rPr>
              <w:t>学习桌</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实木椅</w:t>
            </w:r>
            <w:r>
              <w:rPr>
                <w:rFonts w:hint="eastAsia" w:ascii="宋体" w:hAnsi="宋体" w:eastAsia="宋体" w:cs="宋体"/>
                <w:color w:val="auto"/>
                <w:sz w:val="24"/>
                <w:highlight w:val="none"/>
              </w:rPr>
              <w:t>。</w:t>
            </w:r>
          </w:p>
          <w:p w14:paraId="2F38B51D">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44B8B0B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08E231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C07298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A84F2F5">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994D902">
            <w:pPr>
              <w:pStyle w:val="2"/>
              <w:pageBreakBefore w:val="0"/>
              <w:kinsoku/>
              <w:wordWrap/>
              <w:overflowPunct/>
              <w:topLinePunct w:val="0"/>
              <w:bidi w:val="0"/>
              <w:spacing w:line="400" w:lineRule="exact"/>
              <w:ind w:left="0" w:leftChars="0"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（1）标的：余杭径山中学图书馆和宿舍值班室家具采购项目，属于</w:t>
            </w:r>
            <w:r>
              <w:rPr>
                <w:rFonts w:hint="eastAsia" w:ascii="宋体" w:hAnsi="宋体" w:eastAsia="宋体" w:cs="宋体"/>
                <w:b w:val="0"/>
                <w:bCs w:val="0"/>
                <w:color w:val="auto"/>
                <w:kern w:val="0"/>
                <w:sz w:val="24"/>
                <w:szCs w:val="24"/>
                <w:highlight w:val="none"/>
                <w:u w:val="single"/>
                <w:lang w:val="en-US" w:eastAsia="zh-CN" w:bidi="ar-SA"/>
              </w:rPr>
              <w:t>工业。</w:t>
            </w:r>
            <w:r>
              <w:rPr>
                <w:rFonts w:hint="eastAsia" w:ascii="宋体" w:hAnsi="宋体" w:eastAsia="宋体" w:cs="宋体"/>
                <w:b w:val="0"/>
                <w:bCs w:val="0"/>
                <w:color w:val="auto"/>
                <w:kern w:val="0"/>
                <w:sz w:val="24"/>
                <w:szCs w:val="24"/>
                <w:highlight w:val="none"/>
                <w:lang w:val="en-US" w:eastAsia="zh-CN" w:bidi="ar-SA"/>
              </w:rPr>
              <w:t>《关于印发中小企业划型标准规定的通知》（工信部联企业〔2011〕300号）第四条规定：工业。从业人员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34F8B664">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20C143A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97936FB">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E7D2">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color w:val="auto"/>
                <w:kern w:val="0"/>
                <w:sz w:val="24"/>
                <w:highlight w:val="none"/>
              </w:rPr>
              <w:t>本项目不允许采购进口产品。</w:t>
            </w:r>
          </w:p>
          <w:p w14:paraId="6AC14EB7">
            <w:pPr>
              <w:pageBreakBefore w:val="0"/>
              <w:kinsoku/>
              <w:wordWrap/>
              <w:overflowPunct/>
              <w:topLinePunct w:val="0"/>
              <w:bidi w:val="0"/>
              <w:spacing w:line="400" w:lineRule="exact"/>
              <w:textAlignment w:val="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A5876C5">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pageBreakBefore w:val="0"/>
              <w:kinsoku/>
              <w:wordWrap/>
              <w:overflowPunct/>
              <w:topLinePunct w:val="0"/>
              <w:bidi w:val="0"/>
              <w:snapToGrid w:val="0"/>
              <w:spacing w:line="40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6A1F240">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644818902"/>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货物运输 </w:t>
            </w:r>
            <w:r>
              <w:rPr>
                <w:rFonts w:hint="eastAsia" w:ascii="宋体" w:hAnsi="宋体" w:eastAsia="宋体" w:cs="宋体"/>
                <w:color w:val="auto"/>
                <w:sz w:val="24"/>
                <w:highlight w:val="none"/>
              </w:rPr>
              <w:t>工作分包。</w:t>
            </w:r>
            <w:sdt>
              <w:sdtPr>
                <w:rPr>
                  <w:rFonts w:hint="eastAsia" w:ascii="宋体" w:hAnsi="宋体" w:eastAsia="宋体" w:cs="宋体"/>
                  <w:color w:val="auto"/>
                  <w:kern w:val="0"/>
                  <w:sz w:val="24"/>
                  <w:highlight w:val="none"/>
                </w:rPr>
                <w:id w:val="2428070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p w14:paraId="56DA644B">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71569473">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0DF1FFC4">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6E05F3E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B51780E">
            <w:pPr>
              <w:pageBreakBefore w:val="0"/>
              <w:kinsoku/>
              <w:wordWrap/>
              <w:overflowPunct/>
              <w:topLinePunct w:val="0"/>
              <w:bidi w:val="0"/>
              <w:spacing w:line="400" w:lineRule="exact"/>
              <w:textAlignment w:val="auto"/>
              <w:rPr>
                <w:rFonts w:hint="eastAsia" w:ascii="宋体" w:hAnsi="宋体" w:eastAsia="宋体" w:cs="宋体"/>
                <w:color w:val="auto"/>
                <w:sz w:val="24"/>
                <w:szCs w:val="32"/>
                <w:highlight w:val="none"/>
              </w:rPr>
            </w:pPr>
            <w:sdt>
              <w:sdtPr>
                <w:rPr>
                  <w:rFonts w:hint="eastAsia" w:ascii="宋体" w:hAnsi="宋体" w:eastAsia="宋体" w:cs="宋体"/>
                  <w:color w:val="auto"/>
                  <w:highlight w:val="none"/>
                </w:rPr>
                <w:id w:val="681833070"/>
                <w14:checkbox>
                  <w14:checked w14:val="1"/>
                  <w14:checkedState w14:val="00FE" w14:font="Wingdings"/>
                  <w14:uncheckedState w14:val="2610" w14:font="MS Gothic"/>
                </w14:checkbox>
              </w:sdtPr>
              <w:sdtEndPr>
                <w:rPr>
                  <w:rFonts w:hint="eastAsia" w:ascii="宋体" w:hAnsi="宋体" w:eastAsia="宋体" w:cs="宋体"/>
                  <w:color w:val="auto"/>
                  <w:sz w:val="24"/>
                  <w:szCs w:val="32"/>
                  <w:highlight w:val="none"/>
                </w:rPr>
              </w:sdtEndPr>
              <w:sdtContent>
                <w:r>
                  <w:rPr>
                    <w:rFonts w:hint="eastAsia" w:ascii="Wingdings" w:hAnsi="Wingdings" w:eastAsia="宋体" w:cs="宋体"/>
                    <w:color w:val="auto"/>
                    <w:kern w:val="2"/>
                    <w:sz w:val="24"/>
                    <w:szCs w:val="32"/>
                    <w:highlight w:val="none"/>
                    <w:lang w:val="en-US" w:eastAsia="zh-CN" w:bidi="ar-SA"/>
                  </w:rPr>
                  <w:t>þ</w:t>
                </w:r>
              </w:sdtContent>
            </w:sdt>
            <w:r>
              <w:rPr>
                <w:rFonts w:hint="eastAsia" w:ascii="宋体" w:hAnsi="宋体" w:eastAsia="宋体" w:cs="宋体"/>
                <w:color w:val="auto"/>
                <w:sz w:val="24"/>
                <w:szCs w:val="32"/>
                <w:highlight w:val="none"/>
              </w:rPr>
              <w:t>A不组织。</w:t>
            </w:r>
          </w:p>
          <w:p w14:paraId="5680BDFC">
            <w:pPr>
              <w:pageBreakBefore w:val="0"/>
              <w:kinsoku/>
              <w:wordWrap/>
              <w:overflowPunct/>
              <w:topLinePunct w:val="0"/>
              <w:bidi w:val="0"/>
              <w:spacing w:line="400" w:lineRule="exact"/>
              <w:textAlignment w:val="auto"/>
              <w:rPr>
                <w:rFonts w:hint="eastAsia" w:ascii="宋体" w:hAnsi="宋体" w:eastAsia="宋体" w:cs="宋体"/>
                <w:color w:val="auto"/>
                <w:sz w:val="24"/>
                <w:szCs w:val="32"/>
                <w:highlight w:val="none"/>
              </w:rPr>
            </w:pPr>
            <w:sdt>
              <w:sdtPr>
                <w:rPr>
                  <w:rFonts w:hint="eastAsia" w:ascii="宋体" w:hAnsi="宋体" w:eastAsia="宋体" w:cs="宋体"/>
                  <w:color w:val="auto"/>
                  <w:sz w:val="24"/>
                  <w:szCs w:val="32"/>
                  <w:highlight w:val="none"/>
                </w:rPr>
                <w:id w:val="238790731"/>
                <w14:checkbox>
                  <w14:checked w14:val="0"/>
                  <w14:checkedState w14:val="00FE" w14:font="Wingdings"/>
                  <w14:uncheckedState w14:val="2610" w14:font="MS Gothic"/>
                </w14:checkbox>
              </w:sdtPr>
              <w:sdtEndPr>
                <w:rPr>
                  <w:rFonts w:hint="eastAsia" w:ascii="宋体" w:hAnsi="宋体" w:eastAsia="宋体" w:cs="宋体"/>
                  <w:color w:val="auto"/>
                  <w:sz w:val="24"/>
                  <w:szCs w:val="32"/>
                  <w:highlight w:val="none"/>
                </w:rPr>
              </w:sdtEndPr>
              <w:sdtContent>
                <w:r>
                  <w:rPr>
                    <w:rFonts w:hint="eastAsia" w:ascii="宋体" w:hAnsi="宋体" w:eastAsia="宋体" w:cs="宋体"/>
                    <w:color w:val="auto"/>
                    <w:sz w:val="24"/>
                    <w:szCs w:val="32"/>
                    <w:highlight w:val="none"/>
                  </w:rPr>
                  <w:t>☐</w:t>
                </w:r>
              </w:sdtContent>
            </w:sdt>
            <w:r>
              <w:rPr>
                <w:rFonts w:hint="eastAsia" w:ascii="宋体" w:hAnsi="宋体" w:eastAsia="宋体" w:cs="宋体"/>
                <w:color w:val="auto"/>
                <w:sz w:val="24"/>
                <w:szCs w:val="32"/>
                <w:highlight w:val="none"/>
              </w:rPr>
              <w:t>B组织，时间：      ,地点：      ，联系人：      ，联系方式：      。</w:t>
            </w:r>
          </w:p>
          <w:p w14:paraId="16525BDF">
            <w:pPr>
              <w:pStyle w:val="79"/>
              <w:pageBreakBefore w:val="0"/>
              <w:kinsoku/>
              <w:wordWrap/>
              <w:overflowPunct/>
              <w:topLinePunct w:val="0"/>
              <w:bidi w:val="0"/>
              <w:spacing w:line="40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kern w:val="2"/>
                <w:sz w:val="24"/>
                <w:szCs w:val="32"/>
                <w:highlight w:val="none"/>
                <w:lang w:val="en-US" w:eastAsia="zh-CN" w:bidi="ar-SA"/>
              </w:rPr>
              <w:t>☐C不统一组织，供应商在获取采购文件后，自行至项目现场考察。地点： ，联系人： ，联系方式： 。</w:t>
            </w: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4BF66D8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E416AD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7407F42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0733AC2A">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9982C6B">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1F292D77">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06BA2F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79F258EB">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6525D4D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FBF991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06AC8">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5276265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70BD7B74">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B要求提供，</w:t>
            </w:r>
          </w:p>
          <w:p w14:paraId="10108823">
            <w:pPr>
              <w:keepNext w:val="0"/>
              <w:keepLines w:val="0"/>
              <w:pageBreakBefore w:val="0"/>
              <w:widowControl w:val="0"/>
              <w:tabs>
                <w:tab w:val="left" w:pos="1155"/>
              </w:tabs>
              <w:kinsoku/>
              <w:wordWrap/>
              <w:overflowPunct/>
              <w:topLinePunct w:val="0"/>
              <w:autoSpaceDE/>
              <w:autoSpaceDN/>
              <w:bidi w:val="0"/>
              <w:adjustRightInd/>
              <w:snapToGrid/>
              <w:spacing w:line="400" w:lineRule="exact"/>
              <w:ind w:firstLine="0" w:firstLineChars="0"/>
              <w:jc w:val="left"/>
              <w:textAlignment w:val="auto"/>
              <w:rPr>
                <w:rFonts w:hint="eastAsia" w:ascii="宋体" w:hAnsi="宋体" w:eastAsia="宋体" w:cs="宋体"/>
                <w:snapToGrid w:val="0"/>
                <w:color w:val="auto"/>
                <w:kern w:val="28"/>
                <w:sz w:val="24"/>
                <w:highlight w:val="none"/>
              </w:rPr>
            </w:pPr>
            <w:r>
              <w:rPr>
                <w:rFonts w:hint="eastAsia" w:ascii="宋体" w:hAnsi="宋体" w:cs="宋体"/>
                <w:snapToGrid w:val="0"/>
                <w:color w:val="auto"/>
                <w:kern w:val="28"/>
                <w:sz w:val="24"/>
                <w:highlight w:val="none"/>
                <w:lang w:eastAsia="zh-CN"/>
              </w:rPr>
              <w:t>（</w:t>
            </w:r>
            <w:r>
              <w:rPr>
                <w:rFonts w:hint="eastAsia" w:ascii="宋体" w:hAnsi="宋体" w:cs="宋体"/>
                <w:snapToGrid w:val="0"/>
                <w:color w:val="auto"/>
                <w:kern w:val="28"/>
                <w:sz w:val="24"/>
                <w:highlight w:val="none"/>
                <w:lang w:val="en-US" w:eastAsia="zh-CN"/>
              </w:rPr>
              <w:t>1）</w:t>
            </w:r>
            <w:r>
              <w:rPr>
                <w:rFonts w:hint="eastAsia" w:ascii="宋体" w:hAnsi="宋体" w:eastAsia="宋体" w:cs="宋体"/>
                <w:snapToGrid w:val="0"/>
                <w:color w:val="auto"/>
                <w:kern w:val="28"/>
                <w:sz w:val="24"/>
                <w:highlight w:val="none"/>
              </w:rPr>
              <w:t>样品：</w:t>
            </w:r>
            <w:r>
              <w:rPr>
                <w:rFonts w:hint="eastAsia" w:ascii="宋体" w:hAnsi="宋体" w:cs="宋体"/>
                <w:color w:val="auto"/>
                <w:sz w:val="24"/>
                <w:highlight w:val="none"/>
                <w:u w:val="single"/>
              </w:rPr>
              <w:t>序号</w:t>
            </w:r>
            <w:r>
              <w:rPr>
                <w:rFonts w:hint="eastAsia" w:ascii="宋体" w:hAnsi="宋体" w:cs="宋体"/>
                <w:color w:val="auto"/>
                <w:sz w:val="24"/>
                <w:highlight w:val="none"/>
                <w:u w:val="single"/>
                <w:lang w:val="en-US" w:eastAsia="zh-CN"/>
              </w:rPr>
              <w:t>11阅览桌</w:t>
            </w:r>
            <w:r>
              <w:rPr>
                <w:rFonts w:hint="eastAsia" w:ascii="宋体" w:hAnsi="宋体" w:cs="宋体"/>
                <w:color w:val="auto"/>
                <w:sz w:val="24"/>
                <w:highlight w:val="none"/>
                <w:u w:val="single"/>
              </w:rPr>
              <w:t>一</w:t>
            </w:r>
            <w:r>
              <w:rPr>
                <w:rFonts w:hint="eastAsia" w:ascii="宋体" w:hAnsi="宋体" w:cs="宋体"/>
                <w:color w:val="auto"/>
                <w:sz w:val="24"/>
                <w:highlight w:val="none"/>
                <w:u w:val="single"/>
                <w:lang w:val="en-US" w:eastAsia="zh-CN"/>
              </w:rPr>
              <w:t>个</w:t>
            </w:r>
            <w:r>
              <w:rPr>
                <w:rFonts w:hint="eastAsia" w:ascii="宋体" w:hAnsi="宋体" w:cs="宋体"/>
                <w:color w:val="auto"/>
                <w:sz w:val="24"/>
                <w:highlight w:val="none"/>
                <w:u w:val="single"/>
              </w:rPr>
              <w:t>、序号</w:t>
            </w:r>
            <w:r>
              <w:rPr>
                <w:rFonts w:hint="eastAsia" w:ascii="宋体" w:hAnsi="宋体" w:cs="宋体"/>
                <w:color w:val="auto"/>
                <w:sz w:val="24"/>
                <w:highlight w:val="none"/>
                <w:u w:val="single"/>
                <w:lang w:val="en-US" w:eastAsia="zh-CN"/>
              </w:rPr>
              <w:t>24</w:t>
            </w:r>
            <w:r>
              <w:rPr>
                <w:rFonts w:hint="eastAsia" w:ascii="宋体" w:hAnsi="宋体" w:cs="宋体"/>
                <w:color w:val="auto"/>
                <w:sz w:val="24"/>
                <w:highlight w:val="none"/>
                <w:u w:val="single"/>
              </w:rPr>
              <w:t>带折叠写字板会议椅</w:t>
            </w:r>
            <w:r>
              <w:rPr>
                <w:rFonts w:hint="eastAsia" w:ascii="宋体" w:hAnsi="宋体" w:cs="宋体"/>
                <w:color w:val="auto"/>
                <w:sz w:val="24"/>
                <w:highlight w:val="none"/>
                <w:u w:val="single"/>
                <w:lang w:val="en-US" w:eastAsia="zh-CN"/>
              </w:rPr>
              <w:t>一个。</w:t>
            </w:r>
          </w:p>
          <w:p w14:paraId="33007066">
            <w:pPr>
              <w:pageBreakBefore w:val="0"/>
              <w:numPr>
                <w:ilvl w:val="0"/>
                <w:numId w:val="0"/>
              </w:numPr>
              <w:kinsoku/>
              <w:wordWrap/>
              <w:overflowPunct/>
              <w:topLinePunct w:val="0"/>
              <w:bidi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b w:val="0"/>
                <w:bCs/>
                <w:snapToGrid w:val="0"/>
                <w:color w:val="auto"/>
                <w:kern w:val="28"/>
                <w:sz w:val="24"/>
                <w:highlight w:val="none"/>
              </w:rPr>
              <w:t>详见采购需求</w:t>
            </w:r>
            <w:r>
              <w:rPr>
                <w:rFonts w:hint="eastAsia" w:ascii="宋体" w:hAnsi="宋体" w:eastAsia="宋体" w:cs="宋体"/>
                <w:color w:val="auto"/>
                <w:kern w:val="0"/>
                <w:sz w:val="24"/>
                <w:highlight w:val="none"/>
              </w:rPr>
              <w:t>；</w:t>
            </w:r>
          </w:p>
          <w:p w14:paraId="094729C1">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45A227F1">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01DE5140">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cs="宋体"/>
                <w:color w:val="auto"/>
                <w:sz w:val="24"/>
                <w:highlight w:val="none"/>
              </w:rPr>
              <w:t>提供样品的时间：</w:t>
            </w:r>
            <w:r>
              <w:rPr>
                <w:rFonts w:hint="eastAsia" w:ascii="宋体" w:hAnsi="宋体" w:cs="宋体"/>
                <w:color w:val="auto"/>
                <w:sz w:val="24"/>
                <w:szCs w:val="24"/>
                <w:highlight w:val="none"/>
                <w:lang w:val="en-US" w:eastAsia="zh-CN"/>
              </w:rPr>
              <w:t>2025年7</w:t>
            </w:r>
            <w:r>
              <w:rPr>
                <w:rFonts w:hint="eastAsia" w:ascii="宋体" w:hAnsi="宋体" w:cs="宋体"/>
                <w:color w:val="auto"/>
                <w:sz w:val="24"/>
                <w:szCs w:val="24"/>
                <w:highlight w:val="none"/>
                <w:u w:val="single" w:color="auto"/>
                <w:lang w:val="en-US" w:eastAsia="zh-CN"/>
              </w:rPr>
              <w:t>月11日  8：30 ——10：30</w:t>
            </w:r>
            <w:r>
              <w:rPr>
                <w:rFonts w:hint="eastAsia" w:ascii="宋体" w:hAnsi="宋体" w:cs="宋体"/>
                <w:color w:val="auto"/>
                <w:kern w:val="0"/>
                <w:sz w:val="24"/>
                <w:highlight w:val="none"/>
              </w:rPr>
              <w:t>；地点：</w:t>
            </w:r>
            <w:r>
              <w:rPr>
                <w:rFonts w:hint="eastAsia" w:ascii="宋体" w:hAnsi="宋体" w:cs="宋体"/>
                <w:color w:val="auto"/>
                <w:sz w:val="24"/>
                <w:highlight w:val="none"/>
                <w:u w:val="single"/>
                <w:lang w:val="en-US" w:eastAsia="zh-CN"/>
              </w:rPr>
              <w:t>浙江省杭州市余杭区瓶窑镇瓶仓大道966号2号楼8层801号</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eastAsia="zh-CN"/>
              </w:rPr>
              <w:t>徐工</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18668070608</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。请投标人在上述时间内提供样品并按规定位置安装完毕。超过截止时间的，采购人将不予接收，并将清场并封闭样品现</w:t>
            </w:r>
            <w:r>
              <w:rPr>
                <w:rFonts w:hint="eastAsia" w:ascii="宋体" w:hAnsi="宋体" w:eastAsia="宋体" w:cs="宋体"/>
                <w:color w:val="auto"/>
                <w:sz w:val="24"/>
                <w:highlight w:val="none"/>
              </w:rPr>
              <w:t>场。</w:t>
            </w:r>
          </w:p>
          <w:p w14:paraId="42E706CB">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A3D316F">
            <w:pPr>
              <w:pageBreakBefore w:val="0"/>
              <w:kinsoku/>
              <w:wordWrap/>
              <w:overflowPunct/>
              <w:topLinePunct w:val="0"/>
              <w:bidi w:val="0"/>
              <w:spacing w:line="400" w:lineRule="exact"/>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auto" w:sz="4" w:space="0"/>
            </w:tcBorders>
          </w:tcPr>
          <w:p w14:paraId="1710126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09AC3D1">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EA5D7C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2662273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6ABDF4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3992E4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06C2578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7704412C">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1854E99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pageBreakBefore w:val="0"/>
              <w:kinsoku/>
              <w:wordWrap/>
              <w:overflowPunct/>
              <w:topLinePunct w:val="0"/>
              <w:bidi w:val="0"/>
              <w:snapToGrid w:val="0"/>
              <w:spacing w:line="400" w:lineRule="exact"/>
              <w:jc w:val="center"/>
              <w:textAlignment w:val="auto"/>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2738A9">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2B6FF7B1">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1417E528">
            <w:pPr>
              <w:pageBreakBefore w:val="0"/>
              <w:kinsoku/>
              <w:wordWrap/>
              <w:overflowPunct/>
              <w:topLinePunct w:val="0"/>
              <w:bidi w:val="0"/>
              <w:snapToGrid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14:paraId="7DF7AF2A">
            <w:pPr>
              <w:pageBreakBefore w:val="0"/>
              <w:kinsoku/>
              <w:wordWrap/>
              <w:overflowPunct/>
              <w:topLinePunct w:val="0"/>
              <w:bidi w:val="0"/>
              <w:snapToGrid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2C0B0956">
            <w:pPr>
              <w:pageBreakBefore w:val="0"/>
              <w:kinsoku/>
              <w:wordWrap/>
              <w:overflowPunct/>
              <w:topLinePunct w:val="0"/>
              <w:bidi w:val="0"/>
              <w:snapToGrid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5D5CB81B">
            <w:pPr>
              <w:pageBreakBefore w:val="0"/>
              <w:kinsoku/>
              <w:wordWrap/>
              <w:overflowPunct/>
              <w:topLinePunct w:val="0"/>
              <w:bidi w:val="0"/>
              <w:snapToGrid w:val="0"/>
              <w:spacing w:line="400" w:lineRule="exact"/>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636EF0D">
            <w:pPr>
              <w:pageBreakBefore w:val="0"/>
              <w:kinsoku/>
              <w:wordWrap/>
              <w:overflowPunct/>
              <w:topLinePunct w:val="0"/>
              <w:bidi w:val="0"/>
              <w:snapToGrid w:val="0"/>
              <w:spacing w:line="400" w:lineRule="exact"/>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vMerge w:val="restart"/>
            <w:tcBorders>
              <w:top w:val="single" w:color="auto" w:sz="4" w:space="0"/>
              <w:left w:val="single" w:color="auto" w:sz="4" w:space="0"/>
              <w:right w:val="single" w:color="auto" w:sz="4" w:space="0"/>
            </w:tcBorders>
          </w:tcPr>
          <w:p w14:paraId="68E10985">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3BD3287F">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F9F63D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8852203">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1DEEB6D4">
            <w:pPr>
              <w:pageBreakBefore w:val="0"/>
              <w:kinsoku/>
              <w:wordWrap/>
              <w:overflowPunct/>
              <w:topLinePunct w:val="0"/>
              <w:bidi w:val="0"/>
              <w:spacing w:line="400" w:lineRule="exact"/>
              <w:textAlignment w:val="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vMerge w:val="continue"/>
            <w:tcBorders>
              <w:left w:val="single" w:color="auto" w:sz="4" w:space="0"/>
              <w:bottom w:val="single" w:color="auto" w:sz="4" w:space="0"/>
              <w:right w:val="single" w:color="auto" w:sz="4" w:space="0"/>
            </w:tcBorders>
          </w:tcPr>
          <w:p w14:paraId="69FA2FE3">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822D380">
            <w:pPr>
              <w:pageBreakBefore w:val="0"/>
              <w:kinsoku/>
              <w:wordWrap/>
              <w:overflowPunct/>
              <w:topLinePunct w:val="0"/>
              <w:bidi w:val="0"/>
              <w:spacing w:line="40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tcPr>
          <w:p w14:paraId="3ADB14E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1172DCF3">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605D709C">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47C6AF0">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2BFACA78">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A2C71F7">
            <w:pPr>
              <w:pageBreakBefore w:val="0"/>
              <w:kinsoku/>
              <w:wordWrap/>
              <w:overflowPunct/>
              <w:topLinePunct w:val="0"/>
              <w:bidi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ageBreakBefore w:val="0"/>
              <w:kinsoku/>
              <w:wordWrap/>
              <w:overflowPunct/>
              <w:topLinePunct w:val="0"/>
              <w:bidi w:val="0"/>
              <w:snapToGrid w:val="0"/>
              <w:spacing w:line="400" w:lineRule="exact"/>
              <w:textAlignment w:val="auto"/>
              <w:rPr>
                <w:rFonts w:hint="eastAsia" w:ascii="宋体" w:hAnsi="宋体" w:eastAsia="宋体" w:cs="宋体"/>
                <w:color w:val="auto"/>
                <w:sz w:val="24"/>
                <w:szCs w:val="24"/>
                <w:highlight w:val="none"/>
                <w:lang w:eastAsia="zh-CN"/>
              </w:rPr>
            </w:pPr>
            <w:sdt>
              <w:sdtPr>
                <w:rPr>
                  <w:rFonts w:hint="eastAsia" w:ascii="宋体" w:hAnsi="宋体" w:eastAsia="宋体" w:cs="宋体"/>
                  <w:color w:val="auto"/>
                  <w:sz w:val="24"/>
                  <w:szCs w:val="24"/>
                  <w:highlight w:val="none"/>
                </w:rPr>
                <w:id w:val="147461840"/>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lang w:eastAsia="zh-CN"/>
              </w:rPr>
              <w:t>强制采购节能采购。产品：</w:t>
            </w:r>
            <w:r>
              <w:rPr>
                <w:rFonts w:hint="eastAsia" w:ascii="宋体" w:hAnsi="宋体" w:eastAsia="宋体" w:cs="宋体"/>
                <w:color w:val="auto"/>
                <w:sz w:val="24"/>
                <w:szCs w:val="24"/>
                <w:highlight w:val="none"/>
                <w:lang w:val="en-US" w:eastAsia="zh-CN"/>
              </w:rPr>
              <w:t xml:space="preserve">    </w:t>
            </w:r>
          </w:p>
          <w:p w14:paraId="3002CF9E">
            <w:pPr>
              <w:pageBreakBefore w:val="0"/>
              <w:kinsoku/>
              <w:wordWrap/>
              <w:overflowPunct/>
              <w:topLinePunct w:val="0"/>
              <w:bidi w:val="0"/>
              <w:snapToGrid w:val="0"/>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□优先采购节能产品。产品：</w:t>
            </w:r>
            <w:r>
              <w:rPr>
                <w:rFonts w:hint="eastAsia" w:ascii="宋体" w:hAnsi="宋体" w:eastAsia="宋体" w:cs="宋体"/>
                <w:color w:val="auto"/>
                <w:sz w:val="24"/>
                <w:szCs w:val="24"/>
                <w:highlight w:val="none"/>
                <w:lang w:val="en-US" w:eastAsia="zh-CN"/>
              </w:rPr>
              <w:t xml:space="preserve">   </w:t>
            </w:r>
          </w:p>
          <w:p w14:paraId="76782679">
            <w:pPr>
              <w:pageBreakBefore w:val="0"/>
              <w:kinsoku/>
              <w:wordWrap/>
              <w:overflowPunct/>
              <w:topLinePunct w:val="0"/>
              <w:bidi w:val="0"/>
              <w:snapToGrid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□优先采购环保产品。产品：</w:t>
            </w:r>
            <w:r>
              <w:rPr>
                <w:rFonts w:hint="eastAsia" w:ascii="宋体" w:hAnsi="宋体" w:eastAsia="宋体" w:cs="宋体"/>
                <w:color w:val="auto"/>
                <w:sz w:val="24"/>
                <w:szCs w:val="24"/>
                <w:highlight w:val="none"/>
                <w:lang w:val="en-US" w:eastAsia="zh-CN"/>
              </w:rPr>
              <w:t xml:space="preserve">    </w:t>
            </w:r>
          </w:p>
          <w:p w14:paraId="328AE59B">
            <w:pPr>
              <w:pageBreakBefore w:val="0"/>
              <w:kinsoku/>
              <w:wordWrap/>
              <w:overflowPunct/>
              <w:topLinePunct w:val="0"/>
              <w:bidi w:val="0"/>
              <w:snapToGrid w:val="0"/>
              <w:spacing w:line="400" w:lineRule="exact"/>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sz w:val="24"/>
                <w:szCs w:val="24"/>
                <w:highlight w:val="none"/>
                <w:lang w:eastAsia="zh-CN"/>
              </w:rPr>
              <w:t>☑无</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tcPr>
          <w:p w14:paraId="459DC6D2">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102D3E4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608E02A7">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C1F8313">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711081F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6EDA2294">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28B1BEFE">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0F0ECEDA">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5986CF8C">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761C6">
            <w:pPr>
              <w:pageBreakBefore w:val="0"/>
              <w:kinsoku/>
              <w:wordWrap/>
              <w:overflowPunct/>
              <w:topLinePunct w:val="0"/>
              <w:bidi w:val="0"/>
              <w:snapToGrid w:val="0"/>
              <w:spacing w:line="400" w:lineRule="exact"/>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14:paraId="51A249B0">
            <w:pPr>
              <w:pageBreakBefore w:val="0"/>
              <w:kinsoku/>
              <w:wordWrap/>
              <w:overflowPunct/>
              <w:topLinePunct w:val="0"/>
              <w:bidi w:val="0"/>
              <w:snapToGrid w:val="0"/>
              <w:spacing w:line="400" w:lineRule="exact"/>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35E61381">
            <w:pPr>
              <w:pageBreakBefore w:val="0"/>
              <w:kinsoku/>
              <w:wordWrap/>
              <w:overflowPunct/>
              <w:topLinePunct w:val="0"/>
              <w:bidi w:val="0"/>
              <w:snapToGrid w:val="0"/>
              <w:spacing w:line="400" w:lineRule="exact"/>
              <w:ind w:firstLine="241" w:firstLineChars="100"/>
              <w:jc w:val="left"/>
              <w:textAlignment w:val="auto"/>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132A77DD">
            <w:pPr>
              <w:pageBreakBefore w:val="0"/>
              <w:kinsoku/>
              <w:wordWrap/>
              <w:overflowPunct/>
              <w:topLinePunct w:val="0"/>
              <w:bidi w:val="0"/>
              <w:snapToGrid w:val="0"/>
              <w:spacing w:line="400" w:lineRule="exact"/>
              <w:ind w:firstLine="241" w:firstLineChars="1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62673554">
            <w:pPr>
              <w:pageBreakBefore w:val="0"/>
              <w:kinsoku/>
              <w:wordWrap/>
              <w:overflowPunct/>
              <w:topLinePunct w:val="0"/>
              <w:bidi w:val="0"/>
              <w:spacing w:line="400" w:lineRule="exact"/>
              <w:ind w:firstLine="241" w:firstLineChars="100"/>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342341A4">
            <w:pPr>
              <w:pageBreakBefore w:val="0"/>
              <w:kinsoku/>
              <w:wordWrap/>
              <w:overflowPunct/>
              <w:topLinePunct w:val="0"/>
              <w:bidi w:val="0"/>
              <w:spacing w:line="400" w:lineRule="exact"/>
              <w:ind w:firstLine="241" w:firstLineChars="100"/>
              <w:textAlignment w:val="auto"/>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right w:val="single" w:color="000000" w:sz="2" w:space="0"/>
            </w:tcBorders>
          </w:tcPr>
          <w:p w14:paraId="112F8B2C">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143AA67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4167AB36">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244FEF35">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0DB013B">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9A41E5">
            <w:pPr>
              <w:keepNext w:val="0"/>
              <w:keepLines w:val="0"/>
              <w:pageBreakBefore w:val="0"/>
              <w:widowControl w:val="0"/>
              <w:kinsoku/>
              <w:wordWrap/>
              <w:overflowPunct/>
              <w:topLinePunct w:val="0"/>
              <w:autoSpaceDE/>
              <w:autoSpaceDN/>
              <w:bidi w:val="0"/>
              <w:adjustRightInd w:val="0"/>
              <w:snapToGrid/>
              <w:spacing w:line="400" w:lineRule="exact"/>
              <w:ind w:left="0" w:leftChars="0" w:firstLine="218" w:firstLineChars="91"/>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en" w:eastAsia="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000000" w:sz="8" w:space="0"/>
              <w:bottom w:val="single" w:color="auto" w:sz="4" w:space="0"/>
              <w:right w:val="single" w:color="000000" w:sz="2" w:space="0"/>
            </w:tcBorders>
          </w:tcPr>
          <w:p w14:paraId="33798529">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p w14:paraId="749EA125">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B0F9068">
            <w:pPr>
              <w:pStyle w:val="32"/>
              <w:pageBreakBefore w:val="0"/>
              <w:kinsoku/>
              <w:wordWrap/>
              <w:overflowPunct/>
              <w:topLinePunct w:val="0"/>
              <w:bidi w:val="0"/>
              <w:spacing w:line="400" w:lineRule="exact"/>
              <w:textAlignment w:val="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w:t>
            </w:r>
            <w:r>
              <w:rPr>
                <w:rFonts w:hint="eastAsia" w:ascii="宋体" w:hAnsi="宋体" w:eastAsia="宋体" w:cs="宋体"/>
                <w:color w:val="auto"/>
                <w:sz w:val="24"/>
                <w:szCs w:val="24"/>
                <w:highlight w:val="none"/>
                <w:u w:val="single"/>
              </w:rPr>
              <w:t>浙江省杭州市余杭区瓶窑镇瓶仓大道966号2号楼8层801号</w:t>
            </w:r>
            <w:r>
              <w:rPr>
                <w:rFonts w:hint="eastAsia" w:ascii="宋体" w:hAnsi="宋体" w:eastAsia="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lang w:val="en-US" w:eastAsia="zh-CN"/>
              </w:rPr>
              <w:t>徐工18668070608</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采购人、采购代理机构不强制或变相强制投标人提交备份投标文件。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vMerge w:val="restart"/>
            <w:tcBorders>
              <w:top w:val="single" w:color="auto" w:sz="4" w:space="0"/>
              <w:left w:val="single" w:color="000000" w:sz="8" w:space="0"/>
              <w:right w:val="single" w:color="000000" w:sz="2" w:space="0"/>
            </w:tcBorders>
            <w:vAlign w:val="center"/>
          </w:tcPr>
          <w:p w14:paraId="45A849AA">
            <w:pPr>
              <w:pageBreakBefore w:val="0"/>
              <w:kinsoku/>
              <w:wordWrap/>
              <w:overflowPunct/>
              <w:topLinePunct w:val="0"/>
              <w:bidi w:val="0"/>
              <w:snapToGrid w:val="0"/>
              <w:spacing w:line="400" w:lineRule="exact"/>
              <w:jc w:val="both"/>
              <w:textAlignment w:val="auto"/>
              <w:rPr>
                <w:rFonts w:hint="eastAsia" w:ascii="宋体" w:hAnsi="宋体" w:eastAsia="宋体" w:cs="宋体"/>
                <w:color w:val="auto"/>
                <w:sz w:val="24"/>
                <w:highlight w:val="none"/>
              </w:rPr>
            </w:pPr>
          </w:p>
          <w:p w14:paraId="3E2EE942">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F48A57">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lang w:val="en" w:eastAsia="zh-CN"/>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vMerge w:val="continue"/>
            <w:tcBorders>
              <w:left w:val="single" w:color="000000" w:sz="8" w:space="0"/>
              <w:bottom w:val="single" w:color="auto" w:sz="4" w:space="0"/>
              <w:right w:val="single" w:color="000000" w:sz="2" w:space="0"/>
            </w:tcBorders>
            <w:vAlign w:val="center"/>
          </w:tcPr>
          <w:p w14:paraId="63EF31DB">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B2F0F7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eastAsia="宋体" w:cs="宋体"/>
                <w:color w:val="auto"/>
                <w:kern w:val="0"/>
                <w:sz w:val="24"/>
                <w:highlight w:val="none"/>
                <w:lang w:val="en" w:eastAsia="zh-CN"/>
              </w:rPr>
            </w:pPr>
            <w:sdt>
              <w:sdtPr>
                <w:rPr>
                  <w:rFonts w:hint="eastAsia" w:ascii="宋体" w:hAnsi="宋体" w:eastAsia="宋体" w:cs="宋体"/>
                  <w:color w:val="auto"/>
                  <w:kern w:val="0"/>
                  <w:sz w:val="24"/>
                  <w:highlight w:val="none"/>
                </w:rPr>
                <w:id w:val="19489171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lang w:val="en" w:eastAsia="zh-CN"/>
                </w:rPr>
              </w:sdtEndPr>
              <w:sdtContent>
                <w:r>
                  <w:rPr>
                    <w:rFonts w:hint="eastAsia" w:ascii="宋体" w:hAnsi="宋体" w:eastAsia="宋体" w:cs="宋体"/>
                    <w:color w:val="auto"/>
                    <w:kern w:val="0"/>
                    <w:sz w:val="24"/>
                    <w:highlight w:val="none"/>
                    <w:lang w:val="en" w:eastAsia="zh-CN"/>
                  </w:rPr>
                  <w:t>☐</w:t>
                </w:r>
              </w:sdtContent>
            </w:sdt>
            <w:r>
              <w:rPr>
                <w:rFonts w:hint="eastAsia" w:ascii="宋体" w:hAnsi="宋体" w:eastAsia="宋体" w:cs="宋体"/>
                <w:color w:val="auto"/>
                <w:kern w:val="0"/>
                <w:sz w:val="24"/>
                <w:highlight w:val="none"/>
                <w:lang w:val="en" w:eastAsia="zh-CN"/>
              </w:rPr>
              <w:t>联合体投标的，联合体各方均需按招标文件第四部分评标标准要求提供资信证明文件，否则视为不符合相关要求。</w:t>
            </w:r>
          </w:p>
          <w:p w14:paraId="43D0D35E">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lang w:val="en" w:eastAsia="zh-CN"/>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lang w:val="en" w:eastAsia="zh-CN"/>
                </w:rPr>
              </w:sdtEndPr>
              <w:sdtContent>
                <w:r>
                  <w:rPr>
                    <w:rFonts w:hint="eastAsia" w:ascii="宋体" w:hAnsi="宋体" w:eastAsia="宋体" w:cs="宋体"/>
                    <w:color w:val="auto"/>
                    <w:kern w:val="0"/>
                    <w:sz w:val="24"/>
                    <w:highlight w:val="none"/>
                    <w:lang w:val="en" w:eastAsia="zh-CN"/>
                  </w:rPr>
                  <w:sym w:font="Wingdings" w:char="F0FE"/>
                </w:r>
              </w:sdtContent>
            </w:sdt>
            <w:r>
              <w:rPr>
                <w:rFonts w:hint="eastAsia" w:ascii="宋体" w:hAnsi="宋体" w:eastAsia="宋体" w:cs="宋体"/>
                <w:color w:val="auto"/>
                <w:kern w:val="0"/>
                <w:sz w:val="24"/>
                <w:highlight w:val="none"/>
                <w:lang w:val="en" w:eastAsia="zh-CN"/>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000000" w:sz="2" w:space="0"/>
            </w:tcBorders>
            <w:vAlign w:val="center"/>
          </w:tcPr>
          <w:p w14:paraId="67AD759D">
            <w:pPr>
              <w:pageBreakBefore w:val="0"/>
              <w:kinsoku/>
              <w:wordWrap/>
              <w:overflowPunct/>
              <w:topLinePunct w:val="0"/>
              <w:bidi w:val="0"/>
              <w:snapToGrid w:val="0"/>
              <w:spacing w:line="400" w:lineRule="exact"/>
              <w:ind w:firstLine="240" w:firstLineChars="100"/>
              <w:jc w:val="both"/>
              <w:textAlignment w:val="auto"/>
              <w:rPr>
                <w:rFonts w:hint="eastAsia" w:ascii="宋体" w:hAnsi="宋体" w:eastAsia="宋体" w:cs="宋体"/>
                <w:color w:val="auto"/>
                <w:sz w:val="24"/>
                <w:highlight w:val="none"/>
                <w:lang w:val="en-US" w:eastAsia="zh-CN"/>
              </w:rPr>
            </w:pPr>
            <w:bookmarkStart w:id="13" w:name="第三部分"/>
            <w:bookmarkStart w:id="14" w:name="_Toc164416483"/>
            <w:r>
              <w:rPr>
                <w:rFonts w:hint="eastAsia" w:ascii="宋体" w:hAnsi="宋体" w:eastAsia="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pageBreakBefore w:val="0"/>
              <w:kinsoku/>
              <w:wordWrap/>
              <w:overflowPunct/>
              <w:topLinePunct w:val="0"/>
              <w:bidi w:val="0"/>
              <w:spacing w:line="400" w:lineRule="exact"/>
              <w:textAlignment w:val="auto"/>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本项目推荐的成交候选人数量：</w:t>
            </w:r>
            <w:r>
              <w:rPr>
                <w:rFonts w:hint="eastAsia" w:ascii="宋体" w:hAnsi="宋体" w:eastAsia="宋体" w:cs="宋体"/>
                <w:color w:val="auto"/>
                <w:kern w:val="0"/>
                <w:sz w:val="24"/>
                <w:highlight w:val="none"/>
                <w:u w:val="single"/>
                <w:lang w:val="en-US" w:eastAsia="zh-CN"/>
              </w:rPr>
              <w:t>1个</w:t>
            </w:r>
            <w:r>
              <w:rPr>
                <w:rFonts w:hint="eastAsia" w:ascii="宋体" w:hAnsi="宋体" w:eastAsia="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000000" w:sz="2" w:space="0"/>
            </w:tcBorders>
            <w:vAlign w:val="center"/>
          </w:tcPr>
          <w:p w14:paraId="5B9197FD">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lang w:val="en-US" w:eastAsia="zh-CN"/>
              </w:rPr>
            </w:pPr>
          </w:p>
          <w:p w14:paraId="7D09EDAD">
            <w:pPr>
              <w:pageBreakBefore w:val="0"/>
              <w:kinsoku/>
              <w:wordWrap/>
              <w:overflowPunct/>
              <w:topLinePunct w:val="0"/>
              <w:bidi w:val="0"/>
              <w:snapToGrid w:val="0"/>
              <w:spacing w:line="40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 w:eastAsia="zh-CN"/>
              </w:rPr>
              <w:t>代理费用收取方式及标准</w:t>
            </w:r>
          </w:p>
        </w:tc>
        <w:tc>
          <w:tcPr>
            <w:tcW w:w="6095" w:type="dxa"/>
            <w:tcBorders>
              <w:top w:val="single" w:color="000000" w:sz="8" w:space="0"/>
              <w:left w:val="single" w:color="auto" w:sz="4" w:space="0"/>
              <w:bottom w:val="single" w:color="000000" w:sz="8" w:space="0"/>
              <w:right w:val="single" w:color="auto" w:sz="4" w:space="0"/>
            </w:tcBorders>
            <w:vAlign w:val="center"/>
          </w:tcPr>
          <w:p w14:paraId="27F55D5C">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本次招标代理服务费由中标人支付，招标代理服务费按照国家计委印发的《招标代理服务收费管理暂行办法》计价格[2002]1980号文件</w:t>
            </w:r>
            <w:r>
              <w:rPr>
                <w:rFonts w:hint="eastAsia" w:ascii="宋体" w:hAnsi="宋体" w:eastAsia="宋体" w:cs="宋体"/>
                <w:color w:val="auto"/>
                <w:kern w:val="0"/>
                <w:sz w:val="24"/>
                <w:highlight w:val="none"/>
                <w:lang w:val="en-US" w:eastAsia="zh-CN"/>
              </w:rPr>
              <w:t>计取，专家费由代理公司垫付并按实</w:t>
            </w:r>
            <w:r>
              <w:rPr>
                <w:rFonts w:hint="eastAsia" w:ascii="宋体" w:hAnsi="宋体" w:eastAsia="宋体" w:cs="宋体"/>
                <w:color w:val="auto"/>
                <w:kern w:val="0"/>
                <w:sz w:val="24"/>
                <w:highlight w:val="none"/>
                <w:lang w:val="en-US" w:eastAsia="zh-CN"/>
              </w:rPr>
              <w:t>结算。</w:t>
            </w:r>
          </w:p>
        </w:tc>
      </w:tr>
      <w:tr w14:paraId="056A4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629" w:type="dxa"/>
            <w:tcBorders>
              <w:top w:val="single" w:color="auto" w:sz="4" w:space="0"/>
              <w:left w:val="single" w:color="auto" w:sz="4" w:space="0"/>
              <w:bottom w:val="single" w:color="auto" w:sz="4" w:space="0"/>
              <w:right w:val="single" w:color="000000" w:sz="2" w:space="0"/>
            </w:tcBorders>
            <w:shd w:val="clear" w:color="auto" w:fill="auto"/>
            <w:vAlign w:val="center"/>
          </w:tcPr>
          <w:p w14:paraId="62877398">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shd w:val="clear" w:color="auto" w:fill="auto"/>
            <w:vAlign w:val="center"/>
          </w:tcPr>
          <w:p w14:paraId="475F9286">
            <w:pPr>
              <w:pageBreakBefore w:val="0"/>
              <w:kinsoku/>
              <w:wordWrap/>
              <w:overflowPunct/>
              <w:topLinePunct w:val="0"/>
              <w:bidi w:val="0"/>
              <w:snapToGrid w:val="0"/>
              <w:spacing w:line="400" w:lineRule="exact"/>
              <w:jc w:val="center"/>
              <w:textAlignment w:val="auto"/>
              <w:rPr>
                <w:rFonts w:hint="eastAsia" w:ascii="宋体" w:hAnsi="宋体" w:eastAsia="宋体" w:cs="宋体"/>
                <w:b/>
                <w:color w:val="auto"/>
                <w:kern w:val="2"/>
                <w:sz w:val="24"/>
                <w:szCs w:val="24"/>
                <w:highlight w:val="none"/>
                <w:lang w:val="en" w:eastAsia="zh-CN" w:bidi="ar-SA"/>
              </w:rPr>
            </w:pPr>
            <w:r>
              <w:rPr>
                <w:rFonts w:hint="eastAsia" w:ascii="宋体" w:hAnsi="宋体" w:eastAsia="宋体" w:cs="宋体"/>
                <w:b/>
                <w:color w:val="auto"/>
                <w:sz w:val="24"/>
                <w:highlight w:val="none"/>
                <w:lang w:val="en" w:eastAsia="zh-CN"/>
              </w:rPr>
              <w:t>纸质投标文件</w:t>
            </w:r>
          </w:p>
        </w:tc>
        <w:tc>
          <w:tcPr>
            <w:tcW w:w="6095" w:type="dxa"/>
            <w:tcBorders>
              <w:top w:val="single" w:color="000000" w:sz="8" w:space="0"/>
              <w:left w:val="single" w:color="auto" w:sz="4" w:space="0"/>
              <w:bottom w:val="single" w:color="000000" w:sz="8" w:space="0"/>
              <w:right w:val="single" w:color="auto" w:sz="4" w:space="0"/>
            </w:tcBorders>
            <w:shd w:val="clear" w:color="auto" w:fill="auto"/>
            <w:vAlign w:val="center"/>
          </w:tcPr>
          <w:p w14:paraId="01EBD64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eastAsia="宋体" w:cs="宋体"/>
                <w:b/>
                <w:color w:val="auto"/>
                <w:kern w:val="2"/>
                <w:sz w:val="32"/>
                <w:szCs w:val="20"/>
                <w:highlight w:val="none"/>
                <w:lang w:val="en" w:eastAsia="zh-CN" w:bidi="ar-SA"/>
              </w:rPr>
            </w:pPr>
            <w:r>
              <w:rPr>
                <w:rFonts w:hint="eastAsia" w:ascii="宋体" w:hAnsi="宋体" w:eastAsia="宋体" w:cs="宋体"/>
                <w:color w:val="auto"/>
                <w:kern w:val="0"/>
                <w:sz w:val="24"/>
                <w:highlight w:val="none"/>
                <w:lang w:val="en" w:eastAsia="zh-CN"/>
              </w:rPr>
              <w:t>中标单位需在</w:t>
            </w:r>
            <w:r>
              <w:rPr>
                <w:rFonts w:hint="eastAsia" w:ascii="宋体" w:hAnsi="宋体" w:eastAsia="宋体" w:cs="宋体"/>
                <w:color w:val="auto"/>
                <w:kern w:val="0"/>
                <w:sz w:val="24"/>
                <w:highlight w:val="none"/>
                <w:lang w:val="en-US" w:eastAsia="zh-CN"/>
              </w:rPr>
              <w:t>中标后</w:t>
            </w:r>
            <w:r>
              <w:rPr>
                <w:rFonts w:hint="eastAsia" w:ascii="宋体" w:hAnsi="宋体" w:eastAsia="宋体" w:cs="宋体"/>
                <w:color w:val="auto"/>
                <w:kern w:val="0"/>
                <w:sz w:val="24"/>
                <w:highlight w:val="none"/>
                <w:lang w:val="en" w:eastAsia="zh-CN"/>
              </w:rPr>
              <w:t>，提供本项目纸质投标文件（“资格文件”、“报价文件”和“商务技术文件”）三份（正本一份，副本二份）并提供电子投标文件与纸质投标文件内容一致承诺书（</w:t>
            </w:r>
            <w:r>
              <w:rPr>
                <w:rFonts w:hint="eastAsia" w:ascii="宋体" w:hAnsi="宋体" w:eastAsia="宋体" w:cs="宋体"/>
                <w:color w:val="auto"/>
                <w:kern w:val="0"/>
                <w:sz w:val="24"/>
                <w:highlight w:val="none"/>
                <w:lang w:val="en-US" w:eastAsia="zh-CN"/>
              </w:rPr>
              <w:t>附件</w:t>
            </w:r>
            <w:r>
              <w:rPr>
                <w:rFonts w:hint="eastAsia" w:ascii="宋体" w:hAnsi="宋体" w:cs="宋体"/>
                <w:color w:val="auto"/>
                <w:kern w:val="0"/>
                <w:sz w:val="24"/>
                <w:highlight w:val="none"/>
                <w:lang w:val="en-US" w:eastAsia="zh-CN"/>
              </w:rPr>
              <w:t>8</w:t>
            </w:r>
            <w:r>
              <w:rPr>
                <w:rFonts w:hint="eastAsia" w:ascii="宋体" w:hAnsi="宋体" w:eastAsia="宋体" w:cs="宋体"/>
                <w:color w:val="auto"/>
                <w:kern w:val="0"/>
                <w:sz w:val="24"/>
                <w:highlight w:val="none"/>
                <w:lang w:val="en" w:eastAsia="zh-CN"/>
              </w:rPr>
              <w:t>）三份。</w:t>
            </w:r>
          </w:p>
        </w:tc>
      </w:tr>
      <w:bookmarkEnd w:id="10"/>
    </w:tbl>
    <w:p w14:paraId="29A7FB84">
      <w:pPr>
        <w:adjustRightInd/>
        <w:spacing w:line="360" w:lineRule="auto"/>
        <w:ind w:firstLine="3845" w:firstLineChars="1197"/>
        <w:outlineLvl w:val="0"/>
        <w:rPr>
          <w:rFonts w:hint="eastAsia" w:ascii="宋体" w:hAnsi="宋体" w:eastAsia="宋体" w:cs="宋体"/>
          <w:b/>
          <w:color w:val="auto"/>
          <w:sz w:val="32"/>
          <w:szCs w:val="20"/>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p>
    <w:p w14:paraId="7F2CD110">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03C8993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 适用范围</w:t>
      </w:r>
    </w:p>
    <w:p w14:paraId="5082BB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09E10204">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2.定义</w:t>
      </w:r>
    </w:p>
    <w:p w14:paraId="49EABD7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006F44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1E0A55A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“投标人”系指响应招标、参加投标竞争的法人、其他组织或者自然人。</w:t>
      </w:r>
    </w:p>
    <w:p w14:paraId="4378406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230E4A4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598254F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005741CC">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0241EA3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46C4759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46D54878">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2E62B53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08AC36A1">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w:t>
      </w:r>
      <w:r>
        <w:rPr>
          <w:rFonts w:hint="eastAsia" w:ascii="宋体" w:hAnsi="宋体" w:eastAsia="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eastAsia="宋体" w:cs="宋体"/>
          <w:color w:val="auto"/>
          <w:sz w:val="24"/>
          <w:highlight w:val="none"/>
        </w:rPr>
        <w:t>。</w:t>
      </w:r>
    </w:p>
    <w:p w14:paraId="6036F37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533131D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3.4.1 </w:t>
      </w:r>
      <w:r>
        <w:rPr>
          <w:rFonts w:hint="eastAsia" w:ascii="宋体" w:hAnsi="宋体" w:eastAsia="宋体" w:cs="宋体"/>
          <w:color w:val="auto"/>
          <w:sz w:val="24"/>
          <w:highlight w:val="none"/>
          <w:lang w:eastAsia="zh-CN"/>
        </w:rPr>
        <w:t>首台套、“制造精品”、“专精特新”等创新产品按规定享受政府采购支持政策</w:t>
      </w:r>
      <w:r>
        <w:rPr>
          <w:rFonts w:hint="eastAsia" w:ascii="宋体" w:hAnsi="宋体" w:eastAsia="宋体" w:cs="宋体"/>
          <w:color w:val="auto"/>
          <w:sz w:val="24"/>
          <w:highlight w:val="none"/>
        </w:rPr>
        <w:t>。</w:t>
      </w:r>
    </w:p>
    <w:p w14:paraId="5DBF1B2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rPr>
        <w:t>3.4.</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lang w:val="en-US" w:eastAsia="zh-CN"/>
        </w:rPr>
        <w:t>采购人应当贯彻落实知识产权保护相关法律法规，</w:t>
      </w:r>
      <w:r>
        <w:rPr>
          <w:rFonts w:hint="eastAsia" w:ascii="宋体" w:hAnsi="宋体" w:eastAsia="宋体" w:cs="宋体"/>
          <w:color w:val="auto"/>
          <w:sz w:val="24"/>
          <w:highlight w:val="none"/>
          <w:lang w:val="en-US"/>
        </w:rPr>
        <w:t>应当采购使用正版软件。</w:t>
      </w:r>
    </w:p>
    <w:p w14:paraId="228C20F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28068007">
      <w:pPr>
        <w:keepNext w:val="0"/>
        <w:keepLines w:val="0"/>
        <w:pageBreakBefore w:val="0"/>
        <w:kinsoku/>
        <w:wordWrap/>
        <w:overflowPunct/>
        <w:topLinePunct w:val="0"/>
        <w:bidi w:val="0"/>
        <w:spacing w:beforeAutospacing="0" w:line="360" w:lineRule="auto"/>
        <w:ind w:firstLine="480" w:firstLineChars="200"/>
        <w:textAlignment w:val="auto"/>
        <w:rPr>
          <w:rFonts w:hint="eastAsia" w:ascii="宋体" w:hAnsi="宋体" w:eastAsia="宋体" w:cs="宋体"/>
          <w:b/>
          <w:color w:val="auto"/>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sz w:val="24"/>
          <w:highlight w:val="none"/>
        </w:rPr>
        <w:t>4. 询问、质疑、投诉、补偿救济</w:t>
      </w:r>
    </w:p>
    <w:p w14:paraId="032B910E">
      <w:pPr>
        <w:pStyle w:val="889"/>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3D939082">
      <w:pPr>
        <w:pStyle w:val="889"/>
        <w:keepNext w:val="0"/>
        <w:keepLines w:val="0"/>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keepNext w:val="0"/>
        <w:keepLines w:val="0"/>
        <w:pageBreakBefore w:val="0"/>
        <w:kinsoku/>
        <w:wordWrap/>
        <w:overflowPunct/>
        <w:topLinePunct w:val="0"/>
        <w:autoSpaceDE w:val="0"/>
        <w:autoSpaceDN w:val="0"/>
        <w:bidi w:val="0"/>
        <w:spacing w:beforeAutospacing="0" w:line="360" w:lineRule="auto"/>
        <w:ind w:firstLine="240" w:firstLineChars="1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406DC73B">
      <w:pPr>
        <w:keepNext w:val="0"/>
        <w:keepLines w:val="0"/>
        <w:pageBreakBefore w:val="0"/>
        <w:kinsoku/>
        <w:wordWrap/>
        <w:overflowPunct/>
        <w:topLinePunct w:val="0"/>
        <w:autoSpaceDE w:val="0"/>
        <w:autoSpaceDN w:val="0"/>
        <w:bidi w:val="0"/>
        <w:spacing w:beforeAutospacing="0" w:line="360" w:lineRule="auto"/>
        <w:ind w:firstLine="480" w:firstLineChars="200"/>
        <w:jc w:val="lef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04137EF2">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2742BDDA">
      <w:pPr>
        <w:pStyle w:val="3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03874D25">
      <w:pPr>
        <w:pStyle w:val="5"/>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75B8D9F1">
      <w:pPr>
        <w:pStyle w:val="32"/>
        <w:keepNext w:val="0"/>
        <w:keepLines w:val="0"/>
        <w:pageBreakBefore w:val="0"/>
        <w:kinsoku/>
        <w:wordWrap/>
        <w:overflowPunct/>
        <w:topLinePunct w:val="0"/>
        <w:autoSpaceDE/>
        <w:autoSpaceDN/>
        <w:bidi w:val="0"/>
        <w:spacing w:beforeAutospacing="0" w:line="360" w:lineRule="auto"/>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7BCCA019">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63ABDF08">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15A0BF13">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3B76A334">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55EC4982">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0B4CB822">
      <w:pPr>
        <w:pStyle w:val="32"/>
        <w:keepNext w:val="0"/>
        <w:keepLines w:val="0"/>
        <w:pageBreakBefore w:val="0"/>
        <w:kinsoku/>
        <w:wordWrap/>
        <w:overflowPunct/>
        <w:topLinePunct w:val="0"/>
        <w:autoSpaceDE/>
        <w:autoSpaceDN/>
        <w:bidi w:val="0"/>
        <w:spacing w:beforeAutospacing="0" w:line="360" w:lineRule="auto"/>
        <w:ind w:left="0" w:leftChars="0"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4D99C5A5">
      <w:pPr>
        <w:pStyle w:val="32"/>
        <w:keepNext w:val="0"/>
        <w:keepLines w:val="0"/>
        <w:pageBreakBefore w:val="0"/>
        <w:kinsoku/>
        <w:wordWrap/>
        <w:overflowPunct/>
        <w:topLinePunct w:val="0"/>
        <w:autoSpaceDE/>
        <w:autoSpaceDN/>
        <w:bidi w:val="0"/>
        <w:spacing w:beforeAutospacing="0" w:line="360" w:lineRule="auto"/>
        <w:ind w:left="0" w:leftChars="0" w:firstLine="960" w:firstLineChars="4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408D3C49">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left="0" w:leftChars="0"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0237D51E">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380CE679">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14:paraId="5C002C7F">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1F600D92">
      <w:pPr>
        <w:pStyle w:val="889"/>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02A4E969">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14:paraId="6CDBB873">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683881BB">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2714D906">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27105E81">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w:t>
      </w:r>
      <w:r>
        <w:rPr>
          <w:rFonts w:hint="eastAsia" w:ascii="宋体" w:hAnsi="宋体" w:eastAsia="宋体" w:cs="宋体"/>
          <w:color w:val="auto"/>
          <w:highlight w:val="none"/>
          <w:lang w:eastAsia="zh-CN"/>
        </w:rPr>
        <w:t>及各区、县（市）</w:t>
      </w:r>
      <w:r>
        <w:rPr>
          <w:rFonts w:hint="eastAsia" w:ascii="宋体" w:hAnsi="宋体" w:eastAsia="宋体" w:cs="宋体"/>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eastAsia="宋体" w:cs="宋体"/>
          <w:i w:val="0"/>
          <w:caps w:val="0"/>
          <w:color w:val="auto"/>
          <w:spacing w:val="0"/>
          <w:sz w:val="24"/>
          <w:szCs w:val="24"/>
          <w:highlight w:val="none"/>
          <w:lang w:eastAsia="zh-CN"/>
        </w:rPr>
        <w:t>，</w:t>
      </w:r>
      <w:r>
        <w:rPr>
          <w:rFonts w:hint="eastAsia" w:ascii="宋体" w:hAnsi="宋体" w:eastAsia="宋体" w:cs="宋体"/>
          <w:color w:val="auto"/>
          <w:highlight w:val="none"/>
        </w:rPr>
        <w:t>收件人：朱女士</w:t>
      </w:r>
      <w:r>
        <w:rPr>
          <w:rFonts w:hint="eastAsia" w:ascii="宋体" w:hAnsi="宋体" w:eastAsia="宋体" w:cs="宋体"/>
          <w:color w:val="auto"/>
          <w:sz w:val="24"/>
          <w:highlight w:val="none"/>
        </w:rPr>
        <w:t>、王女士</w:t>
      </w:r>
      <w:r>
        <w:rPr>
          <w:rFonts w:hint="eastAsia" w:ascii="宋体" w:hAnsi="宋体" w:eastAsia="宋体" w:cs="宋体"/>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4CB47A3">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4.5 补偿救济</w:t>
      </w:r>
    </w:p>
    <w:p w14:paraId="4D3E61EF">
      <w:pPr>
        <w:keepNext w:val="0"/>
        <w:keepLines w:val="0"/>
        <w:pageBreakBefore w:val="0"/>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contextualSpacing/>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采购人因政策变化、规划调整而不履行政府采购合同的，供应商可依据《杭州市涉企补偿救济实施办法（试行）》向采购人提起补偿申请。</w:t>
      </w:r>
    </w:p>
    <w:p w14:paraId="547D563B">
      <w:pPr>
        <w:pStyle w:val="889"/>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692B0A4F">
      <w:pPr>
        <w:pStyle w:val="131"/>
        <w:snapToGrid w:val="0"/>
        <w:spacing w:before="0"/>
        <w:ind w:firstLine="360"/>
        <w:rPr>
          <w:rFonts w:hint="eastAsia" w:ascii="宋体" w:hAnsi="宋体" w:eastAsia="宋体" w:cs="宋体"/>
          <w:color w:val="auto"/>
          <w:sz w:val="18"/>
          <w:szCs w:val="18"/>
          <w:highlight w:val="none"/>
        </w:rPr>
      </w:pPr>
    </w:p>
    <w:p w14:paraId="1A9A4886">
      <w:pPr>
        <w:bidi w:val="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 xml:space="preserve">      二、招标文件的构成、澄清、修改</w:t>
      </w:r>
    </w:p>
    <w:p w14:paraId="709F9E09">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31AF93C4">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0E30BDDD">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673E2A4C">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5939F94E">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256E69AE">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46F2B43F">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7547734B">
      <w:pPr>
        <w:pStyle w:val="3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7E9D93D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394F1EDB">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5DB04917">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7C5502DC">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6.2 </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24363B83">
      <w:pPr>
        <w:bidi w:val="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三、投标</w:t>
      </w:r>
    </w:p>
    <w:p w14:paraId="667B5DCB">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22794C82">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04248BCF">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797CCA56">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F86F7D">
      <w:pPr>
        <w:pStyle w:val="32"/>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0D6D5BFB">
      <w:pPr>
        <w:pStyle w:val="5"/>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7D2D1559">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51440259">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2406D963">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57D6155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2F8A0585">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2B49608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p>
    <w:p w14:paraId="753FEF4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024A3B99">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2EAE8B30">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A7D64B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4AD86B23">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42E51DE9">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24D2DFD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6C628A5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7DC358D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4C9BB2E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3779C7E9">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23752CBD">
      <w:pPr>
        <w:snapToGrid w:val="0"/>
        <w:spacing w:line="360" w:lineRule="auto"/>
        <w:ind w:firstLine="964" w:firstLineChars="4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11.2.9政府采购活动现场确认声明书。</w:t>
      </w:r>
    </w:p>
    <w:p w14:paraId="3981EC99">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53BEB8D8">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（若有）；</w:t>
      </w:r>
    </w:p>
    <w:p w14:paraId="53F27164">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11.3.3</w:t>
      </w:r>
      <w:r>
        <w:rPr>
          <w:rFonts w:hint="eastAsia" w:ascii="宋体" w:hAnsi="宋体" w:eastAsia="宋体" w:cs="宋体"/>
          <w:color w:val="auto"/>
          <w:sz w:val="24"/>
          <w:highlight w:val="none"/>
        </w:rPr>
        <w:t>报价情况说明（</w:t>
      </w:r>
      <w:r>
        <w:rPr>
          <w:rFonts w:hint="eastAsia" w:ascii="宋体" w:hAnsi="宋体" w:eastAsia="宋体" w:cs="宋体"/>
          <w:color w:val="auto"/>
          <w:sz w:val="24"/>
          <w:highlight w:val="none"/>
          <w:lang w:eastAsia="zh-CN"/>
        </w:rPr>
        <w:t>若有</w:t>
      </w:r>
      <w:r>
        <w:rPr>
          <w:rFonts w:hint="eastAsia" w:ascii="宋体" w:hAnsi="宋体" w:eastAsia="宋体" w:cs="宋体"/>
          <w:color w:val="auto"/>
          <w:sz w:val="24"/>
          <w:highlight w:val="none"/>
        </w:rPr>
        <w:t>）。</w:t>
      </w:r>
    </w:p>
    <w:p w14:paraId="15B66280">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37E65CE8">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投标人提供虚假材料投标的，投标无效。</w:t>
      </w:r>
    </w:p>
    <w:p w14:paraId="0F02E42D">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w:t>
      </w:r>
      <w:r>
        <w:rPr>
          <w:rFonts w:hint="eastAsia" w:ascii="宋体" w:hAnsi="宋体" w:eastAsia="宋体" w:cs="宋体"/>
          <w:b/>
          <w:color w:val="auto"/>
          <w:sz w:val="24"/>
          <w:highlight w:val="none"/>
          <w:lang w:val="zh-CN"/>
        </w:rPr>
        <w:t xml:space="preserve">. </w:t>
      </w:r>
      <w:r>
        <w:rPr>
          <w:rFonts w:hint="eastAsia" w:ascii="宋体" w:hAnsi="宋体" w:eastAsia="宋体" w:cs="宋体"/>
          <w:b/>
          <w:color w:val="auto"/>
          <w:sz w:val="24"/>
          <w:highlight w:val="none"/>
        </w:rPr>
        <w:t>投标文件的编制</w:t>
      </w:r>
    </w:p>
    <w:p w14:paraId="01B2F704">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91D48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6935B9C8">
      <w:pPr>
        <w:pStyle w:val="131"/>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491A42AD">
      <w:pPr>
        <w:pStyle w:val="131"/>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1"/>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537DE754">
      <w:pPr>
        <w:pStyle w:val="131"/>
        <w:keepNext w:val="0"/>
        <w:keepLines w:val="0"/>
        <w:pageBreakBefore w:val="0"/>
        <w:widowControl w:val="0"/>
        <w:kinsoku/>
        <w:wordWrap/>
        <w:overflowPunct/>
        <w:topLinePunct w:val="0"/>
        <w:autoSpaceDE/>
        <w:autoSpaceDN/>
        <w:bidi w:val="0"/>
        <w:adjustRightInd w:val="0"/>
        <w:spacing w:before="0"/>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2A7C4C96">
      <w:pPr>
        <w:pStyle w:val="131"/>
        <w:keepNext w:val="0"/>
        <w:keepLines w:val="0"/>
        <w:pageBreakBefore w:val="0"/>
        <w:widowControl w:val="0"/>
        <w:kinsoku/>
        <w:wordWrap/>
        <w:overflowPunct/>
        <w:topLinePunct w:val="0"/>
        <w:autoSpaceDE/>
        <w:autoSpaceDN/>
        <w:bidi w:val="0"/>
        <w:adjustRightInd w:val="0"/>
        <w:spacing w:before="0"/>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1"/>
        <w:keepNext w:val="0"/>
        <w:keepLines w:val="0"/>
        <w:pageBreakBefore w:val="0"/>
        <w:widowControl w:val="0"/>
        <w:kinsoku/>
        <w:wordWrap/>
        <w:overflowPunct/>
        <w:topLinePunct w:val="0"/>
        <w:autoSpaceDE/>
        <w:autoSpaceDN/>
        <w:bidi w:val="0"/>
        <w:adjustRightInd w:val="0"/>
        <w:spacing w:before="0"/>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1"/>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14:paraId="0846C6CE">
      <w:pPr>
        <w:pStyle w:val="3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5565B193">
      <w:pPr>
        <w:pStyle w:val="32"/>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14:paraId="14AA246D">
      <w:pPr>
        <w:pStyle w:val="3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7F4FA8A2">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14:paraId="318CFC34">
      <w:pPr>
        <w:pStyle w:val="3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14:paraId="04A054F7">
      <w:pPr>
        <w:pStyle w:val="32"/>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55B384D2">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516E8FAB">
      <w:pPr>
        <w:pStyle w:val="24"/>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503ABA9D">
      <w:pPr>
        <w:pStyle w:val="1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19385DC2">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5F54A5E9">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48857F02">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14:paraId="7A2CADFF">
      <w:pPr>
        <w:pStyle w:val="131"/>
        <w:spacing w:before="0"/>
        <w:ind w:firstLine="643"/>
        <w:rPr>
          <w:rFonts w:hint="eastAsia" w:ascii="宋体" w:hAnsi="宋体" w:eastAsia="宋体" w:cs="宋体"/>
          <w:b/>
          <w:color w:val="auto"/>
          <w:sz w:val="32"/>
          <w:highlight w:val="none"/>
        </w:rPr>
      </w:pPr>
    </w:p>
    <w:p w14:paraId="3FC344E9">
      <w:pPr>
        <w:pStyle w:val="131"/>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46BACAED">
      <w:pPr>
        <w:pStyle w:val="558"/>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05A39951">
      <w:pPr>
        <w:pStyle w:val="558"/>
        <w:keepNext w:val="0"/>
        <w:keepLines w:val="0"/>
        <w:pageBreakBefore w:val="0"/>
        <w:kinsoku/>
        <w:wordWrap/>
        <w:overflowPunct/>
        <w:topLinePunct w:val="0"/>
        <w:bidi w:val="0"/>
        <w:adjustRightInd w:val="0"/>
        <w:spacing w:before="0" w:beforeAutospacing="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14:paraId="5C2F0D75">
      <w:pPr>
        <w:pStyle w:val="558"/>
        <w:keepNext w:val="0"/>
        <w:keepLines w:val="0"/>
        <w:pageBreakBefore w:val="0"/>
        <w:kinsoku/>
        <w:wordWrap/>
        <w:overflowPunct/>
        <w:topLinePunct w:val="0"/>
        <w:bidi w:val="0"/>
        <w:adjustRightInd w:val="0"/>
        <w:spacing w:before="0" w:beforeAutospacing="0" w:line="360" w:lineRule="auto"/>
        <w:ind w:left="0" w:firstLine="240" w:firstLineChars="1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14:paraId="023DA0CD">
      <w:pPr>
        <w:pStyle w:val="558"/>
        <w:keepNext w:val="0"/>
        <w:keepLines w:val="0"/>
        <w:pageBreakBefore w:val="0"/>
        <w:kinsoku/>
        <w:wordWrap/>
        <w:overflowPunct/>
        <w:topLinePunct w:val="0"/>
        <w:bidi w:val="0"/>
        <w:adjustRightInd w:val="0"/>
        <w:spacing w:before="0" w:beforeAutospacing="0" w:line="360" w:lineRule="auto"/>
        <w:ind w:left="0" w:firstLine="240" w:firstLineChars="100"/>
        <w:contextualSpacing/>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713F2E">
      <w:pPr>
        <w:keepNext w:val="0"/>
        <w:keepLines w:val="0"/>
        <w:pageBreakBefore w:val="0"/>
        <w:widowControl/>
        <w:kinsoku/>
        <w:wordWrap/>
        <w:overflowPunct/>
        <w:topLinePunct w:val="0"/>
        <w:bidi w:val="0"/>
        <w:adjustRightInd w:val="0"/>
        <w:spacing w:beforeAutospacing="0" w:line="360" w:lineRule="auto"/>
        <w:jc w:val="left"/>
        <w:textAlignment w:val="auto"/>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w:t>
      </w:r>
      <w:r>
        <w:rPr>
          <w:rFonts w:hint="eastAsia" w:ascii="宋体" w:hAnsi="宋体" w:eastAsia="宋体" w:cs="宋体"/>
          <w:b/>
          <w:color w:val="auto"/>
          <w:sz w:val="24"/>
          <w:szCs w:val="20"/>
          <w:highlight w:val="none"/>
          <w:lang w:val="en-US" w:eastAsia="zh-CN"/>
        </w:rPr>
        <w:t>.</w:t>
      </w:r>
      <w:r>
        <w:rPr>
          <w:rFonts w:hint="eastAsia" w:ascii="宋体" w:hAnsi="宋体" w:eastAsia="宋体" w:cs="宋体"/>
          <w:b/>
          <w:color w:val="auto"/>
          <w:sz w:val="24"/>
          <w:szCs w:val="20"/>
          <w:highlight w:val="none"/>
        </w:rPr>
        <w:t>资格审查</w:t>
      </w:r>
    </w:p>
    <w:p w14:paraId="7534FAC3">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14:paraId="55780E59">
      <w:pPr>
        <w:pStyle w:val="131"/>
        <w:keepNext w:val="0"/>
        <w:keepLines w:val="0"/>
        <w:pageBreakBefore w:val="0"/>
        <w:kinsoku/>
        <w:wordWrap/>
        <w:overflowPunct/>
        <w:topLinePunct w:val="0"/>
        <w:bidi w:val="0"/>
        <w:adjustRightInd w:val="0"/>
        <w:spacing w:before="0" w:beforeAutospacing="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27740D03">
      <w:pPr>
        <w:pStyle w:val="131"/>
        <w:keepNext w:val="0"/>
        <w:keepLines w:val="0"/>
        <w:pageBreakBefore w:val="0"/>
        <w:kinsoku/>
        <w:wordWrap/>
        <w:overflowPunct/>
        <w:topLinePunct w:val="0"/>
        <w:bidi w:val="0"/>
        <w:adjustRightInd w:val="0"/>
        <w:spacing w:before="0" w:beforeAutospacing="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14:paraId="36204D5C">
      <w:pPr>
        <w:pStyle w:val="131"/>
        <w:keepNext w:val="0"/>
        <w:keepLines w:val="0"/>
        <w:pageBreakBefore w:val="0"/>
        <w:kinsoku/>
        <w:wordWrap/>
        <w:overflowPunct/>
        <w:topLinePunct w:val="0"/>
        <w:bidi w:val="0"/>
        <w:adjustRightInd w:val="0"/>
        <w:snapToGrid w:val="0"/>
        <w:spacing w:before="0" w:beforeAutospacing="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14:paraId="3AEFAA21">
      <w:pPr>
        <w:pStyle w:val="131"/>
        <w:keepNext w:val="0"/>
        <w:keepLines w:val="0"/>
        <w:pageBreakBefore w:val="0"/>
        <w:kinsoku/>
        <w:wordWrap/>
        <w:overflowPunct/>
        <w:topLinePunct w:val="0"/>
        <w:bidi w:val="0"/>
        <w:adjustRightInd w:val="0"/>
        <w:spacing w:before="0" w:beforeAutospacing="0"/>
        <w:ind w:firstLine="482" w:firstLineChars="20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w:t>
      </w:r>
      <w:r>
        <w:rPr>
          <w:rFonts w:hint="eastAsia" w:ascii="宋体" w:hAnsi="宋体" w:eastAsia="宋体" w:cs="宋体"/>
          <w:b/>
          <w:color w:val="auto"/>
          <w:szCs w:val="24"/>
          <w:highlight w:val="none"/>
          <w:lang w:val="en-US" w:eastAsia="zh-CN"/>
        </w:rPr>
        <w:t>.</w:t>
      </w:r>
      <w:r>
        <w:rPr>
          <w:rFonts w:hint="eastAsia" w:ascii="宋体" w:hAnsi="宋体" w:eastAsia="宋体" w:cs="宋体"/>
          <w:b/>
          <w:color w:val="auto"/>
          <w:szCs w:val="24"/>
          <w:highlight w:val="none"/>
        </w:rPr>
        <w:t>信用信息查询</w:t>
      </w:r>
    </w:p>
    <w:p w14:paraId="406D4098">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将在资格审查时通过“信用中国”网站(www.creditchina.gov.cn)、中国政府采购网(www.ccgp.gov.cn)渠道查询投标人的信用记录。</w:t>
      </w:r>
    </w:p>
    <w:p w14:paraId="6E01082B">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36523A05">
      <w:pPr>
        <w:pStyle w:val="131"/>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1"/>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4D84EBD2">
      <w:pPr>
        <w:pStyle w:val="131"/>
        <w:spacing w:before="0"/>
        <w:ind w:firstLine="0" w:firstLineChars="0"/>
        <w:rPr>
          <w:rFonts w:hint="eastAsia" w:ascii="宋体" w:hAnsi="宋体" w:eastAsia="宋体" w:cs="宋体"/>
          <w:color w:val="auto"/>
          <w:kern w:val="0"/>
          <w:szCs w:val="24"/>
          <w:highlight w:val="none"/>
        </w:rPr>
      </w:pPr>
    </w:p>
    <w:p w14:paraId="276C656E">
      <w:pPr>
        <w:pStyle w:val="131"/>
        <w:spacing w:before="0"/>
        <w:ind w:left="0" w:leftChars="0"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五、评标</w:t>
      </w:r>
    </w:p>
    <w:p w14:paraId="69134EA1">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1A5CC671">
      <w:pPr>
        <w:pStyle w:val="131"/>
        <w:spacing w:before="0"/>
        <w:ind w:left="0" w:leftChars="0" w:firstLine="0" w:firstLineChars="0"/>
        <w:jc w:val="center"/>
        <w:rPr>
          <w:rFonts w:hint="eastAsia" w:ascii="宋体" w:hAnsi="宋体" w:eastAsia="宋体" w:cs="宋体"/>
          <w:b/>
          <w:color w:val="auto"/>
          <w:sz w:val="32"/>
          <w:highlight w:val="none"/>
        </w:rPr>
      </w:pPr>
    </w:p>
    <w:p w14:paraId="1129FEFB">
      <w:pPr>
        <w:pStyle w:val="131"/>
        <w:spacing w:before="0"/>
        <w:ind w:left="0" w:leftChars="0" w:firstLine="0" w:firstLineChars="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六、定 标</w:t>
      </w:r>
    </w:p>
    <w:p w14:paraId="1B7F8CCB">
      <w:pPr>
        <w:pStyle w:val="24"/>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05199F66">
      <w:pPr>
        <w:pStyle w:val="131"/>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eastAsia="宋体" w:cs="宋体"/>
          <w:color w:val="auto"/>
          <w:szCs w:val="24"/>
          <w:highlight w:val="none"/>
          <w:lang w:val="en-US" w:eastAsia="zh-CN"/>
        </w:rPr>
        <w:t>鼓励</w:t>
      </w:r>
      <w:r>
        <w:rPr>
          <w:rFonts w:hint="eastAsia" w:ascii="宋体" w:hAnsi="宋体" w:eastAsia="宋体" w:cs="宋体"/>
          <w:color w:val="auto"/>
          <w:szCs w:val="24"/>
          <w:highlight w:val="none"/>
        </w:rPr>
        <w:t>在收到评审报告当天</w:t>
      </w:r>
      <w:r>
        <w:rPr>
          <w:rFonts w:hint="eastAsia" w:ascii="宋体" w:hAnsi="宋体" w:eastAsia="宋体" w:cs="宋体"/>
          <w:color w:val="auto"/>
          <w:szCs w:val="24"/>
          <w:highlight w:val="none"/>
          <w:lang w:val="en-US" w:eastAsia="zh-CN"/>
        </w:rPr>
        <w:t>在线</w:t>
      </w:r>
      <w:r>
        <w:rPr>
          <w:rFonts w:hint="eastAsia" w:ascii="宋体" w:hAnsi="宋体" w:eastAsia="宋体" w:cs="宋体"/>
          <w:color w:val="auto"/>
          <w:szCs w:val="24"/>
          <w:highlight w:val="none"/>
        </w:rPr>
        <w:t>确定中标或者成交供应商。中标、成交通知书和中标、成交结果公告应当在规定时间内同时发出。</w:t>
      </w:r>
    </w:p>
    <w:p w14:paraId="71A6999A">
      <w:pPr>
        <w:pStyle w:val="131"/>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34A8B373">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14:paraId="534B4B3A">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71C8692B">
      <w:pPr>
        <w:pStyle w:val="131"/>
        <w:adjustRightInd w:val="0"/>
        <w:snapToGrid w:val="0"/>
        <w:spacing w:before="0"/>
        <w:ind w:firstLine="482" w:firstLineChars="200"/>
        <w:rPr>
          <w:rStyle w:val="78"/>
          <w:rFonts w:hint="eastAsia" w:ascii="宋体" w:hAnsi="宋体" w:eastAsia="宋体" w:cs="宋体"/>
          <w:color w:val="auto"/>
          <w:highlight w:val="none"/>
        </w:rPr>
      </w:pP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eastAsia="zh-CN"/>
        </w:rPr>
        <w:t>3</w:t>
      </w:r>
      <w:r>
        <w:rPr>
          <w:rFonts w:hint="eastAsia" w:ascii="宋体" w:hAnsi="宋体" w:eastAsia="宋体" w:cs="宋体"/>
          <w:b/>
          <w:color w:val="auto"/>
          <w:szCs w:val="24"/>
          <w:highlight w:val="none"/>
          <w:lang w:val="en-US" w:eastAsia="zh-CN"/>
        </w:rPr>
        <w:t xml:space="preserve">.4 </w:t>
      </w:r>
      <w:r>
        <w:rPr>
          <w:rFonts w:hint="eastAsia" w:ascii="宋体" w:hAnsi="宋体" w:eastAsia="宋体" w:cs="宋体"/>
          <w:b w:val="0"/>
          <w:bCs/>
          <w:color w:val="auto"/>
          <w:szCs w:val="24"/>
          <w:highlight w:val="none"/>
        </w:rPr>
        <w:t>由于</w:t>
      </w:r>
      <w:r>
        <w:rPr>
          <w:rFonts w:hint="eastAsia" w:ascii="宋体" w:hAnsi="宋体" w:eastAsia="宋体" w:cs="宋体"/>
          <w:bCs/>
          <w:color w:val="auto"/>
          <w:szCs w:val="24"/>
          <w:highlight w:val="none"/>
        </w:rPr>
        <w:t>中标、成交供应商原因导致重新采购的，应当承担支付代理费和专家评审费等费用在内的赔偿责任。</w:t>
      </w:r>
    </w:p>
    <w:p w14:paraId="7348C08A">
      <w:pPr>
        <w:pStyle w:val="80"/>
        <w:rPr>
          <w:rFonts w:hint="eastAsia" w:ascii="宋体" w:hAnsi="宋体" w:eastAsia="宋体" w:cs="宋体"/>
          <w:color w:val="auto"/>
          <w:highlight w:val="none"/>
        </w:rPr>
      </w:pPr>
    </w:p>
    <w:p w14:paraId="729E37C9">
      <w:pPr>
        <w:pStyle w:val="80"/>
        <w:rPr>
          <w:rFonts w:hint="eastAsia" w:ascii="宋体" w:hAnsi="宋体" w:eastAsia="宋体" w:cs="宋体"/>
          <w:color w:val="auto"/>
          <w:highlight w:val="none"/>
        </w:rPr>
      </w:pPr>
    </w:p>
    <w:p w14:paraId="3FFCEDF6">
      <w:pPr>
        <w:pStyle w:val="80"/>
        <w:rPr>
          <w:rFonts w:hint="eastAsia" w:ascii="宋体" w:hAnsi="宋体" w:eastAsia="宋体" w:cs="宋体"/>
          <w:color w:val="auto"/>
          <w:highlight w:val="none"/>
        </w:rPr>
      </w:pPr>
    </w:p>
    <w:p w14:paraId="3F892EC8">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154262E3">
      <w:pPr>
        <w:pStyle w:val="24"/>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474AEA59">
      <w:pPr>
        <w:pStyle w:val="24"/>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4C922F52">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1"/>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60375778">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1"/>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65DE1F11">
      <w:pPr>
        <w:pStyle w:val="24"/>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076C145E">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w:t>
      </w:r>
      <w:r>
        <w:rPr>
          <w:rFonts w:hint="eastAsia" w:ascii="宋体" w:hAnsi="宋体" w:eastAsia="宋体" w:cs="宋体"/>
          <w:color w:val="auto"/>
          <w:kern w:val="2"/>
          <w:sz w:val="24"/>
          <w:highlight w:val="none"/>
        </w:rPr>
        <w:t>鼓励根据项目特点、供应商诚信等因素免收履约保证金或降低缴纳比例。</w:t>
      </w:r>
      <w:r>
        <w:rPr>
          <w:rFonts w:hint="eastAsia" w:ascii="宋体" w:hAnsi="宋体" w:eastAsia="宋体" w:cs="宋体"/>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5DD28227">
      <w:pPr>
        <w:adjustRightInd/>
        <w:spacing w:line="360" w:lineRule="auto"/>
        <w:ind w:firstLine="480" w:firstLineChars="200"/>
        <w:rPr>
          <w:rFonts w:hint="eastAsia" w:ascii="宋体" w:hAnsi="宋体" w:eastAsia="宋体" w:cs="宋体"/>
          <w:color w:val="auto"/>
          <w:kern w:val="2"/>
          <w:sz w:val="24"/>
          <w:highlight w:val="none"/>
          <w:lang w:val="en-US" w:eastAsia="zh-CN"/>
        </w:rPr>
      </w:pPr>
      <w:r>
        <w:rPr>
          <w:rFonts w:hint="eastAsia" w:ascii="宋体" w:hAnsi="宋体" w:eastAsia="宋体" w:cs="宋体"/>
          <w:color w:val="auto"/>
          <w:kern w:val="2"/>
          <w:sz w:val="24"/>
          <w:highlight w:val="none"/>
          <w:lang w:val="en-US" w:eastAsia="zh-CN"/>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5C131172">
      <w:pPr>
        <w:pStyle w:val="24"/>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lang w:val="en-US"/>
        </w:rPr>
        <w:t>27.预付款</w:t>
      </w:r>
    </w:p>
    <w:p w14:paraId="33A3201E">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2"/>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color w:val="auto"/>
          <w:kern w:val="2"/>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宋体" w:hAnsi="宋体" w:eastAsia="宋体" w:cs="宋体"/>
          <w:color w:val="auto"/>
          <w:kern w:val="2"/>
          <w:sz w:val="24"/>
          <w:highlight w:val="none"/>
          <w:lang w:val="en-US" w:eastAsia="zh-CN"/>
        </w:rPr>
        <w:t>95763</w:t>
      </w:r>
      <w:r>
        <w:rPr>
          <w:rFonts w:hint="eastAsia" w:ascii="宋体" w:hAnsi="宋体" w:eastAsia="宋体" w:cs="宋体"/>
          <w:color w:val="auto"/>
          <w:kern w:val="2"/>
          <w:sz w:val="24"/>
          <w:highlight w:val="none"/>
        </w:rPr>
        <w:t>。</w:t>
      </w:r>
    </w:p>
    <w:p w14:paraId="6E0BC2DC">
      <w:pPr>
        <w:rPr>
          <w:rFonts w:hint="eastAsia" w:ascii="宋体" w:hAnsi="宋体" w:eastAsia="宋体" w:cs="宋体"/>
          <w:color w:val="auto"/>
          <w:highlight w:val="none"/>
        </w:rPr>
      </w:pPr>
    </w:p>
    <w:p w14:paraId="37B51C06">
      <w:pPr>
        <w:snapToGrid w:val="0"/>
        <w:spacing w:line="360" w:lineRule="auto"/>
        <w:ind w:firstLine="3357" w:firstLineChars="1045"/>
        <w:rPr>
          <w:rFonts w:hint="eastAsia" w:ascii="宋体" w:hAnsi="宋体" w:eastAsia="宋体" w:cs="宋体"/>
          <w:b/>
          <w:color w:val="auto"/>
          <w:sz w:val="32"/>
          <w:highlight w:val="none"/>
        </w:rPr>
      </w:pPr>
    </w:p>
    <w:p w14:paraId="481E8A98">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73E8DF1F">
      <w:pPr>
        <w:pStyle w:val="131"/>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14:paraId="245A1E2B">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406C9582">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157711D6">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361EE8DB">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6403BCD4">
      <w:pPr>
        <w:pStyle w:val="131"/>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0942080B">
      <w:pPr>
        <w:pStyle w:val="131"/>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spacing w:line="360" w:lineRule="auto"/>
        <w:ind w:firstLine="480"/>
        <w:rPr>
          <w:rFonts w:hint="eastAsia" w:ascii="宋体" w:hAnsi="宋体" w:eastAsia="宋体" w:cs="宋体"/>
          <w:color w:val="auto"/>
          <w:sz w:val="24"/>
          <w:highlight w:val="none"/>
        </w:rPr>
      </w:pPr>
    </w:p>
    <w:p w14:paraId="73AA1853">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3FF2944E">
      <w:pPr>
        <w:pStyle w:val="24"/>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0574A862">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29768"/>
      <w:bookmarkEnd w:id="19"/>
      <w:bookmarkStart w:id="20" w:name="_Hlt68057669"/>
      <w:bookmarkEnd w:id="20"/>
      <w:bookmarkStart w:id="21" w:name="_Hlt74714665"/>
      <w:bookmarkEnd w:id="21"/>
      <w:bookmarkStart w:id="22" w:name="_Hlt75236011"/>
      <w:bookmarkEnd w:id="22"/>
      <w:bookmarkStart w:id="23" w:name="_Hlt74730295"/>
      <w:bookmarkEnd w:id="23"/>
      <w:bookmarkStart w:id="24" w:name="_Hlt75236101"/>
      <w:bookmarkEnd w:id="24"/>
      <w:bookmarkStart w:id="25" w:name="_Hlt68072998"/>
      <w:bookmarkEnd w:id="25"/>
      <w:bookmarkStart w:id="26" w:name="_Hlt68403820"/>
      <w:bookmarkEnd w:id="26"/>
      <w:bookmarkStart w:id="27" w:name="_Hlt68072990"/>
      <w:bookmarkEnd w:id="27"/>
      <w:bookmarkStart w:id="28" w:name="_Hlt75236290"/>
      <w:bookmarkEnd w:id="28"/>
      <w:bookmarkStart w:id="29" w:name="_Hlt68073093"/>
      <w:bookmarkEnd w:id="29"/>
      <w:bookmarkStart w:id="30" w:name="_Hlt74707468"/>
      <w:bookmarkEnd w:id="30"/>
    </w:p>
    <w:p w14:paraId="6708D7E0">
      <w:pPr>
        <w:tabs>
          <w:tab w:val="left" w:pos="0"/>
        </w:tabs>
        <w:spacing w:line="360" w:lineRule="auto"/>
        <w:ind w:firstLine="48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color w:val="auto"/>
          <w:kern w:val="0"/>
          <w:sz w:val="24"/>
          <w:highlight w:val="none"/>
          <w:lang w:val="en-US" w:eastAsia="zh-CN"/>
        </w:rPr>
        <w:t>合同管理</w:t>
      </w:r>
      <w:r>
        <w:rPr>
          <w:rFonts w:hint="eastAsia" w:ascii="宋体" w:hAnsi="宋体" w:eastAsia="宋体" w:cs="宋体"/>
          <w:color w:val="auto"/>
          <w:kern w:val="0"/>
          <w:sz w:val="24"/>
          <w:highlight w:val="none"/>
          <w:lang w:val="en-US"/>
        </w:rPr>
        <w:t>-支付管理。对于供应商提起在线支付申请的，采购</w:t>
      </w:r>
      <w:r>
        <w:rPr>
          <w:rFonts w:hint="eastAsia" w:ascii="宋体" w:hAnsi="宋体" w:eastAsia="宋体" w:cs="宋体"/>
          <w:color w:val="auto"/>
          <w:kern w:val="0"/>
          <w:sz w:val="24"/>
          <w:highlight w:val="none"/>
          <w:lang w:val="en-US" w:eastAsia="zh-CN"/>
        </w:rPr>
        <w:t>人</w:t>
      </w:r>
      <w:r>
        <w:rPr>
          <w:rFonts w:hint="eastAsia" w:ascii="宋体" w:hAnsi="宋体" w:eastAsia="宋体" w:cs="宋体"/>
          <w:color w:val="auto"/>
          <w:kern w:val="0"/>
          <w:sz w:val="24"/>
          <w:highlight w:val="none"/>
          <w:lang w:val="en-US"/>
        </w:rPr>
        <w:t>应当</w:t>
      </w:r>
      <w:r>
        <w:rPr>
          <w:rFonts w:hint="eastAsia" w:ascii="宋体" w:hAnsi="宋体" w:eastAsia="宋体" w:cs="宋体"/>
          <w:color w:val="auto"/>
          <w:kern w:val="0"/>
          <w:sz w:val="24"/>
          <w:highlight w:val="none"/>
          <w:lang w:val="en-US" w:eastAsia="zh-CN"/>
        </w:rPr>
        <w:t>按规定</w:t>
      </w:r>
      <w:r>
        <w:rPr>
          <w:rFonts w:hint="eastAsia" w:ascii="宋体" w:hAnsi="宋体" w:eastAsia="宋体" w:cs="宋体"/>
          <w:color w:val="auto"/>
          <w:kern w:val="0"/>
          <w:sz w:val="24"/>
          <w:highlight w:val="none"/>
          <w:lang w:val="en-US"/>
        </w:rPr>
        <w:t>做好审核并完成支付。</w:t>
      </w:r>
    </w:p>
    <w:p w14:paraId="33C9DCFA">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9696743">
      <w:pPr>
        <w:pStyle w:val="80"/>
        <w:rPr>
          <w:rFonts w:hint="eastAsia" w:ascii="宋体" w:hAnsi="宋体" w:eastAsia="宋体" w:cs="宋体"/>
          <w:color w:val="auto"/>
          <w:highlight w:val="none"/>
        </w:rPr>
        <w:sectPr>
          <w:pgSz w:w="11906" w:h="16838"/>
          <w:pgMar w:top="680" w:right="1418" w:bottom="468" w:left="1418" w:header="851" w:footer="992" w:gutter="0"/>
          <w:pgNumType w:fmt="decimal"/>
          <w:cols w:space="720" w:num="1"/>
          <w:titlePg/>
          <w:docGrid w:linePitch="312" w:charSpace="0"/>
        </w:sectPr>
      </w:pPr>
    </w:p>
    <w:bookmarkEnd w:id="13"/>
    <w:bookmarkEnd w:id="14"/>
    <w:p w14:paraId="75C644A7">
      <w:pPr>
        <w:numPr>
          <w:ilvl w:val="0"/>
          <w:numId w:val="1"/>
        </w:num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 xml:space="preserve">  采购需求</w:t>
      </w:r>
    </w:p>
    <w:p w14:paraId="6C33A953">
      <w:pPr>
        <w:numPr>
          <w:ilvl w:val="0"/>
          <w:numId w:val="2"/>
        </w:numPr>
        <w:bidi w:val="0"/>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项目概述：</w:t>
      </w:r>
    </w:p>
    <w:p w14:paraId="4F345E4D">
      <w:pPr>
        <w:numPr>
          <w:ilvl w:val="0"/>
          <w:numId w:val="0"/>
        </w:numPr>
        <w:tabs>
          <w:tab w:val="left" w:pos="0"/>
        </w:tabs>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本项目为“交钥匙”项目，采购内容包括采购清单中货物采购、运输、装卸、就位、安装、调试、技术培训、检验、通过有关部门验收和相关维护等。投标报价包括设备费、材料费、保管费、安装调试费、招标代理费、培训、税收、售后服务、采购需求中未提到但在实际采购和安装过程中需要配置的各种设备、材料及其他费用等须由中标人支付的所有费用。</w:t>
      </w:r>
    </w:p>
    <w:p w14:paraId="041D256D">
      <w:pPr>
        <w:numPr>
          <w:ilvl w:val="0"/>
          <w:numId w:val="2"/>
        </w:numPr>
        <w:adjustRightInd/>
        <w:spacing w:line="360" w:lineRule="auto"/>
        <w:ind w:left="0" w:leftChars="0" w:firstLine="420" w:firstLineChars="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采购清单</w:t>
      </w:r>
      <w:r>
        <w:rPr>
          <w:rFonts w:hint="eastAsia" w:ascii="宋体" w:hAnsi="宋体" w:eastAsia="宋体" w:cs="宋体"/>
          <w:b/>
          <w:color w:val="auto"/>
          <w:sz w:val="24"/>
          <w:highlight w:val="none"/>
          <w:lang w:eastAsia="zh-CN"/>
        </w:rPr>
        <w:t>及参数</w:t>
      </w:r>
      <w:r>
        <w:rPr>
          <w:rFonts w:hint="eastAsia" w:ascii="宋体" w:hAnsi="宋体" w:eastAsia="宋体" w:cs="宋体"/>
          <w:b/>
          <w:color w:val="auto"/>
          <w:sz w:val="24"/>
          <w:highlight w:val="none"/>
        </w:rPr>
        <w:t>：</w:t>
      </w:r>
    </w:p>
    <w:tbl>
      <w:tblPr>
        <w:tblStyle w:val="62"/>
        <w:tblW w:w="13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2"/>
        <w:gridCol w:w="941"/>
        <w:gridCol w:w="2657"/>
        <w:gridCol w:w="1656"/>
        <w:gridCol w:w="6182"/>
        <w:gridCol w:w="607"/>
        <w:gridCol w:w="782"/>
      </w:tblGrid>
      <w:tr w14:paraId="75C0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2FBB4CF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序号</w:t>
            </w:r>
          </w:p>
        </w:tc>
        <w:tc>
          <w:tcPr>
            <w:tcW w:w="941" w:type="dxa"/>
            <w:shd w:val="clear" w:color="auto" w:fill="auto"/>
            <w:vAlign w:val="center"/>
          </w:tcPr>
          <w:p w14:paraId="5D0AA3F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产品名称</w:t>
            </w:r>
          </w:p>
        </w:tc>
        <w:tc>
          <w:tcPr>
            <w:tcW w:w="2657" w:type="dxa"/>
            <w:shd w:val="clear" w:color="auto" w:fill="auto"/>
            <w:vAlign w:val="center"/>
          </w:tcPr>
          <w:p w14:paraId="13DF30D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参考图片</w:t>
            </w:r>
          </w:p>
        </w:tc>
        <w:tc>
          <w:tcPr>
            <w:tcW w:w="1656" w:type="dxa"/>
            <w:shd w:val="clear" w:color="auto" w:fill="auto"/>
            <w:vAlign w:val="center"/>
          </w:tcPr>
          <w:p w14:paraId="3E9762C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参考规格</w:t>
            </w:r>
          </w:p>
        </w:tc>
        <w:tc>
          <w:tcPr>
            <w:tcW w:w="6182" w:type="dxa"/>
            <w:shd w:val="clear" w:color="auto" w:fill="auto"/>
            <w:vAlign w:val="center"/>
          </w:tcPr>
          <w:p w14:paraId="0D648B8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材质</w:t>
            </w:r>
          </w:p>
        </w:tc>
        <w:tc>
          <w:tcPr>
            <w:tcW w:w="607" w:type="dxa"/>
            <w:shd w:val="clear" w:color="auto" w:fill="auto"/>
            <w:vAlign w:val="center"/>
          </w:tcPr>
          <w:p w14:paraId="55FB7B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单位</w:t>
            </w:r>
          </w:p>
        </w:tc>
        <w:tc>
          <w:tcPr>
            <w:tcW w:w="782" w:type="dxa"/>
            <w:shd w:val="clear" w:color="auto" w:fill="auto"/>
            <w:vAlign w:val="center"/>
          </w:tcPr>
          <w:p w14:paraId="4F3BE2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数量</w:t>
            </w:r>
          </w:p>
        </w:tc>
      </w:tr>
      <w:tr w14:paraId="22DF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1F5FF3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c>
          <w:tcPr>
            <w:tcW w:w="941" w:type="dxa"/>
            <w:shd w:val="clear" w:color="auto" w:fill="auto"/>
            <w:vAlign w:val="center"/>
          </w:tcPr>
          <w:p w14:paraId="7E33397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三人沙发</w:t>
            </w:r>
          </w:p>
        </w:tc>
        <w:tc>
          <w:tcPr>
            <w:tcW w:w="2657" w:type="dxa"/>
            <w:shd w:val="clear" w:color="auto" w:fill="auto"/>
            <w:vAlign w:val="center"/>
          </w:tcPr>
          <w:p w14:paraId="7328A1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color w:val="auto"/>
                <w:highlight w:val="none"/>
              </w:rPr>
              <w:drawing>
                <wp:inline distT="0" distB="0" distL="114300" distR="114300">
                  <wp:extent cx="1429385" cy="680720"/>
                  <wp:effectExtent l="0" t="0" r="18415" b="508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8"/>
                          <a:stretch>
                            <a:fillRect/>
                          </a:stretch>
                        </pic:blipFill>
                        <pic:spPr>
                          <a:xfrm>
                            <a:off x="0" y="0"/>
                            <a:ext cx="1429385" cy="680720"/>
                          </a:xfrm>
                          <a:prstGeom prst="rect">
                            <a:avLst/>
                          </a:prstGeom>
                          <a:noFill/>
                          <a:ln w="9525">
                            <a:noFill/>
                          </a:ln>
                        </pic:spPr>
                      </pic:pic>
                    </a:graphicData>
                  </a:graphic>
                </wp:inline>
              </w:drawing>
            </w:r>
          </w:p>
        </w:tc>
        <w:tc>
          <w:tcPr>
            <w:tcW w:w="1656" w:type="dxa"/>
            <w:shd w:val="clear" w:color="auto" w:fill="auto"/>
            <w:vAlign w:val="center"/>
          </w:tcPr>
          <w:p w14:paraId="0D595B9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2380*950*740</w:t>
            </w:r>
          </w:p>
        </w:tc>
        <w:tc>
          <w:tcPr>
            <w:tcW w:w="6182" w:type="dxa"/>
            <w:shd w:val="clear" w:color="auto" w:fill="auto"/>
            <w:vAlign w:val="center"/>
          </w:tcPr>
          <w:p w14:paraId="5FDF79D0">
            <w:pPr>
              <w:keepNext w:val="0"/>
              <w:keepLines w:val="0"/>
              <w:pageBreakBefore w:val="0"/>
              <w:widowControl/>
              <w:suppressLineNumbers w:val="0"/>
              <w:kinsoku/>
              <w:wordWrap/>
              <w:overflowPunct/>
              <w:topLinePunct w:val="0"/>
              <w:autoSpaceDE/>
              <w:autoSpaceDN/>
              <w:bidi w:val="0"/>
              <w:adjustRightInd w:val="0"/>
              <w:snapToGrid/>
              <w:spacing w:after="313" w:afterLines="10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1、面料：选用超纤皮面料，手感柔软舒适，经液态浸色及防潮、防污等工艺处理。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2、内部框架：采用进口松木实木框架及多层夹板,受力木方规格不小于3*7，经过烘干含水率：6-15%、经防虫、除菌、防腐、防霉处理；夹板符合E1级及以上环保标准，厚度≥15MM ，密度≥ 600KG/m³，含水率：6-15%；12 层经纬交织、高温层压而成，防虫、防霉变。</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3、填充物：高回弹海绵＋蓬松羽绒，表面使用抗老化处理，长时间使用不发黄。满足回弹率高、座感舒适、长时间使用不变形的特性。</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4、沙发工艺：沙发整体比例根据人体形态工程学原理设计制造，满足背垫和座垫之弧度符合人体生理曲线，外形美观、大方，座高和座深合理，坐感舒适。</w:t>
            </w:r>
          </w:p>
        </w:tc>
        <w:tc>
          <w:tcPr>
            <w:tcW w:w="607" w:type="dxa"/>
            <w:shd w:val="clear" w:color="auto" w:fill="auto"/>
            <w:vAlign w:val="center"/>
          </w:tcPr>
          <w:p w14:paraId="7C145F3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251F3C5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1F8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6BEBE12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c>
          <w:tcPr>
            <w:tcW w:w="941" w:type="dxa"/>
            <w:shd w:val="clear" w:color="auto" w:fill="auto"/>
            <w:vAlign w:val="center"/>
          </w:tcPr>
          <w:p w14:paraId="06FC88E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两人沙发</w:t>
            </w:r>
          </w:p>
        </w:tc>
        <w:tc>
          <w:tcPr>
            <w:tcW w:w="2657" w:type="dxa"/>
            <w:shd w:val="clear" w:color="auto" w:fill="auto"/>
            <w:vAlign w:val="center"/>
          </w:tcPr>
          <w:p w14:paraId="656F503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color w:val="auto"/>
                <w:highlight w:val="none"/>
              </w:rPr>
              <w:drawing>
                <wp:inline distT="0" distB="0" distL="114300" distR="114300">
                  <wp:extent cx="1429385" cy="680720"/>
                  <wp:effectExtent l="0" t="0" r="18415" b="5080"/>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28"/>
                          <a:stretch>
                            <a:fillRect/>
                          </a:stretch>
                        </pic:blipFill>
                        <pic:spPr>
                          <a:xfrm>
                            <a:off x="0" y="0"/>
                            <a:ext cx="1429385" cy="680720"/>
                          </a:xfrm>
                          <a:prstGeom prst="rect">
                            <a:avLst/>
                          </a:prstGeom>
                          <a:noFill/>
                          <a:ln w="9525">
                            <a:noFill/>
                          </a:ln>
                        </pic:spPr>
                      </pic:pic>
                    </a:graphicData>
                  </a:graphic>
                </wp:inline>
              </w:drawing>
            </w:r>
          </w:p>
        </w:tc>
        <w:tc>
          <w:tcPr>
            <w:tcW w:w="1656" w:type="dxa"/>
            <w:shd w:val="clear" w:color="auto" w:fill="auto"/>
            <w:vAlign w:val="center"/>
          </w:tcPr>
          <w:p w14:paraId="2674CD3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2000*950*740</w:t>
            </w:r>
          </w:p>
        </w:tc>
        <w:tc>
          <w:tcPr>
            <w:tcW w:w="6182" w:type="dxa"/>
            <w:shd w:val="clear" w:color="auto" w:fill="auto"/>
            <w:vAlign w:val="center"/>
          </w:tcPr>
          <w:p w14:paraId="543142C7">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1、面料：选用超纤皮面料，手感柔软舒适，经液态浸色及防潮、防污等工艺处理。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2、内部框架：采用进口松木实木框架及多层夹板,受力木方规格不小于3*7，经过烘干含水率：6-15%、经防虫、除菌、防腐、防霉处理；夹板符合E1级及以上环保标准，厚度≥15MM ，密度≥ 600KG/m³，含水率：6-15%；12 层经纬交织、高温层压而成，防虫、防霉变。</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3、填充物：高回弹海绵＋蓬松羽绒，表面使用抗老化处理，长时间使用不发黄。满足回弹率高、座感舒适、长时间使用不变形的特性。</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4、沙发工艺：沙发整体比例根据人体形态工程学原理设计制造，满足背垫和座垫之弧度符合人体生理曲线，外形美观、大方，座高和座深合理，坐感舒适。</w:t>
            </w:r>
          </w:p>
        </w:tc>
        <w:tc>
          <w:tcPr>
            <w:tcW w:w="607" w:type="dxa"/>
            <w:shd w:val="clear" w:color="auto" w:fill="auto"/>
            <w:vAlign w:val="center"/>
          </w:tcPr>
          <w:p w14:paraId="6BB949F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2A5B852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4BE0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02BB6A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c>
          <w:tcPr>
            <w:tcW w:w="941" w:type="dxa"/>
            <w:shd w:val="clear" w:color="auto" w:fill="auto"/>
            <w:vAlign w:val="center"/>
          </w:tcPr>
          <w:p w14:paraId="6A28591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休闲椅</w:t>
            </w:r>
          </w:p>
        </w:tc>
        <w:tc>
          <w:tcPr>
            <w:tcW w:w="2657" w:type="dxa"/>
            <w:shd w:val="clear" w:color="auto" w:fill="auto"/>
            <w:vAlign w:val="center"/>
          </w:tcPr>
          <w:p w14:paraId="3C7B1B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389255</wp:posOffset>
                  </wp:positionH>
                  <wp:positionV relativeFrom="paragraph">
                    <wp:posOffset>185420</wp:posOffset>
                  </wp:positionV>
                  <wp:extent cx="969645" cy="882015"/>
                  <wp:effectExtent l="0" t="0" r="1905" b="13335"/>
                  <wp:wrapNone/>
                  <wp:docPr id="55" name="ID_09150B9C29674864B18CF2FD0BED2C63"/>
                  <wp:cNvGraphicFramePr/>
                  <a:graphic xmlns:a="http://schemas.openxmlformats.org/drawingml/2006/main">
                    <a:graphicData uri="http://schemas.openxmlformats.org/drawingml/2006/picture">
                      <pic:pic xmlns:pic="http://schemas.openxmlformats.org/drawingml/2006/picture">
                        <pic:nvPicPr>
                          <pic:cNvPr id="55" name="ID_09150B9C29674864B18CF2FD0BED2C63"/>
                          <pic:cNvPicPr/>
                        </pic:nvPicPr>
                        <pic:blipFill>
                          <a:blip r:embed="rId29"/>
                          <a:stretch>
                            <a:fillRect/>
                          </a:stretch>
                        </pic:blipFill>
                        <pic:spPr>
                          <a:xfrm>
                            <a:off x="0" y="0"/>
                            <a:ext cx="969645" cy="882015"/>
                          </a:xfrm>
                          <a:prstGeom prst="rect">
                            <a:avLst/>
                          </a:prstGeom>
                          <a:noFill/>
                          <a:ln>
                            <a:noFill/>
                          </a:ln>
                        </pic:spPr>
                      </pic:pic>
                    </a:graphicData>
                  </a:graphic>
                </wp:anchor>
              </w:drawing>
            </w:r>
          </w:p>
        </w:tc>
        <w:tc>
          <w:tcPr>
            <w:tcW w:w="1656" w:type="dxa"/>
            <w:shd w:val="clear" w:color="auto" w:fill="auto"/>
            <w:vAlign w:val="center"/>
          </w:tcPr>
          <w:p w14:paraId="7398728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820*800*780</w:t>
            </w:r>
          </w:p>
        </w:tc>
        <w:tc>
          <w:tcPr>
            <w:tcW w:w="6182" w:type="dxa"/>
            <w:shd w:val="clear" w:color="auto" w:fill="auto"/>
            <w:vAlign w:val="center"/>
          </w:tcPr>
          <w:p w14:paraId="774F58D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1、面料：选用超纤皮面料，手感柔软舒适，经液态浸色及防潮、防污等工艺处理。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2、内外框架：采用曲木板一体成型，经过烘干含水率：6-15%、经防虫、除菌、防腐、防霉处理；厚度≥15MM ，高温层压而成，防虫、防霉变。外框采用实木木皮贴面，结合环保漆处理；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3、海绵：高回弹海绵，表面使用抗老化处理，长时间使用不发黄。满足回弹率高、座感舒适、长时间使用不变形的特性。</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4、脚架：采用金属脚</w:t>
            </w:r>
          </w:p>
        </w:tc>
        <w:tc>
          <w:tcPr>
            <w:tcW w:w="607" w:type="dxa"/>
            <w:shd w:val="clear" w:color="auto" w:fill="auto"/>
            <w:vAlign w:val="center"/>
          </w:tcPr>
          <w:p w14:paraId="4318782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7B742BA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92B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059653A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c>
          <w:tcPr>
            <w:tcW w:w="941" w:type="dxa"/>
            <w:shd w:val="clear" w:color="auto" w:fill="auto"/>
            <w:vAlign w:val="center"/>
          </w:tcPr>
          <w:p w14:paraId="63BD2AE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茶几</w:t>
            </w:r>
          </w:p>
        </w:tc>
        <w:tc>
          <w:tcPr>
            <w:tcW w:w="2657" w:type="dxa"/>
            <w:shd w:val="clear" w:color="auto" w:fill="auto"/>
            <w:vAlign w:val="center"/>
          </w:tcPr>
          <w:p w14:paraId="0E744B2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258445</wp:posOffset>
                  </wp:positionH>
                  <wp:positionV relativeFrom="paragraph">
                    <wp:posOffset>335280</wp:posOffset>
                  </wp:positionV>
                  <wp:extent cx="1231900" cy="821055"/>
                  <wp:effectExtent l="0" t="0" r="6350" b="17145"/>
                  <wp:wrapNone/>
                  <wp:docPr id="54" name="ID_81756B46A2664AF19BB2CD51CB0304A5"/>
                  <wp:cNvGraphicFramePr/>
                  <a:graphic xmlns:a="http://schemas.openxmlformats.org/drawingml/2006/main">
                    <a:graphicData uri="http://schemas.openxmlformats.org/drawingml/2006/picture">
                      <pic:pic xmlns:pic="http://schemas.openxmlformats.org/drawingml/2006/picture">
                        <pic:nvPicPr>
                          <pic:cNvPr id="54" name="ID_81756B46A2664AF19BB2CD51CB0304A5"/>
                          <pic:cNvPicPr/>
                        </pic:nvPicPr>
                        <pic:blipFill>
                          <a:blip r:embed="rId30"/>
                          <a:stretch>
                            <a:fillRect/>
                          </a:stretch>
                        </pic:blipFill>
                        <pic:spPr>
                          <a:xfrm>
                            <a:off x="0" y="0"/>
                            <a:ext cx="1231900" cy="821055"/>
                          </a:xfrm>
                          <a:prstGeom prst="rect">
                            <a:avLst/>
                          </a:prstGeom>
                          <a:noFill/>
                          <a:ln>
                            <a:noFill/>
                          </a:ln>
                        </pic:spPr>
                      </pic:pic>
                    </a:graphicData>
                  </a:graphic>
                </wp:anchor>
              </w:drawing>
            </w:r>
          </w:p>
        </w:tc>
        <w:tc>
          <w:tcPr>
            <w:tcW w:w="1656" w:type="dxa"/>
            <w:shd w:val="clear" w:color="auto" w:fill="auto"/>
            <w:vAlign w:val="center"/>
          </w:tcPr>
          <w:p w14:paraId="0A3C9A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1400*700*350</w:t>
            </w:r>
          </w:p>
        </w:tc>
        <w:tc>
          <w:tcPr>
            <w:tcW w:w="6182" w:type="dxa"/>
            <w:shd w:val="clear" w:color="auto" w:fill="auto"/>
            <w:vAlign w:val="center"/>
          </w:tcPr>
          <w:p w14:paraId="7C223169">
            <w:pPr>
              <w:keepNext w:val="0"/>
              <w:keepLines w:val="0"/>
              <w:pageBreakBefore w:val="0"/>
              <w:widowControl/>
              <w:suppressLineNumbers w:val="0"/>
              <w:kinsoku/>
              <w:wordWrap/>
              <w:overflowPunct/>
              <w:topLinePunct w:val="0"/>
              <w:autoSpaceDE/>
              <w:autoSpaceDN/>
              <w:bidi w:val="0"/>
              <w:adjustRightInd w:val="0"/>
              <w:snapToGrid/>
              <w:spacing w:after="313" w:afterLines="10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1.基材：台面基材采用E0级及以上中纤板，含水率≤8%；外贴实木木皮，木皮厚度≥0.6mm，经过防虫防腐处理；具有肌理细密、光滑细腻，耐磨性好，纹理清晰自然，色泽一致等特点；</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vAlign w:val="center"/>
          </w:tcPr>
          <w:p w14:paraId="5C30217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53FDA21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5B75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0001CA8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w:t>
            </w:r>
          </w:p>
        </w:tc>
        <w:tc>
          <w:tcPr>
            <w:tcW w:w="941" w:type="dxa"/>
            <w:shd w:val="clear" w:color="auto" w:fill="auto"/>
            <w:vAlign w:val="center"/>
          </w:tcPr>
          <w:p w14:paraId="712509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边几</w:t>
            </w:r>
          </w:p>
        </w:tc>
        <w:tc>
          <w:tcPr>
            <w:tcW w:w="2657" w:type="dxa"/>
            <w:shd w:val="clear" w:color="auto" w:fill="auto"/>
            <w:vAlign w:val="center"/>
          </w:tcPr>
          <w:p w14:paraId="344F612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271145</wp:posOffset>
                  </wp:positionH>
                  <wp:positionV relativeFrom="paragraph">
                    <wp:posOffset>99695</wp:posOffset>
                  </wp:positionV>
                  <wp:extent cx="1206500" cy="1120140"/>
                  <wp:effectExtent l="0" t="0" r="12700" b="3810"/>
                  <wp:wrapNone/>
                  <wp:docPr id="56" name="ID_81115A8579144EB1A8C45B53727D9B04"/>
                  <wp:cNvGraphicFramePr/>
                  <a:graphic xmlns:a="http://schemas.openxmlformats.org/drawingml/2006/main">
                    <a:graphicData uri="http://schemas.openxmlformats.org/drawingml/2006/picture">
                      <pic:pic xmlns:pic="http://schemas.openxmlformats.org/drawingml/2006/picture">
                        <pic:nvPicPr>
                          <pic:cNvPr id="56" name="ID_81115A8579144EB1A8C45B53727D9B04"/>
                          <pic:cNvPicPr/>
                        </pic:nvPicPr>
                        <pic:blipFill>
                          <a:blip r:embed="rId31"/>
                          <a:stretch>
                            <a:fillRect/>
                          </a:stretch>
                        </pic:blipFill>
                        <pic:spPr>
                          <a:xfrm>
                            <a:off x="0" y="0"/>
                            <a:ext cx="1206500" cy="1120140"/>
                          </a:xfrm>
                          <a:prstGeom prst="rect">
                            <a:avLst/>
                          </a:prstGeom>
                          <a:noFill/>
                          <a:ln>
                            <a:noFill/>
                          </a:ln>
                        </pic:spPr>
                      </pic:pic>
                    </a:graphicData>
                  </a:graphic>
                </wp:anchor>
              </w:drawing>
            </w:r>
          </w:p>
        </w:tc>
        <w:tc>
          <w:tcPr>
            <w:tcW w:w="1656" w:type="dxa"/>
            <w:shd w:val="clear" w:color="auto" w:fill="auto"/>
            <w:vAlign w:val="center"/>
          </w:tcPr>
          <w:p w14:paraId="7846C86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φ530*420</w:t>
            </w:r>
          </w:p>
        </w:tc>
        <w:tc>
          <w:tcPr>
            <w:tcW w:w="6182" w:type="dxa"/>
            <w:shd w:val="clear" w:color="auto" w:fill="auto"/>
            <w:vAlign w:val="center"/>
          </w:tcPr>
          <w:p w14:paraId="0A7B863C">
            <w:pPr>
              <w:keepNext w:val="0"/>
              <w:keepLines w:val="0"/>
              <w:pageBreakBefore w:val="0"/>
              <w:widowControl/>
              <w:numPr>
                <w:ilvl w:val="0"/>
                <w:numId w:val="3"/>
              </w:numPr>
              <w:suppressLineNumbers w:val="0"/>
              <w:kinsoku/>
              <w:wordWrap/>
              <w:overflowPunct/>
              <w:topLinePunct w:val="0"/>
              <w:autoSpaceDE/>
              <w:autoSpaceDN/>
              <w:bidi w:val="0"/>
              <w:adjustRightInd w:val="0"/>
              <w:snapToGrid/>
              <w:spacing w:after="313" w:afterLines="10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基材：台面基材采用E0级及以上中纤板，含水率≤8%；外贴实木木皮，木皮厚度≥0.6mm，经过防虫防腐处理；具有肌理细密、光滑细腻，耐磨性好，纹理清晰自然，色泽一致等特点；</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vAlign w:val="center"/>
          </w:tcPr>
          <w:p w14:paraId="66767A6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6094FE6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20F8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0C3DD83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c>
          <w:tcPr>
            <w:tcW w:w="941" w:type="dxa"/>
            <w:shd w:val="clear" w:color="auto" w:fill="auto"/>
            <w:vAlign w:val="center"/>
          </w:tcPr>
          <w:p w14:paraId="172A598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定制格栅</w:t>
            </w:r>
          </w:p>
        </w:tc>
        <w:tc>
          <w:tcPr>
            <w:tcW w:w="2657" w:type="dxa"/>
            <w:shd w:val="clear" w:color="auto" w:fill="auto"/>
            <w:vAlign w:val="center"/>
          </w:tcPr>
          <w:p w14:paraId="6BCB72B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273050</wp:posOffset>
                  </wp:positionH>
                  <wp:positionV relativeFrom="paragraph">
                    <wp:posOffset>-145415</wp:posOffset>
                  </wp:positionV>
                  <wp:extent cx="993775" cy="1133475"/>
                  <wp:effectExtent l="0" t="0" r="15875" b="9525"/>
                  <wp:wrapNone/>
                  <wp:docPr id="53" name="ID_CE97A779945640FC80D4DB0CBE7E2553"/>
                  <wp:cNvGraphicFramePr/>
                  <a:graphic xmlns:a="http://schemas.openxmlformats.org/drawingml/2006/main">
                    <a:graphicData uri="http://schemas.openxmlformats.org/drawingml/2006/picture">
                      <pic:pic xmlns:pic="http://schemas.openxmlformats.org/drawingml/2006/picture">
                        <pic:nvPicPr>
                          <pic:cNvPr id="53" name="ID_CE97A779945640FC80D4DB0CBE7E2553"/>
                          <pic:cNvPicPr/>
                        </pic:nvPicPr>
                        <pic:blipFill>
                          <a:blip r:embed="rId32"/>
                          <a:stretch>
                            <a:fillRect/>
                          </a:stretch>
                        </pic:blipFill>
                        <pic:spPr>
                          <a:xfrm>
                            <a:off x="0" y="0"/>
                            <a:ext cx="993775" cy="1133475"/>
                          </a:xfrm>
                          <a:prstGeom prst="rect">
                            <a:avLst/>
                          </a:prstGeom>
                          <a:noFill/>
                          <a:ln>
                            <a:noFill/>
                          </a:ln>
                        </pic:spPr>
                      </pic:pic>
                    </a:graphicData>
                  </a:graphic>
                </wp:anchor>
              </w:drawing>
            </w:r>
          </w:p>
        </w:tc>
        <w:tc>
          <w:tcPr>
            <w:tcW w:w="1656" w:type="dxa"/>
            <w:shd w:val="clear" w:color="auto" w:fill="auto"/>
            <w:vAlign w:val="center"/>
          </w:tcPr>
          <w:p w14:paraId="61939D3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4200*100*3200</w:t>
            </w:r>
          </w:p>
        </w:tc>
        <w:tc>
          <w:tcPr>
            <w:tcW w:w="6182" w:type="dxa"/>
            <w:shd w:val="clear" w:color="auto" w:fill="auto"/>
            <w:vAlign w:val="center"/>
          </w:tcPr>
          <w:p w14:paraId="61805BD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1.基材:整体框架采用白蜡木实木制作，木材进行烘干及防蛀处理；抗压力强、木性坚韧、耐腐蚀性强，质地坚硬，不易吸水，强度大，不翘曲、变形，无节疤，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2.面料：面料覆面，干摩擦色牢度≥3级，防霉性能等级达到0级，TVOC未检出；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3.油漆：采用木器专用漆，甲醛释放量符合国家标准要求；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4.固定方式；顶部采用预埋螺杆固定，底部采用环保玻璃胶固定；</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5.技术说明：使用绿色环保材料，木材和板材须经专业干燥处理，拼贴严密、平整、无裂纹、压痕和划伤，倒棱、圆角均匀一致。</w:t>
            </w:r>
          </w:p>
        </w:tc>
        <w:tc>
          <w:tcPr>
            <w:tcW w:w="607" w:type="dxa"/>
            <w:shd w:val="clear" w:color="auto" w:fill="auto"/>
            <w:vAlign w:val="center"/>
          </w:tcPr>
          <w:p w14:paraId="4673B5A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c>
          <w:tcPr>
            <w:tcW w:w="782" w:type="dxa"/>
            <w:shd w:val="clear" w:color="auto" w:fill="auto"/>
            <w:vAlign w:val="center"/>
          </w:tcPr>
          <w:p w14:paraId="3270D9F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13.4</w:t>
            </w:r>
          </w:p>
        </w:tc>
      </w:tr>
      <w:tr w14:paraId="0C3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2EE8472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c>
          <w:tcPr>
            <w:tcW w:w="941" w:type="dxa"/>
            <w:shd w:val="clear" w:color="auto" w:fill="auto"/>
            <w:vAlign w:val="center"/>
          </w:tcPr>
          <w:p w14:paraId="14A8FFD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定制格栅</w:t>
            </w:r>
          </w:p>
        </w:tc>
        <w:tc>
          <w:tcPr>
            <w:tcW w:w="2657" w:type="dxa"/>
            <w:shd w:val="clear" w:color="auto" w:fill="auto"/>
            <w:vAlign w:val="center"/>
          </w:tcPr>
          <w:p w14:paraId="08C36C3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461645</wp:posOffset>
                  </wp:positionH>
                  <wp:positionV relativeFrom="paragraph">
                    <wp:posOffset>144780</wp:posOffset>
                  </wp:positionV>
                  <wp:extent cx="687070" cy="1295400"/>
                  <wp:effectExtent l="0" t="0" r="17780" b="0"/>
                  <wp:wrapNone/>
                  <wp:docPr id="57" name="ID_5042B4E9893C4139BD4D85B01C1F78D9"/>
                  <wp:cNvGraphicFramePr/>
                  <a:graphic xmlns:a="http://schemas.openxmlformats.org/drawingml/2006/main">
                    <a:graphicData uri="http://schemas.openxmlformats.org/drawingml/2006/picture">
                      <pic:pic xmlns:pic="http://schemas.openxmlformats.org/drawingml/2006/picture">
                        <pic:nvPicPr>
                          <pic:cNvPr id="57" name="ID_5042B4E9893C4139BD4D85B01C1F78D9"/>
                          <pic:cNvPicPr/>
                        </pic:nvPicPr>
                        <pic:blipFill>
                          <a:blip r:embed="rId33"/>
                          <a:stretch>
                            <a:fillRect/>
                          </a:stretch>
                        </pic:blipFill>
                        <pic:spPr>
                          <a:xfrm>
                            <a:off x="0" y="0"/>
                            <a:ext cx="687070" cy="1295400"/>
                          </a:xfrm>
                          <a:prstGeom prst="rect">
                            <a:avLst/>
                          </a:prstGeom>
                          <a:noFill/>
                          <a:ln>
                            <a:noFill/>
                          </a:ln>
                        </pic:spPr>
                      </pic:pic>
                    </a:graphicData>
                  </a:graphic>
                </wp:anchor>
              </w:drawing>
            </w:r>
          </w:p>
        </w:tc>
        <w:tc>
          <w:tcPr>
            <w:tcW w:w="1656" w:type="dxa"/>
            <w:shd w:val="clear" w:color="auto" w:fill="auto"/>
            <w:vAlign w:val="center"/>
          </w:tcPr>
          <w:p w14:paraId="2C13F70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1600*100*3200</w:t>
            </w:r>
          </w:p>
        </w:tc>
        <w:tc>
          <w:tcPr>
            <w:tcW w:w="6182" w:type="dxa"/>
            <w:shd w:val="clear" w:color="auto" w:fill="auto"/>
            <w:vAlign w:val="center"/>
          </w:tcPr>
          <w:p w14:paraId="7595FA0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1.基材:整体框架采用白蜡木实木制作，木材进行烘干及防蛀处理；抗压力强、木性坚韧、耐腐蚀性强，质地坚硬，不易吸水，强度大，不翘曲、变形，无节疤，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2.面料：面料覆面，干摩擦色牢度≥3级，防霉性能等级达到0级，TVOC未检出；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3.油漆：采用木器专用漆，甲醛释放量符合国家标准要求；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4.固定方式；顶部采用预埋螺杆固定，底部采用环保玻璃胶固定；</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5.技术说明：使用绿色环保材料，木材和板材须经专业干燥处理，拼贴严密、平整、无裂纹、压痕和划伤，倒棱、圆角均匀一致。</w:t>
            </w:r>
          </w:p>
        </w:tc>
        <w:tc>
          <w:tcPr>
            <w:tcW w:w="607" w:type="dxa"/>
            <w:shd w:val="clear" w:color="auto" w:fill="auto"/>
            <w:vAlign w:val="center"/>
          </w:tcPr>
          <w:p w14:paraId="424AAD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平方</w:t>
            </w:r>
          </w:p>
        </w:tc>
        <w:tc>
          <w:tcPr>
            <w:tcW w:w="782" w:type="dxa"/>
            <w:shd w:val="clear" w:color="auto" w:fill="auto"/>
            <w:vAlign w:val="center"/>
          </w:tcPr>
          <w:p w14:paraId="0763600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10.2</w:t>
            </w:r>
          </w:p>
        </w:tc>
      </w:tr>
      <w:tr w14:paraId="6C1A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179506C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w:t>
            </w:r>
          </w:p>
        </w:tc>
        <w:tc>
          <w:tcPr>
            <w:tcW w:w="941" w:type="dxa"/>
            <w:shd w:val="clear" w:color="auto" w:fill="auto"/>
            <w:vAlign w:val="center"/>
          </w:tcPr>
          <w:p w14:paraId="19E5ECE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定制玄关</w:t>
            </w:r>
          </w:p>
        </w:tc>
        <w:tc>
          <w:tcPr>
            <w:tcW w:w="2657" w:type="dxa"/>
            <w:shd w:val="clear" w:color="auto" w:fill="auto"/>
            <w:vAlign w:val="center"/>
          </w:tcPr>
          <w:p w14:paraId="190DE3A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-56515</wp:posOffset>
                  </wp:positionH>
                  <wp:positionV relativeFrom="paragraph">
                    <wp:posOffset>307975</wp:posOffset>
                  </wp:positionV>
                  <wp:extent cx="1657985" cy="361950"/>
                  <wp:effectExtent l="0" t="0" r="18415" b="0"/>
                  <wp:wrapNone/>
                  <wp:docPr id="58" name="ID_132969366F2C43BC8B3E4CF715B1FB80"/>
                  <wp:cNvGraphicFramePr/>
                  <a:graphic xmlns:a="http://schemas.openxmlformats.org/drawingml/2006/main">
                    <a:graphicData uri="http://schemas.openxmlformats.org/drawingml/2006/picture">
                      <pic:pic xmlns:pic="http://schemas.openxmlformats.org/drawingml/2006/picture">
                        <pic:nvPicPr>
                          <pic:cNvPr id="58" name="ID_132969366F2C43BC8B3E4CF715B1FB80"/>
                          <pic:cNvPicPr/>
                        </pic:nvPicPr>
                        <pic:blipFill>
                          <a:blip r:embed="rId34"/>
                          <a:stretch>
                            <a:fillRect/>
                          </a:stretch>
                        </pic:blipFill>
                        <pic:spPr>
                          <a:xfrm>
                            <a:off x="0" y="0"/>
                            <a:ext cx="1657985" cy="361950"/>
                          </a:xfrm>
                          <a:prstGeom prst="rect">
                            <a:avLst/>
                          </a:prstGeom>
                          <a:noFill/>
                          <a:ln>
                            <a:noFill/>
                          </a:ln>
                        </pic:spPr>
                      </pic:pic>
                    </a:graphicData>
                  </a:graphic>
                </wp:anchor>
              </w:drawing>
            </w:r>
          </w:p>
        </w:tc>
        <w:tc>
          <w:tcPr>
            <w:tcW w:w="1656" w:type="dxa"/>
            <w:shd w:val="clear" w:color="auto" w:fill="auto"/>
            <w:vAlign w:val="center"/>
          </w:tcPr>
          <w:p w14:paraId="18DD7AF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4200*400*800</w:t>
            </w:r>
          </w:p>
        </w:tc>
        <w:tc>
          <w:tcPr>
            <w:tcW w:w="6182" w:type="dxa"/>
            <w:shd w:val="clear" w:color="auto" w:fill="auto"/>
            <w:vAlign w:val="center"/>
          </w:tcPr>
          <w:p w14:paraId="4440748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vAlign w:val="center"/>
          </w:tcPr>
          <w:p w14:paraId="4F595D4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vAlign w:val="center"/>
          </w:tcPr>
          <w:p w14:paraId="7897B44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1361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4FD728C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c>
          <w:tcPr>
            <w:tcW w:w="941" w:type="dxa"/>
            <w:shd w:val="clear" w:color="auto" w:fill="auto"/>
            <w:vAlign w:val="center"/>
          </w:tcPr>
          <w:p w14:paraId="03F2F46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博古花架</w:t>
            </w:r>
          </w:p>
        </w:tc>
        <w:tc>
          <w:tcPr>
            <w:tcW w:w="2657" w:type="dxa"/>
            <w:shd w:val="clear" w:color="auto" w:fill="auto"/>
            <w:vAlign w:val="center"/>
          </w:tcPr>
          <w:p w14:paraId="581CCA0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455930</wp:posOffset>
                  </wp:positionH>
                  <wp:positionV relativeFrom="paragraph">
                    <wp:posOffset>-12065</wp:posOffset>
                  </wp:positionV>
                  <wp:extent cx="605155" cy="1210945"/>
                  <wp:effectExtent l="0" t="0" r="4445" b="8255"/>
                  <wp:wrapNone/>
                  <wp:docPr id="81" name="ID_D780832BFC8A4A8F8F9E736348081613"/>
                  <wp:cNvGraphicFramePr/>
                  <a:graphic xmlns:a="http://schemas.openxmlformats.org/drawingml/2006/main">
                    <a:graphicData uri="http://schemas.openxmlformats.org/drawingml/2006/picture">
                      <pic:pic xmlns:pic="http://schemas.openxmlformats.org/drawingml/2006/picture">
                        <pic:nvPicPr>
                          <pic:cNvPr id="81" name="ID_D780832BFC8A4A8F8F9E736348081613"/>
                          <pic:cNvPicPr/>
                        </pic:nvPicPr>
                        <pic:blipFill>
                          <a:blip r:embed="rId35"/>
                          <a:stretch>
                            <a:fillRect/>
                          </a:stretch>
                        </pic:blipFill>
                        <pic:spPr>
                          <a:xfrm>
                            <a:off x="0" y="0"/>
                            <a:ext cx="605155" cy="1210945"/>
                          </a:xfrm>
                          <a:prstGeom prst="rect">
                            <a:avLst/>
                          </a:prstGeom>
                          <a:noFill/>
                          <a:ln>
                            <a:noFill/>
                          </a:ln>
                        </pic:spPr>
                      </pic:pic>
                    </a:graphicData>
                  </a:graphic>
                </wp:anchor>
              </w:drawing>
            </w:r>
          </w:p>
        </w:tc>
        <w:tc>
          <w:tcPr>
            <w:tcW w:w="1656" w:type="dxa"/>
            <w:shd w:val="clear" w:color="auto" w:fill="auto"/>
            <w:vAlign w:val="center"/>
          </w:tcPr>
          <w:p w14:paraId="1CD541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450*450*900</w:t>
            </w:r>
          </w:p>
        </w:tc>
        <w:tc>
          <w:tcPr>
            <w:tcW w:w="6182" w:type="dxa"/>
            <w:shd w:val="clear" w:color="auto" w:fill="auto"/>
            <w:vAlign w:val="center"/>
          </w:tcPr>
          <w:p w14:paraId="4ACC883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1.基材：整体框架采用白蜡木实木制作，木材进行烘干及防蛀处理；抗压力强、木性坚韧、耐腐蚀性强，质地坚硬，不易吸水，强度大，不翘曲、变形，无节疤，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2.油漆：采用木器专用漆，甲醛释放量符合国家标准要求；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3.技术说明：使用绿色环保材料，木材和板材须经专业干燥处理，拼贴严密、平整、无裂纹、压痕和划伤，倒棱、圆角均匀一致。</w:t>
            </w:r>
          </w:p>
        </w:tc>
        <w:tc>
          <w:tcPr>
            <w:tcW w:w="607" w:type="dxa"/>
            <w:shd w:val="clear" w:color="auto" w:fill="auto"/>
            <w:vAlign w:val="center"/>
          </w:tcPr>
          <w:p w14:paraId="52FB0C6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57B80AC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7913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18A378C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w:t>
            </w:r>
          </w:p>
        </w:tc>
        <w:tc>
          <w:tcPr>
            <w:tcW w:w="941" w:type="dxa"/>
            <w:shd w:val="clear" w:color="auto" w:fill="auto"/>
            <w:vAlign w:val="center"/>
          </w:tcPr>
          <w:p w14:paraId="511C441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定制阶梯式书架</w:t>
            </w:r>
          </w:p>
        </w:tc>
        <w:tc>
          <w:tcPr>
            <w:tcW w:w="2657" w:type="dxa"/>
            <w:shd w:val="clear" w:color="auto" w:fill="auto"/>
            <w:noWrap/>
            <w:vAlign w:val="center"/>
          </w:tcPr>
          <w:p w14:paraId="7B5C3F4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anchor distT="0" distB="0" distL="114300" distR="114300" simplePos="0" relativeHeight="251662336" behindDoc="0" locked="0" layoutInCell="1" allowOverlap="1">
                  <wp:simplePos x="0" y="0"/>
                  <wp:positionH relativeFrom="column">
                    <wp:posOffset>-29845</wp:posOffset>
                  </wp:positionH>
                  <wp:positionV relativeFrom="paragraph">
                    <wp:posOffset>44450</wp:posOffset>
                  </wp:positionV>
                  <wp:extent cx="1617345" cy="1303020"/>
                  <wp:effectExtent l="0" t="0" r="1905" b="11430"/>
                  <wp:wrapNone/>
                  <wp:docPr id="78" name="ID_2BF24B50E70A4BAABD159DAC33409D1E"/>
                  <wp:cNvGraphicFramePr/>
                  <a:graphic xmlns:a="http://schemas.openxmlformats.org/drawingml/2006/main">
                    <a:graphicData uri="http://schemas.openxmlformats.org/drawingml/2006/picture">
                      <pic:pic xmlns:pic="http://schemas.openxmlformats.org/drawingml/2006/picture">
                        <pic:nvPicPr>
                          <pic:cNvPr id="78" name="ID_2BF24B50E70A4BAABD159DAC33409D1E"/>
                          <pic:cNvPicPr/>
                        </pic:nvPicPr>
                        <pic:blipFill>
                          <a:blip r:embed="rId36"/>
                          <a:stretch>
                            <a:fillRect/>
                          </a:stretch>
                        </pic:blipFill>
                        <pic:spPr>
                          <a:xfrm>
                            <a:off x="0" y="0"/>
                            <a:ext cx="1617345" cy="1303020"/>
                          </a:xfrm>
                          <a:prstGeom prst="rect">
                            <a:avLst/>
                          </a:prstGeom>
                          <a:noFill/>
                          <a:ln>
                            <a:noFill/>
                          </a:ln>
                        </pic:spPr>
                      </pic:pic>
                    </a:graphicData>
                  </a:graphic>
                </wp:anchor>
              </w:drawing>
            </w:r>
          </w:p>
        </w:tc>
        <w:tc>
          <w:tcPr>
            <w:tcW w:w="1656" w:type="dxa"/>
            <w:shd w:val="clear" w:color="auto" w:fill="auto"/>
            <w:vAlign w:val="center"/>
          </w:tcPr>
          <w:p w14:paraId="08B6945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2400*1200*1300</w:t>
            </w:r>
          </w:p>
        </w:tc>
        <w:tc>
          <w:tcPr>
            <w:tcW w:w="6182" w:type="dxa"/>
            <w:shd w:val="clear" w:color="auto" w:fill="auto"/>
            <w:vAlign w:val="center"/>
          </w:tcPr>
          <w:p w14:paraId="6B40244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vAlign w:val="center"/>
          </w:tcPr>
          <w:p w14:paraId="0E222AE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vAlign w:val="center"/>
          </w:tcPr>
          <w:p w14:paraId="4B9CFC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67F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582A8CD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11</w:t>
            </w:r>
          </w:p>
        </w:tc>
        <w:tc>
          <w:tcPr>
            <w:tcW w:w="941" w:type="dxa"/>
            <w:shd w:val="clear" w:color="auto" w:fill="auto"/>
            <w:noWrap/>
            <w:vAlign w:val="center"/>
          </w:tcPr>
          <w:p w14:paraId="7EF18722">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阅览桌</w:t>
            </w:r>
          </w:p>
          <w:p w14:paraId="4865998B">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（提供样品）</w:t>
            </w:r>
          </w:p>
        </w:tc>
        <w:tc>
          <w:tcPr>
            <w:tcW w:w="2657" w:type="dxa"/>
            <w:shd w:val="clear" w:color="auto" w:fill="auto"/>
            <w:noWrap/>
            <w:vAlign w:val="center"/>
          </w:tcPr>
          <w:p w14:paraId="6D85500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lang w:eastAsia="zh-CN"/>
              </w:rPr>
            </w:pPr>
            <w:r>
              <w:rPr>
                <w:rFonts w:hint="eastAsia" w:ascii="宋体" w:hAnsi="宋体" w:eastAsia="宋体" w:cs="宋体"/>
                <w:i w:val="0"/>
                <w:iCs w:val="0"/>
                <w:color w:val="auto"/>
                <w:sz w:val="16"/>
                <w:szCs w:val="16"/>
                <w:highlight w:val="none"/>
                <w:u w:val="none"/>
                <w:lang w:eastAsia="zh-CN"/>
              </w:rPr>
              <w:drawing>
                <wp:inline distT="0" distB="0" distL="114300" distR="114300">
                  <wp:extent cx="1075690" cy="1487805"/>
                  <wp:effectExtent l="0" t="0" r="10160" b="17145"/>
                  <wp:docPr id="17" name="图片 17" descr="141e7c2cf2a371b9716ff1b3067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1e7c2cf2a371b9716ff1b3067006a"/>
                          <pic:cNvPicPr>
                            <a:picLocks noChangeAspect="1"/>
                          </pic:cNvPicPr>
                        </pic:nvPicPr>
                        <pic:blipFill>
                          <a:blip r:embed="rId37"/>
                          <a:stretch>
                            <a:fillRect/>
                          </a:stretch>
                        </pic:blipFill>
                        <pic:spPr>
                          <a:xfrm>
                            <a:off x="0" y="0"/>
                            <a:ext cx="1075690" cy="1487805"/>
                          </a:xfrm>
                          <a:prstGeom prst="rect">
                            <a:avLst/>
                          </a:prstGeom>
                        </pic:spPr>
                      </pic:pic>
                    </a:graphicData>
                  </a:graphic>
                </wp:inline>
              </w:drawing>
            </w:r>
          </w:p>
        </w:tc>
        <w:tc>
          <w:tcPr>
            <w:tcW w:w="1656" w:type="dxa"/>
            <w:shd w:val="clear" w:color="auto" w:fill="auto"/>
            <w:noWrap/>
            <w:vAlign w:val="center"/>
          </w:tcPr>
          <w:p w14:paraId="3C03B70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2400*1200*7</w:t>
            </w:r>
            <w:r>
              <w:rPr>
                <w:rFonts w:hint="eastAsia" w:ascii="宋体" w:hAnsi="宋体" w:cs="宋体"/>
                <w:i w:val="0"/>
                <w:iCs w:val="0"/>
                <w:color w:val="auto"/>
                <w:kern w:val="0"/>
                <w:sz w:val="16"/>
                <w:szCs w:val="16"/>
                <w:highlight w:val="none"/>
                <w:u w:val="none"/>
                <w:lang w:val="en-US" w:eastAsia="zh-CN" w:bidi="ar"/>
              </w:rPr>
              <w:t>5</w:t>
            </w:r>
            <w:r>
              <w:rPr>
                <w:rFonts w:hint="eastAsia" w:ascii="宋体" w:hAnsi="宋体" w:eastAsia="宋体" w:cs="宋体"/>
                <w:i w:val="0"/>
                <w:iCs w:val="0"/>
                <w:color w:val="auto"/>
                <w:kern w:val="0"/>
                <w:sz w:val="16"/>
                <w:szCs w:val="16"/>
                <w:highlight w:val="none"/>
                <w:u w:val="none"/>
                <w:lang w:val="en-US" w:eastAsia="zh-CN" w:bidi="ar"/>
              </w:rPr>
              <w:t>0</w:t>
            </w:r>
          </w:p>
        </w:tc>
        <w:tc>
          <w:tcPr>
            <w:tcW w:w="6182" w:type="dxa"/>
            <w:shd w:val="clear" w:color="auto" w:fill="auto"/>
            <w:vAlign w:val="center"/>
          </w:tcPr>
          <w:p w14:paraId="4FB427A8">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1.基材：台面采用</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25mm多层板贴橡木皮制作。木材甲醛释放量、含水率符合国家标准，经防腐、防虫、防潮处理；木纹流畅，色泽一致，完整干净、无瑕疵，颜色均匀平整；台面导圆</w:t>
            </w:r>
            <w:r>
              <w:rPr>
                <w:rFonts w:hint="eastAsia" w:ascii="宋体" w:hAnsi="宋体" w:cs="宋体"/>
                <w:i w:val="0"/>
                <w:iCs w:val="0"/>
                <w:color w:val="auto"/>
                <w:kern w:val="0"/>
                <w:sz w:val="16"/>
                <w:szCs w:val="16"/>
                <w:highlight w:val="none"/>
                <w:u w:val="none"/>
                <w:lang w:val="en-US" w:eastAsia="zh-CN" w:bidi="ar"/>
              </w:rPr>
              <w:t>弧</w:t>
            </w:r>
            <w:r>
              <w:rPr>
                <w:rFonts w:hint="eastAsia" w:ascii="宋体" w:hAnsi="宋体" w:eastAsia="宋体" w:cs="宋体"/>
                <w:i w:val="0"/>
                <w:iCs w:val="0"/>
                <w:color w:val="auto"/>
                <w:kern w:val="0"/>
                <w:sz w:val="16"/>
                <w:szCs w:val="16"/>
                <w:highlight w:val="none"/>
                <w:u w:val="none"/>
                <w:lang w:val="en-US" w:eastAsia="zh-CN" w:bidi="ar"/>
              </w:rPr>
              <w:t>处理；</w:t>
            </w:r>
          </w:p>
          <w:p w14:paraId="6A2AF247">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p w14:paraId="0F7F6A1E">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3、桌脚：钢脚管外包橡胶木原木锥形脚上尺寸</w:t>
            </w:r>
            <w:r>
              <w:rPr>
                <w:rFonts w:hint="eastAsia" w:ascii="宋体" w:hAnsi="宋体" w:cs="宋体"/>
                <w:i w:val="0"/>
                <w:iCs w:val="0"/>
                <w:color w:val="auto"/>
                <w:kern w:val="0"/>
                <w:sz w:val="16"/>
                <w:szCs w:val="16"/>
                <w:highlight w:val="none"/>
                <w:u w:val="none"/>
                <w:lang w:val="en-US" w:eastAsia="zh-CN" w:bidi="ar"/>
              </w:rPr>
              <w:t>不小于</w:t>
            </w:r>
            <w:r>
              <w:rPr>
                <w:rFonts w:hint="eastAsia" w:ascii="宋体" w:hAnsi="宋体" w:eastAsia="宋体" w:cs="宋体"/>
                <w:i w:val="0"/>
                <w:iCs w:val="0"/>
                <w:color w:val="auto"/>
                <w:kern w:val="0"/>
                <w:sz w:val="16"/>
                <w:szCs w:val="16"/>
                <w:highlight w:val="none"/>
                <w:u w:val="none"/>
                <w:lang w:val="en-US" w:eastAsia="zh-CN" w:bidi="ar"/>
              </w:rPr>
              <w:t>65*50</w:t>
            </w:r>
            <w:r>
              <w:rPr>
                <w:rFonts w:hint="eastAsia" w:ascii="宋体" w:hAnsi="宋体" w:cs="宋体"/>
                <w:i w:val="0"/>
                <w:iCs w:val="0"/>
                <w:color w:val="auto"/>
                <w:kern w:val="0"/>
                <w:sz w:val="16"/>
                <w:szCs w:val="16"/>
                <w:highlight w:val="none"/>
                <w:u w:val="none"/>
                <w:lang w:val="en-US" w:eastAsia="zh-CN" w:bidi="ar"/>
              </w:rPr>
              <w:t>mm</w:t>
            </w:r>
            <w:r>
              <w:rPr>
                <w:rFonts w:hint="eastAsia" w:ascii="宋体" w:hAnsi="宋体" w:eastAsia="宋体" w:cs="宋体"/>
                <w:i w:val="0"/>
                <w:iCs w:val="0"/>
                <w:color w:val="auto"/>
                <w:kern w:val="0"/>
                <w:sz w:val="16"/>
                <w:szCs w:val="16"/>
                <w:highlight w:val="none"/>
                <w:u w:val="none"/>
                <w:lang w:val="en-US" w:eastAsia="zh-CN" w:bidi="ar"/>
              </w:rPr>
              <w:t>下</w:t>
            </w:r>
            <w:r>
              <w:rPr>
                <w:rFonts w:hint="eastAsia" w:ascii="宋体" w:hAnsi="宋体" w:cs="宋体"/>
                <w:i w:val="0"/>
                <w:iCs w:val="0"/>
                <w:color w:val="auto"/>
                <w:kern w:val="0"/>
                <w:sz w:val="16"/>
                <w:szCs w:val="16"/>
                <w:highlight w:val="none"/>
                <w:u w:val="none"/>
                <w:lang w:val="en-US" w:eastAsia="zh-CN" w:bidi="ar"/>
              </w:rPr>
              <w:t>尺寸不小于</w:t>
            </w:r>
            <w:r>
              <w:rPr>
                <w:rFonts w:hint="eastAsia" w:ascii="宋体" w:hAnsi="宋体" w:eastAsia="宋体" w:cs="宋体"/>
                <w:i w:val="0"/>
                <w:iCs w:val="0"/>
                <w:color w:val="auto"/>
                <w:kern w:val="0"/>
                <w:sz w:val="16"/>
                <w:szCs w:val="16"/>
                <w:highlight w:val="none"/>
                <w:u w:val="none"/>
                <w:lang w:val="en-US" w:eastAsia="zh-CN" w:bidi="ar"/>
              </w:rPr>
              <w:t>40*50</w:t>
            </w:r>
            <w:r>
              <w:rPr>
                <w:rFonts w:hint="eastAsia" w:ascii="宋体" w:hAnsi="宋体" w:cs="宋体"/>
                <w:i w:val="0"/>
                <w:iCs w:val="0"/>
                <w:color w:val="auto"/>
                <w:kern w:val="0"/>
                <w:sz w:val="16"/>
                <w:szCs w:val="16"/>
                <w:highlight w:val="none"/>
                <w:u w:val="none"/>
                <w:lang w:val="en-US" w:eastAsia="zh-CN" w:bidi="ar"/>
              </w:rPr>
              <w:t>mm</w:t>
            </w:r>
            <w:r>
              <w:rPr>
                <w:rFonts w:hint="eastAsia" w:ascii="宋体" w:hAnsi="宋体" w:eastAsia="宋体" w:cs="宋体"/>
                <w:i w:val="0"/>
                <w:iCs w:val="0"/>
                <w:color w:val="auto"/>
                <w:kern w:val="0"/>
                <w:sz w:val="16"/>
                <w:szCs w:val="16"/>
                <w:highlight w:val="none"/>
                <w:u w:val="none"/>
                <w:lang w:val="en-US" w:eastAsia="zh-CN" w:bidi="ar"/>
              </w:rPr>
              <w:t>，侧脚与横梁采用</w:t>
            </w:r>
            <w:r>
              <w:rPr>
                <w:rFonts w:hint="eastAsia" w:ascii="宋体" w:hAnsi="宋体" w:cs="宋体"/>
                <w:i w:val="0"/>
                <w:iCs w:val="0"/>
                <w:color w:val="auto"/>
                <w:kern w:val="0"/>
                <w:sz w:val="16"/>
                <w:szCs w:val="16"/>
                <w:highlight w:val="none"/>
                <w:u w:val="none"/>
                <w:lang w:val="en-US" w:eastAsia="zh-CN" w:bidi="ar"/>
              </w:rPr>
              <w:t>不小于50*70*90mm</w:t>
            </w:r>
            <w:r>
              <w:rPr>
                <w:rFonts w:hint="eastAsia" w:ascii="宋体" w:hAnsi="宋体" w:eastAsia="宋体" w:cs="宋体"/>
                <w:i w:val="0"/>
                <w:iCs w:val="0"/>
                <w:color w:val="auto"/>
                <w:kern w:val="0"/>
                <w:sz w:val="16"/>
                <w:szCs w:val="16"/>
                <w:highlight w:val="none"/>
                <w:u w:val="none"/>
                <w:lang w:val="en-US" w:eastAsia="zh-CN" w:bidi="ar"/>
              </w:rPr>
              <w:t>铝合金压铸连接配可调节滑块，安装便捷。钢脚上横杆采用</w:t>
            </w:r>
            <w:r>
              <w:rPr>
                <w:rFonts w:hint="eastAsia" w:ascii="宋体" w:hAnsi="宋体" w:cs="宋体"/>
                <w:i w:val="0"/>
                <w:iCs w:val="0"/>
                <w:color w:val="auto"/>
                <w:kern w:val="0"/>
                <w:sz w:val="16"/>
                <w:szCs w:val="16"/>
                <w:highlight w:val="none"/>
                <w:u w:val="none"/>
                <w:lang w:val="en-US" w:eastAsia="zh-CN" w:bidi="ar"/>
              </w:rPr>
              <w:t>不小于</w:t>
            </w:r>
            <w:r>
              <w:rPr>
                <w:rFonts w:hint="eastAsia" w:ascii="宋体" w:hAnsi="宋体" w:eastAsia="宋体" w:cs="宋体"/>
                <w:i w:val="0"/>
                <w:iCs w:val="0"/>
                <w:color w:val="auto"/>
                <w:kern w:val="0"/>
                <w:sz w:val="16"/>
                <w:szCs w:val="16"/>
                <w:highlight w:val="none"/>
                <w:u w:val="none"/>
                <w:lang w:val="en-US" w:eastAsia="zh-CN" w:bidi="ar"/>
              </w:rPr>
              <w:t>50*30*1.5</w:t>
            </w:r>
            <w:r>
              <w:rPr>
                <w:rFonts w:hint="eastAsia" w:ascii="宋体" w:hAnsi="宋体" w:cs="宋体"/>
                <w:i w:val="0"/>
                <w:iCs w:val="0"/>
                <w:color w:val="auto"/>
                <w:kern w:val="0"/>
                <w:sz w:val="16"/>
                <w:szCs w:val="16"/>
                <w:highlight w:val="none"/>
                <w:u w:val="none"/>
                <w:lang w:val="en-US" w:eastAsia="zh-CN" w:bidi="ar"/>
              </w:rPr>
              <w:t>mm</w:t>
            </w:r>
            <w:r>
              <w:rPr>
                <w:rFonts w:hint="eastAsia" w:ascii="宋体" w:hAnsi="宋体" w:eastAsia="宋体" w:cs="宋体"/>
                <w:i w:val="0"/>
                <w:iCs w:val="0"/>
                <w:color w:val="auto"/>
                <w:kern w:val="0"/>
                <w:sz w:val="16"/>
                <w:szCs w:val="16"/>
                <w:highlight w:val="none"/>
                <w:u w:val="none"/>
                <w:lang w:val="en-US" w:eastAsia="zh-CN" w:bidi="ar"/>
              </w:rPr>
              <w:t>厚冷轧钢管，侧管采用</w:t>
            </w:r>
            <w:r>
              <w:rPr>
                <w:rFonts w:hint="eastAsia" w:ascii="宋体" w:hAnsi="宋体" w:cs="宋体"/>
                <w:i w:val="0"/>
                <w:iCs w:val="0"/>
                <w:color w:val="auto"/>
                <w:kern w:val="0"/>
                <w:sz w:val="16"/>
                <w:szCs w:val="16"/>
                <w:highlight w:val="none"/>
                <w:u w:val="none"/>
                <w:lang w:val="en-US" w:eastAsia="zh-CN" w:bidi="ar"/>
              </w:rPr>
              <w:t>不小于</w:t>
            </w:r>
            <w:r>
              <w:rPr>
                <w:rFonts w:hint="eastAsia" w:ascii="宋体" w:hAnsi="宋体" w:eastAsia="宋体" w:cs="宋体"/>
                <w:i w:val="0"/>
                <w:iCs w:val="0"/>
                <w:color w:val="auto"/>
                <w:kern w:val="0"/>
                <w:sz w:val="16"/>
                <w:szCs w:val="16"/>
                <w:highlight w:val="none"/>
                <w:u w:val="none"/>
                <w:lang w:val="en-US" w:eastAsia="zh-CN" w:bidi="ar"/>
              </w:rPr>
              <w:t>30*20*1.5</w:t>
            </w:r>
            <w:r>
              <w:rPr>
                <w:rFonts w:hint="eastAsia" w:ascii="宋体" w:hAnsi="宋体" w:cs="宋体"/>
                <w:i w:val="0"/>
                <w:iCs w:val="0"/>
                <w:color w:val="auto"/>
                <w:kern w:val="0"/>
                <w:sz w:val="16"/>
                <w:szCs w:val="16"/>
                <w:highlight w:val="none"/>
                <w:u w:val="none"/>
                <w:lang w:val="en-US" w:eastAsia="zh-CN" w:bidi="ar"/>
              </w:rPr>
              <w:t>mm</w:t>
            </w:r>
            <w:r>
              <w:rPr>
                <w:rFonts w:hint="eastAsia" w:ascii="宋体" w:hAnsi="宋体" w:eastAsia="宋体" w:cs="宋体"/>
                <w:i w:val="0"/>
                <w:iCs w:val="0"/>
                <w:color w:val="auto"/>
                <w:kern w:val="0"/>
                <w:sz w:val="16"/>
                <w:szCs w:val="16"/>
                <w:highlight w:val="none"/>
                <w:u w:val="none"/>
                <w:lang w:val="en-US" w:eastAsia="zh-CN" w:bidi="ar"/>
              </w:rPr>
              <w:t>冷轧钢管焊接成型，横梁采用50*25*1.5</w:t>
            </w:r>
            <w:r>
              <w:rPr>
                <w:rFonts w:hint="eastAsia" w:ascii="宋体" w:hAnsi="宋体" w:cs="宋体"/>
                <w:i w:val="0"/>
                <w:iCs w:val="0"/>
                <w:color w:val="auto"/>
                <w:kern w:val="0"/>
                <w:sz w:val="16"/>
                <w:szCs w:val="16"/>
                <w:highlight w:val="none"/>
                <w:u w:val="none"/>
                <w:lang w:val="en-US" w:eastAsia="zh-CN" w:bidi="ar"/>
              </w:rPr>
              <w:t>mm</w:t>
            </w:r>
            <w:r>
              <w:rPr>
                <w:rFonts w:hint="eastAsia" w:ascii="宋体" w:hAnsi="宋体" w:eastAsia="宋体" w:cs="宋体"/>
                <w:i w:val="0"/>
                <w:iCs w:val="0"/>
                <w:color w:val="auto"/>
                <w:kern w:val="0"/>
                <w:sz w:val="16"/>
                <w:szCs w:val="16"/>
                <w:highlight w:val="none"/>
                <w:u w:val="none"/>
                <w:lang w:val="en-US" w:eastAsia="zh-CN" w:bidi="ar"/>
              </w:rPr>
              <w:t>厚冷轧钢管，经过磷化处理；</w:t>
            </w:r>
          </w:p>
          <w:p w14:paraId="28C75DF2">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cs="宋体"/>
                <w:i w:val="0"/>
                <w:iCs w:val="0"/>
                <w:color w:val="auto"/>
                <w:kern w:val="0"/>
                <w:sz w:val="16"/>
                <w:szCs w:val="16"/>
                <w:highlight w:val="none"/>
                <w:u w:val="none"/>
                <w:lang w:val="en-US" w:eastAsia="zh-CN" w:bidi="ar"/>
              </w:rPr>
              <w:t>4</w:t>
            </w:r>
            <w:r>
              <w:rPr>
                <w:rFonts w:hint="eastAsia" w:ascii="宋体" w:hAnsi="宋体" w:eastAsia="宋体" w:cs="宋体"/>
                <w:i w:val="0"/>
                <w:iCs w:val="0"/>
                <w:color w:val="auto"/>
                <w:kern w:val="0"/>
                <w:sz w:val="16"/>
                <w:szCs w:val="16"/>
                <w:highlight w:val="none"/>
                <w:u w:val="none"/>
                <w:lang w:val="en-US" w:eastAsia="zh-CN" w:bidi="ar"/>
              </w:rPr>
              <w:t>、五金配件：所有五金配件经过防锈、防腐处理。</w:t>
            </w:r>
          </w:p>
          <w:p w14:paraId="2B5F5F20">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cs="宋体"/>
                <w:i w:val="0"/>
                <w:iCs w:val="0"/>
                <w:color w:val="auto"/>
                <w:kern w:val="0"/>
                <w:sz w:val="16"/>
                <w:szCs w:val="16"/>
                <w:highlight w:val="none"/>
                <w:u w:val="none"/>
                <w:lang w:val="en-US" w:eastAsia="zh-CN" w:bidi="ar"/>
              </w:rPr>
              <w:t>5</w:t>
            </w:r>
            <w:r>
              <w:rPr>
                <w:rFonts w:hint="eastAsia" w:ascii="宋体" w:hAnsi="宋体" w:eastAsia="宋体" w:cs="宋体"/>
                <w:i w:val="0"/>
                <w:iCs w:val="0"/>
                <w:color w:val="auto"/>
                <w:kern w:val="0"/>
                <w:sz w:val="16"/>
                <w:szCs w:val="16"/>
                <w:highlight w:val="none"/>
                <w:u w:val="none"/>
                <w:lang w:val="en-US" w:eastAsia="zh-CN" w:bidi="ar"/>
              </w:rPr>
              <w:t>、每张桌子搭配双方头阅读灯，阅览桌与阅读灯嵌入式固定连接，采用一键断电开关；</w:t>
            </w:r>
          </w:p>
          <w:p w14:paraId="12B3FA6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打样说明：要求参与投标的供应商提供LED灯和阅览桌一体作为样品参与样品评分。LED灯具体尺寸不做要求，由供应商根据实际工程案例的经验决定，专家评审最优的得分最高。</w:t>
            </w:r>
          </w:p>
        </w:tc>
        <w:tc>
          <w:tcPr>
            <w:tcW w:w="607" w:type="dxa"/>
            <w:shd w:val="clear" w:color="auto" w:fill="auto"/>
            <w:noWrap/>
            <w:vAlign w:val="center"/>
          </w:tcPr>
          <w:p w14:paraId="57F7D29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53A82C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r>
      <w:tr w14:paraId="6BF7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36D482B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c>
          <w:tcPr>
            <w:tcW w:w="941" w:type="dxa"/>
            <w:shd w:val="clear" w:color="auto" w:fill="auto"/>
            <w:noWrap/>
            <w:vAlign w:val="center"/>
          </w:tcPr>
          <w:p w14:paraId="4751E4B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阅览椅</w:t>
            </w:r>
          </w:p>
        </w:tc>
        <w:tc>
          <w:tcPr>
            <w:tcW w:w="2657" w:type="dxa"/>
            <w:shd w:val="clear" w:color="auto" w:fill="auto"/>
            <w:noWrap/>
            <w:vAlign w:val="center"/>
          </w:tcPr>
          <w:p w14:paraId="19E562B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200660</wp:posOffset>
                  </wp:positionH>
                  <wp:positionV relativeFrom="paragraph">
                    <wp:posOffset>-13970</wp:posOffset>
                  </wp:positionV>
                  <wp:extent cx="1061720" cy="1257300"/>
                  <wp:effectExtent l="0" t="0" r="5080" b="0"/>
                  <wp:wrapNone/>
                  <wp:docPr id="80" name="ID_F77C0ED8827C4B76B0CDAE4F29E083E1"/>
                  <wp:cNvGraphicFramePr/>
                  <a:graphic xmlns:a="http://schemas.openxmlformats.org/drawingml/2006/main">
                    <a:graphicData uri="http://schemas.openxmlformats.org/drawingml/2006/picture">
                      <pic:pic xmlns:pic="http://schemas.openxmlformats.org/drawingml/2006/picture">
                        <pic:nvPicPr>
                          <pic:cNvPr id="80" name="ID_F77C0ED8827C4B76B0CDAE4F29E083E1"/>
                          <pic:cNvPicPr/>
                        </pic:nvPicPr>
                        <pic:blipFill>
                          <a:blip r:embed="rId38"/>
                          <a:stretch>
                            <a:fillRect/>
                          </a:stretch>
                        </pic:blipFill>
                        <pic:spPr>
                          <a:xfrm>
                            <a:off x="0" y="0"/>
                            <a:ext cx="1061720" cy="1257300"/>
                          </a:xfrm>
                          <a:prstGeom prst="rect">
                            <a:avLst/>
                          </a:prstGeom>
                          <a:noFill/>
                          <a:ln>
                            <a:noFill/>
                          </a:ln>
                        </pic:spPr>
                      </pic:pic>
                    </a:graphicData>
                  </a:graphic>
                </wp:anchor>
              </w:drawing>
            </w:r>
          </w:p>
        </w:tc>
        <w:tc>
          <w:tcPr>
            <w:tcW w:w="1656" w:type="dxa"/>
            <w:shd w:val="clear" w:color="auto" w:fill="auto"/>
            <w:vAlign w:val="center"/>
          </w:tcPr>
          <w:p w14:paraId="287E012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cs="宋体"/>
                <w:i w:val="0"/>
                <w:iCs w:val="0"/>
                <w:color w:val="auto"/>
                <w:kern w:val="0"/>
                <w:sz w:val="16"/>
                <w:szCs w:val="16"/>
                <w:highlight w:val="none"/>
                <w:u w:val="none"/>
                <w:lang w:val="en-US" w:eastAsia="zh-CN" w:bidi="ar"/>
              </w:rPr>
              <w:t>常规</w:t>
            </w:r>
          </w:p>
        </w:tc>
        <w:tc>
          <w:tcPr>
            <w:tcW w:w="6182" w:type="dxa"/>
            <w:shd w:val="clear" w:color="auto" w:fill="auto"/>
            <w:vAlign w:val="center"/>
          </w:tcPr>
          <w:p w14:paraId="78F54B8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1.椅架：采用白蜡木实木制作，木材进行烘干及防蛀处理；抗压力强、木性坚韧、耐腐蚀性强，质地坚硬，不易吸水，强度大，不翘曲、变形，无节疤，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无虫眼，特点重硬、纹理直，结构牢固，色泽淡雅纹理美观，力学强度高，耐磨损。内部采用实木多层板制作，物理性能、力学性能、甲醛释放量等符合国家标准要求；木材含水率≤8%；</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2.背板：内板采用定型弯板结构，外覆皮革，内部填充高回弹海绵，达到国家阻燃标准；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noWrap/>
            <w:vAlign w:val="center"/>
          </w:tcPr>
          <w:p w14:paraId="2074C24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2528285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72</w:t>
            </w:r>
          </w:p>
        </w:tc>
      </w:tr>
      <w:tr w14:paraId="25E6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2F16DDE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13</w:t>
            </w:r>
          </w:p>
        </w:tc>
        <w:tc>
          <w:tcPr>
            <w:tcW w:w="941" w:type="dxa"/>
            <w:shd w:val="clear" w:color="auto" w:fill="auto"/>
            <w:noWrap/>
            <w:vAlign w:val="center"/>
          </w:tcPr>
          <w:p w14:paraId="154E25F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定制双面书架</w:t>
            </w:r>
          </w:p>
        </w:tc>
        <w:tc>
          <w:tcPr>
            <w:tcW w:w="2657" w:type="dxa"/>
            <w:shd w:val="clear" w:color="auto" w:fill="auto"/>
            <w:noWrap/>
            <w:vAlign w:val="center"/>
          </w:tcPr>
          <w:p w14:paraId="31F866D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177800</wp:posOffset>
                  </wp:positionH>
                  <wp:positionV relativeFrom="paragraph">
                    <wp:posOffset>13970</wp:posOffset>
                  </wp:positionV>
                  <wp:extent cx="1136650" cy="1339215"/>
                  <wp:effectExtent l="0" t="0" r="6350" b="13335"/>
                  <wp:wrapNone/>
                  <wp:docPr id="84" name="ID_AE4FF506604F4EB6BB6CF9D31620CEA8"/>
                  <wp:cNvGraphicFramePr/>
                  <a:graphic xmlns:a="http://schemas.openxmlformats.org/drawingml/2006/main">
                    <a:graphicData uri="http://schemas.openxmlformats.org/drawingml/2006/picture">
                      <pic:pic xmlns:pic="http://schemas.openxmlformats.org/drawingml/2006/picture">
                        <pic:nvPicPr>
                          <pic:cNvPr id="84" name="ID_AE4FF506604F4EB6BB6CF9D31620CEA8"/>
                          <pic:cNvPicPr/>
                        </pic:nvPicPr>
                        <pic:blipFill>
                          <a:blip r:embed="rId39"/>
                          <a:stretch>
                            <a:fillRect/>
                          </a:stretch>
                        </pic:blipFill>
                        <pic:spPr>
                          <a:xfrm>
                            <a:off x="0" y="0"/>
                            <a:ext cx="1136650" cy="1339215"/>
                          </a:xfrm>
                          <a:prstGeom prst="rect">
                            <a:avLst/>
                          </a:prstGeom>
                          <a:noFill/>
                          <a:ln>
                            <a:noFill/>
                          </a:ln>
                        </pic:spPr>
                      </pic:pic>
                    </a:graphicData>
                  </a:graphic>
                </wp:anchor>
              </w:drawing>
            </w:r>
          </w:p>
        </w:tc>
        <w:tc>
          <w:tcPr>
            <w:tcW w:w="1656" w:type="dxa"/>
            <w:shd w:val="clear" w:color="auto" w:fill="auto"/>
            <w:noWrap/>
            <w:vAlign w:val="center"/>
          </w:tcPr>
          <w:p w14:paraId="55A86F8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3600*470*2200</w:t>
            </w:r>
          </w:p>
        </w:tc>
        <w:tc>
          <w:tcPr>
            <w:tcW w:w="6182" w:type="dxa"/>
            <w:shd w:val="clear" w:color="auto" w:fill="auto"/>
            <w:vAlign w:val="center"/>
          </w:tcPr>
          <w:p w14:paraId="4CE4DE6C">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钢制部分：采用冷轧钢板，所有部件均经剪切、冲压、折弯、焊接工艺制造，底盘厚度</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1.5mm，立柱厚度</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1.5mm，顶板、底板厚度</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1.0mm，隔板厚度</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1.0mm；</w:t>
            </w:r>
          </w:p>
          <w:p w14:paraId="34FF8CC3">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配置：活动搁板，层距可调，层净高≥320mm，</w:t>
            </w:r>
          </w:p>
          <w:p w14:paraId="39AA2D80">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结构：整体框梁式底座、双立柱，立柱为焊接式结构，每层两块挂板，两块搁板，搁板底部加通体加强筋。</w:t>
            </w:r>
          </w:p>
          <w:p w14:paraId="434549F7">
            <w:pPr>
              <w:keepNext w:val="0"/>
              <w:keepLines w:val="0"/>
              <w:widowControl/>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金属表面处理工艺：钢板表面处理采用乳化剂和碱性助洗剂脱脂、磷酸除锈、锌系薄膜型磷化、钝化，或更加环保的表面处理工艺，最后采用品牌塑粉全自动粉末喷涂，漆膜厚度70-80μm，耐磨防锈，防静电，颜色持久。表面硬度</w:t>
            </w:r>
            <w:r>
              <w:rPr>
                <w:rFonts w:hint="eastAsia" w:ascii="宋体" w:hAnsi="宋体" w:cs="宋体"/>
                <w:i w:val="0"/>
                <w:iCs w:val="0"/>
                <w:color w:val="auto"/>
                <w:kern w:val="0"/>
                <w:sz w:val="16"/>
                <w:szCs w:val="16"/>
                <w:highlight w:val="none"/>
                <w:u w:val="none"/>
                <w:lang w:val="en-US" w:eastAsia="zh-CN" w:bidi="ar"/>
              </w:rPr>
              <w:t>不低于</w:t>
            </w:r>
            <w:r>
              <w:rPr>
                <w:rFonts w:hint="eastAsia" w:ascii="宋体" w:hAnsi="宋体" w:eastAsia="宋体" w:cs="宋体"/>
                <w:i w:val="0"/>
                <w:iCs w:val="0"/>
                <w:color w:val="auto"/>
                <w:kern w:val="0"/>
                <w:sz w:val="16"/>
                <w:szCs w:val="16"/>
                <w:highlight w:val="none"/>
                <w:u w:val="none"/>
                <w:lang w:val="en-US" w:eastAsia="zh-CN" w:bidi="ar"/>
              </w:rPr>
              <w:t>5H。经过精密模具冲压成型，稳固性好。</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外装饰护板：面材采用天然木皮贴面，无节疤，无裂纹，无朽木，色差过渡自然，木纹清晰，色泽一致，木皮拼接自然。基材采用符合国家E1级及以上标准的环保多层板，经国家绿色环保认证。油漆选用环保油漆，有害物质限量符合国标要求，达到色泽美观，不变色，光滑耐磨，手感好。五金配件：五金件，所有五金配件全部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钢制部分颜色：可选，采用冷轧钢板制造，工件经除油、去锈、脱脂、表调、磷化、水洗等十三道工序前处理，采用环保型高附着力的金属表面纳米抗菌静电自动喷粉，高温固化而成，提高其防锈蚀和抗菌性能。</w:t>
            </w:r>
          </w:p>
          <w:p w14:paraId="74ED6E8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木制部分断面整齐，孔边及线条要平整光滑，不允许有毛刺、崩缺、跳刀、波浪印现象。钢制部分和木制部分，颜色可选，与整体环境协调。</w:t>
            </w:r>
          </w:p>
        </w:tc>
        <w:tc>
          <w:tcPr>
            <w:tcW w:w="607" w:type="dxa"/>
            <w:shd w:val="clear" w:color="auto" w:fill="auto"/>
            <w:noWrap/>
            <w:vAlign w:val="center"/>
          </w:tcPr>
          <w:p w14:paraId="609AD2B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noWrap/>
            <w:vAlign w:val="center"/>
          </w:tcPr>
          <w:p w14:paraId="1F95520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r>
      <w:tr w14:paraId="3E09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1AF91AE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c>
          <w:tcPr>
            <w:tcW w:w="941" w:type="dxa"/>
            <w:shd w:val="clear" w:color="auto" w:fill="auto"/>
            <w:noWrap/>
            <w:vAlign w:val="center"/>
          </w:tcPr>
          <w:p w14:paraId="4AB37C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三人沙发</w:t>
            </w:r>
          </w:p>
        </w:tc>
        <w:tc>
          <w:tcPr>
            <w:tcW w:w="2657" w:type="dxa"/>
            <w:shd w:val="clear" w:color="auto" w:fill="auto"/>
            <w:noWrap/>
            <w:vAlign w:val="center"/>
          </w:tcPr>
          <w:p w14:paraId="5BFCF30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-15875</wp:posOffset>
                  </wp:positionH>
                  <wp:positionV relativeFrom="paragraph">
                    <wp:posOffset>270510</wp:posOffset>
                  </wp:positionV>
                  <wp:extent cx="1522095" cy="858520"/>
                  <wp:effectExtent l="0" t="0" r="1905" b="17780"/>
                  <wp:wrapNone/>
                  <wp:docPr id="82" name="ID_EE08CA95E883471C8773B5B784059511"/>
                  <wp:cNvGraphicFramePr/>
                  <a:graphic xmlns:a="http://schemas.openxmlformats.org/drawingml/2006/main">
                    <a:graphicData uri="http://schemas.openxmlformats.org/drawingml/2006/picture">
                      <pic:pic xmlns:pic="http://schemas.openxmlformats.org/drawingml/2006/picture">
                        <pic:nvPicPr>
                          <pic:cNvPr id="82" name="ID_EE08CA95E883471C8773B5B784059511"/>
                          <pic:cNvPicPr/>
                        </pic:nvPicPr>
                        <pic:blipFill>
                          <a:blip r:embed="rId40"/>
                          <a:stretch>
                            <a:fillRect/>
                          </a:stretch>
                        </pic:blipFill>
                        <pic:spPr>
                          <a:xfrm>
                            <a:off x="0" y="0"/>
                            <a:ext cx="1522095" cy="858520"/>
                          </a:xfrm>
                          <a:prstGeom prst="rect">
                            <a:avLst/>
                          </a:prstGeom>
                          <a:noFill/>
                          <a:ln>
                            <a:noFill/>
                          </a:ln>
                        </pic:spPr>
                      </pic:pic>
                    </a:graphicData>
                  </a:graphic>
                </wp:anchor>
              </w:drawing>
            </w:r>
          </w:p>
        </w:tc>
        <w:tc>
          <w:tcPr>
            <w:tcW w:w="1656" w:type="dxa"/>
            <w:shd w:val="clear" w:color="auto" w:fill="auto"/>
            <w:noWrap/>
            <w:vAlign w:val="center"/>
          </w:tcPr>
          <w:p w14:paraId="746C1B3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2400*1020*880</w:t>
            </w:r>
          </w:p>
        </w:tc>
        <w:tc>
          <w:tcPr>
            <w:tcW w:w="6182" w:type="dxa"/>
            <w:shd w:val="clear" w:color="auto" w:fill="auto"/>
            <w:vAlign w:val="center"/>
          </w:tcPr>
          <w:p w14:paraId="6CE430B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1.椅架：采用白蜡木实木制作，木材进行烘干及防蛀处理；抗压力强、木性坚韧、耐腐蚀性强，质地坚硬，不易吸水，强度大，不翘曲、变形，无节疤，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无虫眼，特点重硬、纹理直，结构牢固，色泽淡雅纹理美观，力学强度高，耐磨损。内部采用实木多层板制作，物理性能、力学性能、甲醛释放量等符合国家标准要求；木材含水率≤8%；</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3.面料：采用超纤皮，手感柔软舒适，经液态浸色及防潮、防污等工艺处理。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4.海绵：采用高回弹海绵，达到国家阻燃标准；</w:t>
            </w:r>
          </w:p>
        </w:tc>
        <w:tc>
          <w:tcPr>
            <w:tcW w:w="607" w:type="dxa"/>
            <w:shd w:val="clear" w:color="auto" w:fill="auto"/>
            <w:noWrap/>
            <w:vAlign w:val="center"/>
          </w:tcPr>
          <w:p w14:paraId="44E9C79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5CA77C6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05DC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3ECF251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15</w:t>
            </w:r>
          </w:p>
        </w:tc>
        <w:tc>
          <w:tcPr>
            <w:tcW w:w="941" w:type="dxa"/>
            <w:shd w:val="clear" w:color="auto" w:fill="auto"/>
            <w:noWrap/>
            <w:vAlign w:val="center"/>
          </w:tcPr>
          <w:p w14:paraId="4D0126F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复古架</w:t>
            </w:r>
          </w:p>
        </w:tc>
        <w:tc>
          <w:tcPr>
            <w:tcW w:w="2657" w:type="dxa"/>
            <w:shd w:val="clear" w:color="auto" w:fill="auto"/>
            <w:noWrap/>
            <w:vAlign w:val="center"/>
          </w:tcPr>
          <w:p w14:paraId="00C68B8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154940</wp:posOffset>
                  </wp:positionV>
                  <wp:extent cx="1250950" cy="859155"/>
                  <wp:effectExtent l="0" t="0" r="6350" b="17145"/>
                  <wp:wrapNone/>
                  <wp:docPr id="85" name="ID_868AC0D1E2B54B74B359C90C8AC1230B"/>
                  <wp:cNvGraphicFramePr/>
                  <a:graphic xmlns:a="http://schemas.openxmlformats.org/drawingml/2006/main">
                    <a:graphicData uri="http://schemas.openxmlformats.org/drawingml/2006/picture">
                      <pic:pic xmlns:pic="http://schemas.openxmlformats.org/drawingml/2006/picture">
                        <pic:nvPicPr>
                          <pic:cNvPr id="85" name="ID_868AC0D1E2B54B74B359C90C8AC1230B"/>
                          <pic:cNvPicPr/>
                        </pic:nvPicPr>
                        <pic:blipFill>
                          <a:blip r:embed="rId41"/>
                          <a:stretch>
                            <a:fillRect/>
                          </a:stretch>
                        </pic:blipFill>
                        <pic:spPr>
                          <a:xfrm>
                            <a:off x="0" y="0"/>
                            <a:ext cx="1250950" cy="859155"/>
                          </a:xfrm>
                          <a:prstGeom prst="rect">
                            <a:avLst/>
                          </a:prstGeom>
                          <a:noFill/>
                          <a:ln>
                            <a:noFill/>
                          </a:ln>
                        </pic:spPr>
                      </pic:pic>
                    </a:graphicData>
                  </a:graphic>
                </wp:anchor>
              </w:drawing>
            </w:r>
          </w:p>
        </w:tc>
        <w:tc>
          <w:tcPr>
            <w:tcW w:w="1656" w:type="dxa"/>
            <w:shd w:val="clear" w:color="auto" w:fill="auto"/>
            <w:noWrap/>
            <w:vAlign w:val="center"/>
          </w:tcPr>
          <w:p w14:paraId="3FDA624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1200*600*430</w:t>
            </w:r>
          </w:p>
        </w:tc>
        <w:tc>
          <w:tcPr>
            <w:tcW w:w="6182" w:type="dxa"/>
            <w:shd w:val="clear" w:color="auto" w:fill="auto"/>
            <w:vAlign w:val="center"/>
          </w:tcPr>
          <w:p w14:paraId="1D27851A">
            <w:pPr>
              <w:keepNext w:val="0"/>
              <w:keepLines w:val="0"/>
              <w:pageBreakBefore w:val="0"/>
              <w:widowControl/>
              <w:numPr>
                <w:ilvl w:val="0"/>
                <w:numId w:val="4"/>
              </w:numPr>
              <w:suppressLineNumbers w:val="0"/>
              <w:kinsoku/>
              <w:wordWrap/>
              <w:overflowPunct/>
              <w:topLinePunct w:val="0"/>
              <w:autoSpaceDE/>
              <w:autoSpaceDN/>
              <w:bidi w:val="0"/>
              <w:adjustRightInd w:val="0"/>
              <w:snapToGrid/>
              <w:jc w:val="left"/>
              <w:textAlignment w:val="center"/>
              <w:rPr>
                <w:rFonts w:hint="eastAsia"/>
                <w:color w:val="auto"/>
                <w:highlight w:val="none"/>
              </w:rPr>
            </w:pPr>
            <w:r>
              <w:rPr>
                <w:rFonts w:hint="eastAsia" w:ascii="宋体" w:hAnsi="宋体" w:eastAsia="宋体" w:cs="宋体"/>
                <w:i w:val="0"/>
                <w:iCs w:val="0"/>
                <w:color w:val="auto"/>
                <w:kern w:val="0"/>
                <w:sz w:val="16"/>
                <w:szCs w:val="16"/>
                <w:highlight w:val="none"/>
                <w:u w:val="none"/>
                <w:lang w:val="en-US" w:eastAsia="zh-CN" w:bidi="ar"/>
              </w:rPr>
              <w:t>基材：台面基材采用E0级及以上实木多层板，燃烧性能等级达到B1-B级，木材含水率≤8%，表面胶合强度≥0.60MPa，点抗压性能无破损；经过防虫防腐处理,耐磨性好，表面纹理拼接自然，色泽一致；框架采用白蜡木实木制作，木材进行烘干及防蛀处理；抗压力强、木性坚韧、耐腐蚀性强，质地坚硬，不易吸水，强度大，不翘曲、变形，无节疤， 无虫眼，特点重硬、纹理直，结构牢固，色泽淡雅纹理美观，力学强度高，耐磨损。</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3.藤编工艺；</w:t>
            </w:r>
          </w:p>
          <w:p w14:paraId="351F0C24">
            <w:pPr>
              <w:keepNext w:val="0"/>
              <w:keepLines w:val="0"/>
              <w:pageBreakBefore w:val="0"/>
              <w:widowControl/>
              <w:numPr>
                <w:ilvl w:val="0"/>
                <w:numId w:val="0"/>
              </w:numPr>
              <w:suppressLineNumbers w:val="0"/>
              <w:kinsoku/>
              <w:wordWrap/>
              <w:overflowPunct/>
              <w:topLinePunct w:val="0"/>
              <w:autoSpaceDE/>
              <w:autoSpaceDN/>
              <w:bidi w:val="0"/>
              <w:adjustRightInd w:val="0"/>
              <w:snapToGrid/>
              <w:jc w:val="left"/>
              <w:textAlignment w:val="center"/>
              <w:rPr>
                <w:rFonts w:hint="eastAsia"/>
                <w:color w:val="auto"/>
                <w:highlight w:val="none"/>
              </w:rPr>
            </w:pPr>
          </w:p>
        </w:tc>
        <w:tc>
          <w:tcPr>
            <w:tcW w:w="607" w:type="dxa"/>
            <w:shd w:val="clear" w:color="auto" w:fill="auto"/>
            <w:noWrap/>
            <w:vAlign w:val="center"/>
          </w:tcPr>
          <w:p w14:paraId="5E3366D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1FE3AD8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2B56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43D658E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w:t>
            </w:r>
          </w:p>
        </w:tc>
        <w:tc>
          <w:tcPr>
            <w:tcW w:w="941" w:type="dxa"/>
            <w:shd w:val="clear" w:color="auto" w:fill="auto"/>
            <w:vAlign w:val="center"/>
          </w:tcPr>
          <w:p w14:paraId="1134249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593090</wp:posOffset>
                  </wp:positionH>
                  <wp:positionV relativeFrom="paragraph">
                    <wp:posOffset>327025</wp:posOffset>
                  </wp:positionV>
                  <wp:extent cx="1553845" cy="788670"/>
                  <wp:effectExtent l="0" t="0" r="8255" b="11430"/>
                  <wp:wrapNone/>
                  <wp:docPr id="86" name="ID_F59EEA5045AF472D9F287F2C7B18B47E"/>
                  <wp:cNvGraphicFramePr/>
                  <a:graphic xmlns:a="http://schemas.openxmlformats.org/drawingml/2006/main">
                    <a:graphicData uri="http://schemas.openxmlformats.org/drawingml/2006/picture">
                      <pic:pic xmlns:pic="http://schemas.openxmlformats.org/drawingml/2006/picture">
                        <pic:nvPicPr>
                          <pic:cNvPr id="86" name="ID_F59EEA5045AF472D9F287F2C7B18B47E"/>
                          <pic:cNvPicPr/>
                        </pic:nvPicPr>
                        <pic:blipFill>
                          <a:blip r:embed="rId42"/>
                          <a:stretch>
                            <a:fillRect/>
                          </a:stretch>
                        </pic:blipFill>
                        <pic:spPr>
                          <a:xfrm>
                            <a:off x="0" y="0"/>
                            <a:ext cx="1553845" cy="788670"/>
                          </a:xfrm>
                          <a:prstGeom prst="rect">
                            <a:avLst/>
                          </a:prstGeom>
                          <a:noFill/>
                          <a:ln>
                            <a:noFill/>
                          </a:ln>
                        </pic:spPr>
                      </pic:pic>
                    </a:graphicData>
                  </a:graphic>
                </wp:anchor>
              </w:drawing>
            </w:r>
            <w:r>
              <w:rPr>
                <w:rFonts w:hint="eastAsia" w:ascii="宋体" w:hAnsi="宋体" w:eastAsia="宋体" w:cs="宋体"/>
                <w:i w:val="0"/>
                <w:iCs w:val="0"/>
                <w:color w:val="auto"/>
                <w:kern w:val="0"/>
                <w:sz w:val="16"/>
                <w:szCs w:val="16"/>
                <w:highlight w:val="none"/>
                <w:u w:val="none"/>
                <w:lang w:val="en-US" w:eastAsia="zh-CN" w:bidi="ar"/>
              </w:rPr>
              <w:t>中岛书架</w:t>
            </w:r>
          </w:p>
        </w:tc>
        <w:tc>
          <w:tcPr>
            <w:tcW w:w="2657" w:type="dxa"/>
            <w:shd w:val="clear" w:color="auto" w:fill="auto"/>
            <w:noWrap/>
            <w:vAlign w:val="center"/>
          </w:tcPr>
          <w:p w14:paraId="753DE15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p>
        </w:tc>
        <w:tc>
          <w:tcPr>
            <w:tcW w:w="1656" w:type="dxa"/>
            <w:shd w:val="clear" w:color="auto" w:fill="auto"/>
            <w:noWrap/>
            <w:vAlign w:val="center"/>
          </w:tcPr>
          <w:p w14:paraId="389D3A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2400*1200*1100</w:t>
            </w:r>
          </w:p>
        </w:tc>
        <w:tc>
          <w:tcPr>
            <w:tcW w:w="6182" w:type="dxa"/>
            <w:shd w:val="clear" w:color="auto" w:fill="auto"/>
            <w:vAlign w:val="center"/>
          </w:tcPr>
          <w:p w14:paraId="01BEC024">
            <w:pPr>
              <w:keepNext w:val="0"/>
              <w:keepLines w:val="0"/>
              <w:widowControl/>
              <w:numPr>
                <w:ilvl w:val="0"/>
                <w:numId w:val="5"/>
              </w:numPr>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p w14:paraId="3CDEA879">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noWrap/>
            <w:vAlign w:val="center"/>
          </w:tcPr>
          <w:p w14:paraId="4994642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noWrap/>
            <w:vAlign w:val="center"/>
          </w:tcPr>
          <w:p w14:paraId="3B7D096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6731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4557F0E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17</w:t>
            </w:r>
          </w:p>
        </w:tc>
        <w:tc>
          <w:tcPr>
            <w:tcW w:w="941" w:type="dxa"/>
            <w:shd w:val="clear" w:color="auto" w:fill="auto"/>
            <w:vAlign w:val="center"/>
          </w:tcPr>
          <w:p w14:paraId="441D759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双面</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中岛书架</w:t>
            </w:r>
          </w:p>
        </w:tc>
        <w:tc>
          <w:tcPr>
            <w:tcW w:w="2657" w:type="dxa"/>
            <w:shd w:val="clear" w:color="auto" w:fill="auto"/>
            <w:noWrap/>
            <w:vAlign w:val="center"/>
          </w:tcPr>
          <w:p w14:paraId="40B8929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-59055</wp:posOffset>
                  </wp:positionH>
                  <wp:positionV relativeFrom="paragraph">
                    <wp:posOffset>-317500</wp:posOffset>
                  </wp:positionV>
                  <wp:extent cx="1635760" cy="1118870"/>
                  <wp:effectExtent l="0" t="0" r="2540" b="5080"/>
                  <wp:wrapNone/>
                  <wp:docPr id="77" name="ID_93EC379591BD42869C4815EC54879295"/>
                  <wp:cNvGraphicFramePr/>
                  <a:graphic xmlns:a="http://schemas.openxmlformats.org/drawingml/2006/main">
                    <a:graphicData uri="http://schemas.openxmlformats.org/drawingml/2006/picture">
                      <pic:pic xmlns:pic="http://schemas.openxmlformats.org/drawingml/2006/picture">
                        <pic:nvPicPr>
                          <pic:cNvPr id="77" name="ID_93EC379591BD42869C4815EC54879295"/>
                          <pic:cNvPicPr/>
                        </pic:nvPicPr>
                        <pic:blipFill>
                          <a:blip r:embed="rId43"/>
                          <a:stretch>
                            <a:fillRect/>
                          </a:stretch>
                        </pic:blipFill>
                        <pic:spPr>
                          <a:xfrm>
                            <a:off x="0" y="0"/>
                            <a:ext cx="1635760" cy="1118870"/>
                          </a:xfrm>
                          <a:prstGeom prst="rect">
                            <a:avLst/>
                          </a:prstGeom>
                          <a:noFill/>
                          <a:ln>
                            <a:noFill/>
                          </a:ln>
                        </pic:spPr>
                      </pic:pic>
                    </a:graphicData>
                  </a:graphic>
                </wp:anchor>
              </w:drawing>
            </w:r>
          </w:p>
        </w:tc>
        <w:tc>
          <w:tcPr>
            <w:tcW w:w="1656" w:type="dxa"/>
            <w:shd w:val="clear" w:color="auto" w:fill="auto"/>
            <w:noWrap/>
            <w:vAlign w:val="center"/>
          </w:tcPr>
          <w:p w14:paraId="266FE99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1000*700*1400</w:t>
            </w:r>
          </w:p>
        </w:tc>
        <w:tc>
          <w:tcPr>
            <w:tcW w:w="6182" w:type="dxa"/>
            <w:shd w:val="clear" w:color="auto" w:fill="auto"/>
            <w:vAlign w:val="center"/>
          </w:tcPr>
          <w:p w14:paraId="777449F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223EF14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noWrap/>
            <w:vAlign w:val="center"/>
          </w:tcPr>
          <w:p w14:paraId="47F2D4B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6262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00AD14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18</w:t>
            </w:r>
          </w:p>
        </w:tc>
        <w:tc>
          <w:tcPr>
            <w:tcW w:w="941" w:type="dxa"/>
            <w:shd w:val="clear" w:color="auto" w:fill="auto"/>
            <w:noWrap/>
            <w:vAlign w:val="center"/>
          </w:tcPr>
          <w:p w14:paraId="5B3491C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定制隔断</w:t>
            </w:r>
          </w:p>
        </w:tc>
        <w:tc>
          <w:tcPr>
            <w:tcW w:w="2657" w:type="dxa"/>
            <w:shd w:val="clear" w:color="auto" w:fill="auto"/>
            <w:noWrap/>
            <w:vAlign w:val="center"/>
          </w:tcPr>
          <w:p w14:paraId="438BE0FD">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p>
        </w:tc>
        <w:tc>
          <w:tcPr>
            <w:tcW w:w="1656" w:type="dxa"/>
            <w:shd w:val="clear" w:color="auto" w:fill="auto"/>
            <w:noWrap/>
            <w:vAlign w:val="center"/>
          </w:tcPr>
          <w:p w14:paraId="6C99CD5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1300*350*1100</w:t>
            </w:r>
          </w:p>
        </w:tc>
        <w:tc>
          <w:tcPr>
            <w:tcW w:w="6182" w:type="dxa"/>
            <w:shd w:val="clear" w:color="auto" w:fill="auto"/>
            <w:vAlign w:val="center"/>
          </w:tcPr>
          <w:p w14:paraId="4F95B6B7">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w:t>
            </w: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-2638425</wp:posOffset>
                  </wp:positionH>
                  <wp:positionV relativeFrom="paragraph">
                    <wp:posOffset>69215</wp:posOffset>
                  </wp:positionV>
                  <wp:extent cx="1221105" cy="1223010"/>
                  <wp:effectExtent l="0" t="0" r="17145" b="15240"/>
                  <wp:wrapNone/>
                  <wp:docPr id="79" name="ID_4992529191AC41559B66841575C617E0"/>
                  <wp:cNvGraphicFramePr/>
                  <a:graphic xmlns:a="http://schemas.openxmlformats.org/drawingml/2006/main">
                    <a:graphicData uri="http://schemas.openxmlformats.org/drawingml/2006/picture">
                      <pic:pic xmlns:pic="http://schemas.openxmlformats.org/drawingml/2006/picture">
                        <pic:nvPicPr>
                          <pic:cNvPr id="79" name="ID_4992529191AC41559B66841575C617E0"/>
                          <pic:cNvPicPr/>
                        </pic:nvPicPr>
                        <pic:blipFill>
                          <a:blip r:embed="rId44"/>
                          <a:stretch>
                            <a:fillRect/>
                          </a:stretch>
                        </pic:blipFill>
                        <pic:spPr>
                          <a:xfrm>
                            <a:off x="0" y="0"/>
                            <a:ext cx="1221105" cy="1223010"/>
                          </a:xfrm>
                          <a:prstGeom prst="rect">
                            <a:avLst/>
                          </a:prstGeom>
                          <a:noFill/>
                          <a:ln>
                            <a:noFill/>
                          </a:ln>
                        </pic:spPr>
                      </pic:pic>
                    </a:graphicData>
                  </a:graphic>
                </wp:anchor>
              </w:drawing>
            </w:r>
            <w:r>
              <w:rPr>
                <w:rFonts w:hint="eastAsia" w:ascii="宋体" w:hAnsi="宋体" w:eastAsia="宋体" w:cs="宋体"/>
                <w:i w:val="0"/>
                <w:iCs w:val="0"/>
                <w:color w:val="auto"/>
                <w:kern w:val="0"/>
                <w:sz w:val="16"/>
                <w:szCs w:val="16"/>
                <w:highlight w:val="none"/>
                <w:u w:val="none"/>
                <w:lang w:val="en-US" w:eastAsia="zh-CN" w:bidi="ar"/>
              </w:rPr>
              <w:t>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5824BFD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376C611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3577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601D8E5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19</w:t>
            </w:r>
          </w:p>
        </w:tc>
        <w:tc>
          <w:tcPr>
            <w:tcW w:w="941" w:type="dxa"/>
            <w:shd w:val="clear" w:color="auto" w:fill="auto"/>
            <w:noWrap/>
            <w:vAlign w:val="center"/>
          </w:tcPr>
          <w:p w14:paraId="2ACFEBF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圆形写字桌</w:t>
            </w:r>
          </w:p>
        </w:tc>
        <w:tc>
          <w:tcPr>
            <w:tcW w:w="2657" w:type="dxa"/>
            <w:shd w:val="clear" w:color="auto" w:fill="auto"/>
            <w:noWrap/>
            <w:vAlign w:val="center"/>
          </w:tcPr>
          <w:p w14:paraId="0F183BA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229235</wp:posOffset>
                  </wp:positionH>
                  <wp:positionV relativeFrom="paragraph">
                    <wp:posOffset>154940</wp:posOffset>
                  </wp:positionV>
                  <wp:extent cx="895985" cy="883285"/>
                  <wp:effectExtent l="0" t="0" r="18415" b="12065"/>
                  <wp:wrapNone/>
                  <wp:docPr id="87" name="ID_6B6DCC01A1CF47889C0BE7F05275AC88"/>
                  <wp:cNvGraphicFramePr/>
                  <a:graphic xmlns:a="http://schemas.openxmlformats.org/drawingml/2006/main">
                    <a:graphicData uri="http://schemas.openxmlformats.org/drawingml/2006/picture">
                      <pic:pic xmlns:pic="http://schemas.openxmlformats.org/drawingml/2006/picture">
                        <pic:nvPicPr>
                          <pic:cNvPr id="87" name="ID_6B6DCC01A1CF47889C0BE7F05275AC88"/>
                          <pic:cNvPicPr/>
                        </pic:nvPicPr>
                        <pic:blipFill>
                          <a:blip r:embed="rId45"/>
                          <a:stretch>
                            <a:fillRect/>
                          </a:stretch>
                        </pic:blipFill>
                        <pic:spPr>
                          <a:xfrm>
                            <a:off x="0" y="0"/>
                            <a:ext cx="895985" cy="883285"/>
                          </a:xfrm>
                          <a:prstGeom prst="rect">
                            <a:avLst/>
                          </a:prstGeom>
                          <a:noFill/>
                          <a:ln>
                            <a:noFill/>
                          </a:ln>
                        </pic:spPr>
                      </pic:pic>
                    </a:graphicData>
                  </a:graphic>
                </wp:anchor>
              </w:drawing>
            </w:r>
          </w:p>
        </w:tc>
        <w:tc>
          <w:tcPr>
            <w:tcW w:w="1656" w:type="dxa"/>
            <w:shd w:val="clear" w:color="auto" w:fill="auto"/>
            <w:noWrap/>
            <w:vAlign w:val="center"/>
          </w:tcPr>
          <w:p w14:paraId="2A9C507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Φ800*600</w:t>
            </w:r>
          </w:p>
        </w:tc>
        <w:tc>
          <w:tcPr>
            <w:tcW w:w="6182" w:type="dxa"/>
            <w:shd w:val="clear" w:color="auto" w:fill="auto"/>
            <w:vAlign w:val="center"/>
          </w:tcPr>
          <w:p w14:paraId="45C9B95C">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1.基材：台面基材采用E0级及以上中纤板，含水率≤8%；外贴实木木皮，木皮厚度≥0.6mm，经过防虫防腐处理；具有肌理细密、光滑细腻，耐磨性好，纹理清晰自然，色泽一致等特点；</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noWrap/>
            <w:vAlign w:val="center"/>
          </w:tcPr>
          <w:p w14:paraId="00648F5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0C9EA9E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w:t>
            </w:r>
          </w:p>
        </w:tc>
      </w:tr>
      <w:tr w14:paraId="0C44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460B7DC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20</w:t>
            </w:r>
          </w:p>
        </w:tc>
        <w:tc>
          <w:tcPr>
            <w:tcW w:w="941" w:type="dxa"/>
            <w:shd w:val="clear" w:color="auto" w:fill="auto"/>
            <w:noWrap/>
            <w:vAlign w:val="center"/>
          </w:tcPr>
          <w:p w14:paraId="2583767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休闲椅</w:t>
            </w:r>
          </w:p>
        </w:tc>
        <w:tc>
          <w:tcPr>
            <w:tcW w:w="2657" w:type="dxa"/>
            <w:shd w:val="clear" w:color="auto" w:fill="auto"/>
            <w:noWrap/>
            <w:vAlign w:val="center"/>
          </w:tcPr>
          <w:p w14:paraId="5E91FE0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207010</wp:posOffset>
                  </wp:positionV>
                  <wp:extent cx="958850" cy="965835"/>
                  <wp:effectExtent l="0" t="0" r="12700" b="5715"/>
                  <wp:wrapNone/>
                  <wp:docPr id="88" name="ID_4EF64B646E0940D98F443AC56F522499"/>
                  <wp:cNvGraphicFramePr/>
                  <a:graphic xmlns:a="http://schemas.openxmlformats.org/drawingml/2006/main">
                    <a:graphicData uri="http://schemas.openxmlformats.org/drawingml/2006/picture">
                      <pic:pic xmlns:pic="http://schemas.openxmlformats.org/drawingml/2006/picture">
                        <pic:nvPicPr>
                          <pic:cNvPr id="88" name="ID_4EF64B646E0940D98F443AC56F522499"/>
                          <pic:cNvPicPr/>
                        </pic:nvPicPr>
                        <pic:blipFill>
                          <a:blip r:embed="rId46"/>
                          <a:stretch>
                            <a:fillRect/>
                          </a:stretch>
                        </pic:blipFill>
                        <pic:spPr>
                          <a:xfrm>
                            <a:off x="0" y="0"/>
                            <a:ext cx="958850" cy="965835"/>
                          </a:xfrm>
                          <a:prstGeom prst="rect">
                            <a:avLst/>
                          </a:prstGeom>
                          <a:noFill/>
                          <a:ln>
                            <a:noFill/>
                          </a:ln>
                        </pic:spPr>
                      </pic:pic>
                    </a:graphicData>
                  </a:graphic>
                </wp:anchor>
              </w:drawing>
            </w:r>
          </w:p>
        </w:tc>
        <w:tc>
          <w:tcPr>
            <w:tcW w:w="1656" w:type="dxa"/>
            <w:shd w:val="clear" w:color="auto" w:fill="auto"/>
            <w:noWrap/>
            <w:vAlign w:val="center"/>
          </w:tcPr>
          <w:p w14:paraId="4A2CCCA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730*750*820</w:t>
            </w:r>
          </w:p>
        </w:tc>
        <w:tc>
          <w:tcPr>
            <w:tcW w:w="6182" w:type="dxa"/>
            <w:shd w:val="clear" w:color="auto" w:fill="auto"/>
            <w:vAlign w:val="center"/>
          </w:tcPr>
          <w:p w14:paraId="2A8EB51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1、饰面：选用布艺，柔软、透气。</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2、海绵：采用高密度、高回弹的原生棉，常规密度45#。表面使用抗老化处理，长时间使用不发黄。拥有回弹率高、座感舒适、长时间使用不变形的特性。                                                                   内部内部框架：选用实木刨方+松木方钉架，受力木方规格不小于3*7。木方经过烘干含水率：6-15%、杀虫、除菌处理。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3、夹板：E1级及以上环保标准，厚度≥15MM 。密度≥ 600KG/m3，含水率：6-15%。12 层经纬交织、高温层压而成，防虫、防霉变。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脚架：管材φ20mm,管壁厚度≥1.6mm。经过焊接、打磨、抛光等工艺表面采用喷黑砂工艺，涂层厚度≥0.1mm （比起电镀的更环保），涂层附着力高、抗氧化能力强。哑光处理，更显尊贵。</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4.椅架：采用白蜡木实木制作，木材进行烘干及防蛀处理；抗压力强、木性坚韧、耐腐蚀性强，质地坚硬，不易吸水，强度大，不翘曲、变形，无节疤，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无虫眼，特点重硬、纹理直，结构牢固，色泽淡雅纹理美观，力学强度高，耐磨损。内部采用实木多层板制作，物理性能、力学性能、甲醛释放量等符合国家标准要求；木材含水率≤8%；</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noWrap/>
            <w:vAlign w:val="center"/>
          </w:tcPr>
          <w:p w14:paraId="2EF0BD8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07A561C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w:t>
            </w:r>
          </w:p>
        </w:tc>
      </w:tr>
      <w:tr w14:paraId="3878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46292E9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21</w:t>
            </w:r>
          </w:p>
        </w:tc>
        <w:tc>
          <w:tcPr>
            <w:tcW w:w="941" w:type="dxa"/>
            <w:shd w:val="clear" w:color="auto" w:fill="auto"/>
            <w:noWrap/>
            <w:vAlign w:val="center"/>
          </w:tcPr>
          <w:p w14:paraId="2AD427B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休闲椅</w:t>
            </w:r>
          </w:p>
        </w:tc>
        <w:tc>
          <w:tcPr>
            <w:tcW w:w="2657" w:type="dxa"/>
            <w:shd w:val="clear" w:color="auto" w:fill="auto"/>
            <w:noWrap/>
            <w:vAlign w:val="center"/>
          </w:tcPr>
          <w:p w14:paraId="0155880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181610</wp:posOffset>
                  </wp:positionH>
                  <wp:positionV relativeFrom="paragraph">
                    <wp:posOffset>-376555</wp:posOffset>
                  </wp:positionV>
                  <wp:extent cx="1109345" cy="1064260"/>
                  <wp:effectExtent l="0" t="0" r="14605" b="2540"/>
                  <wp:wrapNone/>
                  <wp:docPr id="89" name="图片_1"/>
                  <wp:cNvGraphicFramePr/>
                  <a:graphic xmlns:a="http://schemas.openxmlformats.org/drawingml/2006/main">
                    <a:graphicData uri="http://schemas.openxmlformats.org/drawingml/2006/picture">
                      <pic:pic xmlns:pic="http://schemas.openxmlformats.org/drawingml/2006/picture">
                        <pic:nvPicPr>
                          <pic:cNvPr id="89" name="图片_1"/>
                          <pic:cNvPicPr/>
                        </pic:nvPicPr>
                        <pic:blipFill>
                          <a:blip r:embed="rId47"/>
                          <a:stretch>
                            <a:fillRect/>
                          </a:stretch>
                        </pic:blipFill>
                        <pic:spPr>
                          <a:xfrm>
                            <a:off x="0" y="0"/>
                            <a:ext cx="1109345" cy="1064260"/>
                          </a:xfrm>
                          <a:prstGeom prst="rect">
                            <a:avLst/>
                          </a:prstGeom>
                          <a:noFill/>
                          <a:ln>
                            <a:noFill/>
                          </a:ln>
                        </pic:spPr>
                      </pic:pic>
                    </a:graphicData>
                  </a:graphic>
                </wp:anchor>
              </w:drawing>
            </w:r>
          </w:p>
        </w:tc>
        <w:tc>
          <w:tcPr>
            <w:tcW w:w="1656" w:type="dxa"/>
            <w:shd w:val="clear" w:color="auto" w:fill="auto"/>
            <w:noWrap/>
            <w:vAlign w:val="center"/>
          </w:tcPr>
          <w:p w14:paraId="01A8917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610*680*780</w:t>
            </w:r>
          </w:p>
        </w:tc>
        <w:tc>
          <w:tcPr>
            <w:tcW w:w="6182" w:type="dxa"/>
            <w:shd w:val="clear" w:color="auto" w:fill="auto"/>
            <w:vAlign w:val="center"/>
          </w:tcPr>
          <w:p w14:paraId="2EC436AC">
            <w:pPr>
              <w:keepNext w:val="0"/>
              <w:keepLines w:val="0"/>
              <w:widowControl/>
              <w:numPr>
                <w:ilvl w:val="0"/>
                <w:numId w:val="6"/>
              </w:numPr>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椅架：采用白蜡木实木制作，木材进行烘干及防蛀处理；抗压力强、木性坚韧、耐腐蚀性强，质地坚硬，不易吸水，强度大，不翘曲、变形，无节疤， 无虫眼，特点重硬、纹理直，结构牢固，色泽淡雅纹理美观，力学强度高，耐磨损。内部采用实木多层板制作，物理性能、力学性能、甲醛释放量等符合国家标准要求；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2.面料：采用皮革，手感柔软舒适，经液态浸色及防潮、防污等工艺处理，采用高回弹海绵，达到国家阻燃标准；四周围包芯棉绳；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p>
        </w:tc>
        <w:tc>
          <w:tcPr>
            <w:tcW w:w="607" w:type="dxa"/>
            <w:shd w:val="clear" w:color="auto" w:fill="auto"/>
            <w:noWrap/>
            <w:vAlign w:val="center"/>
          </w:tcPr>
          <w:p w14:paraId="18B82D5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0C56660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r>
      <w:tr w14:paraId="37BE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4D4B2EF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22</w:t>
            </w:r>
          </w:p>
        </w:tc>
        <w:tc>
          <w:tcPr>
            <w:tcW w:w="941" w:type="dxa"/>
            <w:shd w:val="clear" w:color="auto" w:fill="auto"/>
            <w:noWrap/>
            <w:vAlign w:val="center"/>
          </w:tcPr>
          <w:p w14:paraId="3019112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茶几</w:t>
            </w:r>
          </w:p>
        </w:tc>
        <w:tc>
          <w:tcPr>
            <w:tcW w:w="2657" w:type="dxa"/>
            <w:shd w:val="clear" w:color="auto" w:fill="auto"/>
            <w:noWrap/>
            <w:vAlign w:val="center"/>
          </w:tcPr>
          <w:p w14:paraId="374F69A7">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130175</wp:posOffset>
                  </wp:positionH>
                  <wp:positionV relativeFrom="paragraph">
                    <wp:posOffset>1270</wp:posOffset>
                  </wp:positionV>
                  <wp:extent cx="1070610" cy="1270635"/>
                  <wp:effectExtent l="0" t="0" r="15240" b="5715"/>
                  <wp:wrapNone/>
                  <wp:docPr id="90" name="图片_3"/>
                  <wp:cNvGraphicFramePr/>
                  <a:graphic xmlns:a="http://schemas.openxmlformats.org/drawingml/2006/main">
                    <a:graphicData uri="http://schemas.openxmlformats.org/drawingml/2006/picture">
                      <pic:pic xmlns:pic="http://schemas.openxmlformats.org/drawingml/2006/picture">
                        <pic:nvPicPr>
                          <pic:cNvPr id="90" name="图片_3"/>
                          <pic:cNvPicPr/>
                        </pic:nvPicPr>
                        <pic:blipFill>
                          <a:blip r:embed="rId48"/>
                          <a:stretch>
                            <a:fillRect/>
                          </a:stretch>
                        </pic:blipFill>
                        <pic:spPr>
                          <a:xfrm>
                            <a:off x="0" y="0"/>
                            <a:ext cx="1070610" cy="1270635"/>
                          </a:xfrm>
                          <a:prstGeom prst="rect">
                            <a:avLst/>
                          </a:prstGeom>
                          <a:noFill/>
                          <a:ln>
                            <a:noFill/>
                          </a:ln>
                        </pic:spPr>
                      </pic:pic>
                    </a:graphicData>
                  </a:graphic>
                </wp:anchor>
              </w:drawing>
            </w:r>
          </w:p>
        </w:tc>
        <w:tc>
          <w:tcPr>
            <w:tcW w:w="1656" w:type="dxa"/>
            <w:shd w:val="clear" w:color="auto" w:fill="auto"/>
            <w:noWrap/>
            <w:vAlign w:val="center"/>
          </w:tcPr>
          <w:p w14:paraId="5642B0F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Φ500*H500</w:t>
            </w:r>
          </w:p>
        </w:tc>
        <w:tc>
          <w:tcPr>
            <w:tcW w:w="6182" w:type="dxa"/>
            <w:shd w:val="clear" w:color="auto" w:fill="auto"/>
            <w:vAlign w:val="center"/>
          </w:tcPr>
          <w:p w14:paraId="64F0EB5C">
            <w:pPr>
              <w:keepNext w:val="0"/>
              <w:keepLines w:val="0"/>
              <w:widowControl/>
              <w:numPr>
                <w:ilvl w:val="0"/>
                <w:numId w:val="7"/>
              </w:numPr>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基材：台面基材采用E0级及以上实木多层板，燃烧性能等级达到B1-B级，木材含水率≤8%，表面胶合强度≥0.60MPa，点抗压性能无破损；经过防虫防腐处理,耐磨性好，表面纹理拼接自然，色泽一致；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3.脚架采用白蜡木实木制作</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 xml:space="preserve"> </w:t>
            </w:r>
          </w:p>
        </w:tc>
        <w:tc>
          <w:tcPr>
            <w:tcW w:w="607" w:type="dxa"/>
            <w:shd w:val="clear" w:color="auto" w:fill="auto"/>
            <w:noWrap/>
            <w:vAlign w:val="center"/>
          </w:tcPr>
          <w:p w14:paraId="4FF699B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4A6EAB8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w:t>
            </w:r>
          </w:p>
        </w:tc>
      </w:tr>
      <w:tr w14:paraId="1E1C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vAlign w:val="center"/>
          </w:tcPr>
          <w:p w14:paraId="5801330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23</w:t>
            </w:r>
          </w:p>
        </w:tc>
        <w:tc>
          <w:tcPr>
            <w:tcW w:w="941" w:type="dxa"/>
            <w:shd w:val="clear" w:color="auto" w:fill="auto"/>
            <w:noWrap/>
            <w:vAlign w:val="center"/>
          </w:tcPr>
          <w:p w14:paraId="5FB4012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移动讲台</w:t>
            </w:r>
          </w:p>
        </w:tc>
        <w:tc>
          <w:tcPr>
            <w:tcW w:w="2657" w:type="dxa"/>
            <w:shd w:val="clear" w:color="auto" w:fill="auto"/>
            <w:noWrap/>
            <w:vAlign w:val="center"/>
          </w:tcPr>
          <w:p w14:paraId="1C639B2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color w:val="auto"/>
                <w:highlight w:val="none"/>
              </w:rPr>
              <w:drawing>
                <wp:inline distT="0" distB="0" distL="114300" distR="114300">
                  <wp:extent cx="721360" cy="911225"/>
                  <wp:effectExtent l="0" t="0" r="2540" b="3175"/>
                  <wp:docPr id="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7"/>
                          <pic:cNvPicPr>
                            <a:picLocks noChangeAspect="1"/>
                          </pic:cNvPicPr>
                        </pic:nvPicPr>
                        <pic:blipFill>
                          <a:blip r:embed="rId49"/>
                          <a:stretch>
                            <a:fillRect/>
                          </a:stretch>
                        </pic:blipFill>
                        <pic:spPr>
                          <a:xfrm>
                            <a:off x="0" y="0"/>
                            <a:ext cx="721360" cy="911225"/>
                          </a:xfrm>
                          <a:prstGeom prst="rect">
                            <a:avLst/>
                          </a:prstGeom>
                          <a:noFill/>
                          <a:ln w="9525">
                            <a:noFill/>
                          </a:ln>
                        </pic:spPr>
                      </pic:pic>
                    </a:graphicData>
                  </a:graphic>
                </wp:inline>
              </w:drawing>
            </w:r>
          </w:p>
        </w:tc>
        <w:tc>
          <w:tcPr>
            <w:tcW w:w="1656" w:type="dxa"/>
            <w:shd w:val="clear" w:color="auto" w:fill="auto"/>
            <w:noWrap/>
            <w:vAlign w:val="center"/>
          </w:tcPr>
          <w:p w14:paraId="540E6B3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720*500*710-1100</w:t>
            </w:r>
          </w:p>
        </w:tc>
        <w:tc>
          <w:tcPr>
            <w:tcW w:w="6182" w:type="dxa"/>
            <w:shd w:val="clear" w:color="auto" w:fill="auto"/>
            <w:vAlign w:val="center"/>
          </w:tcPr>
          <w:p w14:paraId="36402764">
            <w:pPr>
              <w:keepNext w:val="0"/>
              <w:keepLines w:val="0"/>
              <w:widowControl/>
              <w:numPr>
                <w:ilvl w:val="0"/>
                <w:numId w:val="8"/>
              </w:numPr>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升降范围: 710-1100mm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2、最大承重: 60kg</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3、桌面材质: MDF吸塑板+PVC，</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4、桌面尺寸：715*495*18mm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5、支架材质: 钢架(喷粉)，月光白</w:t>
            </w:r>
          </w:p>
          <w:p w14:paraId="0736765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p w14:paraId="12254216">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noWrap/>
            <w:vAlign w:val="center"/>
          </w:tcPr>
          <w:p w14:paraId="55575CB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69A7A25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3F42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vAlign w:val="center"/>
          </w:tcPr>
          <w:p w14:paraId="329352A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941" w:type="dxa"/>
            <w:shd w:val="clear" w:color="auto" w:fill="auto"/>
            <w:vAlign w:val="center"/>
          </w:tcPr>
          <w:p w14:paraId="2353FAC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带折叠写字板会议椅</w:t>
            </w:r>
          </w:p>
          <w:p w14:paraId="68317C2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cs="宋体"/>
                <w:i w:val="0"/>
                <w:iCs w:val="0"/>
                <w:color w:val="auto"/>
                <w:kern w:val="0"/>
                <w:sz w:val="16"/>
                <w:szCs w:val="16"/>
                <w:highlight w:val="none"/>
                <w:u w:val="none"/>
                <w:lang w:val="en-US" w:eastAsia="zh-CN" w:bidi="ar"/>
              </w:rPr>
              <w:t>（提供样品）</w:t>
            </w:r>
          </w:p>
        </w:tc>
        <w:tc>
          <w:tcPr>
            <w:tcW w:w="2657" w:type="dxa"/>
            <w:shd w:val="clear" w:color="auto" w:fill="auto"/>
            <w:noWrap/>
            <w:vAlign w:val="center"/>
          </w:tcPr>
          <w:p w14:paraId="5486971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p>
        </w:tc>
        <w:tc>
          <w:tcPr>
            <w:tcW w:w="1656" w:type="dxa"/>
            <w:shd w:val="clear" w:color="auto" w:fill="auto"/>
            <w:noWrap/>
            <w:vAlign w:val="center"/>
          </w:tcPr>
          <w:p w14:paraId="525F992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椅高：875mm；座宽：470mm；座深：480mm；座高：450mm；</w:t>
            </w:r>
          </w:p>
        </w:tc>
        <w:tc>
          <w:tcPr>
            <w:tcW w:w="6182" w:type="dxa"/>
            <w:shd w:val="clear" w:color="auto" w:fill="auto"/>
            <w:vAlign w:val="center"/>
          </w:tcPr>
          <w:p w14:paraId="7CC9E15C">
            <w:pPr>
              <w:keepNext w:val="0"/>
              <w:keepLines w:val="0"/>
              <w:widowControl/>
              <w:numPr>
                <w:ilvl w:val="0"/>
                <w:numId w:val="9"/>
              </w:numPr>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椅背：采用全新PP+玻纤材质，双层椅背拼接，点阵式镂空处理，表面晒纹工艺，具备良好的耐磨性与美观性，整个靠背采用上窄中宽下窄的贴合设计，可以很好地贴合支撑背部。背宽：435mm；背高430mm；</w:t>
            </w:r>
          </w:p>
          <w:p w14:paraId="7887F08A">
            <w:pPr>
              <w:keepNext w:val="0"/>
              <w:keepLines w:val="0"/>
              <w:widowControl/>
              <w:numPr>
                <w:ilvl w:val="0"/>
                <w:numId w:val="9"/>
              </w:numPr>
              <w:suppressLineNumbers w:val="0"/>
              <w:ind w:left="0" w:leftChars="0" w:firstLine="0" w:firstLineChars="0"/>
              <w:jc w:val="left"/>
              <w:textAlignment w:val="center"/>
              <w:rPr>
                <w:rFonts w:hint="eastAsia" w:ascii="宋体" w:hAnsi="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椅座：座垫采用54*53*2CM密度33、硬度60的弹力海绵，搭配高弹力透气座布，为使用者提供舒适坐感与良好透气性；底部配备 PP+30% 玻纤一体成型防尘底壳，有效防止灰尘侵入，延长使用寿命。</w:t>
            </w:r>
            <w:r>
              <w:rPr>
                <w:rFonts w:hint="eastAsia" w:ascii="宋体" w:hAnsi="宋体" w:cs="宋体"/>
                <w:i w:val="0"/>
                <w:iCs w:val="0"/>
                <w:color w:val="auto"/>
                <w:kern w:val="0"/>
                <w:sz w:val="16"/>
                <w:szCs w:val="16"/>
                <w:highlight w:val="none"/>
                <w:u w:val="none"/>
                <w:lang w:val="en-US" w:eastAsia="zh-CN" w:bidi="ar"/>
              </w:rPr>
              <w:t>座高：450mm，</w:t>
            </w:r>
          </w:p>
          <w:p w14:paraId="1D435B43">
            <w:pPr>
              <w:keepNext w:val="0"/>
              <w:keepLines w:val="0"/>
              <w:widowControl/>
              <w:numPr>
                <w:ilvl w:val="0"/>
                <w:numId w:val="9"/>
              </w:numPr>
              <w:suppressLineNumbers w:val="0"/>
              <w:ind w:left="0" w:leftChars="0" w:firstLine="0" w:firstLineChars="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1" locked="0" layoutInCell="1" allowOverlap="1">
                  <wp:simplePos x="0" y="0"/>
                  <wp:positionH relativeFrom="column">
                    <wp:posOffset>-2592070</wp:posOffset>
                  </wp:positionH>
                  <wp:positionV relativeFrom="paragraph">
                    <wp:posOffset>118745</wp:posOffset>
                  </wp:positionV>
                  <wp:extent cx="1359535" cy="1507490"/>
                  <wp:effectExtent l="0" t="0" r="12065" b="16510"/>
                  <wp:wrapNone/>
                  <wp:docPr id="92" name="ID_597DC8A3436A41DDAD3FCADACBB3557E"/>
                  <wp:cNvGraphicFramePr/>
                  <a:graphic xmlns:a="http://schemas.openxmlformats.org/drawingml/2006/main">
                    <a:graphicData uri="http://schemas.openxmlformats.org/drawingml/2006/picture">
                      <pic:pic xmlns:pic="http://schemas.openxmlformats.org/drawingml/2006/picture">
                        <pic:nvPicPr>
                          <pic:cNvPr id="92" name="ID_597DC8A3436A41DDAD3FCADACBB3557E"/>
                          <pic:cNvPicPr/>
                        </pic:nvPicPr>
                        <pic:blipFill>
                          <a:blip r:embed="rId50"/>
                          <a:stretch>
                            <a:fillRect/>
                          </a:stretch>
                        </pic:blipFill>
                        <pic:spPr>
                          <a:xfrm>
                            <a:off x="0" y="0"/>
                            <a:ext cx="1359535" cy="1507490"/>
                          </a:xfrm>
                          <a:prstGeom prst="rect">
                            <a:avLst/>
                          </a:prstGeom>
                          <a:noFill/>
                          <a:ln>
                            <a:noFill/>
                          </a:ln>
                        </pic:spPr>
                      </pic:pic>
                    </a:graphicData>
                  </a:graphic>
                </wp:anchor>
              </w:drawing>
            </w:r>
            <w:r>
              <w:rPr>
                <w:rFonts w:hint="eastAsia" w:ascii="宋体" w:hAnsi="宋体" w:eastAsia="宋体" w:cs="宋体"/>
                <w:i w:val="0"/>
                <w:iCs w:val="0"/>
                <w:color w:val="auto"/>
                <w:kern w:val="0"/>
                <w:sz w:val="16"/>
                <w:szCs w:val="16"/>
                <w:highlight w:val="none"/>
                <w:u w:val="none"/>
                <w:lang w:val="en-US" w:eastAsia="zh-CN" w:bidi="ar"/>
              </w:rPr>
              <w:t>写字板：520*335mm大面积折叠收纳写字板，板面可360°旋转，能够满足不同的书写姿势与坐姿，</w:t>
            </w:r>
            <w:r>
              <w:rPr>
                <w:rFonts w:hint="eastAsia" w:ascii="宋体" w:hAnsi="宋体" w:cs="宋体"/>
                <w:i w:val="0"/>
                <w:iCs w:val="0"/>
                <w:color w:val="auto"/>
                <w:kern w:val="0"/>
                <w:sz w:val="16"/>
                <w:szCs w:val="16"/>
                <w:highlight w:val="none"/>
                <w:u w:val="none"/>
                <w:lang w:val="en-US" w:eastAsia="zh-CN" w:bidi="ar"/>
              </w:rPr>
              <w:t>写字板离地高：705mm；配备水杯架，杯架可360°旋转，可放入常规尺寸水杯、水瓶；</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4、椅脚：采用Φ25*T2.0mm的管材五金椅脚，采用打砂除锈处理，四角爪型，确保稳固性、便捷性、易用性</w:t>
            </w:r>
            <w:r>
              <w:rPr>
                <w:rFonts w:hint="eastAsia" w:ascii="宋体" w:hAnsi="宋体" w:cs="宋体"/>
                <w:i w:val="0"/>
                <w:iCs w:val="0"/>
                <w:color w:val="auto"/>
                <w:kern w:val="0"/>
                <w:sz w:val="16"/>
                <w:szCs w:val="16"/>
                <w:highlight w:val="none"/>
                <w:u w:val="none"/>
                <w:lang w:val="en-US" w:eastAsia="zh-CN" w:bidi="ar"/>
              </w:rPr>
              <w:t>。</w:t>
            </w:r>
            <w:r>
              <w:rPr>
                <w:rFonts w:hint="eastAsia" w:ascii="宋体" w:hAnsi="宋体" w:eastAsia="宋体" w:cs="宋体"/>
                <w:i w:val="0"/>
                <w:iCs w:val="0"/>
                <w:color w:val="auto"/>
                <w:kern w:val="0"/>
                <w:sz w:val="16"/>
                <w:szCs w:val="16"/>
                <w:highlight w:val="none"/>
                <w:u w:val="none"/>
                <w:lang w:val="en-US" w:eastAsia="zh-CN" w:bidi="ar"/>
              </w:rPr>
              <w:t>表面采用喷粉烤漆工艺，金属质感，45度倾斜与垂直融合设计，有效避免卡脚；</w:t>
            </w:r>
          </w:p>
          <w:p w14:paraId="6FEE6C4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cs="宋体"/>
                <w:i w:val="0"/>
                <w:iCs w:val="0"/>
                <w:color w:val="auto"/>
                <w:kern w:val="0"/>
                <w:sz w:val="16"/>
                <w:szCs w:val="16"/>
                <w:highlight w:val="none"/>
                <w:u w:val="none"/>
                <w:lang w:val="en-US" w:eastAsia="zh-CN" w:bidi="ar"/>
              </w:rPr>
              <w:t>5、</w:t>
            </w:r>
            <w:r>
              <w:rPr>
                <w:rFonts w:hint="eastAsia" w:ascii="宋体" w:hAnsi="宋体" w:eastAsia="宋体" w:cs="宋体"/>
                <w:i w:val="0"/>
                <w:iCs w:val="0"/>
                <w:color w:val="auto"/>
                <w:kern w:val="0"/>
                <w:sz w:val="16"/>
                <w:szCs w:val="16"/>
                <w:highlight w:val="none"/>
                <w:u w:val="none"/>
                <w:lang w:val="en-US" w:eastAsia="zh-CN" w:bidi="ar"/>
              </w:rPr>
              <w:t>写字板：520*335mm大面积折叠收纳写字板，采用ABS制作，左右两侧各带一个笔槽，板面可360°旋转，按键结构，90°折叠收纳，能够满足不同的书写姿势与坐姿，写字板旋转支架采用铝合金制作，配备PP白色晒纹水杯架，可360度旋转。</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cs="宋体"/>
                <w:i w:val="0"/>
                <w:iCs w:val="0"/>
                <w:color w:val="auto"/>
                <w:kern w:val="0"/>
                <w:sz w:val="16"/>
                <w:szCs w:val="16"/>
                <w:highlight w:val="none"/>
                <w:u w:val="none"/>
                <w:lang w:val="en-US" w:eastAsia="zh-CN" w:bidi="ar"/>
              </w:rPr>
              <w:t>6、</w:t>
            </w:r>
            <w:r>
              <w:rPr>
                <w:rFonts w:hint="eastAsia" w:ascii="宋体" w:hAnsi="宋体" w:eastAsia="宋体" w:cs="宋体"/>
                <w:i w:val="0"/>
                <w:iCs w:val="0"/>
                <w:color w:val="auto"/>
                <w:kern w:val="0"/>
                <w:sz w:val="16"/>
                <w:szCs w:val="16"/>
                <w:highlight w:val="none"/>
                <w:u w:val="none"/>
                <w:lang w:val="en-US" w:eastAsia="zh-CN" w:bidi="ar"/>
              </w:rPr>
              <w:t>脚轮：脚轮：Φ50mm，PU尼龙静音轮</w:t>
            </w:r>
          </w:p>
          <w:p w14:paraId="01051B77">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cs="宋体"/>
                <w:i w:val="0"/>
                <w:iCs w:val="0"/>
                <w:color w:val="auto"/>
                <w:kern w:val="0"/>
                <w:sz w:val="16"/>
                <w:szCs w:val="16"/>
                <w:highlight w:val="none"/>
                <w:u w:val="none"/>
                <w:lang w:val="en-US" w:eastAsia="zh-CN" w:bidi="ar"/>
              </w:rPr>
              <w:t>7、</w:t>
            </w:r>
            <w:r>
              <w:rPr>
                <w:rFonts w:hint="eastAsia" w:ascii="宋体" w:hAnsi="宋体" w:eastAsia="宋体" w:cs="宋体"/>
                <w:i w:val="0"/>
                <w:iCs w:val="0"/>
                <w:color w:val="auto"/>
                <w:kern w:val="0"/>
                <w:sz w:val="16"/>
                <w:szCs w:val="16"/>
                <w:highlight w:val="none"/>
                <w:u w:val="none"/>
                <w:lang w:val="en-US" w:eastAsia="zh-CN" w:bidi="ar"/>
              </w:rPr>
              <w:t>书网：采用白色晒纹PP+30%GF一体成型，整体中间低四周高呈凹形，使放置的物品不容易掉落，中间位置设有十字形镂空，四周设孔径渐变圆形镂空，造型美观，透气性好。</w:t>
            </w:r>
          </w:p>
          <w:p w14:paraId="18D78D00">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16"/>
                <w:szCs w:val="16"/>
                <w:highlight w:val="none"/>
                <w:u w:val="none"/>
                <w:lang w:val="en-US" w:eastAsia="zh-CN" w:bidi="ar"/>
              </w:rPr>
            </w:pPr>
          </w:p>
          <w:p w14:paraId="054C44B5">
            <w:pPr>
              <w:keepNext w:val="0"/>
              <w:keepLines w:val="0"/>
              <w:widowControl/>
              <w:numPr>
                <w:ilvl w:val="0"/>
                <w:numId w:val="0"/>
              </w:numPr>
              <w:suppressLineNumbers w:val="0"/>
              <w:ind w:leftChars="0"/>
              <w:jc w:val="left"/>
              <w:textAlignment w:val="center"/>
              <w:rPr>
                <w:rFonts w:hint="eastAsia" w:ascii="宋体" w:hAnsi="宋体" w:eastAsia="宋体" w:cs="宋体"/>
                <w:i w:val="0"/>
                <w:iCs w:val="0"/>
                <w:color w:val="auto"/>
                <w:kern w:val="0"/>
                <w:sz w:val="16"/>
                <w:szCs w:val="16"/>
                <w:highlight w:val="none"/>
                <w:u w:val="none"/>
                <w:lang w:val="en-US" w:eastAsia="zh-CN" w:bidi="ar"/>
              </w:rPr>
            </w:pPr>
          </w:p>
        </w:tc>
        <w:tc>
          <w:tcPr>
            <w:tcW w:w="607" w:type="dxa"/>
            <w:shd w:val="clear" w:color="auto" w:fill="auto"/>
            <w:noWrap/>
            <w:vAlign w:val="center"/>
          </w:tcPr>
          <w:p w14:paraId="5E6284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28D479B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18</w:t>
            </w:r>
          </w:p>
        </w:tc>
      </w:tr>
      <w:tr w14:paraId="15D2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1D85F77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941" w:type="dxa"/>
            <w:shd w:val="clear" w:color="auto" w:fill="auto"/>
            <w:noWrap/>
            <w:vAlign w:val="center"/>
          </w:tcPr>
          <w:p w14:paraId="16D41B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方形写字桌</w:t>
            </w:r>
          </w:p>
        </w:tc>
        <w:tc>
          <w:tcPr>
            <w:tcW w:w="2657" w:type="dxa"/>
            <w:shd w:val="clear" w:color="auto" w:fill="auto"/>
            <w:noWrap/>
            <w:vAlign w:val="center"/>
          </w:tcPr>
          <w:p w14:paraId="6E051AC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315595</wp:posOffset>
                  </wp:positionH>
                  <wp:positionV relativeFrom="paragraph">
                    <wp:posOffset>122555</wp:posOffset>
                  </wp:positionV>
                  <wp:extent cx="1117600" cy="1006475"/>
                  <wp:effectExtent l="0" t="0" r="6350" b="3175"/>
                  <wp:wrapNone/>
                  <wp:docPr id="76" name="ID_10E7CB680A044CC1810813DDFF991CAB"/>
                  <wp:cNvGraphicFramePr/>
                  <a:graphic xmlns:a="http://schemas.openxmlformats.org/drawingml/2006/main">
                    <a:graphicData uri="http://schemas.openxmlformats.org/drawingml/2006/picture">
                      <pic:pic xmlns:pic="http://schemas.openxmlformats.org/drawingml/2006/picture">
                        <pic:nvPicPr>
                          <pic:cNvPr id="76" name="ID_10E7CB680A044CC1810813DDFF991CAB"/>
                          <pic:cNvPicPr/>
                        </pic:nvPicPr>
                        <pic:blipFill>
                          <a:blip r:embed="rId51"/>
                          <a:stretch>
                            <a:fillRect/>
                          </a:stretch>
                        </pic:blipFill>
                        <pic:spPr>
                          <a:xfrm>
                            <a:off x="0" y="0"/>
                            <a:ext cx="1117600" cy="1006475"/>
                          </a:xfrm>
                          <a:prstGeom prst="rect">
                            <a:avLst/>
                          </a:prstGeom>
                          <a:noFill/>
                          <a:ln>
                            <a:noFill/>
                          </a:ln>
                        </pic:spPr>
                      </pic:pic>
                    </a:graphicData>
                  </a:graphic>
                </wp:anchor>
              </w:drawing>
            </w:r>
          </w:p>
        </w:tc>
        <w:tc>
          <w:tcPr>
            <w:tcW w:w="1656" w:type="dxa"/>
            <w:shd w:val="clear" w:color="auto" w:fill="auto"/>
            <w:noWrap/>
            <w:vAlign w:val="center"/>
          </w:tcPr>
          <w:p w14:paraId="07F3A6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600*600*600</w:t>
            </w:r>
          </w:p>
        </w:tc>
        <w:tc>
          <w:tcPr>
            <w:tcW w:w="6182" w:type="dxa"/>
            <w:shd w:val="clear" w:color="auto" w:fill="auto"/>
            <w:vAlign w:val="center"/>
          </w:tcPr>
          <w:p w14:paraId="17EADBEE">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3、台面导圆角处理。</w:t>
            </w:r>
          </w:p>
        </w:tc>
        <w:tc>
          <w:tcPr>
            <w:tcW w:w="607" w:type="dxa"/>
            <w:shd w:val="clear" w:color="auto" w:fill="auto"/>
            <w:noWrap/>
            <w:vAlign w:val="center"/>
          </w:tcPr>
          <w:p w14:paraId="3A4E4A2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7E2C0A4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w:t>
            </w:r>
          </w:p>
        </w:tc>
      </w:tr>
      <w:tr w14:paraId="5724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7C337C7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941" w:type="dxa"/>
            <w:shd w:val="clear" w:color="auto" w:fill="auto"/>
            <w:noWrap/>
            <w:vAlign w:val="center"/>
          </w:tcPr>
          <w:p w14:paraId="5BB186A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洽谈椅</w:t>
            </w:r>
          </w:p>
        </w:tc>
        <w:tc>
          <w:tcPr>
            <w:tcW w:w="2657" w:type="dxa"/>
            <w:shd w:val="clear" w:color="auto" w:fill="auto"/>
            <w:noWrap/>
            <w:vAlign w:val="center"/>
          </w:tcPr>
          <w:p w14:paraId="7B0CB2B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315595</wp:posOffset>
                  </wp:positionH>
                  <wp:positionV relativeFrom="paragraph">
                    <wp:posOffset>17780</wp:posOffset>
                  </wp:positionV>
                  <wp:extent cx="1117600" cy="1350010"/>
                  <wp:effectExtent l="0" t="0" r="6350" b="2540"/>
                  <wp:wrapNone/>
                  <wp:docPr id="62" name="ID_B678B936C10749EB9A5E3878C2C5A700"/>
                  <wp:cNvGraphicFramePr/>
                  <a:graphic xmlns:a="http://schemas.openxmlformats.org/drawingml/2006/main">
                    <a:graphicData uri="http://schemas.openxmlformats.org/drawingml/2006/picture">
                      <pic:pic xmlns:pic="http://schemas.openxmlformats.org/drawingml/2006/picture">
                        <pic:nvPicPr>
                          <pic:cNvPr id="62" name="ID_B678B936C10749EB9A5E3878C2C5A700"/>
                          <pic:cNvPicPr/>
                        </pic:nvPicPr>
                        <pic:blipFill>
                          <a:blip r:embed="rId52"/>
                          <a:stretch>
                            <a:fillRect/>
                          </a:stretch>
                        </pic:blipFill>
                        <pic:spPr>
                          <a:xfrm>
                            <a:off x="0" y="0"/>
                            <a:ext cx="1117600" cy="1350010"/>
                          </a:xfrm>
                          <a:prstGeom prst="rect">
                            <a:avLst/>
                          </a:prstGeom>
                          <a:noFill/>
                          <a:ln>
                            <a:noFill/>
                          </a:ln>
                        </pic:spPr>
                      </pic:pic>
                    </a:graphicData>
                  </a:graphic>
                </wp:anchor>
              </w:drawing>
            </w:r>
          </w:p>
        </w:tc>
        <w:tc>
          <w:tcPr>
            <w:tcW w:w="1656" w:type="dxa"/>
            <w:shd w:val="clear" w:color="auto" w:fill="auto"/>
            <w:vAlign w:val="center"/>
          </w:tcPr>
          <w:p w14:paraId="44A702F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720*770*850</w:t>
            </w:r>
          </w:p>
        </w:tc>
        <w:tc>
          <w:tcPr>
            <w:tcW w:w="6182" w:type="dxa"/>
            <w:shd w:val="clear" w:color="auto" w:fill="auto"/>
            <w:vAlign w:val="center"/>
          </w:tcPr>
          <w:p w14:paraId="0C21259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面料：皮革覆面，游离甲醛未检出，无色差，经液态浸色及防潮、防污等工艺处理，光泽持久性透气性强、耐磨性强、无异味、弹性好、肌理清晰，健康环保，经久耐用。                                                     内框架：内框架采用多层实木框架，木制构件全部经过烘干处理，木构件四面刨光，内部木材含水率8%-12%，木材防虫防腐处理，内部衬垫物干燥卫生，无腐烂变质、无夹杂泥沙及金属杂物，所有内部填充物清洁无异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海绵：采用高密度、高回弹原生棉。软硬适中，回弹性能好，抗变形能力强，根椐人体工程学原理设计，坐感舒适。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脚架：采用钢管，木纹转印工艺，与木质同一色系。</w:t>
            </w:r>
          </w:p>
        </w:tc>
        <w:tc>
          <w:tcPr>
            <w:tcW w:w="607" w:type="dxa"/>
            <w:shd w:val="clear" w:color="auto" w:fill="auto"/>
            <w:noWrap/>
            <w:vAlign w:val="center"/>
          </w:tcPr>
          <w:p w14:paraId="5A41E1F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7C55491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w:t>
            </w:r>
          </w:p>
        </w:tc>
      </w:tr>
      <w:tr w14:paraId="672D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6B05B73C">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941" w:type="dxa"/>
            <w:shd w:val="clear" w:color="auto" w:fill="auto"/>
            <w:noWrap/>
            <w:vAlign w:val="center"/>
          </w:tcPr>
          <w:p w14:paraId="4AF1ACE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期刊架</w:t>
            </w:r>
          </w:p>
        </w:tc>
        <w:tc>
          <w:tcPr>
            <w:tcW w:w="2657" w:type="dxa"/>
            <w:shd w:val="clear" w:color="auto" w:fill="auto"/>
            <w:noWrap/>
            <w:vAlign w:val="center"/>
          </w:tcPr>
          <w:p w14:paraId="16A0684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222250</wp:posOffset>
                  </wp:positionH>
                  <wp:positionV relativeFrom="paragraph">
                    <wp:posOffset>-468630</wp:posOffset>
                  </wp:positionV>
                  <wp:extent cx="1037590" cy="1165225"/>
                  <wp:effectExtent l="0" t="0" r="10160" b="15875"/>
                  <wp:wrapNone/>
                  <wp:docPr id="63" name="ID_7C96A8B7F0944A2580C9D9ABFC068579"/>
                  <wp:cNvGraphicFramePr/>
                  <a:graphic xmlns:a="http://schemas.openxmlformats.org/drawingml/2006/main">
                    <a:graphicData uri="http://schemas.openxmlformats.org/drawingml/2006/picture">
                      <pic:pic xmlns:pic="http://schemas.openxmlformats.org/drawingml/2006/picture">
                        <pic:nvPicPr>
                          <pic:cNvPr id="63" name="ID_7C96A8B7F0944A2580C9D9ABFC068579"/>
                          <pic:cNvPicPr/>
                        </pic:nvPicPr>
                        <pic:blipFill>
                          <a:blip r:embed="rId53"/>
                          <a:stretch>
                            <a:fillRect/>
                          </a:stretch>
                        </pic:blipFill>
                        <pic:spPr>
                          <a:xfrm>
                            <a:off x="0" y="0"/>
                            <a:ext cx="1037590" cy="1165225"/>
                          </a:xfrm>
                          <a:prstGeom prst="rect">
                            <a:avLst/>
                          </a:prstGeom>
                          <a:noFill/>
                          <a:ln>
                            <a:noFill/>
                          </a:ln>
                        </pic:spPr>
                      </pic:pic>
                    </a:graphicData>
                  </a:graphic>
                </wp:anchor>
              </w:drawing>
            </w:r>
          </w:p>
        </w:tc>
        <w:tc>
          <w:tcPr>
            <w:tcW w:w="1656" w:type="dxa"/>
            <w:shd w:val="clear" w:color="auto" w:fill="auto"/>
            <w:noWrap/>
            <w:vAlign w:val="center"/>
          </w:tcPr>
          <w:p w14:paraId="12F05E1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1200*400*950</w:t>
            </w:r>
          </w:p>
        </w:tc>
        <w:tc>
          <w:tcPr>
            <w:tcW w:w="6182" w:type="dxa"/>
            <w:shd w:val="clear" w:color="auto" w:fill="auto"/>
            <w:vAlign w:val="center"/>
          </w:tcPr>
          <w:p w14:paraId="6B523EA8">
            <w:pPr>
              <w:keepNext w:val="0"/>
              <w:keepLines w:val="0"/>
              <w:widowControl/>
              <w:numPr>
                <w:ilvl w:val="0"/>
                <w:numId w:val="10"/>
              </w:numPr>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p w14:paraId="0BA0859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noWrap/>
            <w:vAlign w:val="center"/>
          </w:tcPr>
          <w:p w14:paraId="0BDC2F5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60D3C0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2838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02594C2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941" w:type="dxa"/>
            <w:shd w:val="clear" w:color="auto" w:fill="auto"/>
            <w:noWrap/>
            <w:vAlign w:val="center"/>
          </w:tcPr>
          <w:p w14:paraId="6E9BAA8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定制隔断</w:t>
            </w:r>
          </w:p>
        </w:tc>
        <w:tc>
          <w:tcPr>
            <w:tcW w:w="2657" w:type="dxa"/>
            <w:shd w:val="clear" w:color="auto" w:fill="auto"/>
            <w:noWrap/>
            <w:vAlign w:val="center"/>
          </w:tcPr>
          <w:p w14:paraId="666AB9C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259715</wp:posOffset>
                  </wp:positionH>
                  <wp:positionV relativeFrom="paragraph">
                    <wp:posOffset>142875</wp:posOffset>
                  </wp:positionV>
                  <wp:extent cx="1229360" cy="1231265"/>
                  <wp:effectExtent l="0" t="0" r="8890" b="6985"/>
                  <wp:wrapNone/>
                  <wp:docPr id="64" name="ID_35ED641255724CD3911D2CF12DFE06B4"/>
                  <wp:cNvGraphicFramePr/>
                  <a:graphic xmlns:a="http://schemas.openxmlformats.org/drawingml/2006/main">
                    <a:graphicData uri="http://schemas.openxmlformats.org/drawingml/2006/picture">
                      <pic:pic xmlns:pic="http://schemas.openxmlformats.org/drawingml/2006/picture">
                        <pic:nvPicPr>
                          <pic:cNvPr id="64" name="ID_35ED641255724CD3911D2CF12DFE06B4"/>
                          <pic:cNvPicPr/>
                        </pic:nvPicPr>
                        <pic:blipFill>
                          <a:blip r:embed="rId54"/>
                          <a:stretch>
                            <a:fillRect/>
                          </a:stretch>
                        </pic:blipFill>
                        <pic:spPr>
                          <a:xfrm>
                            <a:off x="0" y="0"/>
                            <a:ext cx="1229360" cy="1231265"/>
                          </a:xfrm>
                          <a:prstGeom prst="rect">
                            <a:avLst/>
                          </a:prstGeom>
                          <a:noFill/>
                          <a:ln>
                            <a:noFill/>
                          </a:ln>
                        </pic:spPr>
                      </pic:pic>
                    </a:graphicData>
                  </a:graphic>
                </wp:anchor>
              </w:drawing>
            </w:r>
          </w:p>
        </w:tc>
        <w:tc>
          <w:tcPr>
            <w:tcW w:w="1656" w:type="dxa"/>
            <w:shd w:val="clear" w:color="auto" w:fill="auto"/>
            <w:noWrap/>
            <w:vAlign w:val="center"/>
          </w:tcPr>
          <w:p w14:paraId="30872DC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1450*350*1100</w:t>
            </w:r>
          </w:p>
        </w:tc>
        <w:tc>
          <w:tcPr>
            <w:tcW w:w="6182" w:type="dxa"/>
            <w:shd w:val="clear" w:color="auto" w:fill="auto"/>
            <w:vAlign w:val="center"/>
          </w:tcPr>
          <w:p w14:paraId="783B196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58B57C6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69B1CDC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077E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4271311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941" w:type="dxa"/>
            <w:shd w:val="clear" w:color="auto" w:fill="auto"/>
            <w:vAlign w:val="center"/>
          </w:tcPr>
          <w:p w14:paraId="6CFF75E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办公桌</w:t>
            </w:r>
          </w:p>
        </w:tc>
        <w:tc>
          <w:tcPr>
            <w:tcW w:w="2657" w:type="dxa"/>
            <w:shd w:val="clear" w:color="auto" w:fill="auto"/>
            <w:vAlign w:val="center"/>
          </w:tcPr>
          <w:p w14:paraId="139D4BB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375285</wp:posOffset>
                  </wp:positionH>
                  <wp:positionV relativeFrom="paragraph">
                    <wp:posOffset>1905635</wp:posOffset>
                  </wp:positionV>
                  <wp:extent cx="739775" cy="1123950"/>
                  <wp:effectExtent l="0" t="0" r="3175" b="0"/>
                  <wp:wrapNone/>
                  <wp:docPr id="75" name="ID_18474B9A51F44D2F92B8038FF60E7E58"/>
                  <wp:cNvGraphicFramePr/>
                  <a:graphic xmlns:a="http://schemas.openxmlformats.org/drawingml/2006/main">
                    <a:graphicData uri="http://schemas.openxmlformats.org/drawingml/2006/picture">
                      <pic:pic xmlns:pic="http://schemas.openxmlformats.org/drawingml/2006/picture">
                        <pic:nvPicPr>
                          <pic:cNvPr id="75" name="ID_18474B9A51F44D2F92B8038FF60E7E58"/>
                          <pic:cNvPicPr/>
                        </pic:nvPicPr>
                        <pic:blipFill>
                          <a:blip r:embed="rId55"/>
                          <a:stretch>
                            <a:fillRect/>
                          </a:stretch>
                        </pic:blipFill>
                        <pic:spPr>
                          <a:xfrm>
                            <a:off x="0" y="0"/>
                            <a:ext cx="739775" cy="1123950"/>
                          </a:xfrm>
                          <a:prstGeom prst="rect">
                            <a:avLst/>
                          </a:prstGeom>
                          <a:noFill/>
                          <a:ln>
                            <a:noFill/>
                          </a:ln>
                        </pic:spPr>
                      </pic:pic>
                    </a:graphicData>
                  </a:graphic>
                </wp:anchor>
              </w:drawing>
            </w: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69215</wp:posOffset>
                  </wp:positionH>
                  <wp:positionV relativeFrom="paragraph">
                    <wp:posOffset>120650</wp:posOffset>
                  </wp:positionV>
                  <wp:extent cx="1446530" cy="958850"/>
                  <wp:effectExtent l="0" t="0" r="1270" b="12700"/>
                  <wp:wrapNone/>
                  <wp:docPr id="67" name="ID_4070B02C6BAE4AA7A170BBA528542F07"/>
                  <wp:cNvGraphicFramePr/>
                  <a:graphic xmlns:a="http://schemas.openxmlformats.org/drawingml/2006/main">
                    <a:graphicData uri="http://schemas.openxmlformats.org/drawingml/2006/picture">
                      <pic:pic xmlns:pic="http://schemas.openxmlformats.org/drawingml/2006/picture">
                        <pic:nvPicPr>
                          <pic:cNvPr id="67" name="ID_4070B02C6BAE4AA7A170BBA528542F07"/>
                          <pic:cNvPicPr/>
                        </pic:nvPicPr>
                        <pic:blipFill>
                          <a:blip r:embed="rId56"/>
                          <a:stretch>
                            <a:fillRect/>
                          </a:stretch>
                        </pic:blipFill>
                        <pic:spPr>
                          <a:xfrm>
                            <a:off x="0" y="0"/>
                            <a:ext cx="1446530" cy="958850"/>
                          </a:xfrm>
                          <a:prstGeom prst="rect">
                            <a:avLst/>
                          </a:prstGeom>
                          <a:noFill/>
                          <a:ln>
                            <a:noFill/>
                          </a:ln>
                        </pic:spPr>
                      </pic:pic>
                    </a:graphicData>
                  </a:graphic>
                </wp:anchor>
              </w:drawing>
            </w:r>
          </w:p>
        </w:tc>
        <w:tc>
          <w:tcPr>
            <w:tcW w:w="1656" w:type="dxa"/>
            <w:shd w:val="clear" w:color="auto" w:fill="auto"/>
            <w:vAlign w:val="center"/>
          </w:tcPr>
          <w:p w14:paraId="247E532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1600*1400*750</w:t>
            </w:r>
          </w:p>
        </w:tc>
        <w:tc>
          <w:tcPr>
            <w:tcW w:w="6182" w:type="dxa"/>
            <w:shd w:val="clear" w:color="auto" w:fill="auto"/>
            <w:vAlign w:val="center"/>
          </w:tcPr>
          <w:p w14:paraId="49FE19C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5、钢架：钢架表面经磷化清理，环保无伤害，色泽美观光洁平整。</w:t>
            </w:r>
          </w:p>
        </w:tc>
        <w:tc>
          <w:tcPr>
            <w:tcW w:w="607" w:type="dxa"/>
            <w:shd w:val="clear" w:color="auto" w:fill="auto"/>
            <w:noWrap/>
            <w:vAlign w:val="center"/>
          </w:tcPr>
          <w:p w14:paraId="0A1388A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3DF8E1E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7D8E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6EB0861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941" w:type="dxa"/>
            <w:shd w:val="clear" w:color="auto" w:fill="auto"/>
            <w:vAlign w:val="center"/>
          </w:tcPr>
          <w:p w14:paraId="0A90E36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职员椅</w:t>
            </w:r>
          </w:p>
        </w:tc>
        <w:tc>
          <w:tcPr>
            <w:tcW w:w="2657" w:type="dxa"/>
            <w:shd w:val="clear" w:color="auto" w:fill="auto"/>
            <w:vAlign w:val="center"/>
          </w:tcPr>
          <w:p w14:paraId="384252C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p>
        </w:tc>
        <w:tc>
          <w:tcPr>
            <w:tcW w:w="1656" w:type="dxa"/>
            <w:shd w:val="clear" w:color="auto" w:fill="auto"/>
            <w:vAlign w:val="center"/>
          </w:tcPr>
          <w:p w14:paraId="2EB4AF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常规</w:t>
            </w:r>
          </w:p>
        </w:tc>
        <w:tc>
          <w:tcPr>
            <w:tcW w:w="6182" w:type="dxa"/>
            <w:shd w:val="clear" w:color="auto" w:fill="auto"/>
            <w:vAlign w:val="center"/>
          </w:tcPr>
          <w:p w14:paraId="4E7466AA">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1、靠背采用PP增强玻纤高温注塑一体成型，根据人体工程学设计，贴合腰背，靠背面料采用透气抗撕裂性强的面料，柔软舒适，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2、T型固定PP增强玻纤注塑成型扶手，≥13mm厚曲木板挤压成型坐板搭配高密度≥60mm厚度回弹海绵，外包裹弹性面料，久坐不累，久坐不塌陷，</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钢制底盘，原位锁定同步逍遥，通过施加载荷12万次升降二级气杆，360°旋转上下安全无阻碍，椅脚才有尼龙注塑成型，符合QB2280静压标准，轮子采用PA玻璃纤材料，组装后经过高温热处理，来回摩擦不划伤底盘畅通无阻碍。</w:t>
            </w:r>
          </w:p>
        </w:tc>
        <w:tc>
          <w:tcPr>
            <w:tcW w:w="607" w:type="dxa"/>
            <w:shd w:val="clear" w:color="auto" w:fill="auto"/>
            <w:noWrap/>
            <w:vAlign w:val="center"/>
          </w:tcPr>
          <w:p w14:paraId="18F50F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6E419DC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3C51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1DE99C9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941" w:type="dxa"/>
            <w:shd w:val="clear" w:color="auto" w:fill="auto"/>
            <w:vAlign w:val="center"/>
          </w:tcPr>
          <w:p w14:paraId="4CE836A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文件柜</w:t>
            </w:r>
          </w:p>
        </w:tc>
        <w:tc>
          <w:tcPr>
            <w:tcW w:w="2657" w:type="dxa"/>
            <w:shd w:val="clear" w:color="auto" w:fill="auto"/>
            <w:vAlign w:val="center"/>
          </w:tcPr>
          <w:p w14:paraId="20FC4F7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337185</wp:posOffset>
                  </wp:positionH>
                  <wp:positionV relativeFrom="paragraph">
                    <wp:posOffset>-281305</wp:posOffset>
                  </wp:positionV>
                  <wp:extent cx="612140" cy="1308100"/>
                  <wp:effectExtent l="0" t="0" r="16510" b="6350"/>
                  <wp:wrapNone/>
                  <wp:docPr id="65" name="ID_185F4FD92E2A4BC1A744F08393CF55F5"/>
                  <wp:cNvGraphicFramePr/>
                  <a:graphic xmlns:a="http://schemas.openxmlformats.org/drawingml/2006/main">
                    <a:graphicData uri="http://schemas.openxmlformats.org/drawingml/2006/picture">
                      <pic:pic xmlns:pic="http://schemas.openxmlformats.org/drawingml/2006/picture">
                        <pic:nvPicPr>
                          <pic:cNvPr id="65" name="ID_185F4FD92E2A4BC1A744F08393CF55F5"/>
                          <pic:cNvPicPr/>
                        </pic:nvPicPr>
                        <pic:blipFill>
                          <a:blip r:embed="rId57"/>
                          <a:stretch>
                            <a:fillRect/>
                          </a:stretch>
                        </pic:blipFill>
                        <pic:spPr>
                          <a:xfrm>
                            <a:off x="0" y="0"/>
                            <a:ext cx="612140" cy="1308100"/>
                          </a:xfrm>
                          <a:prstGeom prst="rect">
                            <a:avLst/>
                          </a:prstGeom>
                          <a:noFill/>
                          <a:ln>
                            <a:noFill/>
                          </a:ln>
                        </pic:spPr>
                      </pic:pic>
                    </a:graphicData>
                  </a:graphic>
                </wp:anchor>
              </w:drawing>
            </w:r>
          </w:p>
        </w:tc>
        <w:tc>
          <w:tcPr>
            <w:tcW w:w="1656" w:type="dxa"/>
            <w:shd w:val="clear" w:color="auto" w:fill="auto"/>
            <w:vAlign w:val="center"/>
          </w:tcPr>
          <w:p w14:paraId="3FFEE77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800*400*1800</w:t>
            </w:r>
          </w:p>
        </w:tc>
        <w:tc>
          <w:tcPr>
            <w:tcW w:w="6182" w:type="dxa"/>
            <w:shd w:val="clear" w:color="auto" w:fill="auto"/>
            <w:vAlign w:val="center"/>
          </w:tcPr>
          <w:p w14:paraId="46C7E385">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0EAD13A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只</w:t>
            </w:r>
          </w:p>
        </w:tc>
        <w:tc>
          <w:tcPr>
            <w:tcW w:w="782" w:type="dxa"/>
            <w:shd w:val="clear" w:color="auto" w:fill="auto"/>
            <w:noWrap/>
            <w:vAlign w:val="center"/>
          </w:tcPr>
          <w:p w14:paraId="7AC0BED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cs="宋体"/>
                <w:i w:val="0"/>
                <w:iCs w:val="0"/>
                <w:color w:val="auto"/>
                <w:kern w:val="0"/>
                <w:sz w:val="16"/>
                <w:szCs w:val="16"/>
                <w:highlight w:val="none"/>
                <w:u w:val="none"/>
                <w:lang w:val="en-US" w:eastAsia="zh-CN" w:bidi="ar"/>
              </w:rPr>
              <w:t>8</w:t>
            </w:r>
          </w:p>
        </w:tc>
      </w:tr>
      <w:tr w14:paraId="2AD9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2D0EB25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941" w:type="dxa"/>
            <w:shd w:val="clear" w:color="auto" w:fill="auto"/>
            <w:vAlign w:val="center"/>
          </w:tcPr>
          <w:p w14:paraId="280A3F3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藏书架</w:t>
            </w:r>
          </w:p>
        </w:tc>
        <w:tc>
          <w:tcPr>
            <w:tcW w:w="2657" w:type="dxa"/>
            <w:shd w:val="clear" w:color="auto" w:fill="auto"/>
            <w:vAlign w:val="center"/>
          </w:tcPr>
          <w:p w14:paraId="0B133B3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41275</wp:posOffset>
                  </wp:positionH>
                  <wp:positionV relativeFrom="paragraph">
                    <wp:posOffset>186690</wp:posOffset>
                  </wp:positionV>
                  <wp:extent cx="1393825" cy="1061085"/>
                  <wp:effectExtent l="0" t="0" r="15875" b="5715"/>
                  <wp:wrapNone/>
                  <wp:docPr id="74" name="ID_15369F86D9AD4175A33BA261D1B1306F"/>
                  <wp:cNvGraphicFramePr/>
                  <a:graphic xmlns:a="http://schemas.openxmlformats.org/drawingml/2006/main">
                    <a:graphicData uri="http://schemas.openxmlformats.org/drawingml/2006/picture">
                      <pic:pic xmlns:pic="http://schemas.openxmlformats.org/drawingml/2006/picture">
                        <pic:nvPicPr>
                          <pic:cNvPr id="74" name="ID_15369F86D9AD4175A33BA261D1B1306F"/>
                          <pic:cNvPicPr/>
                        </pic:nvPicPr>
                        <pic:blipFill>
                          <a:blip r:embed="rId58"/>
                          <a:stretch>
                            <a:fillRect/>
                          </a:stretch>
                        </pic:blipFill>
                        <pic:spPr>
                          <a:xfrm>
                            <a:off x="0" y="0"/>
                            <a:ext cx="1393825" cy="1061085"/>
                          </a:xfrm>
                          <a:prstGeom prst="rect">
                            <a:avLst/>
                          </a:prstGeom>
                          <a:noFill/>
                          <a:ln>
                            <a:noFill/>
                          </a:ln>
                        </pic:spPr>
                      </pic:pic>
                    </a:graphicData>
                  </a:graphic>
                </wp:anchor>
              </w:drawing>
            </w:r>
          </w:p>
        </w:tc>
        <w:tc>
          <w:tcPr>
            <w:tcW w:w="1656" w:type="dxa"/>
            <w:shd w:val="clear" w:color="auto" w:fill="auto"/>
            <w:vAlign w:val="center"/>
          </w:tcPr>
          <w:p w14:paraId="4BC277E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900*350*2000</w:t>
            </w:r>
          </w:p>
        </w:tc>
        <w:tc>
          <w:tcPr>
            <w:tcW w:w="6182" w:type="dxa"/>
            <w:shd w:val="clear" w:color="auto" w:fill="auto"/>
            <w:vAlign w:val="center"/>
          </w:tcPr>
          <w:p w14:paraId="02539EB4">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1BDBEC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noWrap/>
            <w:vAlign w:val="center"/>
          </w:tcPr>
          <w:p w14:paraId="189E81A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w:t>
            </w:r>
          </w:p>
        </w:tc>
      </w:tr>
      <w:tr w14:paraId="4D71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715121D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941" w:type="dxa"/>
            <w:shd w:val="clear" w:color="auto" w:fill="auto"/>
            <w:vAlign w:val="center"/>
          </w:tcPr>
          <w:p w14:paraId="59EF156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编目修整桌</w:t>
            </w:r>
          </w:p>
        </w:tc>
        <w:tc>
          <w:tcPr>
            <w:tcW w:w="2657" w:type="dxa"/>
            <w:shd w:val="clear" w:color="auto" w:fill="auto"/>
            <w:vAlign w:val="center"/>
          </w:tcPr>
          <w:p w14:paraId="7D58A9E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179705</wp:posOffset>
                  </wp:positionH>
                  <wp:positionV relativeFrom="paragraph">
                    <wp:posOffset>-114935</wp:posOffset>
                  </wp:positionV>
                  <wp:extent cx="1117600" cy="1216660"/>
                  <wp:effectExtent l="0" t="0" r="6350" b="2540"/>
                  <wp:wrapNone/>
                  <wp:docPr id="59" name="ID_13429D677D8D45E3A61E264568BD7774"/>
                  <wp:cNvGraphicFramePr/>
                  <a:graphic xmlns:a="http://schemas.openxmlformats.org/drawingml/2006/main">
                    <a:graphicData uri="http://schemas.openxmlformats.org/drawingml/2006/picture">
                      <pic:pic xmlns:pic="http://schemas.openxmlformats.org/drawingml/2006/picture">
                        <pic:nvPicPr>
                          <pic:cNvPr id="59" name="ID_13429D677D8D45E3A61E264568BD7774"/>
                          <pic:cNvPicPr/>
                        </pic:nvPicPr>
                        <pic:blipFill>
                          <a:blip r:embed="rId59"/>
                          <a:stretch>
                            <a:fillRect/>
                          </a:stretch>
                        </pic:blipFill>
                        <pic:spPr>
                          <a:xfrm>
                            <a:off x="0" y="0"/>
                            <a:ext cx="1117600" cy="1216660"/>
                          </a:xfrm>
                          <a:prstGeom prst="rect">
                            <a:avLst/>
                          </a:prstGeom>
                          <a:noFill/>
                          <a:ln>
                            <a:noFill/>
                          </a:ln>
                        </pic:spPr>
                      </pic:pic>
                    </a:graphicData>
                  </a:graphic>
                </wp:anchor>
              </w:drawing>
            </w:r>
          </w:p>
        </w:tc>
        <w:tc>
          <w:tcPr>
            <w:tcW w:w="1656" w:type="dxa"/>
            <w:shd w:val="clear" w:color="auto" w:fill="auto"/>
            <w:vAlign w:val="center"/>
          </w:tcPr>
          <w:p w14:paraId="6F8DBCD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1600*1400*750</w:t>
            </w:r>
          </w:p>
        </w:tc>
        <w:tc>
          <w:tcPr>
            <w:tcW w:w="6182" w:type="dxa"/>
            <w:shd w:val="clear" w:color="auto" w:fill="auto"/>
            <w:vAlign w:val="center"/>
          </w:tcPr>
          <w:p w14:paraId="4C6C381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5、钢架：钢架表面经磷化清理，环保无伤害，色泽美观光洁平整。</w:t>
            </w:r>
          </w:p>
        </w:tc>
        <w:tc>
          <w:tcPr>
            <w:tcW w:w="607" w:type="dxa"/>
            <w:shd w:val="clear" w:color="auto" w:fill="auto"/>
            <w:noWrap/>
            <w:vAlign w:val="center"/>
          </w:tcPr>
          <w:p w14:paraId="65E9D3C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3BFE62B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67FE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5ADD578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941" w:type="dxa"/>
            <w:shd w:val="clear" w:color="auto" w:fill="auto"/>
            <w:vAlign w:val="center"/>
          </w:tcPr>
          <w:p w14:paraId="1E43F9E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编目修整椅</w:t>
            </w:r>
          </w:p>
        </w:tc>
        <w:tc>
          <w:tcPr>
            <w:tcW w:w="2657" w:type="dxa"/>
            <w:shd w:val="clear" w:color="auto" w:fill="auto"/>
            <w:vAlign w:val="center"/>
          </w:tcPr>
          <w:p w14:paraId="227AD69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107315</wp:posOffset>
                  </wp:positionH>
                  <wp:positionV relativeFrom="paragraph">
                    <wp:posOffset>-144780</wp:posOffset>
                  </wp:positionV>
                  <wp:extent cx="1002665" cy="1113790"/>
                  <wp:effectExtent l="0" t="0" r="6985" b="10160"/>
                  <wp:wrapNone/>
                  <wp:docPr id="60" name="ID_E95431A3240745C1B1A334EF3B0A92DB"/>
                  <wp:cNvGraphicFramePr/>
                  <a:graphic xmlns:a="http://schemas.openxmlformats.org/drawingml/2006/main">
                    <a:graphicData uri="http://schemas.openxmlformats.org/drawingml/2006/picture">
                      <pic:pic xmlns:pic="http://schemas.openxmlformats.org/drawingml/2006/picture">
                        <pic:nvPicPr>
                          <pic:cNvPr id="60" name="ID_E95431A3240745C1B1A334EF3B0A92DB"/>
                          <pic:cNvPicPr/>
                        </pic:nvPicPr>
                        <pic:blipFill>
                          <a:blip r:embed="rId60"/>
                          <a:stretch>
                            <a:fillRect/>
                          </a:stretch>
                        </pic:blipFill>
                        <pic:spPr>
                          <a:xfrm>
                            <a:off x="0" y="0"/>
                            <a:ext cx="1002665" cy="1113790"/>
                          </a:xfrm>
                          <a:prstGeom prst="rect">
                            <a:avLst/>
                          </a:prstGeom>
                          <a:noFill/>
                          <a:ln>
                            <a:noFill/>
                          </a:ln>
                        </pic:spPr>
                      </pic:pic>
                    </a:graphicData>
                  </a:graphic>
                </wp:anchor>
              </w:drawing>
            </w:r>
          </w:p>
        </w:tc>
        <w:tc>
          <w:tcPr>
            <w:tcW w:w="1656" w:type="dxa"/>
            <w:shd w:val="clear" w:color="auto" w:fill="auto"/>
            <w:vAlign w:val="center"/>
          </w:tcPr>
          <w:p w14:paraId="18F9492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常规</w:t>
            </w:r>
          </w:p>
        </w:tc>
        <w:tc>
          <w:tcPr>
            <w:tcW w:w="6182" w:type="dxa"/>
            <w:shd w:val="clear" w:color="auto" w:fill="auto"/>
            <w:vAlign w:val="center"/>
          </w:tcPr>
          <w:p w14:paraId="378F378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1、靠背采用PP增强玻纤高温注塑一体成型，根据人体工程学设计，贴合腰背，靠背面料采用透气抗撕裂性强的面料，柔软舒适，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2、T型固定PP增强玻纤注塑成型扶手，≥13mm曲木板挤压成型坐板搭配高密度≥60mm厚度回弹海绵，外包裹弹性面料，久坐不累，久坐不塌陷，</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钢制底盘，原位锁定同步逍遥，通过施加载荷12万次升降二级气杆，360°旋转上下安全无阻碍，椅脚才有尼龙注塑成型，符合QB2280静压标准，轮子采用PA玻璃纤材料，组装后经过高温热处理，来回摩擦不划伤底盘畅通无阻碍。</w:t>
            </w:r>
          </w:p>
        </w:tc>
        <w:tc>
          <w:tcPr>
            <w:tcW w:w="607" w:type="dxa"/>
            <w:shd w:val="clear" w:color="auto" w:fill="auto"/>
            <w:noWrap/>
            <w:vAlign w:val="center"/>
          </w:tcPr>
          <w:p w14:paraId="7C04EE5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noWrap/>
            <w:vAlign w:val="center"/>
          </w:tcPr>
          <w:p w14:paraId="13072E1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w:t>
            </w:r>
          </w:p>
        </w:tc>
      </w:tr>
      <w:tr w14:paraId="57E4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3B55D5D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941" w:type="dxa"/>
            <w:shd w:val="clear" w:color="auto" w:fill="auto"/>
            <w:vAlign w:val="center"/>
          </w:tcPr>
          <w:p w14:paraId="17DB24A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文件柜</w:t>
            </w:r>
          </w:p>
        </w:tc>
        <w:tc>
          <w:tcPr>
            <w:tcW w:w="2657" w:type="dxa"/>
            <w:shd w:val="clear" w:color="auto" w:fill="auto"/>
            <w:vAlign w:val="center"/>
          </w:tcPr>
          <w:p w14:paraId="47C99DB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607695</wp:posOffset>
                  </wp:positionH>
                  <wp:positionV relativeFrom="paragraph">
                    <wp:posOffset>70485</wp:posOffset>
                  </wp:positionV>
                  <wp:extent cx="532765" cy="1242695"/>
                  <wp:effectExtent l="0" t="0" r="635" b="14605"/>
                  <wp:wrapNone/>
                  <wp:docPr id="73" name="ID_2D3EF517D5444F388E8760262FB8D0AD"/>
                  <wp:cNvGraphicFramePr/>
                  <a:graphic xmlns:a="http://schemas.openxmlformats.org/drawingml/2006/main">
                    <a:graphicData uri="http://schemas.openxmlformats.org/drawingml/2006/picture">
                      <pic:pic xmlns:pic="http://schemas.openxmlformats.org/drawingml/2006/picture">
                        <pic:nvPicPr>
                          <pic:cNvPr id="73" name="ID_2D3EF517D5444F388E8760262FB8D0AD"/>
                          <pic:cNvPicPr/>
                        </pic:nvPicPr>
                        <pic:blipFill>
                          <a:blip r:embed="rId61"/>
                          <a:stretch>
                            <a:fillRect/>
                          </a:stretch>
                        </pic:blipFill>
                        <pic:spPr>
                          <a:xfrm>
                            <a:off x="0" y="0"/>
                            <a:ext cx="532765" cy="1242695"/>
                          </a:xfrm>
                          <a:prstGeom prst="rect">
                            <a:avLst/>
                          </a:prstGeom>
                          <a:noFill/>
                          <a:ln>
                            <a:noFill/>
                          </a:ln>
                        </pic:spPr>
                      </pic:pic>
                    </a:graphicData>
                  </a:graphic>
                </wp:anchor>
              </w:drawing>
            </w:r>
          </w:p>
        </w:tc>
        <w:tc>
          <w:tcPr>
            <w:tcW w:w="1656" w:type="dxa"/>
            <w:shd w:val="clear" w:color="auto" w:fill="auto"/>
            <w:vAlign w:val="center"/>
          </w:tcPr>
          <w:p w14:paraId="1988D9B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800*400*1800</w:t>
            </w:r>
          </w:p>
        </w:tc>
        <w:tc>
          <w:tcPr>
            <w:tcW w:w="6182" w:type="dxa"/>
            <w:shd w:val="clear" w:color="auto" w:fill="auto"/>
            <w:vAlign w:val="center"/>
          </w:tcPr>
          <w:p w14:paraId="463A13F6">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p>
        </w:tc>
        <w:tc>
          <w:tcPr>
            <w:tcW w:w="607" w:type="dxa"/>
            <w:shd w:val="clear" w:color="auto" w:fill="auto"/>
            <w:noWrap/>
            <w:vAlign w:val="center"/>
          </w:tcPr>
          <w:p w14:paraId="7250D99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只</w:t>
            </w:r>
          </w:p>
        </w:tc>
        <w:tc>
          <w:tcPr>
            <w:tcW w:w="782" w:type="dxa"/>
            <w:shd w:val="clear" w:color="auto" w:fill="auto"/>
            <w:noWrap/>
            <w:vAlign w:val="center"/>
          </w:tcPr>
          <w:p w14:paraId="7D6591F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21D6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317DBFC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941" w:type="dxa"/>
            <w:shd w:val="clear" w:color="auto" w:fill="auto"/>
            <w:vAlign w:val="center"/>
          </w:tcPr>
          <w:p w14:paraId="709826F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床</w:t>
            </w:r>
          </w:p>
        </w:tc>
        <w:tc>
          <w:tcPr>
            <w:tcW w:w="2657" w:type="dxa"/>
            <w:shd w:val="clear" w:color="auto" w:fill="auto"/>
            <w:vAlign w:val="center"/>
          </w:tcPr>
          <w:p w14:paraId="0292524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338455</wp:posOffset>
                  </wp:positionH>
                  <wp:positionV relativeFrom="paragraph">
                    <wp:posOffset>323850</wp:posOffset>
                  </wp:positionV>
                  <wp:extent cx="1002665" cy="736600"/>
                  <wp:effectExtent l="0" t="0" r="6985" b="6350"/>
                  <wp:wrapNone/>
                  <wp:docPr id="61" name="ID_A9ABDFA35E4E4343A0234AAE1A8B889A"/>
                  <wp:cNvGraphicFramePr/>
                  <a:graphic xmlns:a="http://schemas.openxmlformats.org/drawingml/2006/main">
                    <a:graphicData uri="http://schemas.openxmlformats.org/drawingml/2006/picture">
                      <pic:pic xmlns:pic="http://schemas.openxmlformats.org/drawingml/2006/picture">
                        <pic:nvPicPr>
                          <pic:cNvPr id="61" name="ID_A9ABDFA35E4E4343A0234AAE1A8B889A"/>
                          <pic:cNvPicPr/>
                        </pic:nvPicPr>
                        <pic:blipFill>
                          <a:blip r:embed="rId62"/>
                          <a:stretch>
                            <a:fillRect/>
                          </a:stretch>
                        </pic:blipFill>
                        <pic:spPr>
                          <a:xfrm>
                            <a:off x="0" y="0"/>
                            <a:ext cx="1002665" cy="736600"/>
                          </a:xfrm>
                          <a:prstGeom prst="rect">
                            <a:avLst/>
                          </a:prstGeom>
                          <a:noFill/>
                          <a:ln>
                            <a:noFill/>
                          </a:ln>
                        </pic:spPr>
                      </pic:pic>
                    </a:graphicData>
                  </a:graphic>
                </wp:anchor>
              </w:drawing>
            </w:r>
          </w:p>
        </w:tc>
        <w:tc>
          <w:tcPr>
            <w:tcW w:w="1656" w:type="dxa"/>
            <w:shd w:val="clear" w:color="auto" w:fill="auto"/>
            <w:vAlign w:val="center"/>
          </w:tcPr>
          <w:p w14:paraId="2367841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900*2000</w:t>
            </w:r>
          </w:p>
        </w:tc>
        <w:tc>
          <w:tcPr>
            <w:tcW w:w="6182" w:type="dxa"/>
            <w:shd w:val="clear" w:color="auto" w:fill="auto"/>
            <w:vAlign w:val="center"/>
          </w:tcPr>
          <w:p w14:paraId="5789D13F">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tc>
        <w:tc>
          <w:tcPr>
            <w:tcW w:w="607" w:type="dxa"/>
            <w:shd w:val="clear" w:color="auto" w:fill="auto"/>
            <w:vAlign w:val="center"/>
          </w:tcPr>
          <w:p w14:paraId="78B0C4C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03D031F9">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44D0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7128583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941" w:type="dxa"/>
            <w:shd w:val="clear" w:color="auto" w:fill="auto"/>
            <w:vAlign w:val="center"/>
          </w:tcPr>
          <w:p w14:paraId="2212BAC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床头柜</w:t>
            </w:r>
          </w:p>
        </w:tc>
        <w:tc>
          <w:tcPr>
            <w:tcW w:w="2657" w:type="dxa"/>
            <w:shd w:val="clear" w:color="auto" w:fill="auto"/>
            <w:vAlign w:val="center"/>
          </w:tcPr>
          <w:p w14:paraId="232CFEE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283210</wp:posOffset>
                  </wp:positionH>
                  <wp:positionV relativeFrom="paragraph">
                    <wp:posOffset>-454660</wp:posOffset>
                  </wp:positionV>
                  <wp:extent cx="871220" cy="908685"/>
                  <wp:effectExtent l="0" t="0" r="5080" b="5715"/>
                  <wp:wrapNone/>
                  <wp:docPr id="66" name="ID_849055D10455450E8954CC5FFE186985"/>
                  <wp:cNvGraphicFramePr/>
                  <a:graphic xmlns:a="http://schemas.openxmlformats.org/drawingml/2006/main">
                    <a:graphicData uri="http://schemas.openxmlformats.org/drawingml/2006/picture">
                      <pic:pic xmlns:pic="http://schemas.openxmlformats.org/drawingml/2006/picture">
                        <pic:nvPicPr>
                          <pic:cNvPr id="66" name="ID_849055D10455450E8954CC5FFE186985"/>
                          <pic:cNvPicPr/>
                        </pic:nvPicPr>
                        <pic:blipFill>
                          <a:blip r:embed="rId63"/>
                          <a:stretch>
                            <a:fillRect/>
                          </a:stretch>
                        </pic:blipFill>
                        <pic:spPr>
                          <a:xfrm>
                            <a:off x="0" y="0"/>
                            <a:ext cx="871220" cy="908685"/>
                          </a:xfrm>
                          <a:prstGeom prst="rect">
                            <a:avLst/>
                          </a:prstGeom>
                          <a:noFill/>
                          <a:ln>
                            <a:noFill/>
                          </a:ln>
                        </pic:spPr>
                      </pic:pic>
                    </a:graphicData>
                  </a:graphic>
                </wp:anchor>
              </w:drawing>
            </w:r>
          </w:p>
        </w:tc>
        <w:tc>
          <w:tcPr>
            <w:tcW w:w="1656" w:type="dxa"/>
            <w:shd w:val="clear" w:color="auto" w:fill="auto"/>
            <w:vAlign w:val="center"/>
          </w:tcPr>
          <w:p w14:paraId="6A934FB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450*410*500</w:t>
            </w:r>
          </w:p>
        </w:tc>
        <w:tc>
          <w:tcPr>
            <w:tcW w:w="6182" w:type="dxa"/>
            <w:shd w:val="clear" w:color="auto" w:fill="auto"/>
            <w:vAlign w:val="center"/>
          </w:tcPr>
          <w:p w14:paraId="2E18898C">
            <w:pPr>
              <w:keepNext w:val="0"/>
              <w:keepLines w:val="0"/>
              <w:widowControl/>
              <w:numPr>
                <w:ilvl w:val="0"/>
                <w:numId w:val="11"/>
              </w:numPr>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p w14:paraId="6DBEAF3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vAlign w:val="center"/>
          </w:tcPr>
          <w:p w14:paraId="3EBFE0B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只</w:t>
            </w:r>
          </w:p>
        </w:tc>
        <w:tc>
          <w:tcPr>
            <w:tcW w:w="782" w:type="dxa"/>
            <w:shd w:val="clear" w:color="auto" w:fill="auto"/>
            <w:vAlign w:val="center"/>
          </w:tcPr>
          <w:p w14:paraId="050DC22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cs="宋体"/>
                <w:i w:val="0"/>
                <w:iCs w:val="0"/>
                <w:color w:val="auto"/>
                <w:kern w:val="0"/>
                <w:sz w:val="16"/>
                <w:szCs w:val="16"/>
                <w:highlight w:val="none"/>
                <w:u w:val="none"/>
                <w:lang w:val="en-US" w:eastAsia="zh-CN" w:bidi="ar"/>
              </w:rPr>
              <w:t>6</w:t>
            </w:r>
          </w:p>
        </w:tc>
      </w:tr>
      <w:tr w14:paraId="3F1E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4E86FCC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941" w:type="dxa"/>
            <w:shd w:val="clear" w:color="auto" w:fill="auto"/>
            <w:vAlign w:val="center"/>
          </w:tcPr>
          <w:p w14:paraId="2A9F73C8">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办公桌</w:t>
            </w:r>
          </w:p>
        </w:tc>
        <w:tc>
          <w:tcPr>
            <w:tcW w:w="2657" w:type="dxa"/>
            <w:shd w:val="clear" w:color="auto" w:fill="auto"/>
            <w:vAlign w:val="center"/>
          </w:tcPr>
          <w:p w14:paraId="7B47A9A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269875</wp:posOffset>
                  </wp:positionH>
                  <wp:positionV relativeFrom="paragraph">
                    <wp:posOffset>-116840</wp:posOffset>
                  </wp:positionV>
                  <wp:extent cx="1002665" cy="739140"/>
                  <wp:effectExtent l="0" t="0" r="6985" b="3810"/>
                  <wp:wrapNone/>
                  <wp:docPr id="69" name="ID_13F3E77479544D69B6C05FC73E92CB2B"/>
                  <wp:cNvGraphicFramePr/>
                  <a:graphic xmlns:a="http://schemas.openxmlformats.org/drawingml/2006/main">
                    <a:graphicData uri="http://schemas.openxmlformats.org/drawingml/2006/picture">
                      <pic:pic xmlns:pic="http://schemas.openxmlformats.org/drawingml/2006/picture">
                        <pic:nvPicPr>
                          <pic:cNvPr id="69" name="ID_13F3E77479544D69B6C05FC73E92CB2B"/>
                          <pic:cNvPicPr/>
                        </pic:nvPicPr>
                        <pic:blipFill>
                          <a:blip r:embed="rId64"/>
                          <a:stretch>
                            <a:fillRect/>
                          </a:stretch>
                        </pic:blipFill>
                        <pic:spPr>
                          <a:xfrm>
                            <a:off x="0" y="0"/>
                            <a:ext cx="1002665" cy="739140"/>
                          </a:xfrm>
                          <a:prstGeom prst="rect">
                            <a:avLst/>
                          </a:prstGeom>
                          <a:noFill/>
                          <a:ln>
                            <a:noFill/>
                          </a:ln>
                        </pic:spPr>
                      </pic:pic>
                    </a:graphicData>
                  </a:graphic>
                </wp:anchor>
              </w:drawing>
            </w:r>
          </w:p>
        </w:tc>
        <w:tc>
          <w:tcPr>
            <w:tcW w:w="1656" w:type="dxa"/>
            <w:shd w:val="clear" w:color="auto" w:fill="auto"/>
            <w:vAlign w:val="center"/>
          </w:tcPr>
          <w:p w14:paraId="5628A2A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1400*600*750</w:t>
            </w:r>
          </w:p>
        </w:tc>
        <w:tc>
          <w:tcPr>
            <w:tcW w:w="6182" w:type="dxa"/>
            <w:shd w:val="clear" w:color="auto" w:fill="auto"/>
            <w:vAlign w:val="center"/>
          </w:tcPr>
          <w:p w14:paraId="7BADD7CF">
            <w:pPr>
              <w:keepNext w:val="0"/>
              <w:keepLines w:val="0"/>
              <w:widowControl/>
              <w:numPr>
                <w:ilvl w:val="0"/>
                <w:numId w:val="12"/>
              </w:numPr>
              <w:suppressLineNumbers w:val="0"/>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基材：台面采用E0级及以上实木多层板，燃烧性能等级达到B1-B级，木材含水率≤8%，表面胶合强度≥0.60MPa，点抗压性能无破损；经过防虫防腐处理,耐磨性好，表面纹理拼接自然，色泽一致；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5、钢架：钢架表面经磷化清理，环保无伤害，色泽美观光洁平整。</w:t>
            </w:r>
          </w:p>
          <w:p w14:paraId="52D2461D">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vAlign w:val="center"/>
          </w:tcPr>
          <w:p w14:paraId="6508F97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1E76711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w:t>
            </w:r>
          </w:p>
        </w:tc>
      </w:tr>
      <w:tr w14:paraId="2A4F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21F9B96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941" w:type="dxa"/>
            <w:shd w:val="clear" w:color="auto" w:fill="auto"/>
            <w:vAlign w:val="center"/>
          </w:tcPr>
          <w:p w14:paraId="13F285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职员椅</w:t>
            </w:r>
          </w:p>
        </w:tc>
        <w:tc>
          <w:tcPr>
            <w:tcW w:w="2657" w:type="dxa"/>
            <w:shd w:val="clear" w:color="auto" w:fill="auto"/>
            <w:vAlign w:val="center"/>
          </w:tcPr>
          <w:p w14:paraId="5E07945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389255</wp:posOffset>
                  </wp:positionH>
                  <wp:positionV relativeFrom="paragraph">
                    <wp:posOffset>635</wp:posOffset>
                  </wp:positionV>
                  <wp:extent cx="657225" cy="899795"/>
                  <wp:effectExtent l="0" t="0" r="9525" b="14605"/>
                  <wp:wrapNone/>
                  <wp:docPr id="68" name="ID_8239ED26D01A44B8869262C859C89E50"/>
                  <wp:cNvGraphicFramePr/>
                  <a:graphic xmlns:a="http://schemas.openxmlformats.org/drawingml/2006/main">
                    <a:graphicData uri="http://schemas.openxmlformats.org/drawingml/2006/picture">
                      <pic:pic xmlns:pic="http://schemas.openxmlformats.org/drawingml/2006/picture">
                        <pic:nvPicPr>
                          <pic:cNvPr id="68" name="ID_8239ED26D01A44B8869262C859C89E50"/>
                          <pic:cNvPicPr/>
                        </pic:nvPicPr>
                        <pic:blipFill>
                          <a:blip r:embed="rId65"/>
                          <a:stretch>
                            <a:fillRect/>
                          </a:stretch>
                        </pic:blipFill>
                        <pic:spPr>
                          <a:xfrm>
                            <a:off x="0" y="0"/>
                            <a:ext cx="657225" cy="899795"/>
                          </a:xfrm>
                          <a:prstGeom prst="rect">
                            <a:avLst/>
                          </a:prstGeom>
                          <a:noFill/>
                          <a:ln>
                            <a:noFill/>
                          </a:ln>
                        </pic:spPr>
                      </pic:pic>
                    </a:graphicData>
                  </a:graphic>
                </wp:anchor>
              </w:drawing>
            </w:r>
          </w:p>
        </w:tc>
        <w:tc>
          <w:tcPr>
            <w:tcW w:w="1656" w:type="dxa"/>
            <w:shd w:val="clear" w:color="auto" w:fill="auto"/>
            <w:vAlign w:val="center"/>
          </w:tcPr>
          <w:p w14:paraId="122B850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常规</w:t>
            </w:r>
          </w:p>
        </w:tc>
        <w:tc>
          <w:tcPr>
            <w:tcW w:w="6182" w:type="dxa"/>
            <w:shd w:val="clear" w:color="auto" w:fill="auto"/>
            <w:vAlign w:val="center"/>
          </w:tcPr>
          <w:p w14:paraId="035809F6">
            <w:pPr>
              <w:keepNext w:val="0"/>
              <w:keepLines w:val="0"/>
              <w:widowControl/>
              <w:numPr>
                <w:ilvl w:val="0"/>
                <w:numId w:val="13"/>
              </w:numPr>
              <w:suppressLineNumbers w:val="0"/>
              <w:jc w:val="left"/>
              <w:textAlignment w:val="center"/>
              <w:rPr>
                <w:rFonts w:hint="eastAsia" w:ascii="宋体" w:hAnsi="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靠背PP增强玻纤高温注塑一体成型，根据人体工程学设计，贴合腰背，靠背面料采用透气抗撕裂性强的面料，柔软舒适包裹性强，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2、T型固定PP增强玻纤注塑成型扶手，≥13mm曲木板挤压成型坐板搭配高密度≥60mm厚度回弹海绵，外包裹弹性面料，久坐不累，久坐不塌陷,电镀铁架25直径≥1.5mm厚度加衬管稳固安全</w:t>
            </w:r>
            <w:r>
              <w:rPr>
                <w:rFonts w:hint="eastAsia" w:ascii="宋体" w:hAnsi="宋体" w:cs="宋体"/>
                <w:i w:val="0"/>
                <w:iCs w:val="0"/>
                <w:color w:val="auto"/>
                <w:kern w:val="0"/>
                <w:sz w:val="16"/>
                <w:szCs w:val="16"/>
                <w:highlight w:val="none"/>
                <w:u w:val="none"/>
                <w:lang w:val="en-US" w:eastAsia="zh-CN" w:bidi="ar"/>
              </w:rPr>
              <w:t>。</w:t>
            </w:r>
          </w:p>
          <w:p w14:paraId="0D9528A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6"/>
                <w:szCs w:val="16"/>
                <w:highlight w:val="none"/>
                <w:u w:val="none"/>
              </w:rPr>
            </w:pPr>
          </w:p>
        </w:tc>
        <w:tc>
          <w:tcPr>
            <w:tcW w:w="607" w:type="dxa"/>
            <w:shd w:val="clear" w:color="auto" w:fill="auto"/>
            <w:vAlign w:val="center"/>
          </w:tcPr>
          <w:p w14:paraId="1914504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23D0290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cs="宋体"/>
                <w:i w:val="0"/>
                <w:iCs w:val="0"/>
                <w:color w:val="auto"/>
                <w:kern w:val="0"/>
                <w:sz w:val="16"/>
                <w:szCs w:val="16"/>
                <w:highlight w:val="none"/>
                <w:u w:val="none"/>
                <w:lang w:val="en-US" w:eastAsia="zh-CN" w:bidi="ar"/>
              </w:rPr>
              <w:t>6</w:t>
            </w:r>
          </w:p>
        </w:tc>
      </w:tr>
      <w:tr w14:paraId="4F1E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0016870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r>
              <w:rPr>
                <w:rFonts w:hint="eastAsia" w:ascii="宋体" w:hAnsi="宋体" w:cs="宋体"/>
                <w:i w:val="0"/>
                <w:iCs w:val="0"/>
                <w:color w:val="auto"/>
                <w:kern w:val="0"/>
                <w:sz w:val="16"/>
                <w:szCs w:val="16"/>
                <w:highlight w:val="none"/>
                <w:u w:val="none"/>
                <w:lang w:val="en-US" w:eastAsia="zh-CN" w:bidi="ar"/>
              </w:rPr>
              <w:t>0</w:t>
            </w:r>
          </w:p>
        </w:tc>
        <w:tc>
          <w:tcPr>
            <w:tcW w:w="941" w:type="dxa"/>
            <w:shd w:val="clear" w:color="auto" w:fill="auto"/>
            <w:vAlign w:val="center"/>
          </w:tcPr>
          <w:p w14:paraId="4D093EA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床</w:t>
            </w:r>
          </w:p>
        </w:tc>
        <w:tc>
          <w:tcPr>
            <w:tcW w:w="2657" w:type="dxa"/>
            <w:shd w:val="clear" w:color="auto" w:fill="auto"/>
            <w:vAlign w:val="center"/>
          </w:tcPr>
          <w:p w14:paraId="3BAFC74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266065</wp:posOffset>
                  </wp:positionH>
                  <wp:positionV relativeFrom="paragraph">
                    <wp:posOffset>191770</wp:posOffset>
                  </wp:positionV>
                  <wp:extent cx="1216025" cy="893445"/>
                  <wp:effectExtent l="0" t="0" r="3175" b="1905"/>
                  <wp:wrapNone/>
                  <wp:docPr id="71" name="ID_75FB1C92246E4FA18F000A4BAA7F351A"/>
                  <wp:cNvGraphicFramePr/>
                  <a:graphic xmlns:a="http://schemas.openxmlformats.org/drawingml/2006/main">
                    <a:graphicData uri="http://schemas.openxmlformats.org/drawingml/2006/picture">
                      <pic:pic xmlns:pic="http://schemas.openxmlformats.org/drawingml/2006/picture">
                        <pic:nvPicPr>
                          <pic:cNvPr id="71" name="ID_75FB1C92246E4FA18F000A4BAA7F351A"/>
                          <pic:cNvPicPr/>
                        </pic:nvPicPr>
                        <pic:blipFill>
                          <a:blip r:embed="rId66"/>
                          <a:stretch>
                            <a:fillRect/>
                          </a:stretch>
                        </pic:blipFill>
                        <pic:spPr>
                          <a:xfrm>
                            <a:off x="0" y="0"/>
                            <a:ext cx="1216025" cy="893445"/>
                          </a:xfrm>
                          <a:prstGeom prst="rect">
                            <a:avLst/>
                          </a:prstGeom>
                          <a:noFill/>
                          <a:ln>
                            <a:noFill/>
                          </a:ln>
                        </pic:spPr>
                      </pic:pic>
                    </a:graphicData>
                  </a:graphic>
                </wp:anchor>
              </w:drawing>
            </w:r>
          </w:p>
        </w:tc>
        <w:tc>
          <w:tcPr>
            <w:tcW w:w="1656" w:type="dxa"/>
            <w:shd w:val="clear" w:color="auto" w:fill="auto"/>
            <w:vAlign w:val="center"/>
          </w:tcPr>
          <w:p w14:paraId="799AFB8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1200*2000</w:t>
            </w:r>
          </w:p>
        </w:tc>
        <w:tc>
          <w:tcPr>
            <w:tcW w:w="6182" w:type="dxa"/>
            <w:shd w:val="clear" w:color="auto" w:fill="auto"/>
            <w:vAlign w:val="center"/>
          </w:tcPr>
          <w:p w14:paraId="6F9FFE7A">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tc>
        <w:tc>
          <w:tcPr>
            <w:tcW w:w="607" w:type="dxa"/>
            <w:shd w:val="clear" w:color="auto" w:fill="auto"/>
            <w:vAlign w:val="center"/>
          </w:tcPr>
          <w:p w14:paraId="7EDE0B5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6E98770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7D8B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72ED421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r>
              <w:rPr>
                <w:rFonts w:hint="eastAsia" w:ascii="宋体" w:hAnsi="宋体" w:cs="宋体"/>
                <w:i w:val="0"/>
                <w:iCs w:val="0"/>
                <w:color w:val="auto"/>
                <w:kern w:val="0"/>
                <w:sz w:val="16"/>
                <w:szCs w:val="16"/>
                <w:highlight w:val="none"/>
                <w:u w:val="none"/>
                <w:lang w:val="en-US" w:eastAsia="zh-CN" w:bidi="ar"/>
              </w:rPr>
              <w:t>1</w:t>
            </w:r>
          </w:p>
        </w:tc>
        <w:tc>
          <w:tcPr>
            <w:tcW w:w="941" w:type="dxa"/>
            <w:shd w:val="clear" w:color="auto" w:fill="auto"/>
            <w:vAlign w:val="center"/>
          </w:tcPr>
          <w:p w14:paraId="25BD278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多功能柜</w:t>
            </w:r>
          </w:p>
        </w:tc>
        <w:tc>
          <w:tcPr>
            <w:tcW w:w="2657" w:type="dxa"/>
            <w:shd w:val="clear" w:color="auto" w:fill="auto"/>
            <w:vAlign w:val="center"/>
          </w:tcPr>
          <w:p w14:paraId="0989CB4B">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313690</wp:posOffset>
                  </wp:positionH>
                  <wp:positionV relativeFrom="paragraph">
                    <wp:posOffset>-119380</wp:posOffset>
                  </wp:positionV>
                  <wp:extent cx="725805" cy="1330960"/>
                  <wp:effectExtent l="0" t="0" r="17145" b="2540"/>
                  <wp:wrapNone/>
                  <wp:docPr id="94" name="ID_5656DD41A7F446B3A9D40F3AD8CFB18D"/>
                  <wp:cNvGraphicFramePr/>
                  <a:graphic xmlns:a="http://schemas.openxmlformats.org/drawingml/2006/main">
                    <a:graphicData uri="http://schemas.openxmlformats.org/drawingml/2006/picture">
                      <pic:pic xmlns:pic="http://schemas.openxmlformats.org/drawingml/2006/picture">
                        <pic:nvPicPr>
                          <pic:cNvPr id="94" name="ID_5656DD41A7F446B3A9D40F3AD8CFB18D"/>
                          <pic:cNvPicPr/>
                        </pic:nvPicPr>
                        <pic:blipFill>
                          <a:blip r:embed="rId67"/>
                          <a:stretch>
                            <a:fillRect/>
                          </a:stretch>
                        </pic:blipFill>
                        <pic:spPr>
                          <a:xfrm>
                            <a:off x="0" y="0"/>
                            <a:ext cx="725805" cy="1330960"/>
                          </a:xfrm>
                          <a:prstGeom prst="rect">
                            <a:avLst/>
                          </a:prstGeom>
                          <a:noFill/>
                          <a:ln>
                            <a:noFill/>
                          </a:ln>
                        </pic:spPr>
                      </pic:pic>
                    </a:graphicData>
                  </a:graphic>
                </wp:anchor>
              </w:drawing>
            </w:r>
          </w:p>
        </w:tc>
        <w:tc>
          <w:tcPr>
            <w:tcW w:w="1656" w:type="dxa"/>
            <w:shd w:val="clear" w:color="auto" w:fill="auto"/>
            <w:vAlign w:val="center"/>
          </w:tcPr>
          <w:p w14:paraId="66C196E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900*500*2000</w:t>
            </w:r>
          </w:p>
        </w:tc>
        <w:tc>
          <w:tcPr>
            <w:tcW w:w="6182" w:type="dxa"/>
            <w:shd w:val="clear" w:color="auto" w:fill="auto"/>
            <w:vAlign w:val="center"/>
          </w:tcPr>
          <w:p w14:paraId="1BB6853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tc>
        <w:tc>
          <w:tcPr>
            <w:tcW w:w="607" w:type="dxa"/>
            <w:shd w:val="clear" w:color="auto" w:fill="auto"/>
            <w:vAlign w:val="center"/>
          </w:tcPr>
          <w:p w14:paraId="0AE4D7D6">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组</w:t>
            </w:r>
          </w:p>
        </w:tc>
        <w:tc>
          <w:tcPr>
            <w:tcW w:w="782" w:type="dxa"/>
            <w:shd w:val="clear" w:color="auto" w:fill="auto"/>
            <w:vAlign w:val="center"/>
          </w:tcPr>
          <w:p w14:paraId="6E690280">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5BED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6F747EB9">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42</w:t>
            </w:r>
          </w:p>
        </w:tc>
        <w:tc>
          <w:tcPr>
            <w:tcW w:w="941" w:type="dxa"/>
            <w:shd w:val="clear" w:color="auto" w:fill="auto"/>
            <w:vAlign w:val="center"/>
          </w:tcPr>
          <w:p w14:paraId="1943C2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办公桌</w:t>
            </w:r>
          </w:p>
        </w:tc>
        <w:tc>
          <w:tcPr>
            <w:tcW w:w="2657" w:type="dxa"/>
            <w:shd w:val="clear" w:color="auto" w:fill="auto"/>
            <w:vAlign w:val="center"/>
          </w:tcPr>
          <w:p w14:paraId="7759B24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74295</wp:posOffset>
                  </wp:positionH>
                  <wp:positionV relativeFrom="paragraph">
                    <wp:posOffset>124460</wp:posOffset>
                  </wp:positionV>
                  <wp:extent cx="1327150" cy="978535"/>
                  <wp:effectExtent l="0" t="0" r="6350" b="12065"/>
                  <wp:wrapNone/>
                  <wp:docPr id="97" name="ID_568BF295318D41CFB81DE4F9FF697923"/>
                  <wp:cNvGraphicFramePr/>
                  <a:graphic xmlns:a="http://schemas.openxmlformats.org/drawingml/2006/main">
                    <a:graphicData uri="http://schemas.openxmlformats.org/drawingml/2006/picture">
                      <pic:pic xmlns:pic="http://schemas.openxmlformats.org/drawingml/2006/picture">
                        <pic:nvPicPr>
                          <pic:cNvPr id="97" name="ID_568BF295318D41CFB81DE4F9FF697923"/>
                          <pic:cNvPicPr/>
                        </pic:nvPicPr>
                        <pic:blipFill>
                          <a:blip r:embed="rId68"/>
                          <a:stretch>
                            <a:fillRect/>
                          </a:stretch>
                        </pic:blipFill>
                        <pic:spPr>
                          <a:xfrm>
                            <a:off x="0" y="0"/>
                            <a:ext cx="1327150" cy="978535"/>
                          </a:xfrm>
                          <a:prstGeom prst="rect">
                            <a:avLst/>
                          </a:prstGeom>
                          <a:noFill/>
                          <a:ln>
                            <a:noFill/>
                          </a:ln>
                        </pic:spPr>
                      </pic:pic>
                    </a:graphicData>
                  </a:graphic>
                </wp:anchor>
              </w:drawing>
            </w:r>
          </w:p>
        </w:tc>
        <w:tc>
          <w:tcPr>
            <w:tcW w:w="1656" w:type="dxa"/>
            <w:shd w:val="clear" w:color="auto" w:fill="auto"/>
            <w:vAlign w:val="center"/>
          </w:tcPr>
          <w:p w14:paraId="7FA5224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1200*600*750</w:t>
            </w:r>
          </w:p>
        </w:tc>
        <w:tc>
          <w:tcPr>
            <w:tcW w:w="6182" w:type="dxa"/>
            <w:shd w:val="clear" w:color="auto" w:fill="auto"/>
            <w:vAlign w:val="center"/>
          </w:tcPr>
          <w:p w14:paraId="50B785BB">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5、钢架：钢架表面经磷化清理，环保无伤害，色泽美观光洁平整。</w:t>
            </w:r>
          </w:p>
        </w:tc>
        <w:tc>
          <w:tcPr>
            <w:tcW w:w="607" w:type="dxa"/>
            <w:shd w:val="clear" w:color="auto" w:fill="auto"/>
            <w:vAlign w:val="center"/>
          </w:tcPr>
          <w:p w14:paraId="5F57975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2EAA4A8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w:t>
            </w:r>
          </w:p>
        </w:tc>
      </w:tr>
      <w:tr w14:paraId="6BB9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5347F6E3">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43</w:t>
            </w:r>
          </w:p>
        </w:tc>
        <w:tc>
          <w:tcPr>
            <w:tcW w:w="941" w:type="dxa"/>
            <w:shd w:val="clear" w:color="auto" w:fill="auto"/>
            <w:vAlign w:val="center"/>
          </w:tcPr>
          <w:p w14:paraId="104D703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学习桌</w:t>
            </w:r>
          </w:p>
        </w:tc>
        <w:tc>
          <w:tcPr>
            <w:tcW w:w="2657" w:type="dxa"/>
            <w:shd w:val="clear" w:color="auto" w:fill="auto"/>
            <w:vAlign w:val="center"/>
          </w:tcPr>
          <w:p w14:paraId="4569729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202565</wp:posOffset>
                  </wp:positionH>
                  <wp:positionV relativeFrom="paragraph">
                    <wp:posOffset>222885</wp:posOffset>
                  </wp:positionV>
                  <wp:extent cx="1343025" cy="881380"/>
                  <wp:effectExtent l="0" t="0" r="9525" b="13970"/>
                  <wp:wrapNone/>
                  <wp:docPr id="98" name="ID_69B9F23002AB4222B3EE70922EE9B902"/>
                  <wp:cNvGraphicFramePr/>
                  <a:graphic xmlns:a="http://schemas.openxmlformats.org/drawingml/2006/main">
                    <a:graphicData uri="http://schemas.openxmlformats.org/drawingml/2006/picture">
                      <pic:pic xmlns:pic="http://schemas.openxmlformats.org/drawingml/2006/picture">
                        <pic:nvPicPr>
                          <pic:cNvPr id="98" name="ID_69B9F23002AB4222B3EE70922EE9B902"/>
                          <pic:cNvPicPr/>
                        </pic:nvPicPr>
                        <pic:blipFill>
                          <a:blip r:embed="rId69"/>
                          <a:stretch>
                            <a:fillRect/>
                          </a:stretch>
                        </pic:blipFill>
                        <pic:spPr>
                          <a:xfrm>
                            <a:off x="0" y="0"/>
                            <a:ext cx="1343025" cy="881380"/>
                          </a:xfrm>
                          <a:prstGeom prst="rect">
                            <a:avLst/>
                          </a:prstGeom>
                          <a:noFill/>
                          <a:ln>
                            <a:noFill/>
                          </a:ln>
                        </pic:spPr>
                      </pic:pic>
                    </a:graphicData>
                  </a:graphic>
                </wp:anchor>
              </w:drawing>
            </w:r>
          </w:p>
        </w:tc>
        <w:tc>
          <w:tcPr>
            <w:tcW w:w="1656" w:type="dxa"/>
            <w:shd w:val="clear" w:color="auto" w:fill="auto"/>
            <w:vAlign w:val="center"/>
          </w:tcPr>
          <w:p w14:paraId="1E03586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1400*600*750</w:t>
            </w:r>
          </w:p>
        </w:tc>
        <w:tc>
          <w:tcPr>
            <w:tcW w:w="6182" w:type="dxa"/>
            <w:shd w:val="clear" w:color="auto" w:fill="auto"/>
            <w:vAlign w:val="center"/>
          </w:tcPr>
          <w:p w14:paraId="09F101D2">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1.基材：台面采用E0级及以上实木多层板，燃烧性能等级达到B1-B级，木材含水率≤8%，表面胶合强度≥0.60MPa，点抗压性能无破损；经过防虫防腐处理,耐磨性好，表面纹理拼接自然，色泽一致；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2.封边:选用同色PVC封边条，封边条耐干热性应无龟裂、无鼓泡，耐老化性应无开裂，耐冷热循环性应无龟裂、无鼓泡、无变色、无起皱，不含多环芳烃-苯并[a]芘，不含邻苯二甲酸酯；</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3.胶粘剂:采用环保胶粘剂，符合国家标准，VOC含量≤50g/L，游离甲醛≤0.05g/kg，苯≤0.02g/kg，甲苯+二甲苯≤0.02g/kg。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4.五金配件：采用五金配件，表面经过防锈、防腐处理。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5、钢架：钢架表面经磷化清理，环保无伤害，色泽美观光洁平整。</w:t>
            </w:r>
          </w:p>
        </w:tc>
        <w:tc>
          <w:tcPr>
            <w:tcW w:w="607" w:type="dxa"/>
            <w:shd w:val="clear" w:color="auto" w:fill="auto"/>
            <w:vAlign w:val="center"/>
          </w:tcPr>
          <w:p w14:paraId="7D62407E">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1D5CE34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20</w:t>
            </w:r>
          </w:p>
        </w:tc>
      </w:tr>
      <w:tr w14:paraId="34CB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4FF19734">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44</w:t>
            </w:r>
          </w:p>
        </w:tc>
        <w:tc>
          <w:tcPr>
            <w:tcW w:w="941" w:type="dxa"/>
            <w:shd w:val="clear" w:color="auto" w:fill="auto"/>
            <w:vAlign w:val="center"/>
          </w:tcPr>
          <w:p w14:paraId="0B305B64">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实木椅</w:t>
            </w:r>
          </w:p>
        </w:tc>
        <w:tc>
          <w:tcPr>
            <w:tcW w:w="2657" w:type="dxa"/>
            <w:shd w:val="clear" w:color="auto" w:fill="auto"/>
            <w:vAlign w:val="center"/>
          </w:tcPr>
          <w:p w14:paraId="7C71824A">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303530</wp:posOffset>
                  </wp:positionH>
                  <wp:positionV relativeFrom="paragraph">
                    <wp:posOffset>116205</wp:posOffset>
                  </wp:positionV>
                  <wp:extent cx="1002665" cy="976630"/>
                  <wp:effectExtent l="0" t="0" r="6985" b="13970"/>
                  <wp:wrapNone/>
                  <wp:docPr id="100" name="ID_1F3BD8A441084638A5A0A2B944AC615C"/>
                  <wp:cNvGraphicFramePr/>
                  <a:graphic xmlns:a="http://schemas.openxmlformats.org/drawingml/2006/main">
                    <a:graphicData uri="http://schemas.openxmlformats.org/drawingml/2006/picture">
                      <pic:pic xmlns:pic="http://schemas.openxmlformats.org/drawingml/2006/picture">
                        <pic:nvPicPr>
                          <pic:cNvPr id="100" name="ID_1F3BD8A441084638A5A0A2B944AC615C"/>
                          <pic:cNvPicPr/>
                        </pic:nvPicPr>
                        <pic:blipFill>
                          <a:blip r:embed="rId70"/>
                          <a:stretch>
                            <a:fillRect/>
                          </a:stretch>
                        </pic:blipFill>
                        <pic:spPr>
                          <a:xfrm>
                            <a:off x="0" y="0"/>
                            <a:ext cx="1002665" cy="976630"/>
                          </a:xfrm>
                          <a:prstGeom prst="rect">
                            <a:avLst/>
                          </a:prstGeom>
                          <a:noFill/>
                          <a:ln>
                            <a:noFill/>
                          </a:ln>
                        </pic:spPr>
                      </pic:pic>
                    </a:graphicData>
                  </a:graphic>
                </wp:anchor>
              </w:drawing>
            </w:r>
          </w:p>
        </w:tc>
        <w:tc>
          <w:tcPr>
            <w:tcW w:w="1656" w:type="dxa"/>
            <w:shd w:val="clear" w:color="auto" w:fill="auto"/>
            <w:vAlign w:val="center"/>
          </w:tcPr>
          <w:p w14:paraId="5C239F2D">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常规</w:t>
            </w:r>
          </w:p>
        </w:tc>
        <w:tc>
          <w:tcPr>
            <w:tcW w:w="6182" w:type="dxa"/>
            <w:shd w:val="clear" w:color="auto" w:fill="auto"/>
            <w:vAlign w:val="center"/>
          </w:tcPr>
          <w:p w14:paraId="59587911">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tc>
        <w:tc>
          <w:tcPr>
            <w:tcW w:w="607" w:type="dxa"/>
            <w:shd w:val="clear" w:color="auto" w:fill="auto"/>
            <w:vAlign w:val="center"/>
          </w:tcPr>
          <w:p w14:paraId="01A105D5">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214FFEEB">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76</w:t>
            </w:r>
          </w:p>
        </w:tc>
      </w:tr>
      <w:tr w14:paraId="62CA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32" w:type="dxa"/>
            <w:shd w:val="clear" w:color="auto" w:fill="auto"/>
            <w:noWrap/>
            <w:vAlign w:val="center"/>
          </w:tcPr>
          <w:p w14:paraId="310E5790">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cs="宋体"/>
                <w:i w:val="0"/>
                <w:iCs w:val="0"/>
                <w:color w:val="auto"/>
                <w:kern w:val="0"/>
                <w:sz w:val="16"/>
                <w:szCs w:val="16"/>
                <w:highlight w:val="none"/>
                <w:u w:val="none"/>
                <w:lang w:val="en-US" w:eastAsia="zh-CN" w:bidi="ar"/>
              </w:rPr>
              <w:t>45</w:t>
            </w:r>
          </w:p>
        </w:tc>
        <w:tc>
          <w:tcPr>
            <w:tcW w:w="941" w:type="dxa"/>
            <w:shd w:val="clear" w:color="auto" w:fill="auto"/>
            <w:vAlign w:val="center"/>
          </w:tcPr>
          <w:p w14:paraId="6F165F41">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实木方桌</w:t>
            </w:r>
          </w:p>
        </w:tc>
        <w:tc>
          <w:tcPr>
            <w:tcW w:w="2657" w:type="dxa"/>
            <w:shd w:val="clear" w:color="auto" w:fill="auto"/>
            <w:vAlign w:val="center"/>
          </w:tcPr>
          <w:p w14:paraId="240B92A7">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237490</wp:posOffset>
                  </wp:positionH>
                  <wp:positionV relativeFrom="paragraph">
                    <wp:posOffset>-62865</wp:posOffset>
                  </wp:positionV>
                  <wp:extent cx="956310" cy="932180"/>
                  <wp:effectExtent l="0" t="0" r="15240" b="1270"/>
                  <wp:wrapNone/>
                  <wp:docPr id="99" name="图片_2"/>
                  <wp:cNvGraphicFramePr/>
                  <a:graphic xmlns:a="http://schemas.openxmlformats.org/drawingml/2006/main">
                    <a:graphicData uri="http://schemas.openxmlformats.org/drawingml/2006/picture">
                      <pic:pic xmlns:pic="http://schemas.openxmlformats.org/drawingml/2006/picture">
                        <pic:nvPicPr>
                          <pic:cNvPr id="99" name="图片_2"/>
                          <pic:cNvPicPr/>
                        </pic:nvPicPr>
                        <pic:blipFill>
                          <a:blip r:embed="rId71"/>
                          <a:stretch>
                            <a:fillRect/>
                          </a:stretch>
                        </pic:blipFill>
                        <pic:spPr>
                          <a:xfrm>
                            <a:off x="0" y="0"/>
                            <a:ext cx="956310" cy="932180"/>
                          </a:xfrm>
                          <a:prstGeom prst="rect">
                            <a:avLst/>
                          </a:prstGeom>
                          <a:noFill/>
                          <a:ln>
                            <a:noFill/>
                          </a:ln>
                        </pic:spPr>
                      </pic:pic>
                    </a:graphicData>
                  </a:graphic>
                </wp:anchor>
              </w:drawing>
            </w:r>
          </w:p>
        </w:tc>
        <w:tc>
          <w:tcPr>
            <w:tcW w:w="1656" w:type="dxa"/>
            <w:shd w:val="clear" w:color="auto" w:fill="auto"/>
            <w:vAlign w:val="center"/>
          </w:tcPr>
          <w:p w14:paraId="5008590F">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800*800*750</w:t>
            </w:r>
          </w:p>
        </w:tc>
        <w:tc>
          <w:tcPr>
            <w:tcW w:w="6182" w:type="dxa"/>
            <w:shd w:val="clear" w:color="auto" w:fill="auto"/>
            <w:vAlign w:val="center"/>
          </w:tcPr>
          <w:p w14:paraId="343DB8F3">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1.基材：采用橡胶木实木制作。木材甲醛释放量、含水率符合国家标准，经防腐、防虫、防潮处理；木纹流畅，色泽一致，完整干净、无瑕疵，颜色均匀平整；</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油漆：采用环保油漆，甲醛释放量符合国家标准要求，TVOC≤50g/L，苯、甲苯、二甲苯、乙苯总和含量≤50mg/kg，可溶性重金属含量未检出，硬度达到3H级，漆膜附着力不低于2级，漆膜抗冲击不低于2级，耐干热、耐湿热不低于2级，耐香烟灼烧试验后不得有黑斑、裂纹、鼓泡，漆膜其他理化性能符合国家标准；</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3、桌脚：采用橡胶木制作，榫卯工艺。</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4、五金配件：选用连接件，所有五金配件经过防锈、防腐处理。</w:t>
            </w:r>
          </w:p>
        </w:tc>
        <w:tc>
          <w:tcPr>
            <w:tcW w:w="607" w:type="dxa"/>
            <w:shd w:val="clear" w:color="auto" w:fill="auto"/>
            <w:vAlign w:val="center"/>
          </w:tcPr>
          <w:p w14:paraId="1D1232D2">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张</w:t>
            </w:r>
          </w:p>
        </w:tc>
        <w:tc>
          <w:tcPr>
            <w:tcW w:w="782" w:type="dxa"/>
            <w:shd w:val="clear" w:color="auto" w:fill="auto"/>
            <w:vAlign w:val="center"/>
          </w:tcPr>
          <w:p w14:paraId="71E596D3">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18</w:t>
            </w:r>
          </w:p>
        </w:tc>
      </w:tr>
    </w:tbl>
    <w:p w14:paraId="073E2741">
      <w:pPr>
        <w:numPr>
          <w:ilvl w:val="0"/>
          <w:numId w:val="2"/>
        </w:numPr>
        <w:adjustRightInd/>
        <w:spacing w:line="360" w:lineRule="auto"/>
        <w:ind w:left="0" w:leftChars="0" w:firstLine="420" w:firstLineChars="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供货要求：</w:t>
      </w:r>
    </w:p>
    <w:p w14:paraId="76356829">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rPr>
        <w:t>投标人投标提供的设备必须是厂商原装的、全新的，配置与装箱单相符；数量、质量及性能不低于本标书中提出的要求；应准确无误地表明设备型号、规格、制造厂商；</w:t>
      </w:r>
    </w:p>
    <w:p w14:paraId="6BF01B64">
      <w:pPr>
        <w:numPr>
          <w:ilvl w:val="0"/>
          <w:numId w:val="0"/>
        </w:numPr>
        <w:tabs>
          <w:tab w:val="left" w:pos="0"/>
        </w:tabs>
        <w:spacing w:line="360" w:lineRule="auto"/>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2</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rPr>
        <w:t>中标后</w:t>
      </w:r>
      <w:r>
        <w:rPr>
          <w:rFonts w:hint="eastAsia" w:ascii="宋体" w:hAnsi="宋体" w:cs="宋体"/>
          <w:bCs/>
          <w:color w:val="auto"/>
          <w:sz w:val="24"/>
          <w:highlight w:val="none"/>
          <w:lang w:val="en-US" w:eastAsia="zh-CN"/>
        </w:rPr>
        <w:t>15</w:t>
      </w:r>
      <w:r>
        <w:rPr>
          <w:rFonts w:hint="eastAsia" w:ascii="宋体" w:hAnsi="宋体" w:eastAsia="宋体" w:cs="宋体"/>
          <w:bCs/>
          <w:color w:val="auto"/>
          <w:sz w:val="24"/>
          <w:highlight w:val="none"/>
        </w:rPr>
        <w:t>日内签订合同</w:t>
      </w:r>
      <w:r>
        <w:rPr>
          <w:rFonts w:hint="eastAsia" w:ascii="宋体" w:hAnsi="宋体" w:cs="宋体"/>
          <w:bCs/>
          <w:color w:val="auto"/>
          <w:sz w:val="24"/>
          <w:highlight w:val="none"/>
          <w:lang w:eastAsia="zh-CN"/>
        </w:rPr>
        <w:t>；</w:t>
      </w:r>
    </w:p>
    <w:p w14:paraId="5674A2BB">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所供货物不会侵犯任何第三方知识产权；</w:t>
      </w:r>
    </w:p>
    <w:p w14:paraId="1DED43BC">
      <w:pPr>
        <w:numPr>
          <w:ilvl w:val="0"/>
          <w:numId w:val="0"/>
        </w:numPr>
        <w:tabs>
          <w:tab w:val="left" w:pos="0"/>
        </w:tabs>
        <w:spacing w:line="360" w:lineRule="auto"/>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rPr>
        <w:t>送货地址：</w:t>
      </w:r>
      <w:r>
        <w:rPr>
          <w:rFonts w:hint="eastAsia" w:ascii="宋体" w:hAnsi="宋体" w:eastAsia="宋体" w:cs="宋体"/>
          <w:bCs/>
          <w:color w:val="auto"/>
          <w:sz w:val="24"/>
          <w:highlight w:val="none"/>
          <w:lang w:val="en-US" w:eastAsia="zh-CN"/>
        </w:rPr>
        <w:t>采购人指定地点</w:t>
      </w:r>
      <w:r>
        <w:rPr>
          <w:rFonts w:hint="eastAsia" w:ascii="宋体" w:hAnsi="宋体" w:cs="宋体"/>
          <w:bCs/>
          <w:color w:val="auto"/>
          <w:sz w:val="24"/>
          <w:highlight w:val="none"/>
          <w:lang w:eastAsia="zh-CN"/>
        </w:rPr>
        <w:t>；</w:t>
      </w:r>
    </w:p>
    <w:p w14:paraId="48916CDA">
      <w:pPr>
        <w:numPr>
          <w:ilvl w:val="0"/>
          <w:numId w:val="0"/>
        </w:numPr>
        <w:tabs>
          <w:tab w:val="left" w:pos="0"/>
        </w:tabs>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lang w:val="en-US" w:eastAsia="zh-CN"/>
        </w:rPr>
        <w:t>、签订合同后，供应商按照其与采购人的事先约定将所供货物免费上门送货至采购人指定地点后拆箱，负责免费安装调试，正常运行后交采购人单位并通过验收</w:t>
      </w:r>
      <w:r>
        <w:rPr>
          <w:rFonts w:hint="eastAsia" w:ascii="宋体" w:hAnsi="宋体" w:cs="宋体"/>
          <w:bCs/>
          <w:color w:val="auto"/>
          <w:sz w:val="24"/>
          <w:highlight w:val="none"/>
          <w:lang w:val="en-US" w:eastAsia="zh-CN"/>
        </w:rPr>
        <w:t>；</w:t>
      </w:r>
    </w:p>
    <w:p w14:paraId="6E4C47DC">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rPr>
        <w:t>、若所投设备有规定外形尺寸，则外形尺寸（SIZE）的长、宽、高允许在±5%以内偏差；</w:t>
      </w:r>
    </w:p>
    <w:p w14:paraId="5459EAD9">
      <w:pPr>
        <w:numPr>
          <w:ilvl w:val="0"/>
          <w:numId w:val="0"/>
        </w:num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四、</w:t>
      </w:r>
      <w:r>
        <w:rPr>
          <w:rFonts w:hint="eastAsia" w:ascii="宋体" w:hAnsi="宋体" w:eastAsia="宋体" w:cs="宋体"/>
          <w:b/>
          <w:color w:val="auto"/>
          <w:sz w:val="24"/>
          <w:highlight w:val="none"/>
        </w:rPr>
        <w:t>售后服务要求：</w:t>
      </w:r>
    </w:p>
    <w:p w14:paraId="5063F94A">
      <w:pPr>
        <w:numPr>
          <w:ilvl w:val="0"/>
          <w:numId w:val="15"/>
        </w:numPr>
        <w:tabs>
          <w:tab w:val="left" w:pos="0"/>
        </w:tabs>
        <w:spacing w:line="360" w:lineRule="auto"/>
        <w:ind w:left="-62" w:leftChars="0" w:firstLine="482" w:firstLineChars="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质保期要求：</w:t>
      </w:r>
      <w:r>
        <w:rPr>
          <w:rFonts w:hint="eastAsia" w:ascii="宋体" w:hAnsi="宋体" w:cs="宋体"/>
          <w:b/>
          <w:bCs/>
          <w:color w:val="auto"/>
          <w:sz w:val="24"/>
          <w:highlight w:val="none"/>
        </w:rPr>
        <w:t>原厂质保</w:t>
      </w:r>
      <w:r>
        <w:rPr>
          <w:rFonts w:hint="eastAsia" w:ascii="宋体" w:hAnsi="宋体" w:cs="宋体"/>
          <w:b/>
          <w:bCs w:val="0"/>
          <w:color w:val="auto"/>
          <w:sz w:val="24"/>
          <w:highlight w:val="none"/>
          <w:lang w:val="en-US" w:eastAsia="zh-CN"/>
        </w:rPr>
        <w:t>五</w:t>
      </w:r>
      <w:r>
        <w:rPr>
          <w:rFonts w:hint="eastAsia" w:ascii="宋体" w:hAnsi="宋体" w:eastAsia="宋体" w:cs="宋体"/>
          <w:b/>
          <w:bCs w:val="0"/>
          <w:color w:val="auto"/>
          <w:sz w:val="24"/>
          <w:highlight w:val="none"/>
        </w:rPr>
        <w:t>年。</w:t>
      </w:r>
      <w:r>
        <w:rPr>
          <w:rFonts w:hint="eastAsia" w:ascii="宋体" w:hAnsi="宋体" w:cs="宋体"/>
          <w:b/>
          <w:bCs/>
          <w:color w:val="auto"/>
          <w:sz w:val="24"/>
          <w:highlight w:val="none"/>
        </w:rPr>
        <w:t>质保期内的维修费用（包括材料）全部由中标单位负责，因人为因素出现的故障不在免费保修范围内</w:t>
      </w:r>
      <w:r>
        <w:rPr>
          <w:rFonts w:hint="eastAsia" w:ascii="宋体" w:hAnsi="宋体" w:cs="宋体"/>
          <w:b/>
          <w:bCs/>
          <w:color w:val="auto"/>
          <w:sz w:val="24"/>
          <w:highlight w:val="none"/>
          <w:lang w:eastAsia="zh-CN"/>
        </w:rPr>
        <w:t>。</w:t>
      </w:r>
    </w:p>
    <w:p w14:paraId="13487234">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2、技术支持要求：质保期内出现问题，2小时内响应，4小时内到位消障，7*24小时电话支持，若因特殊情况不能立即排除故障时，中标人应负责采取应急措施，采用备用设备等方式，确保买方基本使用不受影响。</w:t>
      </w:r>
    </w:p>
    <w:p w14:paraId="1BD011AC">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3、要求中标人提供易耗件的备件和日常保养维护的专用工具；中标人应于验收后向用户提供技术文档，并提供完整的软、硬件技术资料。</w:t>
      </w:r>
    </w:p>
    <w:p w14:paraId="1E77F013">
      <w:pPr>
        <w:numPr>
          <w:ilvl w:val="0"/>
          <w:numId w:val="0"/>
        </w:numPr>
        <w:tabs>
          <w:tab w:val="left" w:pos="0"/>
        </w:tabs>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4、在使用的所有时间范围内，提供多种方式的技术支持。提供免费上门维护、升级服务，在接到电话后1小时内响应，2小时以内到现场处理，3小时内解决问题。</w:t>
      </w:r>
    </w:p>
    <w:p w14:paraId="50109A8E">
      <w:pPr>
        <w:numPr>
          <w:ilvl w:val="0"/>
          <w:numId w:val="0"/>
        </w:numPr>
        <w:tabs>
          <w:tab w:val="left" w:pos="0"/>
        </w:tabs>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 xml:space="preserve">5、质保期内的维修费用（包括配件）全部由中标单位负责，质保修期后的维修酌情以成本价收费。  </w:t>
      </w:r>
      <w:r>
        <w:rPr>
          <w:rFonts w:hint="eastAsia" w:ascii="宋体" w:hAnsi="宋体" w:eastAsia="宋体" w:cs="宋体"/>
          <w:color w:val="auto"/>
          <w:kern w:val="0"/>
          <w:sz w:val="24"/>
          <w:highlight w:val="none"/>
        </w:rPr>
        <w:t xml:space="preserve">             </w:t>
      </w:r>
    </w:p>
    <w:p w14:paraId="75961C63">
      <w:pPr>
        <w:numPr>
          <w:ilvl w:val="0"/>
          <w:numId w:val="0"/>
        </w:num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五</w:t>
      </w:r>
      <w:r>
        <w:rPr>
          <w:rFonts w:hint="eastAsia" w:ascii="宋体" w:hAnsi="宋体" w:eastAsia="宋体" w:cs="宋体"/>
          <w:b/>
          <w:color w:val="auto"/>
          <w:sz w:val="24"/>
          <w:highlight w:val="none"/>
        </w:rPr>
        <w:t>、供货期要求</w:t>
      </w:r>
    </w:p>
    <w:p w14:paraId="05EB9936">
      <w:pPr>
        <w:tabs>
          <w:tab w:val="left" w:pos="0"/>
        </w:tabs>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签订合同后</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0天内</w:t>
      </w:r>
      <w:r>
        <w:rPr>
          <w:rFonts w:hint="eastAsia" w:ascii="宋体" w:hAnsi="宋体" w:eastAsia="宋体" w:cs="宋体"/>
          <w:bCs/>
          <w:color w:val="auto"/>
          <w:sz w:val="24"/>
          <w:highlight w:val="none"/>
        </w:rPr>
        <w:t>完成所有设备的供货、安装、调试等所有工作内容。</w:t>
      </w:r>
    </w:p>
    <w:p w14:paraId="5EA1C3B8">
      <w:pPr>
        <w:snapToGrid w:val="0"/>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六、验收要求：</w:t>
      </w:r>
    </w:p>
    <w:p w14:paraId="6338EDD3">
      <w:pPr>
        <w:adjustRightInd/>
        <w:spacing w:line="360" w:lineRule="auto"/>
        <w:ind w:left="60" w:right="62" w:firstLine="435"/>
        <w:rPr>
          <w:rFonts w:hint="eastAsia" w:ascii="宋体" w:hAnsi="宋体" w:cs="宋体"/>
          <w:color w:val="auto"/>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供货完成后，学校先行试用。初验完成后，组织终验，最终验收不合格，中标方整改，由此所产生的所有损失由中标单位承担。</w:t>
      </w:r>
    </w:p>
    <w:p w14:paraId="1A08A8F2">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采购人按照余财采〔2020〕14号《关于转发《杭州市政府采购履约验收暂行办法》的通知》规定组织对</w:t>
      </w:r>
      <w:r>
        <w:rPr>
          <w:rFonts w:hint="eastAsia" w:ascii="宋体" w:hAnsi="宋体" w:cs="宋体"/>
          <w:color w:val="auto"/>
          <w:sz w:val="24"/>
          <w:highlight w:val="none"/>
        </w:rPr>
        <w:t>中标单位</w:t>
      </w:r>
      <w:r>
        <w:rPr>
          <w:rFonts w:hint="eastAsia" w:ascii="宋体" w:hAnsi="宋体" w:cs="宋体"/>
          <w:color w:val="auto"/>
          <w:kern w:val="0"/>
          <w:sz w:val="24"/>
          <w:highlight w:val="none"/>
        </w:rPr>
        <w:t>履约的验收。</w:t>
      </w:r>
    </w:p>
    <w:p w14:paraId="594617F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2</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首次验收产生的费用由采购人承担，如首次验收不合格，后续验收产生的所有费用由</w:t>
      </w:r>
      <w:r>
        <w:rPr>
          <w:rFonts w:hint="eastAsia" w:ascii="宋体" w:hAnsi="宋体" w:cs="宋体"/>
          <w:color w:val="auto"/>
          <w:sz w:val="24"/>
          <w:highlight w:val="none"/>
        </w:rPr>
        <w:t>中标单位</w:t>
      </w:r>
      <w:r>
        <w:rPr>
          <w:rFonts w:hint="eastAsia" w:ascii="宋体" w:hAnsi="宋体" w:cs="宋体"/>
          <w:color w:val="auto"/>
          <w:kern w:val="0"/>
          <w:sz w:val="24"/>
          <w:highlight w:val="none"/>
        </w:rPr>
        <w:t>支付。</w:t>
      </w:r>
    </w:p>
    <w:p w14:paraId="71124694">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验收内容及资料要求：</w:t>
      </w:r>
    </w:p>
    <w:p w14:paraId="652A9286">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根据采购文件确定的技术指标或者服务要求确定验收指标和标准。未进行相应约定的，应当符合国家强制性规定、政策要求、安全标准、行业或企业有关标准等。</w:t>
      </w:r>
    </w:p>
    <w:p w14:paraId="2D441B23">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28D1DC3E">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①采购文件；</w:t>
      </w:r>
    </w:p>
    <w:p w14:paraId="15FAF7CA">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②投标文件；</w:t>
      </w:r>
    </w:p>
    <w:p w14:paraId="5800BBE0">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③采购合同；</w:t>
      </w:r>
    </w:p>
    <w:p w14:paraId="2F3462C2">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④投标时提供的样品；</w:t>
      </w:r>
    </w:p>
    <w:p w14:paraId="07BD72EA">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⑤产品清单：产品数量、规格、质量证明文件等；</w:t>
      </w:r>
    </w:p>
    <w:p w14:paraId="09EE2499">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⑥到货核验单（需学校核验人、复核人及中标单位三方签字盖章）、出厂合格证、检测报告、产品说明书、安装完成后的图片等；</w:t>
      </w:r>
    </w:p>
    <w:p w14:paraId="0FFEADCB">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⑦其他需提供的相关材料（如有验收报告等材料）。</w:t>
      </w:r>
    </w:p>
    <w:p w14:paraId="385DFEAB">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履约验收标准：</w:t>
      </w:r>
    </w:p>
    <w:p w14:paraId="08FFA943">
      <w:pPr>
        <w:tabs>
          <w:tab w:val="left" w:pos="904"/>
        </w:tabs>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4.1</w:t>
      </w:r>
      <w:r>
        <w:rPr>
          <w:rFonts w:hint="eastAsia" w:ascii="宋体" w:hAnsi="宋体" w:cs="宋体"/>
          <w:color w:val="auto"/>
          <w:sz w:val="24"/>
          <w:highlight w:val="none"/>
          <w:lang w:eastAsia="zh-CN"/>
        </w:rPr>
        <w:t>、</w:t>
      </w:r>
      <w:r>
        <w:rPr>
          <w:rFonts w:hint="eastAsia" w:ascii="宋体" w:hAnsi="宋体" w:cs="宋体"/>
          <w:color w:val="auto"/>
          <w:sz w:val="24"/>
          <w:highlight w:val="none"/>
        </w:rPr>
        <w:t>按照采购文件、响应文件及采购合同的约定对每一项技术、服务、安全标准的履约情况进行确认。</w:t>
      </w:r>
    </w:p>
    <w:p w14:paraId="5C0CD1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lang w:val="en-US" w:eastAsia="zh-CN"/>
        </w:rPr>
        <w:t>七</w:t>
      </w:r>
      <w:r>
        <w:rPr>
          <w:rFonts w:hint="eastAsia" w:ascii="宋体" w:hAnsi="宋体" w:eastAsia="宋体" w:cs="宋体"/>
          <w:b/>
          <w:bCs w:val="0"/>
          <w:color w:val="auto"/>
          <w:sz w:val="24"/>
          <w:highlight w:val="none"/>
        </w:rPr>
        <w:t>、货款结算方式</w:t>
      </w:r>
    </w:p>
    <w:p w14:paraId="4CCD50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sz w:val="24"/>
          <w:highlight w:val="none"/>
          <w:lang w:eastAsia="zh-CN"/>
        </w:rPr>
      </w:pPr>
      <w:r>
        <w:rPr>
          <w:rFonts w:hint="eastAsia" w:ascii="宋体" w:hAnsi="宋体" w:eastAsia="宋体" w:cs="宋体"/>
          <w:bCs/>
          <w:color w:val="auto"/>
          <w:sz w:val="24"/>
          <w:highlight w:val="none"/>
        </w:rPr>
        <w:t>采购人在供应商根据</w:t>
      </w:r>
      <w:r>
        <w:rPr>
          <w:rFonts w:hint="eastAsia" w:ascii="宋体" w:hAnsi="宋体" w:eastAsia="宋体" w:cs="宋体"/>
          <w:b w:val="0"/>
          <w:bCs w:val="0"/>
          <w:color w:val="auto"/>
          <w:sz w:val="24"/>
          <w:highlight w:val="none"/>
        </w:rPr>
        <w:t>合同规定将项目交付、验收通过后，供应商提供发票，采购人凭发票、确认单以及合同上报区财政，区财政审批下拨款到位后，支付合同</w:t>
      </w:r>
      <w:r>
        <w:rPr>
          <w:rFonts w:hint="eastAsia" w:ascii="宋体" w:hAnsi="宋体" w:eastAsia="宋体" w:cs="宋体"/>
          <w:b w:val="0"/>
          <w:bCs w:val="0"/>
          <w:color w:val="auto"/>
          <w:sz w:val="24"/>
          <w:highlight w:val="none"/>
          <w:lang w:eastAsia="zh-CN"/>
        </w:rPr>
        <w:t>全部</w:t>
      </w:r>
      <w:r>
        <w:rPr>
          <w:rFonts w:hint="eastAsia" w:ascii="宋体" w:hAnsi="宋体" w:eastAsia="宋体" w:cs="宋体"/>
          <w:b w:val="0"/>
          <w:bCs w:val="0"/>
          <w:color w:val="auto"/>
          <w:sz w:val="24"/>
          <w:highlight w:val="none"/>
        </w:rPr>
        <w:t>价款</w:t>
      </w:r>
      <w:r>
        <w:rPr>
          <w:rFonts w:hint="eastAsia" w:ascii="宋体" w:hAnsi="宋体" w:eastAsia="宋体" w:cs="宋体"/>
          <w:b w:val="0"/>
          <w:bCs w:val="0"/>
          <w:color w:val="auto"/>
          <w:sz w:val="24"/>
          <w:highlight w:val="none"/>
          <w:lang w:eastAsia="zh-CN"/>
        </w:rPr>
        <w:t>。</w:t>
      </w:r>
    </w:p>
    <w:p w14:paraId="46529A5A">
      <w:pPr>
        <w:numPr>
          <w:ilvl w:val="0"/>
          <w:numId w:val="0"/>
        </w:numPr>
        <w:adjustRightInd w:val="0"/>
        <w:snapToGrid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八、</w:t>
      </w:r>
      <w:r>
        <w:rPr>
          <w:rFonts w:hint="eastAsia" w:ascii="宋体" w:hAnsi="宋体" w:eastAsia="宋体" w:cs="宋体"/>
          <w:b/>
          <w:bCs/>
          <w:color w:val="auto"/>
          <w:sz w:val="24"/>
          <w:highlight w:val="none"/>
        </w:rPr>
        <w:t>履约保证金：</w:t>
      </w:r>
    </w:p>
    <w:p w14:paraId="4B87B868">
      <w:pPr>
        <w:numPr>
          <w:ilvl w:val="0"/>
          <w:numId w:val="0"/>
        </w:numPr>
        <w:adjustRightInd w:val="0"/>
        <w:snapToGrid w:val="0"/>
        <w:spacing w:line="360" w:lineRule="auto"/>
        <w:ind w:firstLine="480" w:firstLineChars="200"/>
        <w:rPr>
          <w:rFonts w:hint="eastAsia"/>
          <w:color w:val="auto"/>
          <w:highlight w:val="none"/>
          <w:lang w:val="en-US" w:eastAsia="zh-CN"/>
        </w:rPr>
      </w:pPr>
      <w:r>
        <w:rPr>
          <w:rFonts w:hint="eastAsia" w:ascii="宋体" w:hAnsi="宋体" w:eastAsia="宋体" w:cs="宋体"/>
          <w:b w:val="0"/>
          <w:bCs w:val="0"/>
          <w:color w:val="auto"/>
          <w:sz w:val="24"/>
          <w:highlight w:val="none"/>
          <w:lang w:val="en-US" w:eastAsia="zh-CN"/>
        </w:rPr>
        <w:t>合同生效后7个工作日内中标单位向采购单位交纳合同金额的1%的履约保证金。履约保证金可以以保函形式提交。</w:t>
      </w:r>
    </w:p>
    <w:p w14:paraId="1AB22FA8">
      <w:pPr>
        <w:numPr>
          <w:ilvl w:val="0"/>
          <w:numId w:val="0"/>
        </w:numPr>
        <w:adjustRightInd w:val="0"/>
        <w:snapToGrid w:val="0"/>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九、其他说明</w:t>
      </w:r>
    </w:p>
    <w:p w14:paraId="4C6821A4">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关于知识产权：采购人在中华人民共和国境内因使用本招标项目产品和服务中的任何一部分时，采购人免受第三方提出的侵犯其专利权、商标权或其它知识产权的起诉。若出现以上情况，所有责任由投标人承担。</w:t>
      </w:r>
    </w:p>
    <w:p w14:paraId="7562F04C">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2.投标价格应包括所有应支付的对专利权、版权、设计或其他因知识产权而需要向其他方支付的税费。</w:t>
      </w:r>
    </w:p>
    <w:p w14:paraId="130F57CA">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3.中标单位不得以任何形式将本项目转包给其他单位，否则招标单位有权终止合同，所发生的一切损失均由中标单位承担。</w:t>
      </w:r>
    </w:p>
    <w:p w14:paraId="7398D2E2">
      <w:pPr>
        <w:rPr>
          <w:rFonts w:hint="eastAsia"/>
          <w:color w:val="auto"/>
          <w:highlight w:val="none"/>
          <w:lang w:val="en-US" w:eastAsia="zh-CN"/>
        </w:rPr>
        <w:sectPr>
          <w:headerReference r:id="rId8" w:type="default"/>
          <w:foot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9F2FA24">
      <w:pPr>
        <w:pStyle w:val="3"/>
        <w:bidi w:val="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第四部分   </w:t>
      </w:r>
      <w:bookmarkStart w:id="32" w:name="_Toc184313291"/>
      <w:bookmarkEnd w:id="32"/>
      <w:bookmarkStart w:id="33" w:name="_Toc184312128"/>
      <w:bookmarkEnd w:id="33"/>
      <w:bookmarkStart w:id="34" w:name="_Toc184312123"/>
      <w:bookmarkEnd w:id="34"/>
      <w:bookmarkStart w:id="35" w:name="_Toc184310342"/>
      <w:bookmarkEnd w:id="35"/>
      <w:bookmarkStart w:id="36" w:name="_Toc184310312"/>
      <w:bookmarkEnd w:id="36"/>
      <w:bookmarkStart w:id="37" w:name="_Toc184308098"/>
      <w:bookmarkEnd w:id="37"/>
      <w:bookmarkStart w:id="38" w:name="_Toc184312124"/>
      <w:bookmarkEnd w:id="38"/>
      <w:bookmarkStart w:id="39" w:name="_Toc184314413"/>
      <w:bookmarkEnd w:id="39"/>
      <w:bookmarkStart w:id="40" w:name="_Toc184312068"/>
      <w:bookmarkEnd w:id="40"/>
      <w:bookmarkStart w:id="41" w:name="_Toc184308091"/>
      <w:bookmarkEnd w:id="41"/>
      <w:bookmarkStart w:id="42" w:name="_Toc184313240"/>
      <w:bookmarkEnd w:id="42"/>
      <w:bookmarkStart w:id="43" w:name="_Toc184312099"/>
      <w:bookmarkEnd w:id="43"/>
      <w:bookmarkStart w:id="44" w:name="_Toc184308042"/>
      <w:bookmarkEnd w:id="44"/>
      <w:bookmarkStart w:id="45" w:name="_Toc184308073"/>
      <w:bookmarkEnd w:id="45"/>
      <w:bookmarkStart w:id="46" w:name="_Toc184314448"/>
      <w:bookmarkEnd w:id="46"/>
      <w:bookmarkStart w:id="47" w:name="_Toc184313243"/>
      <w:bookmarkEnd w:id="47"/>
      <w:bookmarkStart w:id="48" w:name="_Toc184312129"/>
      <w:bookmarkEnd w:id="48"/>
      <w:bookmarkStart w:id="49" w:name="_Toc184313305"/>
      <w:bookmarkEnd w:id="49"/>
      <w:bookmarkStart w:id="50" w:name="_Toc184313247"/>
      <w:bookmarkEnd w:id="50"/>
      <w:bookmarkStart w:id="51" w:name="_Toc184313259"/>
      <w:bookmarkEnd w:id="51"/>
      <w:bookmarkStart w:id="52" w:name="_Toc184310293"/>
      <w:bookmarkEnd w:id="52"/>
      <w:bookmarkStart w:id="53" w:name="_Toc184313295"/>
      <w:bookmarkEnd w:id="53"/>
      <w:bookmarkStart w:id="54" w:name="_Toc184312137"/>
      <w:bookmarkEnd w:id="54"/>
      <w:bookmarkStart w:id="55" w:name="_Toc184314416"/>
      <w:bookmarkEnd w:id="55"/>
      <w:bookmarkStart w:id="56" w:name="_Toc184314456"/>
      <w:bookmarkEnd w:id="56"/>
      <w:bookmarkStart w:id="57" w:name="_Toc184308059"/>
      <w:bookmarkEnd w:id="57"/>
      <w:bookmarkStart w:id="58" w:name="_Toc184314410"/>
      <w:bookmarkEnd w:id="58"/>
      <w:bookmarkStart w:id="59" w:name="_Toc184308054"/>
      <w:bookmarkEnd w:id="59"/>
      <w:bookmarkStart w:id="60" w:name="_Toc184310310"/>
      <w:bookmarkEnd w:id="60"/>
      <w:bookmarkStart w:id="61" w:name="_Toc184312100"/>
      <w:bookmarkEnd w:id="61"/>
      <w:bookmarkStart w:id="62" w:name="_Toc184313298"/>
      <w:bookmarkEnd w:id="62"/>
      <w:bookmarkStart w:id="63" w:name="_Toc184308064"/>
      <w:bookmarkEnd w:id="63"/>
      <w:bookmarkStart w:id="64" w:name="_Toc184314421"/>
      <w:bookmarkEnd w:id="64"/>
      <w:bookmarkStart w:id="65" w:name="_Toc184310302"/>
      <w:bookmarkEnd w:id="65"/>
      <w:bookmarkStart w:id="66" w:name="_Toc184313274"/>
      <w:bookmarkEnd w:id="66"/>
      <w:bookmarkStart w:id="67" w:name="_Toc184313282"/>
      <w:bookmarkEnd w:id="67"/>
      <w:bookmarkStart w:id="68" w:name="_Toc184310287"/>
      <w:bookmarkEnd w:id="68"/>
      <w:bookmarkStart w:id="69" w:name="_Toc184308065"/>
      <w:bookmarkEnd w:id="69"/>
      <w:bookmarkStart w:id="70" w:name="_Toc184313255"/>
      <w:bookmarkEnd w:id="70"/>
      <w:bookmarkStart w:id="71" w:name="_Toc184312127"/>
      <w:bookmarkEnd w:id="71"/>
      <w:bookmarkStart w:id="72" w:name="_Toc184308047"/>
      <w:bookmarkEnd w:id="72"/>
      <w:bookmarkStart w:id="73" w:name="_Toc184312075"/>
      <w:bookmarkEnd w:id="73"/>
      <w:bookmarkStart w:id="74" w:name="_Toc184312119"/>
      <w:bookmarkEnd w:id="74"/>
      <w:bookmarkStart w:id="75" w:name="_Toc184308102"/>
      <w:bookmarkEnd w:id="75"/>
      <w:bookmarkStart w:id="76" w:name="_Toc184314457"/>
      <w:bookmarkEnd w:id="76"/>
      <w:bookmarkStart w:id="77" w:name="_Toc184314439"/>
      <w:bookmarkEnd w:id="77"/>
      <w:bookmarkStart w:id="78" w:name="_Toc184314415"/>
      <w:bookmarkEnd w:id="78"/>
      <w:bookmarkStart w:id="79" w:name="_Toc184313309"/>
      <w:bookmarkEnd w:id="79"/>
      <w:bookmarkStart w:id="80" w:name="_Toc184310332"/>
      <w:bookmarkEnd w:id="80"/>
      <w:bookmarkStart w:id="81" w:name="_Toc184308085"/>
      <w:bookmarkEnd w:id="81"/>
      <w:bookmarkStart w:id="82" w:name="_Toc184310273"/>
      <w:bookmarkEnd w:id="82"/>
      <w:bookmarkStart w:id="83" w:name="_Toc184310311"/>
      <w:bookmarkEnd w:id="83"/>
      <w:bookmarkStart w:id="84" w:name="_Toc184310339"/>
      <w:bookmarkEnd w:id="84"/>
      <w:bookmarkStart w:id="85" w:name="_Toc184312130"/>
      <w:bookmarkEnd w:id="85"/>
      <w:bookmarkStart w:id="86" w:name="_Toc184313299"/>
      <w:bookmarkEnd w:id="86"/>
      <w:bookmarkStart w:id="87" w:name="_Toc184314431"/>
      <w:bookmarkEnd w:id="87"/>
      <w:bookmarkStart w:id="88" w:name="_Toc184310272"/>
      <w:bookmarkEnd w:id="88"/>
      <w:bookmarkStart w:id="89" w:name="_Toc184308040"/>
      <w:bookmarkEnd w:id="89"/>
      <w:bookmarkStart w:id="90" w:name="_Toc184313271"/>
      <w:bookmarkEnd w:id="90"/>
      <w:bookmarkStart w:id="91" w:name="_Toc184313256"/>
      <w:bookmarkEnd w:id="91"/>
      <w:bookmarkStart w:id="92" w:name="_Toc184312069"/>
      <w:bookmarkEnd w:id="92"/>
      <w:bookmarkStart w:id="93" w:name="_Toc184308107"/>
      <w:bookmarkEnd w:id="93"/>
      <w:bookmarkStart w:id="94" w:name="_Toc184308097"/>
      <w:bookmarkEnd w:id="94"/>
      <w:bookmarkStart w:id="95" w:name="_Toc184310292"/>
      <w:bookmarkEnd w:id="95"/>
      <w:bookmarkStart w:id="96" w:name="_Toc184314447"/>
      <w:bookmarkEnd w:id="96"/>
      <w:bookmarkStart w:id="97" w:name="_Toc184310288"/>
      <w:bookmarkEnd w:id="97"/>
      <w:bookmarkStart w:id="98" w:name="_Toc184314420"/>
      <w:bookmarkEnd w:id="98"/>
      <w:bookmarkStart w:id="99" w:name="_Toc184308079"/>
      <w:bookmarkEnd w:id="99"/>
      <w:bookmarkStart w:id="100" w:name="_Toc184314471"/>
      <w:bookmarkEnd w:id="100"/>
      <w:bookmarkStart w:id="101" w:name="_Toc184313279"/>
      <w:bookmarkEnd w:id="101"/>
      <w:bookmarkStart w:id="102" w:name="_Toc184314412"/>
      <w:bookmarkEnd w:id="102"/>
      <w:bookmarkStart w:id="103" w:name="_Toc184310277"/>
      <w:bookmarkEnd w:id="103"/>
      <w:bookmarkStart w:id="104" w:name="_Toc184308086"/>
      <w:bookmarkEnd w:id="104"/>
      <w:bookmarkStart w:id="105" w:name="_Toc184314464"/>
      <w:bookmarkEnd w:id="105"/>
      <w:bookmarkStart w:id="106" w:name="_Toc184313261"/>
      <w:bookmarkEnd w:id="106"/>
      <w:bookmarkStart w:id="107" w:name="_Toc184308074"/>
      <w:bookmarkEnd w:id="107"/>
      <w:bookmarkStart w:id="108" w:name="_Toc184310328"/>
      <w:bookmarkEnd w:id="108"/>
      <w:bookmarkStart w:id="109" w:name="_Toc184310281"/>
      <w:bookmarkEnd w:id="109"/>
      <w:bookmarkStart w:id="110" w:name="_Toc184308080"/>
      <w:bookmarkEnd w:id="110"/>
      <w:bookmarkStart w:id="111" w:name="_Toc184313260"/>
      <w:bookmarkEnd w:id="111"/>
      <w:bookmarkStart w:id="112" w:name="_Toc184312088"/>
      <w:bookmarkEnd w:id="112"/>
      <w:bookmarkStart w:id="113" w:name="_Toc184312074"/>
      <w:bookmarkEnd w:id="113"/>
      <w:bookmarkStart w:id="114" w:name="_Toc184310280"/>
      <w:bookmarkEnd w:id="114"/>
      <w:bookmarkStart w:id="115" w:name="_Toc184310305"/>
      <w:bookmarkEnd w:id="115"/>
      <w:bookmarkStart w:id="116" w:name="_Toc184314430"/>
      <w:bookmarkEnd w:id="116"/>
      <w:bookmarkStart w:id="117" w:name="_Toc184312113"/>
      <w:bookmarkEnd w:id="117"/>
      <w:bookmarkStart w:id="118" w:name="_Toc184308068"/>
      <w:bookmarkEnd w:id="118"/>
      <w:bookmarkStart w:id="119" w:name="_Toc184314475"/>
      <w:bookmarkEnd w:id="119"/>
      <w:bookmarkStart w:id="120" w:name="_Toc184308051"/>
      <w:bookmarkEnd w:id="120"/>
      <w:bookmarkStart w:id="121" w:name="_Toc184312087"/>
      <w:bookmarkEnd w:id="121"/>
      <w:bookmarkStart w:id="122" w:name="_Toc184308096"/>
      <w:bookmarkEnd w:id="122"/>
      <w:bookmarkStart w:id="123" w:name="_Toc184308081"/>
      <w:bookmarkEnd w:id="123"/>
      <w:bookmarkStart w:id="124" w:name="_Toc184312101"/>
      <w:bookmarkEnd w:id="124"/>
      <w:bookmarkStart w:id="125" w:name="_Toc184313267"/>
      <w:bookmarkEnd w:id="125"/>
      <w:bookmarkStart w:id="126" w:name="_Toc184308055"/>
      <w:bookmarkEnd w:id="126"/>
      <w:bookmarkStart w:id="127" w:name="_Toc184314454"/>
      <w:bookmarkEnd w:id="127"/>
      <w:bookmarkStart w:id="128" w:name="_Toc184308046"/>
      <w:bookmarkEnd w:id="128"/>
      <w:bookmarkStart w:id="129" w:name="_Toc184313306"/>
      <w:bookmarkEnd w:id="129"/>
      <w:bookmarkStart w:id="130" w:name="_Toc184313238"/>
      <w:bookmarkEnd w:id="130"/>
      <w:bookmarkStart w:id="131" w:name="_Toc184310283"/>
      <w:bookmarkEnd w:id="131"/>
      <w:bookmarkStart w:id="132" w:name="_Toc184312085"/>
      <w:bookmarkEnd w:id="132"/>
      <w:bookmarkStart w:id="133" w:name="_Toc184314480"/>
      <w:bookmarkEnd w:id="133"/>
      <w:bookmarkStart w:id="134" w:name="_Toc184313244"/>
      <w:bookmarkEnd w:id="134"/>
      <w:bookmarkStart w:id="135" w:name="_Toc184313289"/>
      <w:bookmarkEnd w:id="135"/>
      <w:bookmarkStart w:id="136" w:name="_Toc184314444"/>
      <w:bookmarkEnd w:id="136"/>
      <w:bookmarkStart w:id="137" w:name="_Toc184308039"/>
      <w:bookmarkEnd w:id="137"/>
      <w:bookmarkStart w:id="138" w:name="_Toc184314443"/>
      <w:bookmarkEnd w:id="138"/>
      <w:bookmarkStart w:id="139" w:name="_Toc184312131"/>
      <w:bookmarkEnd w:id="139"/>
      <w:bookmarkStart w:id="140" w:name="_Toc184310321"/>
      <w:bookmarkEnd w:id="140"/>
      <w:bookmarkStart w:id="141" w:name="_Toc184314428"/>
      <w:bookmarkEnd w:id="141"/>
      <w:bookmarkStart w:id="142" w:name="_Toc184314481"/>
      <w:bookmarkEnd w:id="142"/>
      <w:bookmarkStart w:id="143" w:name="_Toc184310278"/>
      <w:bookmarkEnd w:id="143"/>
      <w:bookmarkStart w:id="144" w:name="_Toc184312109"/>
      <w:bookmarkEnd w:id="144"/>
      <w:bookmarkStart w:id="145" w:name="_Toc184314459"/>
      <w:bookmarkEnd w:id="145"/>
      <w:bookmarkStart w:id="146" w:name="_Toc184310275"/>
      <w:bookmarkEnd w:id="146"/>
      <w:bookmarkStart w:id="147" w:name="_Toc184308104"/>
      <w:bookmarkEnd w:id="147"/>
      <w:bookmarkStart w:id="148" w:name="_Toc184308072"/>
      <w:bookmarkEnd w:id="148"/>
      <w:bookmarkStart w:id="149" w:name="_Toc184314429"/>
      <w:bookmarkEnd w:id="149"/>
      <w:bookmarkStart w:id="150" w:name="_Toc184313249"/>
      <w:bookmarkEnd w:id="150"/>
      <w:bookmarkStart w:id="151" w:name="_Toc184312096"/>
      <w:bookmarkEnd w:id="151"/>
      <w:bookmarkStart w:id="152" w:name="_Toc184312089"/>
      <w:bookmarkEnd w:id="152"/>
      <w:bookmarkStart w:id="153" w:name="_Toc184313297"/>
      <w:bookmarkEnd w:id="153"/>
      <w:bookmarkStart w:id="154" w:name="_Toc184314451"/>
      <w:bookmarkEnd w:id="154"/>
      <w:bookmarkStart w:id="155" w:name="_Toc184308058"/>
      <w:bookmarkEnd w:id="155"/>
      <w:bookmarkStart w:id="156" w:name="_Toc184312097"/>
      <w:bookmarkEnd w:id="156"/>
      <w:bookmarkStart w:id="157" w:name="_Toc184313265"/>
      <w:bookmarkEnd w:id="157"/>
      <w:bookmarkStart w:id="158" w:name="_Toc184313273"/>
      <w:bookmarkEnd w:id="158"/>
      <w:bookmarkStart w:id="159" w:name="_Toc184310295"/>
      <w:bookmarkEnd w:id="159"/>
      <w:bookmarkStart w:id="160" w:name="_Toc184314424"/>
      <w:bookmarkEnd w:id="160"/>
      <w:bookmarkStart w:id="161" w:name="_Toc184313281"/>
      <w:bookmarkEnd w:id="161"/>
      <w:bookmarkStart w:id="162" w:name="_Toc184310285"/>
      <w:bookmarkEnd w:id="162"/>
      <w:bookmarkStart w:id="163" w:name="_Toc184312108"/>
      <w:bookmarkEnd w:id="163"/>
      <w:bookmarkStart w:id="164" w:name="_Toc184310338"/>
      <w:bookmarkEnd w:id="164"/>
      <w:bookmarkStart w:id="165" w:name="_Toc184308060"/>
      <w:bookmarkEnd w:id="165"/>
      <w:bookmarkStart w:id="166" w:name="_Toc184312117"/>
      <w:bookmarkEnd w:id="166"/>
      <w:bookmarkStart w:id="167" w:name="_Toc184313302"/>
      <w:bookmarkEnd w:id="167"/>
      <w:bookmarkStart w:id="168" w:name="_Toc184308092"/>
      <w:bookmarkEnd w:id="168"/>
      <w:bookmarkStart w:id="169" w:name="_Toc184310299"/>
      <w:bookmarkEnd w:id="169"/>
      <w:bookmarkStart w:id="170" w:name="_Toc184308049"/>
      <w:bookmarkEnd w:id="170"/>
      <w:bookmarkStart w:id="171" w:name="_Toc184310306"/>
      <w:bookmarkEnd w:id="171"/>
      <w:bookmarkStart w:id="172" w:name="_Toc184314472"/>
      <w:bookmarkEnd w:id="172"/>
      <w:bookmarkStart w:id="173" w:name="_Toc184310318"/>
      <w:bookmarkEnd w:id="173"/>
      <w:bookmarkStart w:id="174" w:name="_Toc184310279"/>
      <w:bookmarkEnd w:id="174"/>
      <w:bookmarkStart w:id="175" w:name="_Toc184308078"/>
      <w:bookmarkEnd w:id="175"/>
      <w:bookmarkStart w:id="176" w:name="_Toc184310330"/>
      <w:bookmarkEnd w:id="176"/>
      <w:bookmarkStart w:id="177" w:name="_Toc184314435"/>
      <w:bookmarkEnd w:id="177"/>
      <w:bookmarkStart w:id="178" w:name="_Toc184310341"/>
      <w:bookmarkEnd w:id="178"/>
      <w:bookmarkStart w:id="179" w:name="_Toc184310334"/>
      <w:bookmarkEnd w:id="179"/>
      <w:bookmarkStart w:id="180" w:name="_Toc184308094"/>
      <w:bookmarkEnd w:id="180"/>
      <w:bookmarkStart w:id="181" w:name="_Toc184310286"/>
      <w:bookmarkEnd w:id="181"/>
      <w:bookmarkStart w:id="182" w:name="_Toc184308037"/>
      <w:bookmarkEnd w:id="182"/>
      <w:bookmarkStart w:id="183" w:name="_Toc184312070"/>
      <w:bookmarkEnd w:id="183"/>
      <w:bookmarkStart w:id="184" w:name="_Toc184314463"/>
      <w:bookmarkEnd w:id="184"/>
      <w:bookmarkStart w:id="185" w:name="_Toc184312107"/>
      <w:bookmarkEnd w:id="185"/>
      <w:bookmarkStart w:id="186" w:name="_Toc184312095"/>
      <w:bookmarkEnd w:id="186"/>
      <w:bookmarkStart w:id="187" w:name="_Toc184313250"/>
      <w:bookmarkEnd w:id="187"/>
      <w:bookmarkStart w:id="188" w:name="_Toc184310333"/>
      <w:bookmarkEnd w:id="188"/>
      <w:bookmarkStart w:id="189" w:name="_Toc184308036"/>
      <w:bookmarkEnd w:id="189"/>
      <w:bookmarkStart w:id="190" w:name="_Toc184312126"/>
      <w:bookmarkEnd w:id="190"/>
      <w:bookmarkStart w:id="191" w:name="_Toc184310284"/>
      <w:bookmarkEnd w:id="191"/>
      <w:bookmarkStart w:id="192" w:name="_Toc184310344"/>
      <w:bookmarkEnd w:id="192"/>
      <w:bookmarkStart w:id="193" w:name="_Toc184314469"/>
      <w:bookmarkEnd w:id="193"/>
      <w:bookmarkStart w:id="194" w:name="_Toc184310304"/>
      <w:bookmarkEnd w:id="194"/>
      <w:bookmarkStart w:id="195" w:name="_Toc184310307"/>
      <w:bookmarkEnd w:id="195"/>
      <w:bookmarkStart w:id="196" w:name="_Toc184310325"/>
      <w:bookmarkEnd w:id="196"/>
      <w:bookmarkStart w:id="197" w:name="_Toc184312112"/>
      <w:bookmarkEnd w:id="197"/>
      <w:bookmarkStart w:id="198" w:name="_Toc184312084"/>
      <w:bookmarkEnd w:id="198"/>
      <w:bookmarkStart w:id="199" w:name="_Toc184314453"/>
      <w:bookmarkEnd w:id="199"/>
      <w:bookmarkStart w:id="200" w:name="_Toc184312136"/>
      <w:bookmarkEnd w:id="200"/>
      <w:bookmarkStart w:id="201" w:name="_Toc184312138"/>
      <w:bookmarkEnd w:id="201"/>
      <w:bookmarkStart w:id="202" w:name="_Toc184313253"/>
      <w:bookmarkEnd w:id="202"/>
      <w:bookmarkStart w:id="203" w:name="_Toc184310343"/>
      <w:bookmarkEnd w:id="203"/>
      <w:bookmarkStart w:id="204" w:name="_Toc184313307"/>
      <w:bookmarkEnd w:id="204"/>
      <w:bookmarkStart w:id="205" w:name="_Toc184312111"/>
      <w:bookmarkEnd w:id="205"/>
      <w:bookmarkStart w:id="206" w:name="_Toc184310298"/>
      <w:bookmarkEnd w:id="206"/>
      <w:bookmarkStart w:id="207" w:name="_Toc184310291"/>
      <w:bookmarkEnd w:id="207"/>
      <w:bookmarkStart w:id="208" w:name="_Toc184310308"/>
      <w:bookmarkEnd w:id="208"/>
      <w:bookmarkStart w:id="209" w:name="_Toc184312118"/>
      <w:bookmarkEnd w:id="209"/>
      <w:bookmarkStart w:id="210" w:name="_Toc184308105"/>
      <w:bookmarkEnd w:id="210"/>
      <w:bookmarkStart w:id="211" w:name="_Toc184313276"/>
      <w:bookmarkEnd w:id="211"/>
      <w:bookmarkStart w:id="212" w:name="_Toc184308082"/>
      <w:bookmarkEnd w:id="212"/>
      <w:bookmarkStart w:id="213" w:name="_Toc184314427"/>
      <w:bookmarkEnd w:id="213"/>
      <w:bookmarkStart w:id="214" w:name="_Toc184314438"/>
      <w:bookmarkEnd w:id="214"/>
      <w:bookmarkStart w:id="215" w:name="_Toc184314418"/>
      <w:bookmarkEnd w:id="215"/>
      <w:bookmarkStart w:id="216" w:name="_Toc184308089"/>
      <w:bookmarkEnd w:id="216"/>
      <w:bookmarkStart w:id="217" w:name="_Toc184312092"/>
      <w:bookmarkEnd w:id="217"/>
      <w:bookmarkStart w:id="218" w:name="_Toc184308045"/>
      <w:bookmarkEnd w:id="218"/>
      <w:bookmarkStart w:id="219" w:name="_Toc184312110"/>
      <w:bookmarkEnd w:id="219"/>
      <w:bookmarkStart w:id="220" w:name="_Toc184313272"/>
      <w:bookmarkEnd w:id="220"/>
      <w:bookmarkStart w:id="221" w:name="_Toc184308062"/>
      <w:bookmarkEnd w:id="221"/>
      <w:bookmarkStart w:id="222" w:name="_Toc184313300"/>
      <w:bookmarkEnd w:id="222"/>
      <w:bookmarkStart w:id="223" w:name="_Toc184310300"/>
      <w:bookmarkEnd w:id="223"/>
      <w:bookmarkStart w:id="224" w:name="_Toc184308071"/>
      <w:bookmarkEnd w:id="224"/>
      <w:bookmarkStart w:id="225" w:name="_Toc184313310"/>
      <w:bookmarkEnd w:id="225"/>
      <w:bookmarkStart w:id="226" w:name="_Toc184313254"/>
      <w:bookmarkEnd w:id="226"/>
      <w:bookmarkStart w:id="227" w:name="_Toc184308099"/>
      <w:bookmarkEnd w:id="227"/>
      <w:bookmarkStart w:id="228" w:name="_Toc184313304"/>
      <w:bookmarkEnd w:id="228"/>
      <w:bookmarkStart w:id="229" w:name="_Toc184310326"/>
      <w:bookmarkEnd w:id="229"/>
      <w:bookmarkStart w:id="230" w:name="_Toc184314433"/>
      <w:bookmarkEnd w:id="230"/>
      <w:bookmarkStart w:id="231" w:name="_Toc184314479"/>
      <w:bookmarkEnd w:id="231"/>
      <w:bookmarkStart w:id="232" w:name="_Toc184308095"/>
      <w:bookmarkEnd w:id="232"/>
      <w:bookmarkStart w:id="233" w:name="_Toc184308075"/>
      <w:bookmarkEnd w:id="233"/>
      <w:bookmarkStart w:id="234" w:name="_Toc184314434"/>
      <w:bookmarkEnd w:id="234"/>
      <w:bookmarkStart w:id="235" w:name="_Toc184313262"/>
      <w:bookmarkEnd w:id="235"/>
      <w:bookmarkStart w:id="236" w:name="_Toc184312091"/>
      <w:bookmarkEnd w:id="236"/>
      <w:bookmarkStart w:id="237" w:name="_Toc184308063"/>
      <w:bookmarkEnd w:id="237"/>
      <w:bookmarkStart w:id="238" w:name="_Toc184313301"/>
      <w:bookmarkEnd w:id="238"/>
      <w:bookmarkStart w:id="239" w:name="_Toc184314461"/>
      <w:bookmarkEnd w:id="239"/>
      <w:bookmarkStart w:id="240" w:name="_Toc184310289"/>
      <w:bookmarkEnd w:id="240"/>
      <w:bookmarkStart w:id="241" w:name="_Toc184312115"/>
      <w:bookmarkEnd w:id="241"/>
      <w:bookmarkStart w:id="242" w:name="_Toc184313308"/>
      <w:bookmarkEnd w:id="242"/>
      <w:bookmarkStart w:id="243" w:name="_Toc184312104"/>
      <w:bookmarkEnd w:id="243"/>
      <w:bookmarkStart w:id="244" w:name="_Toc184310303"/>
      <w:bookmarkEnd w:id="244"/>
      <w:bookmarkStart w:id="245" w:name="_Toc184314425"/>
      <w:bookmarkEnd w:id="245"/>
      <w:bookmarkStart w:id="246" w:name="_Toc184313264"/>
      <w:bookmarkEnd w:id="246"/>
      <w:bookmarkStart w:id="247" w:name="_Toc184310337"/>
      <w:bookmarkEnd w:id="247"/>
      <w:bookmarkStart w:id="248" w:name="_Toc184313248"/>
      <w:bookmarkEnd w:id="248"/>
      <w:bookmarkStart w:id="249" w:name="_Toc184313292"/>
      <w:bookmarkEnd w:id="249"/>
      <w:bookmarkStart w:id="250" w:name="_Toc184314426"/>
      <w:bookmarkEnd w:id="250"/>
      <w:bookmarkStart w:id="251" w:name="_Toc184308100"/>
      <w:bookmarkEnd w:id="251"/>
      <w:bookmarkStart w:id="252" w:name="_Toc184310316"/>
      <w:bookmarkEnd w:id="252"/>
      <w:bookmarkStart w:id="253" w:name="_Toc184310296"/>
      <w:bookmarkEnd w:id="253"/>
      <w:bookmarkStart w:id="254" w:name="_Toc184310313"/>
      <w:bookmarkEnd w:id="254"/>
      <w:bookmarkStart w:id="255" w:name="_Toc184310329"/>
      <w:bookmarkEnd w:id="255"/>
      <w:bookmarkStart w:id="256" w:name="_Toc184313278"/>
      <w:bookmarkEnd w:id="256"/>
      <w:bookmarkStart w:id="257" w:name="_Toc184314470"/>
      <w:bookmarkEnd w:id="257"/>
      <w:bookmarkStart w:id="258" w:name="_Toc184308076"/>
      <w:bookmarkEnd w:id="258"/>
      <w:bookmarkStart w:id="259" w:name="_Toc184312072"/>
      <w:bookmarkEnd w:id="259"/>
      <w:bookmarkStart w:id="260" w:name="_Toc184313294"/>
      <w:bookmarkEnd w:id="260"/>
      <w:bookmarkStart w:id="261" w:name="_Toc184310327"/>
      <w:bookmarkEnd w:id="261"/>
      <w:bookmarkStart w:id="262" w:name="_Toc184308050"/>
      <w:bookmarkEnd w:id="262"/>
      <w:bookmarkStart w:id="263" w:name="_Toc184308087"/>
      <w:bookmarkEnd w:id="263"/>
      <w:bookmarkStart w:id="264" w:name="_Toc184312135"/>
      <w:bookmarkEnd w:id="264"/>
      <w:bookmarkStart w:id="265" w:name="_Toc184310336"/>
      <w:bookmarkEnd w:id="265"/>
      <w:bookmarkStart w:id="266" w:name="_Toc184312073"/>
      <w:bookmarkEnd w:id="266"/>
      <w:bookmarkStart w:id="267" w:name="_Toc184314411"/>
      <w:bookmarkEnd w:id="267"/>
      <w:bookmarkStart w:id="268" w:name="_Toc184314458"/>
      <w:bookmarkEnd w:id="268"/>
      <w:bookmarkStart w:id="269" w:name="_Toc184308067"/>
      <w:bookmarkEnd w:id="269"/>
      <w:bookmarkStart w:id="270" w:name="_Toc184308061"/>
      <w:bookmarkEnd w:id="270"/>
      <w:bookmarkStart w:id="271" w:name="_Toc184312103"/>
      <w:bookmarkEnd w:id="271"/>
      <w:bookmarkStart w:id="272" w:name="_Toc184310317"/>
      <w:bookmarkEnd w:id="272"/>
      <w:bookmarkStart w:id="273" w:name="_Toc184313242"/>
      <w:bookmarkEnd w:id="273"/>
      <w:bookmarkStart w:id="274" w:name="_Toc184312071"/>
      <w:bookmarkEnd w:id="274"/>
      <w:bookmarkStart w:id="275" w:name="_Toc184310314"/>
      <w:bookmarkEnd w:id="275"/>
      <w:bookmarkStart w:id="276" w:name="_Toc184313258"/>
      <w:bookmarkEnd w:id="276"/>
      <w:bookmarkStart w:id="277" w:name="_Toc184314432"/>
      <w:bookmarkEnd w:id="277"/>
      <w:bookmarkStart w:id="278" w:name="_Toc184310335"/>
      <w:bookmarkEnd w:id="278"/>
      <w:bookmarkStart w:id="279" w:name="_Toc184312081"/>
      <w:bookmarkEnd w:id="279"/>
      <w:bookmarkStart w:id="280" w:name="_Toc184308041"/>
      <w:bookmarkEnd w:id="280"/>
      <w:bookmarkStart w:id="281" w:name="_Toc184312077"/>
      <w:bookmarkEnd w:id="281"/>
      <w:bookmarkStart w:id="282" w:name="_Toc184310319"/>
      <w:bookmarkEnd w:id="282"/>
      <w:bookmarkStart w:id="283" w:name="_Toc184308069"/>
      <w:bookmarkEnd w:id="283"/>
      <w:bookmarkStart w:id="284" w:name="_Toc184314417"/>
      <w:bookmarkEnd w:id="284"/>
      <w:bookmarkStart w:id="285" w:name="_Toc184314442"/>
      <w:bookmarkEnd w:id="285"/>
      <w:bookmarkStart w:id="286" w:name="_Toc184314477"/>
      <w:bookmarkEnd w:id="286"/>
      <w:bookmarkStart w:id="287" w:name="_Toc184313287"/>
      <w:bookmarkEnd w:id="287"/>
      <w:bookmarkStart w:id="288" w:name="_Toc184312067"/>
      <w:bookmarkEnd w:id="288"/>
      <w:bookmarkStart w:id="289" w:name="_Toc184308070"/>
      <w:bookmarkEnd w:id="289"/>
      <w:bookmarkStart w:id="290" w:name="_Toc184312076"/>
      <w:bookmarkEnd w:id="290"/>
      <w:bookmarkStart w:id="291" w:name="_Toc184310324"/>
      <w:bookmarkEnd w:id="291"/>
      <w:bookmarkStart w:id="292" w:name="_Toc184312080"/>
      <w:bookmarkEnd w:id="292"/>
      <w:bookmarkStart w:id="293" w:name="_Toc184312093"/>
      <w:bookmarkEnd w:id="293"/>
      <w:bookmarkStart w:id="294" w:name="_Toc184312086"/>
      <w:bookmarkEnd w:id="294"/>
      <w:bookmarkStart w:id="295" w:name="_Toc184314422"/>
      <w:bookmarkEnd w:id="295"/>
      <w:bookmarkStart w:id="296" w:name="_Toc184308101"/>
      <w:bookmarkEnd w:id="296"/>
      <w:bookmarkStart w:id="297" w:name="_Toc184313285"/>
      <w:bookmarkEnd w:id="297"/>
      <w:bookmarkStart w:id="298" w:name="_Toc184313263"/>
      <w:bookmarkEnd w:id="298"/>
      <w:bookmarkStart w:id="299" w:name="_Toc184313275"/>
      <w:bookmarkEnd w:id="299"/>
      <w:bookmarkStart w:id="300" w:name="_Toc184310274"/>
      <w:bookmarkEnd w:id="300"/>
      <w:bookmarkStart w:id="301" w:name="_Toc184313290"/>
      <w:bookmarkEnd w:id="301"/>
      <w:bookmarkStart w:id="302" w:name="_Toc184314423"/>
      <w:bookmarkEnd w:id="302"/>
      <w:bookmarkStart w:id="303" w:name="_Toc184308056"/>
      <w:bookmarkEnd w:id="303"/>
      <w:bookmarkStart w:id="304" w:name="_Toc184312079"/>
      <w:bookmarkEnd w:id="304"/>
      <w:bookmarkStart w:id="305" w:name="_Toc184314437"/>
      <w:bookmarkEnd w:id="305"/>
      <w:bookmarkStart w:id="306" w:name="_Toc184312134"/>
      <w:bookmarkEnd w:id="306"/>
      <w:bookmarkStart w:id="307" w:name="_Toc184314467"/>
      <w:bookmarkEnd w:id="307"/>
      <w:bookmarkStart w:id="308" w:name="_Toc184313303"/>
      <w:bookmarkEnd w:id="308"/>
      <w:bookmarkStart w:id="309" w:name="_Toc184310282"/>
      <w:bookmarkEnd w:id="309"/>
      <w:bookmarkStart w:id="310" w:name="_Toc184314460"/>
      <w:bookmarkEnd w:id="310"/>
      <w:bookmarkStart w:id="311" w:name="_Toc184310301"/>
      <w:bookmarkEnd w:id="311"/>
      <w:bookmarkStart w:id="312" w:name="_Toc184312098"/>
      <w:bookmarkEnd w:id="312"/>
      <w:bookmarkStart w:id="313" w:name="_Toc184313245"/>
      <w:bookmarkEnd w:id="313"/>
      <w:bookmarkStart w:id="314" w:name="_Toc184313269"/>
      <w:bookmarkEnd w:id="314"/>
      <w:bookmarkStart w:id="315" w:name="_Toc184312094"/>
      <w:bookmarkEnd w:id="315"/>
      <w:bookmarkStart w:id="316" w:name="_Toc184314449"/>
      <w:bookmarkEnd w:id="316"/>
      <w:bookmarkStart w:id="317" w:name="_Toc184313270"/>
      <w:bookmarkEnd w:id="317"/>
      <w:bookmarkStart w:id="318" w:name="_Toc184312122"/>
      <w:bookmarkEnd w:id="318"/>
      <w:bookmarkStart w:id="319" w:name="_Toc184312133"/>
      <w:bookmarkEnd w:id="319"/>
      <w:bookmarkStart w:id="320" w:name="_Toc184313241"/>
      <w:bookmarkEnd w:id="320"/>
      <w:bookmarkStart w:id="321" w:name="_Toc184308066"/>
      <w:bookmarkEnd w:id="321"/>
      <w:bookmarkStart w:id="322" w:name="_Toc184312102"/>
      <w:bookmarkEnd w:id="322"/>
      <w:bookmarkStart w:id="323" w:name="_Toc184314441"/>
      <w:bookmarkEnd w:id="323"/>
      <w:bookmarkStart w:id="324" w:name="_Toc184313268"/>
      <w:bookmarkEnd w:id="324"/>
      <w:bookmarkStart w:id="325" w:name="_Toc184312132"/>
      <w:bookmarkEnd w:id="325"/>
      <w:bookmarkStart w:id="326" w:name="_Toc184312083"/>
      <w:bookmarkEnd w:id="326"/>
      <w:bookmarkStart w:id="327" w:name="_Toc184314473"/>
      <w:bookmarkEnd w:id="327"/>
      <w:bookmarkStart w:id="328" w:name="_Toc184312121"/>
      <w:bookmarkEnd w:id="328"/>
      <w:bookmarkStart w:id="329" w:name="_Toc184308108"/>
      <w:bookmarkEnd w:id="329"/>
      <w:bookmarkStart w:id="330" w:name="_Toc184313283"/>
      <w:bookmarkEnd w:id="330"/>
      <w:bookmarkStart w:id="331" w:name="_Toc184310315"/>
      <w:bookmarkEnd w:id="331"/>
      <w:bookmarkStart w:id="332" w:name="_Toc184314468"/>
      <w:bookmarkEnd w:id="332"/>
      <w:bookmarkStart w:id="333" w:name="_Toc184308044"/>
      <w:bookmarkEnd w:id="333"/>
      <w:bookmarkStart w:id="334" w:name="_Toc184312116"/>
      <w:bookmarkEnd w:id="334"/>
      <w:bookmarkStart w:id="335" w:name="_Toc184312120"/>
      <w:bookmarkEnd w:id="335"/>
      <w:bookmarkStart w:id="336" w:name="_Toc184313246"/>
      <w:bookmarkEnd w:id="336"/>
      <w:bookmarkStart w:id="337" w:name="_Toc184312082"/>
      <w:bookmarkEnd w:id="337"/>
      <w:bookmarkStart w:id="338" w:name="_Toc184314474"/>
      <w:bookmarkEnd w:id="338"/>
      <w:bookmarkStart w:id="339" w:name="_Toc184313257"/>
      <w:bookmarkEnd w:id="339"/>
      <w:bookmarkStart w:id="340" w:name="_Toc184310331"/>
      <w:bookmarkEnd w:id="340"/>
      <w:bookmarkStart w:id="341" w:name="_Toc184310290"/>
      <w:bookmarkEnd w:id="341"/>
      <w:bookmarkStart w:id="342" w:name="_Toc184308093"/>
      <w:bookmarkEnd w:id="342"/>
      <w:bookmarkStart w:id="343" w:name="_Toc184312139"/>
      <w:bookmarkEnd w:id="343"/>
      <w:bookmarkStart w:id="344" w:name="_Toc184314482"/>
      <w:bookmarkEnd w:id="344"/>
      <w:bookmarkStart w:id="345" w:name="_Toc184314462"/>
      <w:bookmarkEnd w:id="345"/>
      <w:bookmarkStart w:id="346" w:name="_Toc184308088"/>
      <w:bookmarkEnd w:id="346"/>
      <w:bookmarkStart w:id="347" w:name="_Toc184312078"/>
      <w:bookmarkEnd w:id="347"/>
      <w:bookmarkStart w:id="348" w:name="_Toc184314419"/>
      <w:bookmarkEnd w:id="348"/>
      <w:bookmarkStart w:id="349" w:name="_Toc184312125"/>
      <w:bookmarkEnd w:id="349"/>
      <w:bookmarkStart w:id="350" w:name="_Toc184308057"/>
      <w:bookmarkEnd w:id="350"/>
      <w:bookmarkStart w:id="351" w:name="_Toc184312106"/>
      <w:bookmarkEnd w:id="351"/>
      <w:bookmarkStart w:id="352" w:name="_Toc184314414"/>
      <w:bookmarkEnd w:id="352"/>
      <w:bookmarkStart w:id="353" w:name="_Toc184312114"/>
      <w:bookmarkEnd w:id="353"/>
      <w:bookmarkStart w:id="354" w:name="_Toc184308052"/>
      <w:bookmarkEnd w:id="354"/>
      <w:bookmarkStart w:id="355" w:name="_Toc184308038"/>
      <w:bookmarkEnd w:id="355"/>
      <w:bookmarkStart w:id="356" w:name="_Toc184313277"/>
      <w:bookmarkEnd w:id="356"/>
      <w:bookmarkStart w:id="357" w:name="_Toc184308053"/>
      <w:bookmarkEnd w:id="357"/>
      <w:bookmarkStart w:id="358" w:name="_Toc184313266"/>
      <w:bookmarkEnd w:id="358"/>
      <w:bookmarkStart w:id="359" w:name="_Toc184314446"/>
      <w:bookmarkEnd w:id="359"/>
      <w:bookmarkStart w:id="360" w:name="_Toc184308090"/>
      <w:bookmarkEnd w:id="360"/>
      <w:bookmarkStart w:id="361" w:name="_Toc184308083"/>
      <w:bookmarkEnd w:id="361"/>
      <w:bookmarkStart w:id="362" w:name="_Toc184314440"/>
      <w:bookmarkEnd w:id="362"/>
      <w:bookmarkStart w:id="363" w:name="_Toc184314476"/>
      <w:bookmarkEnd w:id="363"/>
      <w:bookmarkStart w:id="364" w:name="_Toc184310340"/>
      <w:bookmarkEnd w:id="364"/>
      <w:bookmarkStart w:id="365" w:name="_Toc184314445"/>
      <w:bookmarkEnd w:id="365"/>
      <w:bookmarkStart w:id="366" w:name="_Toc184313296"/>
      <w:bookmarkEnd w:id="366"/>
      <w:bookmarkStart w:id="367" w:name="_Toc184310320"/>
      <w:bookmarkEnd w:id="367"/>
      <w:bookmarkStart w:id="368" w:name="_Toc184313252"/>
      <w:bookmarkEnd w:id="368"/>
      <w:bookmarkStart w:id="369" w:name="_Toc184314452"/>
      <w:bookmarkEnd w:id="369"/>
      <w:bookmarkStart w:id="370" w:name="_Toc184310322"/>
      <w:bookmarkEnd w:id="370"/>
      <w:bookmarkStart w:id="371" w:name="_Toc184313284"/>
      <w:bookmarkEnd w:id="371"/>
      <w:bookmarkStart w:id="372" w:name="_Toc184313280"/>
      <w:bookmarkEnd w:id="372"/>
      <w:bookmarkStart w:id="373" w:name="_Toc184313288"/>
      <w:bookmarkEnd w:id="373"/>
      <w:bookmarkStart w:id="374" w:name="_Toc184310297"/>
      <w:bookmarkEnd w:id="374"/>
      <w:bookmarkStart w:id="375" w:name="_Toc184310276"/>
      <w:bookmarkEnd w:id="375"/>
      <w:bookmarkStart w:id="376" w:name="_Toc184308077"/>
      <w:bookmarkEnd w:id="376"/>
      <w:bookmarkStart w:id="377" w:name="_Toc184314436"/>
      <w:bookmarkEnd w:id="377"/>
      <w:bookmarkStart w:id="378" w:name="_Toc184313239"/>
      <w:bookmarkEnd w:id="378"/>
      <w:bookmarkStart w:id="379" w:name="_Toc184308106"/>
      <w:bookmarkEnd w:id="379"/>
      <w:bookmarkStart w:id="380" w:name="_Toc184314478"/>
      <w:bookmarkEnd w:id="380"/>
      <w:bookmarkStart w:id="381" w:name="_Toc184314455"/>
      <w:bookmarkEnd w:id="381"/>
      <w:bookmarkStart w:id="382" w:name="_Toc184313286"/>
      <w:bookmarkEnd w:id="382"/>
      <w:bookmarkStart w:id="383" w:name="_Toc184313251"/>
      <w:bookmarkEnd w:id="383"/>
      <w:bookmarkStart w:id="384" w:name="_Toc184308048"/>
      <w:bookmarkEnd w:id="384"/>
      <w:bookmarkStart w:id="385" w:name="_Toc184314466"/>
      <w:bookmarkEnd w:id="385"/>
      <w:bookmarkStart w:id="386" w:name="_Toc184313293"/>
      <w:bookmarkEnd w:id="386"/>
      <w:bookmarkStart w:id="387" w:name="_Toc184312105"/>
      <w:bookmarkEnd w:id="387"/>
      <w:bookmarkStart w:id="388" w:name="_Toc184314450"/>
      <w:bookmarkEnd w:id="388"/>
      <w:bookmarkStart w:id="389" w:name="_Toc184310323"/>
      <w:bookmarkEnd w:id="389"/>
      <w:bookmarkStart w:id="390" w:name="_Toc184308103"/>
      <w:bookmarkEnd w:id="390"/>
      <w:bookmarkStart w:id="391" w:name="_Toc184314465"/>
      <w:bookmarkEnd w:id="391"/>
      <w:bookmarkStart w:id="392" w:name="_Toc184310309"/>
      <w:bookmarkEnd w:id="392"/>
      <w:bookmarkStart w:id="393" w:name="_Toc184308084"/>
      <w:bookmarkEnd w:id="393"/>
      <w:bookmarkStart w:id="394" w:name="_Toc184312090"/>
      <w:bookmarkEnd w:id="394"/>
      <w:bookmarkStart w:id="395" w:name="_Toc184308043"/>
      <w:bookmarkEnd w:id="395"/>
      <w:bookmarkStart w:id="396" w:name="_Toc184310294"/>
      <w:bookmarkEnd w:id="396"/>
      <w:r>
        <w:rPr>
          <w:rFonts w:hint="eastAsia" w:ascii="Times New Roman" w:hAnsi="Times New Roman" w:eastAsia="宋体" w:cs="Times New Roman"/>
          <w:color w:val="auto"/>
          <w:highlight w:val="none"/>
        </w:rPr>
        <w:t>评标办法</w:t>
      </w:r>
    </w:p>
    <w:p w14:paraId="3852D31C">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p w14:paraId="65BF1C70">
      <w:pPr>
        <w:pStyle w:val="131"/>
        <w:numPr>
          <w:ilvl w:val="0"/>
          <w:numId w:val="0"/>
        </w:numPr>
        <w:snapToGrid w:val="0"/>
        <w:spacing w:before="0" w:line="440" w:lineRule="exact"/>
        <w:jc w:val="left"/>
        <w:rPr>
          <w:rFonts w:hint="default" w:ascii="宋体" w:hAnsi="宋体" w:eastAsia="宋体" w:cs="宋体"/>
          <w:b/>
          <w:color w:val="auto"/>
          <w:highlight w:val="none"/>
          <w:lang w:val="en-US" w:eastAsia="zh-CN"/>
        </w:rPr>
      </w:pPr>
      <w:r>
        <w:rPr>
          <w:rFonts w:hint="default" w:ascii="宋体" w:hAnsi="宋体" w:eastAsia="宋体" w:cs="宋体"/>
          <w:b/>
          <w:color w:val="auto"/>
          <w:highlight w:val="none"/>
          <w:lang w:val="en-US" w:eastAsia="zh-CN"/>
        </w:rPr>
        <w:t>1、评标办法前附表</w:t>
      </w:r>
    </w:p>
    <w:p w14:paraId="29B840C2">
      <w:pPr>
        <w:pStyle w:val="131"/>
        <w:numPr>
          <w:ilvl w:val="0"/>
          <w:numId w:val="0"/>
        </w:numPr>
        <w:snapToGrid w:val="0"/>
        <w:spacing w:before="0" w:line="440" w:lineRule="exact"/>
        <w:ind w:firstLine="482" w:firstLineChars="200"/>
        <w:jc w:val="left"/>
        <w:rPr>
          <w:rFonts w:hint="default" w:ascii="宋体" w:hAnsi="宋体" w:eastAsia="宋体" w:cs="宋体"/>
          <w:b w:val="0"/>
          <w:bCs/>
          <w:color w:val="auto"/>
          <w:highlight w:val="none"/>
          <w:lang w:val="en-US" w:eastAsia="zh-CN"/>
        </w:rPr>
      </w:pPr>
      <w:r>
        <w:rPr>
          <w:rFonts w:hint="default" w:ascii="宋体" w:hAnsi="宋体" w:eastAsia="宋体" w:cs="宋体"/>
          <w:b/>
          <w:color w:val="auto"/>
          <w:highlight w:val="none"/>
          <w:lang w:val="en-US" w:eastAsia="zh-CN"/>
        </w:rPr>
        <w:t>本次评标采用综合评分法，总分为100分。</w:t>
      </w:r>
      <w:r>
        <w:rPr>
          <w:rFonts w:hint="default" w:ascii="宋体" w:hAnsi="宋体" w:eastAsia="宋体" w:cs="宋体"/>
          <w:b w:val="0"/>
          <w:bCs/>
          <w:color w:val="auto"/>
          <w:highlight w:val="none"/>
          <w:lang w:val="en-US" w:eastAsia="zh-CN"/>
        </w:rPr>
        <w:t>合格投标人的评标得分为各项目汇总得分，中标候选资格按评标得分高低顺序排列，得分相同的，按投标报价得分高低顺序排列；得分且投标报价相同的，按技术指标优劣顺序排列。排名第一的投标人为第一中标候选人。评分过程中采用四舍五入法，并保留小数2位。</w:t>
      </w:r>
    </w:p>
    <w:p w14:paraId="5536F0B3">
      <w:pPr>
        <w:pStyle w:val="131"/>
        <w:numPr>
          <w:ilvl w:val="0"/>
          <w:numId w:val="0"/>
        </w:numPr>
        <w:snapToGrid w:val="0"/>
        <w:spacing w:before="0" w:line="440" w:lineRule="exact"/>
        <w:ind w:firstLine="482" w:firstLineChars="200"/>
        <w:jc w:val="left"/>
        <w:rPr>
          <w:rFonts w:hint="default" w:ascii="宋体" w:hAnsi="宋体" w:eastAsia="宋体" w:cs="宋体"/>
          <w:b/>
          <w:color w:val="auto"/>
          <w:highlight w:val="none"/>
          <w:lang w:val="en-US" w:eastAsia="zh-CN"/>
        </w:rPr>
      </w:pPr>
      <w:r>
        <w:rPr>
          <w:rFonts w:hint="default" w:ascii="宋体" w:hAnsi="宋体" w:eastAsia="宋体" w:cs="宋体"/>
          <w:b/>
          <w:color w:val="auto"/>
          <w:highlight w:val="none"/>
          <w:lang w:val="en-US" w:eastAsia="zh-CN"/>
        </w:rPr>
        <w:t>各投标人的综合得分为：投标价格得分+商务技术得分。</w:t>
      </w:r>
    </w:p>
    <w:tbl>
      <w:tblPr>
        <w:tblStyle w:val="62"/>
        <w:tblW w:w="5517" w:type="pct"/>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651"/>
        <w:gridCol w:w="6859"/>
        <w:gridCol w:w="651"/>
        <w:gridCol w:w="657"/>
      </w:tblGrid>
      <w:tr w14:paraId="6EA1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372830D8">
            <w:pPr>
              <w:spacing w:line="240" w:lineRule="auto"/>
              <w:ind w:left="-111" w:leftChars="-53" w:right="-101" w:rightChars="-48"/>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序号</w:t>
            </w:r>
          </w:p>
        </w:tc>
        <w:tc>
          <w:tcPr>
            <w:tcW w:w="346" w:type="pct"/>
            <w:noWrap w:val="0"/>
            <w:vAlign w:val="center"/>
          </w:tcPr>
          <w:p w14:paraId="2DAFFA35">
            <w:pPr>
              <w:spacing w:line="240" w:lineRule="auto"/>
              <w:ind w:left="-111" w:leftChars="-53" w:right="-101" w:rightChars="-48"/>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评分项</w:t>
            </w:r>
          </w:p>
        </w:tc>
        <w:tc>
          <w:tcPr>
            <w:tcW w:w="3645" w:type="pct"/>
            <w:noWrap w:val="0"/>
            <w:vAlign w:val="center"/>
          </w:tcPr>
          <w:p w14:paraId="1171D20A">
            <w:pPr>
              <w:spacing w:line="240" w:lineRule="auto"/>
              <w:ind w:left="-111" w:leftChars="-53" w:right="-101" w:rightChars="-48"/>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评分项内容</w:t>
            </w:r>
          </w:p>
        </w:tc>
        <w:tc>
          <w:tcPr>
            <w:tcW w:w="346" w:type="pct"/>
            <w:noWrap w:val="0"/>
            <w:vAlign w:val="center"/>
          </w:tcPr>
          <w:p w14:paraId="48A1926B">
            <w:pPr>
              <w:spacing w:line="24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分值</w:t>
            </w:r>
          </w:p>
        </w:tc>
        <w:tc>
          <w:tcPr>
            <w:tcW w:w="349" w:type="pct"/>
            <w:noWrap w:val="0"/>
            <w:vAlign w:val="center"/>
          </w:tcPr>
          <w:p w14:paraId="592ED870">
            <w:pPr>
              <w:spacing w:line="240" w:lineRule="auto"/>
              <w:ind w:left="-111" w:leftChars="-53" w:right="-101" w:rightChars="-48"/>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主观分/客观分属性</w:t>
            </w:r>
          </w:p>
        </w:tc>
      </w:tr>
      <w:tr w14:paraId="1620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shd w:val="clear" w:color="auto" w:fill="auto"/>
            <w:noWrap w:val="0"/>
            <w:vAlign w:val="center"/>
          </w:tcPr>
          <w:p w14:paraId="1E6A5F0E">
            <w:pPr>
              <w:widowControl/>
              <w:numPr>
                <w:ilvl w:val="0"/>
                <w:numId w:val="16"/>
              </w:numPr>
              <w:spacing w:line="240" w:lineRule="auto"/>
              <w:ind w:left="210" w:leftChars="0" w:firstLine="0" w:firstLineChars="0"/>
              <w:jc w:val="center"/>
              <w:rPr>
                <w:rFonts w:hint="eastAsia" w:ascii="宋体" w:hAnsi="宋体" w:eastAsia="宋体" w:cs="宋体"/>
                <w:b/>
                <w:bCs/>
                <w:color w:val="auto"/>
                <w:kern w:val="2"/>
                <w:sz w:val="21"/>
                <w:szCs w:val="21"/>
                <w:highlight w:val="none"/>
                <w:lang w:val="en-US" w:eastAsia="zh-CN" w:bidi="ar-SA"/>
              </w:rPr>
            </w:pPr>
          </w:p>
        </w:tc>
        <w:tc>
          <w:tcPr>
            <w:tcW w:w="346" w:type="pct"/>
            <w:shd w:val="clear" w:color="auto" w:fill="auto"/>
            <w:noWrap w:val="0"/>
            <w:vAlign w:val="center"/>
          </w:tcPr>
          <w:p w14:paraId="32A79882">
            <w:pPr>
              <w:bidi w:val="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样品</w:t>
            </w:r>
          </w:p>
        </w:tc>
        <w:tc>
          <w:tcPr>
            <w:tcW w:w="3645" w:type="pct"/>
            <w:shd w:val="clear" w:color="auto" w:fill="auto"/>
            <w:noWrap w:val="0"/>
            <w:vAlign w:val="center"/>
          </w:tcPr>
          <w:p w14:paraId="2B3D37D2">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b/>
                <w:bCs/>
                <w:color w:val="auto"/>
                <w:sz w:val="21"/>
                <w:szCs w:val="21"/>
                <w:highlight w:val="none"/>
                <w:lang w:val="en-US" w:eastAsia="zh-CN"/>
              </w:rPr>
              <w:t>一、产品主要尺寸、形状及位置公差（</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分）：每偏离一个参数指标扣</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分，扣完为止。采购人有明确要求且明示的产品尺寸，偏差控制在</w:t>
            </w:r>
            <w:r>
              <w:rPr>
                <w:rFonts w:hint="eastAsia" w:ascii="宋体" w:hAnsi="宋体" w:cs="宋体"/>
                <w:b/>
                <w:bCs/>
                <w:color w:val="auto"/>
                <w:sz w:val="21"/>
                <w:szCs w:val="21"/>
                <w:highlight w:val="none"/>
                <w:lang w:val="en-US" w:eastAsia="zh-CN"/>
              </w:rPr>
              <w:t>合理范围</w:t>
            </w:r>
            <w:r>
              <w:rPr>
                <w:rFonts w:hint="eastAsia" w:ascii="宋体" w:hAnsi="宋体" w:eastAsia="宋体" w:cs="宋体"/>
                <w:b/>
                <w:bCs/>
                <w:color w:val="auto"/>
                <w:sz w:val="21"/>
                <w:szCs w:val="21"/>
                <w:highlight w:val="none"/>
                <w:lang w:val="en-US" w:eastAsia="zh-CN"/>
              </w:rPr>
              <w:t>内，测量工具：0～3m钢卷尺,精度1mm）；</w:t>
            </w:r>
          </w:p>
          <w:p w14:paraId="4D65D90E">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1、阅览桌</w:t>
            </w:r>
          </w:p>
          <w:p w14:paraId="2E1A8125">
            <w:pPr>
              <w:keepNext w:val="0"/>
              <w:keepLines w:val="0"/>
              <w:pageBreakBefore w:val="0"/>
              <w:widowControl/>
              <w:numPr>
                <w:ilvl w:val="0"/>
                <w:numId w:val="0"/>
              </w:numPr>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整体尺寸：2400*1200*750</w:t>
            </w:r>
            <w:r>
              <w:rPr>
                <w:rFonts w:hint="eastAsia" w:ascii="宋体" w:hAnsi="宋体" w:eastAsia="宋体" w:cs="宋体"/>
                <w:color w:val="auto"/>
                <w:kern w:val="0"/>
                <w:sz w:val="21"/>
                <w:szCs w:val="21"/>
                <w:highlight w:val="none"/>
                <w:lang w:val="en-US" w:eastAsia="zh-CN"/>
              </w:rPr>
              <w:t>（偏差控制在±10mm以内）</w:t>
            </w:r>
          </w:p>
          <w:p w14:paraId="6F00B5EA">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2、带折叠写字板会议椅</w:t>
            </w:r>
          </w:p>
          <w:p w14:paraId="49C9BD02">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1）椅高：875mm；写字板离地高：705mm；（偏差控制在±10mm以内）</w:t>
            </w:r>
          </w:p>
          <w:p w14:paraId="23ED9B72">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2）座宽：470mm；座深：480mm；座高：450mm；（偏差控制在±5mm以内）</w:t>
            </w:r>
          </w:p>
          <w:p w14:paraId="294910FB">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3）靠背宽：435mm；靠背高430mm；（偏差控制在±5mm以内）</w:t>
            </w:r>
          </w:p>
          <w:p w14:paraId="03F23E35">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4）写字板尺寸：520*335mm；（偏差控制在±5mm以内）</w:t>
            </w:r>
            <w:r>
              <w:rPr>
                <w:rFonts w:hint="eastAsia" w:ascii="宋体" w:hAnsi="宋体" w:eastAsia="宋体" w:cs="宋体"/>
                <w:color w:val="auto"/>
                <w:sz w:val="21"/>
                <w:szCs w:val="21"/>
                <w:highlight w:val="none"/>
                <w:lang w:val="en-US" w:eastAsia="zh-CN"/>
              </w:rPr>
              <w:drawing>
                <wp:inline distT="0" distB="0" distL="114300" distR="114300">
                  <wp:extent cx="2446020" cy="1600200"/>
                  <wp:effectExtent l="0" t="0" r="11430" b="0"/>
                  <wp:docPr id="16" name="图片 16" descr="d71fb842e67df5d752efdf39a9b8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71fb842e67df5d752efdf39a9b8d23"/>
                          <pic:cNvPicPr>
                            <a:picLocks noChangeAspect="1"/>
                          </pic:cNvPicPr>
                        </pic:nvPicPr>
                        <pic:blipFill>
                          <a:blip r:embed="rId72"/>
                          <a:stretch>
                            <a:fillRect/>
                          </a:stretch>
                        </pic:blipFill>
                        <pic:spPr>
                          <a:xfrm>
                            <a:off x="0" y="0"/>
                            <a:ext cx="2446020" cy="1600200"/>
                          </a:xfrm>
                          <a:prstGeom prst="rect">
                            <a:avLst/>
                          </a:prstGeom>
                        </pic:spPr>
                      </pic:pic>
                    </a:graphicData>
                  </a:graphic>
                </wp:inline>
              </w:drawing>
            </w:r>
          </w:p>
          <w:p w14:paraId="720E75E2">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二、材料要求（2分）：材质不符合每个扣</w:t>
            </w:r>
            <w:r>
              <w:rPr>
                <w:rFonts w:hint="eastAsia" w:ascii="宋体" w:hAnsi="宋体" w:cs="宋体"/>
                <w:b/>
                <w:bCs/>
                <w:color w:val="auto"/>
                <w:kern w:val="0"/>
                <w:sz w:val="21"/>
                <w:szCs w:val="21"/>
                <w:highlight w:val="none"/>
                <w:lang w:val="en-US" w:eastAsia="zh-CN" w:bidi="ar"/>
              </w:rPr>
              <w:t>0.5</w:t>
            </w:r>
            <w:r>
              <w:rPr>
                <w:rFonts w:hint="eastAsia" w:ascii="宋体" w:hAnsi="宋体" w:eastAsia="宋体" w:cs="宋体"/>
                <w:b/>
                <w:bCs/>
                <w:color w:val="auto"/>
                <w:kern w:val="0"/>
                <w:sz w:val="21"/>
                <w:szCs w:val="21"/>
                <w:highlight w:val="none"/>
                <w:lang w:val="en-US" w:eastAsia="zh-CN" w:bidi="ar"/>
              </w:rPr>
              <w:t>分，扣完为止。</w:t>
            </w:r>
          </w:p>
          <w:p w14:paraId="62FCD652">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1、阅览桌</w:t>
            </w:r>
          </w:p>
          <w:p w14:paraId="7B68B193">
            <w:pPr>
              <w:widowControl/>
              <w:spacing w:line="24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1）台面：多层板贴橡木皮</w:t>
            </w:r>
          </w:p>
          <w:p w14:paraId="42B69C67">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2）脚桌：橡胶木实木+钢管</w:t>
            </w:r>
          </w:p>
          <w:p w14:paraId="4D862470">
            <w:pPr>
              <w:widowControl/>
              <w:spacing w:line="24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3）支架：冷轧钢管</w:t>
            </w:r>
          </w:p>
          <w:p w14:paraId="20F60182">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2、带折叠写字板会议椅</w:t>
            </w:r>
          </w:p>
          <w:p w14:paraId="2A06458E">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椅背、坐壳、书网：采用PP+玻璃纤维</w:t>
            </w:r>
          </w:p>
          <w:p w14:paraId="035E8B35">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写字板：采用ABS制作；写字板旋转支架：铝合金</w:t>
            </w:r>
          </w:p>
          <w:p w14:paraId="1F656F2C">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椅脚：Φ25金属管材</w:t>
            </w:r>
          </w:p>
          <w:p w14:paraId="2FAB826E">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三、功能性要求（</w:t>
            </w:r>
            <w:r>
              <w:rPr>
                <w:rFonts w:hint="eastAsia" w:ascii="宋体" w:hAnsi="宋体" w:cs="宋体"/>
                <w:b/>
                <w:bCs/>
                <w:color w:val="auto"/>
                <w:kern w:val="0"/>
                <w:sz w:val="21"/>
                <w:szCs w:val="21"/>
                <w:highlight w:val="none"/>
                <w:lang w:val="en-US" w:eastAsia="zh-CN" w:bidi="ar"/>
              </w:rPr>
              <w:t>3</w:t>
            </w:r>
            <w:r>
              <w:rPr>
                <w:rFonts w:hint="eastAsia" w:ascii="宋体" w:hAnsi="宋体" w:eastAsia="宋体" w:cs="宋体"/>
                <w:b/>
                <w:bCs/>
                <w:color w:val="auto"/>
                <w:kern w:val="0"/>
                <w:sz w:val="21"/>
                <w:szCs w:val="21"/>
                <w:highlight w:val="none"/>
                <w:lang w:val="en-US" w:eastAsia="zh-CN" w:bidi="ar"/>
              </w:rPr>
              <w:t>分）：每个不合格项扣</w:t>
            </w:r>
            <w:r>
              <w:rPr>
                <w:rFonts w:hint="eastAsia" w:ascii="宋体" w:hAnsi="宋体" w:cs="宋体"/>
                <w:b/>
                <w:bCs/>
                <w:color w:val="auto"/>
                <w:kern w:val="0"/>
                <w:sz w:val="21"/>
                <w:szCs w:val="21"/>
                <w:highlight w:val="none"/>
                <w:lang w:val="en-US" w:eastAsia="zh-CN" w:bidi="ar"/>
              </w:rPr>
              <w:t>0.5</w:t>
            </w:r>
            <w:r>
              <w:rPr>
                <w:rFonts w:hint="eastAsia" w:ascii="宋体" w:hAnsi="宋体" w:eastAsia="宋体" w:cs="宋体"/>
                <w:b/>
                <w:bCs/>
                <w:color w:val="auto"/>
                <w:kern w:val="0"/>
                <w:sz w:val="21"/>
                <w:szCs w:val="21"/>
                <w:highlight w:val="none"/>
                <w:lang w:val="en-US" w:eastAsia="zh-CN" w:bidi="ar"/>
              </w:rPr>
              <w:t>分，扣完为止。</w:t>
            </w:r>
          </w:p>
          <w:p w14:paraId="07F247F8">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、阅览桌</w:t>
            </w:r>
          </w:p>
          <w:p w14:paraId="27F607CD">
            <w:pPr>
              <w:widowControl/>
              <w:spacing w:line="24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1）台面：带双方头阅读灯，可一键断电</w:t>
            </w:r>
          </w:p>
          <w:p w14:paraId="271BD3D9">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2、带折叠写字板会议椅</w:t>
            </w:r>
          </w:p>
          <w:p w14:paraId="7F74D580">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1）椅背：上窄中宽下窄贴合脊背弧形包裹设计，符合人体工学；腰部支撑到位；</w:t>
            </w:r>
          </w:p>
          <w:p w14:paraId="68D74C27">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2）椅架：采用四角爪型椅架，确保稳固性、便捷性、易用性。45度倾斜与垂直融合设计，有效避免卡脚。</w:t>
            </w:r>
          </w:p>
          <w:p w14:paraId="6C091CD3">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3）写字板：左右两侧各带一个笔槽，可360°旋转调节，按键结构，90°折叠收纳，折叠机构稳固耐用；</w:t>
            </w:r>
          </w:p>
          <w:p w14:paraId="20F97156">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4）脚轮：PU尼龙静音轮，可随意移动，移动静音；</w:t>
            </w:r>
          </w:p>
          <w:p w14:paraId="0477F345">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5）书网：中间下沉，呈凹形，中间采用十字形镂空，四周直径渐变形圆形孔，可增加美观度和透气性，可放入背包、书本、记事本等用品。</w:t>
            </w:r>
          </w:p>
          <w:p w14:paraId="01809041">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6）水杯架：360°可旋转调节，可放入常规尺寸水杯、水瓶</w:t>
            </w:r>
          </w:p>
          <w:p w14:paraId="6EA25B9F">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四、外观要求（2分）每个不合格项扣</w:t>
            </w:r>
            <w:r>
              <w:rPr>
                <w:rFonts w:hint="eastAsia" w:ascii="宋体" w:hAnsi="宋体" w:cs="宋体"/>
                <w:b/>
                <w:bCs/>
                <w:color w:val="auto"/>
                <w:kern w:val="0"/>
                <w:sz w:val="21"/>
                <w:szCs w:val="21"/>
                <w:highlight w:val="none"/>
                <w:lang w:val="en-US" w:eastAsia="zh-CN" w:bidi="ar"/>
              </w:rPr>
              <w:t>0.5</w:t>
            </w:r>
            <w:r>
              <w:rPr>
                <w:rFonts w:hint="eastAsia" w:ascii="宋体" w:hAnsi="宋体" w:eastAsia="宋体" w:cs="宋体"/>
                <w:b/>
                <w:bCs/>
                <w:color w:val="auto"/>
                <w:kern w:val="0"/>
                <w:sz w:val="21"/>
                <w:szCs w:val="21"/>
                <w:highlight w:val="none"/>
                <w:lang w:val="en-US" w:eastAsia="zh-CN" w:bidi="ar"/>
              </w:rPr>
              <w:t>分，扣完为止。</w:t>
            </w:r>
          </w:p>
          <w:p w14:paraId="48EF3A34">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1.金属件外观要求：</w:t>
            </w:r>
          </w:p>
          <w:p w14:paraId="3EC21A40">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1）管材：管材应无裂缝、叠缝，外露管口端面应封闭； </w:t>
            </w:r>
          </w:p>
          <w:p w14:paraId="5627FCCC">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2）焊接件：焊接处应无脱焊、虚焊、焊穿、错位，焊接处应无夹渣、气孔、焊瘤、焊丝头、咬边、飞溅，焊接处表面波纹应均匀； </w:t>
            </w:r>
          </w:p>
          <w:p w14:paraId="784969F4">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3）冲压件：冲压件应无脱层、裂缝。</w:t>
            </w:r>
          </w:p>
          <w:p w14:paraId="1E6A3510">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2.皮革外观要求: </w:t>
            </w:r>
          </w:p>
          <w:p w14:paraId="61F3B4F8">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1）表面光滑、细腻，无明显瑕疵、疤痕或污渍；</w:t>
            </w:r>
          </w:p>
          <w:p w14:paraId="7EB1AF1C">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2）纹理自然、清晰； 颜色均匀一致，不应有明显的深浅差异或色斑， </w:t>
            </w:r>
          </w:p>
          <w:p w14:paraId="32B564AC">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 xml:space="preserve">）表面应平整光滑，不应有凸起的颗粒、疙瘩或气泡等缺陷； </w:t>
            </w:r>
          </w:p>
          <w:p w14:paraId="2CBD1E62">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3.塑料件外观要求:</w:t>
            </w:r>
          </w:p>
          <w:p w14:paraId="494438DC">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1）表面应平坦、饱满、圆滑、过渡自然，不得有碰伤、划伤以及缩孔等缺点；</w:t>
            </w:r>
          </w:p>
          <w:p w14:paraId="17D8BE5F">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2）应无裂纹，无明显变形，应无明显缩孔、气泡、杂质、伤痕，外表用塑料件表面应光洁、无划痕、无污渍、色彩应平均一致，无明显色差；</w:t>
            </w:r>
          </w:p>
          <w:p w14:paraId="6F7590DA">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3）产品厚度应平均一致，无变形翘曲、飞边、毛刺、缺料、水丝、流痕、熔接痕及其余影响性能的注塑缺点；</w:t>
            </w:r>
          </w:p>
          <w:p w14:paraId="1BA7DFBE">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人造板</w:t>
            </w:r>
            <w:r>
              <w:rPr>
                <w:rFonts w:hint="eastAsia" w:ascii="宋体" w:hAnsi="宋体" w:eastAsia="宋体" w:cs="宋体"/>
                <w:color w:val="auto"/>
                <w:kern w:val="0"/>
                <w:sz w:val="21"/>
                <w:szCs w:val="21"/>
                <w:highlight w:val="none"/>
                <w:lang w:val="en-US" w:eastAsia="zh-CN"/>
              </w:rPr>
              <w:t>外观要求:</w:t>
            </w:r>
          </w:p>
          <w:p w14:paraId="624B0EA4">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default" w:ascii="宋体" w:hAnsi="宋体" w:eastAsia="宋体" w:cs="宋体"/>
                <w:color w:val="auto"/>
                <w:kern w:val="0"/>
                <w:sz w:val="21"/>
                <w:szCs w:val="21"/>
                <w:highlight w:val="none"/>
                <w:lang w:val="en-US" w:eastAsia="zh-CN"/>
              </w:rPr>
              <w:t>接触人体、内表面和手指可及的隐蔽部位应无毛刺、刃口、棱角</w:t>
            </w:r>
            <w:r>
              <w:rPr>
                <w:rFonts w:hint="eastAsia" w:ascii="宋体" w:hAnsi="宋体" w:cs="宋体"/>
                <w:color w:val="auto"/>
                <w:kern w:val="0"/>
                <w:sz w:val="21"/>
                <w:szCs w:val="21"/>
                <w:highlight w:val="none"/>
                <w:lang w:val="en-US" w:eastAsia="zh-CN"/>
              </w:rPr>
              <w:t>；</w:t>
            </w:r>
          </w:p>
          <w:p w14:paraId="632C1779">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2）外表应无干花、湿花</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 xml:space="preserve">外表应无明显划痕、压痕； </w:t>
            </w:r>
          </w:p>
          <w:p w14:paraId="78091024">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 xml:space="preserve">表面应无明显色差；无鼓泡、龟裂、分层。 </w:t>
            </w:r>
          </w:p>
          <w:p w14:paraId="0DB70DF3">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.整体外观是否符合招标文件要求。</w:t>
            </w:r>
          </w:p>
          <w:p w14:paraId="4B971C65">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五、制作工艺（</w:t>
            </w:r>
            <w:r>
              <w:rPr>
                <w:rFonts w:hint="eastAsia" w:ascii="宋体" w:hAnsi="宋体" w:cs="宋体"/>
                <w:b/>
                <w:bCs/>
                <w:color w:val="auto"/>
                <w:kern w:val="0"/>
                <w:sz w:val="21"/>
                <w:szCs w:val="21"/>
                <w:highlight w:val="none"/>
                <w:lang w:val="en-US" w:eastAsia="zh-CN" w:bidi="ar"/>
              </w:rPr>
              <w:t>4</w:t>
            </w:r>
            <w:r>
              <w:rPr>
                <w:rFonts w:hint="eastAsia" w:ascii="宋体" w:hAnsi="宋体" w:eastAsia="宋体" w:cs="宋体"/>
                <w:b/>
                <w:bCs/>
                <w:color w:val="auto"/>
                <w:kern w:val="0"/>
                <w:sz w:val="21"/>
                <w:szCs w:val="21"/>
                <w:highlight w:val="none"/>
                <w:lang w:val="en-US" w:eastAsia="zh-CN" w:bidi="ar"/>
              </w:rPr>
              <w:t>分）：每有一项不合格扣0.5分，扣完为止。</w:t>
            </w:r>
          </w:p>
          <w:p w14:paraId="5A552E6C">
            <w:pPr>
              <w:keepNext w:val="0"/>
              <w:keepLines w:val="0"/>
              <w:pageBreakBefore w:val="0"/>
              <w:widowControl/>
              <w:kinsoku/>
              <w:wordWrap/>
              <w:overflowPunct/>
              <w:topLinePunct w:val="0"/>
              <w:autoSpaceDE/>
              <w:autoSpaceDN/>
              <w:bidi w:val="0"/>
              <w:adjustRightInd w:val="0"/>
              <w:spacing w:line="324" w:lineRule="auto"/>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1、阅览桌</w:t>
            </w:r>
          </w:p>
          <w:p w14:paraId="46DF3581">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1）桌面应倒圆角线；</w:t>
            </w:r>
          </w:p>
          <w:p w14:paraId="710B2754">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2）阅览桌与</w:t>
            </w:r>
            <w:r>
              <w:rPr>
                <w:rFonts w:hint="eastAsia" w:ascii="宋体" w:hAnsi="宋体" w:cs="宋体"/>
                <w:color w:val="auto"/>
                <w:kern w:val="0"/>
                <w:sz w:val="21"/>
                <w:szCs w:val="21"/>
                <w:highlight w:val="none"/>
                <w:lang w:val="en-US" w:eastAsia="zh-CN"/>
              </w:rPr>
              <w:t>双方头</w:t>
            </w:r>
            <w:r>
              <w:rPr>
                <w:rFonts w:hint="eastAsia" w:ascii="宋体" w:hAnsi="宋体" w:eastAsia="宋体" w:cs="宋体"/>
                <w:color w:val="auto"/>
                <w:kern w:val="0"/>
                <w:sz w:val="21"/>
                <w:szCs w:val="21"/>
                <w:highlight w:val="none"/>
                <w:lang w:val="en-US" w:eastAsia="zh-CN"/>
              </w:rPr>
              <w:t>阅读灯嵌入式固定连接；</w:t>
            </w:r>
          </w:p>
          <w:p w14:paraId="463278D9">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val="en-US" w:eastAsia="zh-CN"/>
              </w:rPr>
              <w:t>钢</w:t>
            </w:r>
            <w:r>
              <w:rPr>
                <w:rFonts w:hint="eastAsia" w:ascii="宋体" w:hAnsi="宋体" w:eastAsia="宋体" w:cs="宋体"/>
                <w:color w:val="auto"/>
                <w:kern w:val="0"/>
                <w:sz w:val="21"/>
                <w:szCs w:val="21"/>
                <w:highlight w:val="none"/>
                <w:lang w:val="en-US" w:eastAsia="zh-CN"/>
              </w:rPr>
              <w:t>脚管外包橡</w:t>
            </w:r>
            <w:r>
              <w:rPr>
                <w:rFonts w:hint="eastAsia" w:ascii="宋体" w:hAnsi="宋体" w:cs="宋体"/>
                <w:color w:val="auto"/>
                <w:kern w:val="0"/>
                <w:sz w:val="21"/>
                <w:szCs w:val="21"/>
                <w:highlight w:val="none"/>
                <w:lang w:val="en-US" w:eastAsia="zh-CN"/>
              </w:rPr>
              <w:t>胶木</w:t>
            </w:r>
            <w:r>
              <w:rPr>
                <w:rFonts w:hint="eastAsia" w:ascii="宋体" w:hAnsi="宋体" w:eastAsia="宋体" w:cs="宋体"/>
                <w:color w:val="auto"/>
                <w:kern w:val="0"/>
                <w:sz w:val="21"/>
                <w:szCs w:val="21"/>
                <w:highlight w:val="none"/>
                <w:lang w:val="en-US" w:eastAsia="zh-CN"/>
              </w:rPr>
              <w:t>原木锥形脚；</w:t>
            </w:r>
          </w:p>
          <w:p w14:paraId="4FA784B7">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4）侧脚与横梁采用铝合金压铸连接配可调节滑块，安装便捷。</w:t>
            </w:r>
          </w:p>
          <w:p w14:paraId="001171A1">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2、带折叠写字板会议椅</w:t>
            </w:r>
          </w:p>
          <w:p w14:paraId="7B229316">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双层椅背拼接，点阵式镂空处理，保证透气性，表面晒纹工艺，具备良好的耐磨性与美观性；</w:t>
            </w:r>
          </w:p>
          <w:p w14:paraId="47F53FEC">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坐壳、书网采用注塑一体成型；</w:t>
            </w:r>
          </w:p>
          <w:p w14:paraId="3F675A28">
            <w:pPr>
              <w:widowControl/>
              <w:spacing w:line="24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椅脚表面喷粉烤漆工艺；</w:t>
            </w:r>
          </w:p>
          <w:p w14:paraId="796082FA">
            <w:pPr>
              <w:widowControl/>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eastAsia="zh-CN"/>
              </w:rPr>
              <w:t>各种配件特别是连接件的安装应严密、平整、端正、牢固，结合处应无开裂或松动；</w:t>
            </w:r>
          </w:p>
          <w:p w14:paraId="3101BCD1">
            <w:pPr>
              <w:widowControl/>
              <w:spacing w:line="24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投标人不提供样品则视其投标无效，样品</w:t>
            </w:r>
            <w:r>
              <w:rPr>
                <w:rFonts w:hint="eastAsia" w:ascii="宋体" w:hAnsi="宋体" w:cs="宋体"/>
                <w:b/>
                <w:bCs/>
                <w:color w:val="auto"/>
                <w:sz w:val="21"/>
                <w:szCs w:val="21"/>
                <w:highlight w:val="none"/>
                <w:lang w:val="en-US" w:eastAsia="zh-CN"/>
              </w:rPr>
              <w:t>提供不全、</w:t>
            </w:r>
            <w:r>
              <w:rPr>
                <w:rFonts w:hint="eastAsia" w:ascii="宋体" w:hAnsi="宋体" w:eastAsia="宋体" w:cs="宋体"/>
                <w:b/>
                <w:bCs/>
                <w:color w:val="auto"/>
                <w:sz w:val="21"/>
                <w:szCs w:val="21"/>
                <w:highlight w:val="none"/>
                <w:lang w:val="en-US" w:eastAsia="zh-CN"/>
              </w:rPr>
              <w:t>外观、尺寸明显不符合要求或技术参数明显不符合招标文件要求的则样品分为0分。</w:t>
            </w:r>
          </w:p>
        </w:tc>
        <w:tc>
          <w:tcPr>
            <w:tcW w:w="346" w:type="pct"/>
            <w:shd w:val="clear" w:color="auto" w:fill="auto"/>
            <w:noWrap w:val="0"/>
            <w:vAlign w:val="center"/>
          </w:tcPr>
          <w:p w14:paraId="18F66D49">
            <w:pPr>
              <w:bidi w:val="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p>
        </w:tc>
        <w:tc>
          <w:tcPr>
            <w:tcW w:w="349" w:type="pct"/>
            <w:shd w:val="clear" w:color="auto" w:fill="auto"/>
            <w:noWrap w:val="0"/>
            <w:vAlign w:val="center"/>
          </w:tcPr>
          <w:p w14:paraId="5F708B44">
            <w:pPr>
              <w:bidi w:val="0"/>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1281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6B6C4737">
            <w:pPr>
              <w:widowControl/>
              <w:numPr>
                <w:ilvl w:val="0"/>
                <w:numId w:val="16"/>
              </w:numPr>
              <w:spacing w:line="240" w:lineRule="auto"/>
              <w:ind w:left="210" w:leftChars="0" w:firstLine="0" w:firstLineChars="0"/>
              <w:jc w:val="center"/>
              <w:rPr>
                <w:rFonts w:hint="eastAsia" w:ascii="宋体" w:hAnsi="宋体" w:eastAsia="宋体" w:cs="宋体"/>
                <w:b/>
                <w:bCs/>
                <w:color w:val="auto"/>
                <w:sz w:val="21"/>
                <w:szCs w:val="21"/>
                <w:highlight w:val="none"/>
                <w:lang w:val="en-US" w:eastAsia="zh-CN"/>
              </w:rPr>
            </w:pPr>
          </w:p>
        </w:tc>
        <w:tc>
          <w:tcPr>
            <w:tcW w:w="346" w:type="pct"/>
            <w:noWrap w:val="0"/>
            <w:vAlign w:val="center"/>
          </w:tcPr>
          <w:p w14:paraId="687A3DF5">
            <w:pPr>
              <w:widowControl/>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业绩证明</w:t>
            </w:r>
          </w:p>
        </w:tc>
        <w:tc>
          <w:tcPr>
            <w:tcW w:w="3645" w:type="pct"/>
            <w:noWrap w:val="0"/>
            <w:vAlign w:val="center"/>
          </w:tcPr>
          <w:p w14:paraId="6E413315">
            <w:pPr>
              <w:widowControl/>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投标人自2022年1月1日（以合同签订时间为准）以来实施过的同类项目业绩情况，每提供一个得1分，最高得3分。</w:t>
            </w:r>
          </w:p>
          <w:p w14:paraId="01112014">
            <w:pPr>
              <w:widowControl/>
              <w:spacing w:line="24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须提供合同</w:t>
            </w:r>
            <w:r>
              <w:rPr>
                <w:rFonts w:hint="eastAsia" w:ascii="宋体" w:hAnsi="宋体" w:cs="宋体"/>
                <w:b/>
                <w:bCs/>
                <w:color w:val="auto"/>
                <w:sz w:val="21"/>
                <w:szCs w:val="21"/>
                <w:highlight w:val="none"/>
                <w:lang w:val="en-US" w:eastAsia="zh-CN"/>
              </w:rPr>
              <w:t>或</w:t>
            </w:r>
            <w:r>
              <w:rPr>
                <w:rFonts w:hint="eastAsia" w:ascii="宋体" w:hAnsi="宋体" w:eastAsia="宋体" w:cs="宋体"/>
                <w:b/>
                <w:bCs/>
                <w:color w:val="auto"/>
                <w:sz w:val="21"/>
                <w:szCs w:val="21"/>
                <w:highlight w:val="none"/>
                <w:lang w:val="en-US" w:eastAsia="zh-CN"/>
              </w:rPr>
              <w:t>中标通知书</w:t>
            </w:r>
            <w:r>
              <w:rPr>
                <w:rFonts w:hint="eastAsia" w:ascii="宋体" w:hAnsi="宋体" w:eastAsia="宋体" w:cs="宋体"/>
                <w:b/>
                <w:bCs/>
                <w:color w:val="auto"/>
                <w:sz w:val="21"/>
                <w:szCs w:val="21"/>
                <w:highlight w:val="none"/>
              </w:rPr>
              <w:t>扫描件；不提供或者不能提供有效证明的不得分。</w:t>
            </w:r>
          </w:p>
        </w:tc>
        <w:tc>
          <w:tcPr>
            <w:tcW w:w="346" w:type="pct"/>
            <w:noWrap w:val="0"/>
            <w:vAlign w:val="center"/>
          </w:tcPr>
          <w:p w14:paraId="0F75BDD2">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349" w:type="pct"/>
            <w:noWrap w:val="0"/>
            <w:vAlign w:val="center"/>
          </w:tcPr>
          <w:p w14:paraId="0239A465">
            <w:pPr>
              <w:widowControl/>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1639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5155FC05">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14BA6DB3">
            <w:pPr>
              <w:bidi w:val="0"/>
              <w:jc w:val="center"/>
              <w:rPr>
                <w:rFonts w:hint="default"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认证</w:t>
            </w:r>
            <w:r>
              <w:rPr>
                <w:rFonts w:hint="eastAsia" w:ascii="宋体" w:hAnsi="宋体" w:cs="宋体"/>
                <w:b w:val="0"/>
                <w:bCs/>
                <w:color w:val="auto"/>
                <w:sz w:val="21"/>
                <w:szCs w:val="21"/>
                <w:highlight w:val="none"/>
                <w:lang w:val="en-US" w:eastAsia="zh-CN"/>
              </w:rPr>
              <w:t>证书</w:t>
            </w:r>
          </w:p>
        </w:tc>
        <w:tc>
          <w:tcPr>
            <w:tcW w:w="3645" w:type="pct"/>
            <w:noWrap w:val="0"/>
            <w:vAlign w:val="center"/>
          </w:tcPr>
          <w:p w14:paraId="0F193BC1">
            <w:pPr>
              <w:widowControl/>
              <w:numPr>
                <w:ilvl w:val="0"/>
                <w:numId w:val="0"/>
              </w:numPr>
              <w:spacing w:line="24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投标人具有有效期内的质量管理体系认证证书</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环境管理体系认证证书</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职业健康安全管理体系认证证书，所覆盖的范围：含</w:t>
            </w:r>
            <w:r>
              <w:rPr>
                <w:rFonts w:hint="eastAsia" w:ascii="宋体" w:hAnsi="宋体" w:eastAsia="宋体" w:cs="宋体"/>
                <w:color w:val="auto"/>
                <w:kern w:val="0"/>
                <w:sz w:val="21"/>
                <w:szCs w:val="21"/>
                <w:highlight w:val="none"/>
              </w:rPr>
              <w:t>图书馆家具</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宿舍家具的设计开发、生产、组装、销售、安装和售后服务，</w:t>
            </w:r>
            <w:r>
              <w:rPr>
                <w:rFonts w:hint="eastAsia" w:ascii="宋体" w:hAnsi="宋体" w:cs="宋体"/>
                <w:color w:val="auto"/>
                <w:kern w:val="0"/>
                <w:sz w:val="21"/>
                <w:szCs w:val="21"/>
                <w:highlight w:val="none"/>
                <w:lang w:val="en-US" w:eastAsia="zh-CN"/>
              </w:rPr>
              <w:t>满足要求的证书</w:t>
            </w:r>
            <w:r>
              <w:rPr>
                <w:rFonts w:hint="eastAsia" w:ascii="宋体" w:hAnsi="宋体" w:eastAsia="宋体" w:cs="宋体"/>
                <w:color w:val="auto"/>
                <w:kern w:val="0"/>
                <w:sz w:val="21"/>
                <w:szCs w:val="21"/>
                <w:highlight w:val="none"/>
                <w:lang w:val="en-US" w:eastAsia="zh-CN"/>
              </w:rPr>
              <w:t>每个得1分，</w:t>
            </w:r>
            <w:r>
              <w:rPr>
                <w:rFonts w:hint="eastAsia" w:ascii="宋体" w:hAnsi="宋体" w:cs="宋体"/>
                <w:color w:val="auto"/>
                <w:kern w:val="0"/>
                <w:sz w:val="21"/>
                <w:szCs w:val="21"/>
                <w:highlight w:val="none"/>
                <w:lang w:val="en-US" w:eastAsia="zh-CN"/>
              </w:rPr>
              <w:t>不满足</w:t>
            </w:r>
            <w:r>
              <w:rPr>
                <w:rFonts w:hint="eastAsia" w:ascii="宋体" w:hAnsi="宋体" w:eastAsia="宋体" w:cs="宋体"/>
                <w:color w:val="auto"/>
                <w:kern w:val="0"/>
                <w:sz w:val="21"/>
                <w:szCs w:val="21"/>
                <w:highlight w:val="none"/>
                <w:lang w:val="en-US" w:eastAsia="zh-CN"/>
              </w:rPr>
              <w:t>不得分</w:t>
            </w:r>
            <w:r>
              <w:rPr>
                <w:rFonts w:hint="eastAsia" w:ascii="宋体" w:hAnsi="宋体" w:cs="宋体"/>
                <w:color w:val="auto"/>
                <w:kern w:val="0"/>
                <w:sz w:val="21"/>
                <w:szCs w:val="21"/>
                <w:highlight w:val="none"/>
                <w:lang w:val="en-US" w:eastAsia="zh-CN"/>
              </w:rPr>
              <w:t>，最高得3分</w:t>
            </w:r>
            <w:r>
              <w:rPr>
                <w:rFonts w:hint="eastAsia" w:ascii="宋体" w:hAnsi="宋体" w:eastAsia="宋体" w:cs="宋体"/>
                <w:color w:val="auto"/>
                <w:kern w:val="0"/>
                <w:sz w:val="21"/>
                <w:szCs w:val="21"/>
                <w:highlight w:val="none"/>
                <w:lang w:val="en-US" w:eastAsia="zh-CN"/>
              </w:rPr>
              <w:t>。</w:t>
            </w:r>
          </w:p>
          <w:p w14:paraId="47C02F4A">
            <w:pPr>
              <w:bidi w:val="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注：提供证书扫描件，证书须在有效期内，由评标委员会在全国认证认可信息公共服务平台（http://cx.cnca.cn/）查询，不提供或证书无法在上述平台查询确认状态为有效的不得分。</w:t>
            </w:r>
          </w:p>
        </w:tc>
        <w:tc>
          <w:tcPr>
            <w:tcW w:w="346" w:type="pct"/>
            <w:noWrap w:val="0"/>
            <w:vAlign w:val="center"/>
          </w:tcPr>
          <w:p w14:paraId="669DD422">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p>
        </w:tc>
        <w:tc>
          <w:tcPr>
            <w:tcW w:w="349" w:type="pct"/>
            <w:noWrap w:val="0"/>
            <w:vAlign w:val="center"/>
          </w:tcPr>
          <w:p w14:paraId="4B200591">
            <w:pPr>
              <w:bidi w:val="0"/>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3E3B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3DA65038">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23998932">
            <w:pPr>
              <w:bidi w:val="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认证</w:t>
            </w:r>
            <w:r>
              <w:rPr>
                <w:rFonts w:hint="eastAsia" w:ascii="宋体" w:hAnsi="宋体" w:cs="宋体"/>
                <w:b w:val="0"/>
                <w:bCs/>
                <w:color w:val="auto"/>
                <w:sz w:val="21"/>
                <w:szCs w:val="21"/>
                <w:highlight w:val="none"/>
                <w:lang w:val="en-US" w:eastAsia="zh-CN"/>
              </w:rPr>
              <w:t>证书</w:t>
            </w:r>
          </w:p>
        </w:tc>
        <w:tc>
          <w:tcPr>
            <w:tcW w:w="3645" w:type="pct"/>
            <w:noWrap w:val="0"/>
            <w:vAlign w:val="center"/>
          </w:tcPr>
          <w:p w14:paraId="41A97017">
            <w:pPr>
              <w:bidi w:val="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投标产品获得国家确定的认证机构出具的有效期内的环境标志产品认证证书，每个产品得0.5分，最高得2分；</w:t>
            </w:r>
          </w:p>
          <w:p w14:paraId="26BC1EE2">
            <w:pPr>
              <w:bidi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注：提供证书扫描件，证书须在有效期内，由评标委员会在全国认证认可信息公共服务平台（http://cx.cnca.cn/）查询，不提供或证书无法在上述平台查询确认状态为有效的不得分。</w:t>
            </w:r>
          </w:p>
        </w:tc>
        <w:tc>
          <w:tcPr>
            <w:tcW w:w="346" w:type="pct"/>
            <w:noWrap w:val="0"/>
            <w:vAlign w:val="center"/>
          </w:tcPr>
          <w:p w14:paraId="50AC6055">
            <w:pPr>
              <w:spacing w:line="240" w:lineRule="auto"/>
              <w:ind w:left="-111" w:leftChars="-53" w:right="-101" w:rightChars="-48"/>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p>
        </w:tc>
        <w:tc>
          <w:tcPr>
            <w:tcW w:w="349" w:type="pct"/>
            <w:noWrap w:val="0"/>
            <w:vAlign w:val="center"/>
          </w:tcPr>
          <w:p w14:paraId="731D7ED6">
            <w:pPr>
              <w:bidi w:val="0"/>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2CBB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1A874F91">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341DB260">
            <w:pPr>
              <w:widowControl/>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产品</w:t>
            </w:r>
            <w:r>
              <w:rPr>
                <w:rFonts w:hint="eastAsia" w:ascii="宋体" w:hAnsi="宋体" w:cs="宋体"/>
                <w:b w:val="0"/>
                <w:bCs/>
                <w:color w:val="auto"/>
                <w:sz w:val="21"/>
                <w:szCs w:val="21"/>
                <w:highlight w:val="none"/>
                <w:lang w:val="en-US" w:eastAsia="zh-CN"/>
              </w:rPr>
              <w:t>安全环保质量</w:t>
            </w:r>
            <w:r>
              <w:rPr>
                <w:rFonts w:hint="eastAsia" w:ascii="宋体" w:hAnsi="宋体" w:eastAsia="宋体" w:cs="宋体"/>
                <w:b w:val="0"/>
                <w:bCs/>
                <w:color w:val="auto"/>
                <w:sz w:val="21"/>
                <w:szCs w:val="21"/>
                <w:highlight w:val="none"/>
              </w:rPr>
              <w:t>认证</w:t>
            </w:r>
          </w:p>
        </w:tc>
        <w:tc>
          <w:tcPr>
            <w:tcW w:w="3645" w:type="pct"/>
            <w:noWrap w:val="0"/>
            <w:vAlign w:val="center"/>
          </w:tcPr>
          <w:p w14:paraId="20EDF68E">
            <w:p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、投标人具有有效期内的</w:t>
            </w:r>
            <w:r>
              <w:rPr>
                <w:rFonts w:hint="eastAsia" w:ascii="宋体" w:hAnsi="宋体" w:eastAsia="宋体" w:cs="宋体"/>
                <w:b/>
                <w:bCs/>
                <w:color w:val="auto"/>
                <w:sz w:val="21"/>
                <w:szCs w:val="21"/>
                <w:highlight w:val="none"/>
              </w:rPr>
              <w:t>CEC家具产品环保卫士认证证书</w:t>
            </w:r>
            <w:r>
              <w:rPr>
                <w:rFonts w:hint="eastAsia" w:ascii="宋体" w:hAnsi="宋体" w:eastAsia="宋体" w:cs="宋体"/>
                <w:color w:val="auto"/>
                <w:sz w:val="21"/>
                <w:szCs w:val="21"/>
                <w:highlight w:val="none"/>
              </w:rPr>
              <w:t>，认证</w:t>
            </w:r>
            <w:r>
              <w:rPr>
                <w:rFonts w:hint="eastAsia" w:ascii="宋体" w:hAnsi="宋体" w:eastAsia="宋体" w:cs="宋体"/>
                <w:color w:val="auto"/>
                <w:kern w:val="0"/>
                <w:sz w:val="21"/>
                <w:szCs w:val="21"/>
                <w:highlight w:val="none"/>
                <w:lang w:val="en-US" w:eastAsia="zh-CN"/>
              </w:rPr>
              <w:t>单元</w:t>
            </w:r>
            <w:r>
              <w:rPr>
                <w:rFonts w:hint="eastAsia" w:ascii="宋体" w:hAnsi="宋体" w:eastAsia="宋体" w:cs="宋体"/>
                <w:color w:val="auto"/>
                <w:sz w:val="21"/>
                <w:szCs w:val="21"/>
                <w:highlight w:val="none"/>
              </w:rPr>
              <w:t>需包含：木家具、金属家具、软体家具，</w:t>
            </w:r>
            <w:r>
              <w:rPr>
                <w:rFonts w:hint="eastAsia" w:ascii="宋体" w:hAnsi="宋体" w:eastAsia="宋体" w:cs="宋体"/>
                <w:color w:val="auto"/>
                <w:kern w:val="0"/>
                <w:sz w:val="21"/>
                <w:szCs w:val="21"/>
                <w:highlight w:val="none"/>
                <w:lang w:val="en-US" w:eastAsia="zh-CN"/>
              </w:rPr>
              <w:t>提供全得1分，缺项不得分。</w:t>
            </w:r>
            <w:r>
              <w:rPr>
                <w:rFonts w:hint="eastAsia" w:ascii="宋体" w:hAnsi="宋体" w:eastAsia="宋体" w:cs="宋体"/>
                <w:color w:val="auto"/>
                <w:sz w:val="21"/>
                <w:szCs w:val="21"/>
                <w:highlight w:val="none"/>
              </w:rPr>
              <w:t>（1分）</w:t>
            </w:r>
          </w:p>
          <w:p w14:paraId="6B9C1D3B">
            <w:p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、投标人具有有效期内的</w:t>
            </w:r>
            <w:r>
              <w:rPr>
                <w:rFonts w:hint="eastAsia" w:ascii="宋体" w:hAnsi="宋体" w:eastAsia="宋体" w:cs="宋体"/>
                <w:b/>
                <w:bCs/>
                <w:color w:val="auto"/>
                <w:sz w:val="21"/>
                <w:szCs w:val="21"/>
                <w:highlight w:val="none"/>
              </w:rPr>
              <w:t>有害物质限量认证，</w:t>
            </w:r>
            <w:r>
              <w:rPr>
                <w:rFonts w:hint="eastAsia" w:ascii="宋体" w:hAnsi="宋体" w:eastAsia="宋体" w:cs="宋体"/>
                <w:color w:val="auto"/>
                <w:sz w:val="21"/>
                <w:szCs w:val="21"/>
                <w:highlight w:val="none"/>
              </w:rPr>
              <w:t>认证</w:t>
            </w:r>
            <w:r>
              <w:rPr>
                <w:rFonts w:hint="eastAsia" w:ascii="宋体" w:hAnsi="宋体" w:eastAsia="宋体" w:cs="宋体"/>
                <w:color w:val="auto"/>
                <w:kern w:val="0"/>
                <w:sz w:val="21"/>
                <w:szCs w:val="21"/>
                <w:highlight w:val="none"/>
                <w:lang w:val="en-US" w:eastAsia="zh-CN"/>
              </w:rPr>
              <w:t>单元</w:t>
            </w:r>
            <w:r>
              <w:rPr>
                <w:rFonts w:hint="eastAsia" w:ascii="宋体" w:hAnsi="宋体" w:eastAsia="宋体" w:cs="宋体"/>
                <w:color w:val="auto"/>
                <w:sz w:val="21"/>
                <w:szCs w:val="21"/>
                <w:highlight w:val="none"/>
              </w:rPr>
              <w:t>需包含：</w:t>
            </w:r>
            <w:r>
              <w:rPr>
                <w:rFonts w:hint="eastAsia" w:ascii="宋体" w:hAnsi="宋体" w:cs="宋体"/>
                <w:color w:val="auto"/>
                <w:sz w:val="21"/>
                <w:szCs w:val="21"/>
                <w:highlight w:val="none"/>
                <w:lang w:val="en-US" w:eastAsia="zh-CN"/>
              </w:rPr>
              <w:t>实木</w:t>
            </w:r>
            <w:r>
              <w:rPr>
                <w:rFonts w:hint="eastAsia" w:ascii="宋体" w:hAnsi="宋体" w:eastAsia="宋体" w:cs="宋体"/>
                <w:color w:val="auto"/>
                <w:sz w:val="21"/>
                <w:szCs w:val="21"/>
                <w:highlight w:val="none"/>
                <w:lang w:val="en-US" w:eastAsia="zh-CN"/>
              </w:rPr>
              <w:t>家具、</w:t>
            </w:r>
            <w:r>
              <w:rPr>
                <w:rFonts w:hint="eastAsia" w:ascii="宋体" w:hAnsi="宋体" w:eastAsia="宋体" w:cs="宋体"/>
                <w:color w:val="auto"/>
                <w:kern w:val="0"/>
                <w:sz w:val="21"/>
                <w:szCs w:val="21"/>
                <w:highlight w:val="none"/>
                <w:lang w:val="en-US" w:eastAsia="zh-CN"/>
              </w:rPr>
              <w:t>人造板家具、</w:t>
            </w:r>
            <w:r>
              <w:rPr>
                <w:rFonts w:hint="eastAsia" w:ascii="宋体" w:hAnsi="宋体" w:cs="宋体"/>
                <w:color w:val="auto"/>
                <w:sz w:val="21"/>
                <w:szCs w:val="21"/>
                <w:highlight w:val="none"/>
                <w:lang w:val="en-US" w:eastAsia="zh-CN"/>
              </w:rPr>
              <w:t>钢木</w:t>
            </w:r>
            <w:r>
              <w:rPr>
                <w:rFonts w:hint="eastAsia" w:ascii="宋体" w:hAnsi="宋体" w:eastAsia="宋体" w:cs="宋体"/>
                <w:color w:val="auto"/>
                <w:sz w:val="21"/>
                <w:szCs w:val="21"/>
                <w:highlight w:val="none"/>
                <w:lang w:val="en-US" w:eastAsia="zh-CN"/>
              </w:rPr>
              <w:t>家具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软体家具、其</w:t>
            </w:r>
            <w:r>
              <w:rPr>
                <w:rFonts w:hint="eastAsia" w:ascii="宋体" w:hAnsi="宋体" w:cs="宋体"/>
                <w:color w:val="auto"/>
                <w:sz w:val="21"/>
                <w:szCs w:val="21"/>
                <w:highlight w:val="none"/>
                <w:lang w:val="en-US" w:eastAsia="zh-CN"/>
              </w:rPr>
              <w:t>它</w:t>
            </w:r>
            <w:r>
              <w:rPr>
                <w:rFonts w:hint="eastAsia" w:ascii="宋体" w:hAnsi="宋体" w:eastAsia="宋体" w:cs="宋体"/>
                <w:color w:val="auto"/>
                <w:sz w:val="21"/>
                <w:szCs w:val="21"/>
                <w:highlight w:val="none"/>
                <w:lang w:val="en-US" w:eastAsia="zh-CN"/>
              </w:rPr>
              <w:t>家具</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en-US" w:eastAsia="zh-CN"/>
              </w:rPr>
              <w:t>提供全得1分，缺项不得分。</w:t>
            </w:r>
            <w:r>
              <w:rPr>
                <w:rFonts w:hint="eastAsia" w:ascii="宋体" w:hAnsi="宋体" w:eastAsia="宋体" w:cs="宋体"/>
                <w:color w:val="auto"/>
                <w:sz w:val="21"/>
                <w:szCs w:val="21"/>
                <w:highlight w:val="none"/>
              </w:rPr>
              <w:t>（1分）</w:t>
            </w:r>
          </w:p>
          <w:p w14:paraId="09272A7A">
            <w:p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、投标人具有有效期内的</w:t>
            </w:r>
            <w:r>
              <w:rPr>
                <w:rFonts w:hint="eastAsia" w:ascii="宋体" w:hAnsi="宋体" w:eastAsia="宋体" w:cs="宋体"/>
                <w:b/>
                <w:bCs/>
                <w:color w:val="auto"/>
                <w:sz w:val="21"/>
                <w:szCs w:val="21"/>
                <w:highlight w:val="none"/>
              </w:rPr>
              <w:t>产品质量认证证书，</w:t>
            </w:r>
            <w:r>
              <w:rPr>
                <w:rFonts w:hint="eastAsia" w:ascii="宋体" w:hAnsi="宋体" w:eastAsia="宋体" w:cs="宋体"/>
                <w:color w:val="auto"/>
                <w:sz w:val="21"/>
                <w:szCs w:val="21"/>
                <w:highlight w:val="none"/>
              </w:rPr>
              <w:t>认证</w:t>
            </w:r>
            <w:r>
              <w:rPr>
                <w:rFonts w:hint="eastAsia" w:ascii="宋体" w:hAnsi="宋体" w:eastAsia="宋体" w:cs="宋体"/>
                <w:color w:val="auto"/>
                <w:kern w:val="0"/>
                <w:sz w:val="21"/>
                <w:szCs w:val="21"/>
                <w:highlight w:val="none"/>
                <w:lang w:val="en-US" w:eastAsia="zh-CN"/>
              </w:rPr>
              <w:t>单元</w:t>
            </w:r>
            <w:r>
              <w:rPr>
                <w:rFonts w:hint="eastAsia" w:ascii="宋体" w:hAnsi="宋体" w:eastAsia="宋体" w:cs="宋体"/>
                <w:color w:val="auto"/>
                <w:sz w:val="21"/>
                <w:szCs w:val="21"/>
                <w:highlight w:val="none"/>
              </w:rPr>
              <w:t>需包含：</w:t>
            </w:r>
            <w:r>
              <w:rPr>
                <w:rFonts w:hint="eastAsia" w:ascii="宋体" w:hAnsi="宋体" w:eastAsia="宋体" w:cs="宋体"/>
                <w:color w:val="auto"/>
                <w:kern w:val="0"/>
                <w:sz w:val="21"/>
                <w:szCs w:val="21"/>
                <w:highlight w:val="none"/>
                <w:lang w:val="en-US" w:eastAsia="zh-CN"/>
              </w:rPr>
              <w:t>实木家具、人造板家具、钢木家具、软体家具，提供全得1分，缺项不得分。</w:t>
            </w:r>
            <w:r>
              <w:rPr>
                <w:rFonts w:hint="eastAsia" w:ascii="宋体" w:hAnsi="宋体" w:eastAsia="宋体" w:cs="宋体"/>
                <w:color w:val="auto"/>
                <w:sz w:val="21"/>
                <w:szCs w:val="21"/>
                <w:highlight w:val="none"/>
              </w:rPr>
              <w:t>（1分）</w:t>
            </w:r>
          </w:p>
          <w:p w14:paraId="39D2DEBC">
            <w:pPr>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投标人具有有效期内的</w:t>
            </w:r>
            <w:r>
              <w:rPr>
                <w:rFonts w:hint="eastAsia" w:ascii="宋体" w:hAnsi="宋体" w:eastAsia="宋体" w:cs="宋体"/>
                <w:b/>
                <w:bCs/>
                <w:color w:val="auto"/>
                <w:sz w:val="21"/>
                <w:szCs w:val="21"/>
                <w:highlight w:val="none"/>
                <w:lang w:val="en-US" w:eastAsia="zh-CN"/>
              </w:rPr>
              <w:t>人类工效学认证证书</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认证</w:t>
            </w:r>
            <w:r>
              <w:rPr>
                <w:rFonts w:hint="eastAsia" w:ascii="宋体" w:hAnsi="宋体" w:cs="宋体"/>
                <w:color w:val="auto"/>
                <w:sz w:val="21"/>
                <w:szCs w:val="21"/>
                <w:highlight w:val="none"/>
                <w:lang w:val="en-US" w:eastAsia="zh-CN"/>
              </w:rPr>
              <w:t>单元</w:t>
            </w:r>
            <w:r>
              <w:rPr>
                <w:rFonts w:hint="eastAsia" w:ascii="宋体" w:hAnsi="宋体" w:eastAsia="宋体" w:cs="宋体"/>
                <w:color w:val="auto"/>
                <w:sz w:val="21"/>
                <w:szCs w:val="21"/>
                <w:highlight w:val="none"/>
              </w:rPr>
              <w:t>需包含：</w:t>
            </w:r>
            <w:r>
              <w:rPr>
                <w:rFonts w:hint="eastAsia" w:ascii="宋体" w:hAnsi="宋体" w:cs="宋体"/>
                <w:color w:val="auto"/>
                <w:sz w:val="21"/>
                <w:szCs w:val="21"/>
                <w:highlight w:val="none"/>
                <w:lang w:val="en-US" w:eastAsia="zh-CN"/>
              </w:rPr>
              <w:t>桌类、椅类、柜架类、床类</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lang w:val="en-US" w:eastAsia="zh-CN"/>
              </w:rPr>
              <w:t>提供全得1分，缺项不得分。</w:t>
            </w:r>
            <w:r>
              <w:rPr>
                <w:rFonts w:hint="eastAsia" w:ascii="宋体" w:hAnsi="宋体" w:eastAsia="宋体" w:cs="宋体"/>
                <w:color w:val="auto"/>
                <w:sz w:val="21"/>
                <w:szCs w:val="21"/>
                <w:highlight w:val="none"/>
              </w:rPr>
              <w:t>（1分）</w:t>
            </w:r>
          </w:p>
          <w:p w14:paraId="7F3D542C">
            <w:pPr>
              <w:bidi w:val="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投标文件中须同时提供有效期内的认证证书扫描件及全国认证认可信息公共服务平台（http://cx.cnca.cn/）查询网页截图</w:t>
            </w:r>
            <w:r>
              <w:rPr>
                <w:rFonts w:hint="eastAsia" w:ascii="宋体" w:hAnsi="宋体" w:eastAsia="宋体" w:cs="宋体"/>
                <w:b/>
                <w:bCs/>
                <w:color w:val="auto"/>
                <w:sz w:val="21"/>
                <w:szCs w:val="21"/>
                <w:highlight w:val="none"/>
                <w:lang w:val="en-US" w:eastAsia="zh-CN"/>
              </w:rPr>
              <w:t>和</w:t>
            </w:r>
            <w:r>
              <w:rPr>
                <w:rFonts w:hint="eastAsia" w:ascii="宋体" w:hAnsi="宋体" w:eastAsia="宋体" w:cs="宋体"/>
                <w:b/>
                <w:bCs/>
                <w:color w:val="auto"/>
                <w:sz w:val="21"/>
                <w:szCs w:val="21"/>
                <w:highlight w:val="none"/>
              </w:rPr>
              <w:t>网站链接，未提供不得分。中标后采购人可随时核验原件，如投标人虚假应标，并影响中标结果的，则取消其资格并依法承担相应法律责任。</w:t>
            </w:r>
          </w:p>
        </w:tc>
        <w:tc>
          <w:tcPr>
            <w:tcW w:w="346" w:type="pct"/>
            <w:noWrap w:val="0"/>
            <w:vAlign w:val="center"/>
          </w:tcPr>
          <w:p w14:paraId="0C6DFC85">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noWrap w:val="0"/>
            <w:vAlign w:val="center"/>
          </w:tcPr>
          <w:p w14:paraId="78809A21">
            <w:pPr>
              <w:widowControl/>
              <w:spacing w:line="240" w:lineRule="auto"/>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50EE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3BED6749">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5641FB51">
            <w:pPr>
              <w:widowControl/>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成品检测报告</w:t>
            </w:r>
          </w:p>
        </w:tc>
        <w:tc>
          <w:tcPr>
            <w:tcW w:w="3645" w:type="pct"/>
            <w:noWrap w:val="0"/>
            <w:vAlign w:val="center"/>
          </w:tcPr>
          <w:p w14:paraId="758480E9">
            <w:pPr>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投标人提供具备</w:t>
            </w:r>
            <w:r>
              <w:rPr>
                <w:rFonts w:hint="eastAsia" w:ascii="宋体" w:hAnsi="宋体" w:cs="宋体"/>
                <w:b/>
                <w:bCs/>
                <w:color w:val="auto"/>
                <w:sz w:val="21"/>
                <w:szCs w:val="21"/>
                <w:highlight w:val="none"/>
                <w:lang w:val="en-US" w:eastAsia="zh-CN"/>
              </w:rPr>
              <w:t>相关</w:t>
            </w:r>
            <w:r>
              <w:rPr>
                <w:rFonts w:hint="eastAsia" w:ascii="宋体" w:hAnsi="宋体" w:eastAsia="宋体" w:cs="宋体"/>
                <w:b/>
                <w:bCs/>
                <w:color w:val="auto"/>
                <w:sz w:val="21"/>
                <w:szCs w:val="21"/>
                <w:highlight w:val="none"/>
              </w:rPr>
              <w:t>资质的第三方检测机构出具的检测报告：</w:t>
            </w:r>
          </w:p>
          <w:p w14:paraId="3FD4437F">
            <w:pPr>
              <w:snapToGrid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双面书架：</w:t>
            </w:r>
            <w:r>
              <w:rPr>
                <w:rFonts w:hint="eastAsia" w:ascii="宋体" w:hAnsi="宋体" w:eastAsia="宋体" w:cs="宋体"/>
                <w:color w:val="auto"/>
                <w:kern w:val="0"/>
                <w:sz w:val="21"/>
                <w:szCs w:val="21"/>
                <w:highlight w:val="none"/>
              </w:rPr>
              <w:t>依据GB/T 3325-2024</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GB/T 35607-2024</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GB/T 10125-2021</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GB/T 6461-2002标准，</w:t>
            </w:r>
            <w:r>
              <w:rPr>
                <w:rFonts w:hint="eastAsia" w:ascii="宋体" w:hAnsi="宋体" w:cs="宋体"/>
                <w:color w:val="auto"/>
                <w:kern w:val="0"/>
                <w:sz w:val="21"/>
                <w:szCs w:val="21"/>
                <w:highlight w:val="none"/>
                <w:lang w:val="en-US" w:eastAsia="zh-CN"/>
              </w:rPr>
              <w:t>金属件外观</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基本</w:t>
            </w:r>
            <w:r>
              <w:rPr>
                <w:rFonts w:hint="eastAsia" w:ascii="宋体" w:hAnsi="宋体" w:eastAsia="宋体" w:cs="宋体"/>
                <w:color w:val="auto"/>
                <w:kern w:val="0"/>
                <w:sz w:val="21"/>
                <w:szCs w:val="21"/>
                <w:highlight w:val="none"/>
              </w:rPr>
              <w:t>结构安全等符合要求，</w:t>
            </w:r>
            <w:r>
              <w:rPr>
                <w:rFonts w:hint="eastAsia" w:ascii="宋体" w:hAnsi="宋体" w:eastAsia="宋体" w:cs="宋体"/>
                <w:color w:val="auto"/>
                <w:sz w:val="21"/>
                <w:szCs w:val="21"/>
                <w:highlight w:val="none"/>
                <w:lang w:eastAsia="zh-CN"/>
              </w:rPr>
              <w:t>产品有害物质（甲醛释放量</w:t>
            </w:r>
            <w:r>
              <w:rPr>
                <w:rFonts w:hint="eastAsia" w:ascii="宋体" w:hAnsi="宋体" w:eastAsia="宋体" w:cs="宋体"/>
                <w:color w:val="auto"/>
                <w:sz w:val="21"/>
                <w:szCs w:val="21"/>
                <w:highlight w:val="none"/>
                <w:lang w:val="en-US" w:eastAsia="zh-CN"/>
              </w:rPr>
              <w:t>≤0.05mg/m</w:t>
            </w:r>
            <w:r>
              <w:rPr>
                <w:rFonts w:hint="eastAsia" w:ascii="宋体" w:hAnsi="宋体" w:cs="宋体"/>
                <w:color w:val="auto"/>
                <w:sz w:val="21"/>
                <w:szCs w:val="21"/>
                <w:highlight w:val="none"/>
                <w:lang w:val="en-US" w:eastAsia="zh-CN"/>
              </w:rPr>
              <w:t>³</w:t>
            </w:r>
            <w:r>
              <w:rPr>
                <w:rFonts w:hint="eastAsia" w:ascii="宋体" w:hAnsi="宋体" w:eastAsia="宋体" w:cs="宋体"/>
                <w:color w:val="auto"/>
                <w:sz w:val="21"/>
                <w:szCs w:val="21"/>
                <w:highlight w:val="none"/>
                <w:lang w:eastAsia="zh-CN"/>
              </w:rPr>
              <w:t>；总挥发性有机化合物(TVOC)</w:t>
            </w:r>
            <w:r>
              <w:rPr>
                <w:rFonts w:hint="eastAsia" w:ascii="宋体" w:hAnsi="宋体" w:eastAsia="宋体" w:cs="宋体"/>
                <w:color w:val="auto"/>
                <w:sz w:val="21"/>
                <w:szCs w:val="21"/>
                <w:highlight w:val="none"/>
                <w:lang w:val="en-US" w:eastAsia="zh-CN"/>
              </w:rPr>
              <w:t>≤0.30mg/m</w:t>
            </w:r>
            <w:r>
              <w:rPr>
                <w:rFonts w:hint="eastAsia" w:ascii="宋体" w:hAnsi="宋体" w:cs="宋体"/>
                <w:color w:val="auto"/>
                <w:sz w:val="21"/>
                <w:szCs w:val="21"/>
                <w:highlight w:val="none"/>
                <w:lang w:val="en-US" w:eastAsia="zh-CN"/>
              </w:rPr>
              <w:t>³</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苯、甲苯、二甲苯</w:t>
            </w:r>
            <w:r>
              <w:rPr>
                <w:rFonts w:hint="eastAsia" w:ascii="宋体" w:hAnsi="宋体" w:eastAsia="宋体" w:cs="宋体"/>
                <w:color w:val="auto"/>
                <w:kern w:val="0"/>
                <w:sz w:val="21"/>
                <w:szCs w:val="21"/>
                <w:highlight w:val="none"/>
              </w:rPr>
              <w:t>未检出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家具</w:t>
            </w:r>
            <w:r>
              <w:rPr>
                <w:rFonts w:hint="eastAsia" w:ascii="宋体" w:hAnsi="宋体" w:cs="宋体"/>
                <w:color w:val="auto"/>
                <w:sz w:val="21"/>
                <w:szCs w:val="21"/>
                <w:highlight w:val="none"/>
                <w:lang w:val="en-US" w:eastAsia="zh-CN"/>
              </w:rPr>
              <w:t>涂层</w:t>
            </w:r>
            <w:r>
              <w:rPr>
                <w:rFonts w:hint="eastAsia" w:ascii="宋体" w:hAnsi="宋体" w:eastAsia="宋体" w:cs="宋体"/>
                <w:color w:val="auto"/>
                <w:sz w:val="21"/>
                <w:szCs w:val="21"/>
                <w:highlight w:val="none"/>
                <w:lang w:val="en-US" w:eastAsia="zh-CN"/>
              </w:rPr>
              <w:t>可迁移元素（铅、镉、铬、汞、锑、钡、硒、砷）未检出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中性盐雾（72h）镀(涂)层对基体的保护等级(R)10级;镀(涂)层本身的耐腐蚀等级(RA)10 级；</w:t>
            </w:r>
            <w:r>
              <w:rPr>
                <w:rFonts w:hint="eastAsia" w:ascii="宋体" w:hAnsi="宋体" w:eastAsia="宋体" w:cs="宋体"/>
                <w:color w:val="auto"/>
                <w:kern w:val="0"/>
                <w:sz w:val="21"/>
                <w:szCs w:val="21"/>
                <w:highlight w:val="none"/>
                <w:lang w:bidi="ar"/>
              </w:rPr>
              <w:t>（1分）</w:t>
            </w:r>
          </w:p>
          <w:p w14:paraId="35B16608">
            <w:pPr>
              <w:snapToGrid w:val="0"/>
              <w:jc w:val="left"/>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.沙发</w:t>
            </w:r>
            <w:r>
              <w:rPr>
                <w:rFonts w:hint="eastAsia" w:ascii="宋体" w:hAnsi="宋体" w:eastAsia="宋体" w:cs="宋体"/>
                <w:b/>
                <w:bCs/>
                <w:color w:val="auto"/>
                <w:sz w:val="22"/>
                <w:szCs w:val="22"/>
                <w:highlight w:val="none"/>
              </w:rPr>
              <w:t>：</w:t>
            </w:r>
            <w:r>
              <w:rPr>
                <w:rFonts w:hint="eastAsia" w:ascii="宋体" w:hAnsi="宋体" w:eastAsia="宋体" w:cs="宋体"/>
                <w:color w:val="auto"/>
                <w:kern w:val="0"/>
                <w:sz w:val="21"/>
                <w:szCs w:val="21"/>
                <w:highlight w:val="none"/>
                <w:lang w:val="en-US" w:eastAsia="zh-CN"/>
              </w:rPr>
              <w:t>依据QB/T 1952.1-2023标准：主要尺寸及偏差；外形对称度；铺垫料符合标准要求；泡沫塑料（回弹性能A级、压缩永久变成A级）；防锈处理、摩擦声、外观性能（缝纫和包覆、木制件）覆面材料理化性能、结构安全性等符合标准要求；沙发座背及扶手耐久性A级、符合标准要求、产品有害物质限量（苯、甲苯、二甲苯、甲醛释放量、总挥发性有机化合物(TVOC)、可分解致癌芳香胺染料）等未检出；阻燃剂未检出、阻燃Ⅰ级；（1分）</w:t>
            </w:r>
          </w:p>
          <w:p w14:paraId="421ADDE5">
            <w:pPr>
              <w:snapToGrid w:val="0"/>
              <w:jc w:val="left"/>
              <w:rPr>
                <w:rFonts w:hint="eastAsia" w:ascii="宋体" w:hAnsi="宋体" w:eastAsia="宋体" w:cs="宋体"/>
                <w:color w:val="auto"/>
                <w:kern w:val="0"/>
                <w:sz w:val="21"/>
                <w:szCs w:val="21"/>
                <w:highlight w:val="none"/>
                <w:lang w:bidi="ar"/>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1"/>
                <w:szCs w:val="21"/>
                <w:highlight w:val="none"/>
                <w:lang w:val="en-US" w:eastAsia="zh-CN"/>
              </w:rPr>
              <w:t>阅览桌：</w:t>
            </w:r>
            <w:r>
              <w:rPr>
                <w:rFonts w:hint="eastAsia" w:ascii="宋体" w:hAnsi="宋体" w:eastAsia="宋体" w:cs="宋体"/>
                <w:color w:val="auto"/>
                <w:kern w:val="0"/>
                <w:sz w:val="21"/>
                <w:szCs w:val="21"/>
                <w:highlight w:val="none"/>
                <w:lang w:val="en-US" w:eastAsia="zh-CN"/>
              </w:rPr>
              <w:t>依据GB/T 3324-2024、GB/T 10357.1-2024、GB/T 35607-2024</w:t>
            </w:r>
            <w:r>
              <w:rPr>
                <w:rFonts w:hint="eastAsia" w:ascii="宋体" w:hAnsi="宋体" w:cs="宋体"/>
                <w:color w:val="auto"/>
                <w:kern w:val="0"/>
                <w:sz w:val="21"/>
                <w:szCs w:val="21"/>
                <w:highlight w:val="none"/>
                <w:lang w:val="en-US" w:eastAsia="zh-CN"/>
              </w:rPr>
              <w:t>、GB/T40971-2021、</w:t>
            </w:r>
            <w:r>
              <w:rPr>
                <w:rFonts w:hint="eastAsia" w:ascii="宋体" w:hAnsi="宋体" w:eastAsia="宋体" w:cs="宋体"/>
                <w:color w:val="auto"/>
                <w:kern w:val="0"/>
                <w:sz w:val="21"/>
                <w:szCs w:val="21"/>
                <w:highlight w:val="none"/>
                <w:lang w:val="en-US" w:eastAsia="zh-CN"/>
              </w:rPr>
              <w:t>木材外观、漆膜外观、木工要求、木制件表面理化性能（耐液性、耐湿热、耐干热、附着力）应不低于3级；桌类强度和耐久性、基本结构安全均符合要求；产品有害物质（苯、甲苯、二甲苯、苯并[a]芘未检出、甲醛释放量≤0.05mg/m</w:t>
            </w:r>
            <w:r>
              <w:rPr>
                <w:rFonts w:hint="eastAsia" w:ascii="宋体" w:hAnsi="宋体" w:cs="宋体"/>
                <w:color w:val="auto"/>
                <w:kern w:val="0"/>
                <w:sz w:val="21"/>
                <w:szCs w:val="21"/>
                <w:highlight w:val="none"/>
                <w:lang w:val="en-US" w:eastAsia="zh-CN"/>
              </w:rPr>
              <w:t>³</w:t>
            </w:r>
            <w:r>
              <w:rPr>
                <w:rFonts w:hint="eastAsia" w:ascii="宋体" w:hAnsi="宋体" w:eastAsia="宋体" w:cs="宋体"/>
                <w:color w:val="auto"/>
                <w:kern w:val="0"/>
                <w:sz w:val="21"/>
                <w:szCs w:val="21"/>
                <w:highlight w:val="none"/>
                <w:lang w:val="en-US" w:eastAsia="zh-CN"/>
              </w:rPr>
              <w:t>；总挥发性有机化合物(TVOC)≤0.30mg/m</w:t>
            </w:r>
            <w:r>
              <w:rPr>
                <w:rFonts w:hint="eastAsia" w:ascii="宋体" w:hAnsi="宋体" w:cs="宋体"/>
                <w:color w:val="auto"/>
                <w:kern w:val="0"/>
                <w:sz w:val="21"/>
                <w:szCs w:val="21"/>
                <w:highlight w:val="none"/>
                <w:lang w:val="en-US" w:eastAsia="zh-CN"/>
              </w:rPr>
              <w:t>³</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w:t>
            </w:r>
          </w:p>
          <w:p w14:paraId="73AD4957">
            <w:pPr>
              <w:jc w:val="left"/>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.职员椅：</w:t>
            </w:r>
            <w:r>
              <w:rPr>
                <w:rFonts w:hint="eastAsia" w:ascii="宋体" w:hAnsi="宋体" w:eastAsia="宋体" w:cs="宋体"/>
                <w:color w:val="auto"/>
                <w:sz w:val="21"/>
                <w:szCs w:val="21"/>
                <w:highlight w:val="none"/>
                <w:lang w:val="en-US" w:eastAsia="zh-CN"/>
              </w:rPr>
              <w:t>依据QB/T 2280-2016、GB/T 35607-2024、GB/T 10125-2021、GB/T 6461-2002标准：检测金属件外观、塑料件外观、软硬包件外观；回弹性≥35%、干摩擦色牢度≥3级；力学性能均符合要求；</w:t>
            </w:r>
            <w:r>
              <w:rPr>
                <w:rFonts w:hint="eastAsia" w:ascii="宋体" w:hAnsi="宋体" w:eastAsia="宋体" w:cs="宋体"/>
                <w:color w:val="auto"/>
                <w:sz w:val="21"/>
                <w:szCs w:val="21"/>
                <w:highlight w:val="none"/>
                <w:lang w:eastAsia="zh-CN"/>
              </w:rPr>
              <w:t>产品有害物质（苯、甲苯、二甲苯、纺织品中五氯苯酚</w:t>
            </w:r>
            <w:r>
              <w:rPr>
                <w:rFonts w:hint="eastAsia" w:ascii="宋体" w:hAnsi="宋体" w:eastAsia="宋体" w:cs="宋体"/>
                <w:color w:val="auto"/>
                <w:sz w:val="21"/>
                <w:szCs w:val="21"/>
                <w:highlight w:val="none"/>
                <w:lang w:val="en-US" w:eastAsia="zh-CN"/>
              </w:rPr>
              <w:t>未检出</w:t>
            </w:r>
            <w:r>
              <w:rPr>
                <w:rFonts w:hint="eastAsia" w:ascii="宋体" w:hAnsi="宋体" w:eastAsia="宋体" w:cs="宋体"/>
                <w:color w:val="auto"/>
                <w:sz w:val="21"/>
                <w:szCs w:val="21"/>
                <w:highlight w:val="none"/>
                <w:lang w:eastAsia="zh-CN"/>
              </w:rPr>
              <w:t>、甲醛释放量</w:t>
            </w:r>
            <w:r>
              <w:rPr>
                <w:rFonts w:hint="eastAsia" w:ascii="宋体" w:hAnsi="宋体" w:eastAsia="宋体" w:cs="宋体"/>
                <w:color w:val="auto"/>
                <w:sz w:val="21"/>
                <w:szCs w:val="21"/>
                <w:highlight w:val="none"/>
                <w:lang w:val="en-US" w:eastAsia="zh-CN"/>
              </w:rPr>
              <w:t>≤0.05mg/</w:t>
            </w:r>
            <w:r>
              <w:rPr>
                <w:rFonts w:hint="eastAsia" w:ascii="宋体" w:hAnsi="宋体" w:eastAsia="宋体" w:cs="宋体"/>
                <w:color w:val="auto"/>
                <w:kern w:val="0"/>
                <w:sz w:val="21"/>
                <w:szCs w:val="21"/>
                <w:highlight w:val="none"/>
                <w:lang w:val="en-US" w:eastAsia="zh-CN"/>
              </w:rPr>
              <w:t>m</w:t>
            </w:r>
            <w:r>
              <w:rPr>
                <w:rFonts w:hint="eastAsia" w:ascii="宋体" w:hAnsi="宋体" w:cs="宋体"/>
                <w:color w:val="auto"/>
                <w:kern w:val="0"/>
                <w:sz w:val="21"/>
                <w:szCs w:val="21"/>
                <w:highlight w:val="none"/>
                <w:lang w:val="en-US" w:eastAsia="zh-CN"/>
              </w:rPr>
              <w:t>³</w:t>
            </w:r>
            <w:r>
              <w:rPr>
                <w:rFonts w:hint="eastAsia" w:ascii="宋体" w:hAnsi="宋体" w:eastAsia="宋体" w:cs="宋体"/>
                <w:color w:val="auto"/>
                <w:sz w:val="21"/>
                <w:szCs w:val="21"/>
                <w:highlight w:val="none"/>
                <w:lang w:eastAsia="zh-CN"/>
              </w:rPr>
              <w:t>；总挥发性有机化合物(TVOC)</w:t>
            </w:r>
            <w:r>
              <w:rPr>
                <w:rFonts w:hint="eastAsia" w:ascii="宋体" w:hAnsi="宋体" w:eastAsia="宋体" w:cs="宋体"/>
                <w:color w:val="auto"/>
                <w:sz w:val="21"/>
                <w:szCs w:val="21"/>
                <w:highlight w:val="none"/>
                <w:lang w:val="en-US" w:eastAsia="zh-CN"/>
              </w:rPr>
              <w:t>≤0.30mg/</w:t>
            </w:r>
            <w:r>
              <w:rPr>
                <w:rFonts w:hint="eastAsia" w:ascii="宋体" w:hAnsi="宋体" w:eastAsia="宋体" w:cs="宋体"/>
                <w:color w:val="auto"/>
                <w:kern w:val="0"/>
                <w:sz w:val="21"/>
                <w:szCs w:val="21"/>
                <w:highlight w:val="none"/>
                <w:lang w:val="en-US" w:eastAsia="zh-CN"/>
              </w:rPr>
              <w:t>m</w:t>
            </w:r>
            <w:r>
              <w:rPr>
                <w:rFonts w:hint="eastAsia" w:ascii="宋体" w:hAnsi="宋体" w:cs="宋体"/>
                <w:color w:val="auto"/>
                <w:kern w:val="0"/>
                <w:sz w:val="21"/>
                <w:szCs w:val="21"/>
                <w:highlight w:val="none"/>
                <w:lang w:val="en-US" w:eastAsia="zh-CN"/>
              </w:rPr>
              <w:t>³</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阻燃性能安全技术要求≥阻燃Ⅱ级；中性盐雾（72h）镀(涂)层对基体的保护等级(R)10级;镀(涂)层本身的耐腐蚀等级(RA)10 级</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（1分）</w:t>
            </w:r>
          </w:p>
          <w:p w14:paraId="07BE5735">
            <w:pPr>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lang w:val="en-US" w:eastAsia="zh-CN"/>
              </w:rPr>
              <w:t>不提供、缺项、检测结果不符或检测依据不符的不得分，全部符合每提供一份报告得1分，最多得</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rPr>
              <w:t>。提供符合国家标准或行业标准要求的检测报告及全国认证认可信息公共服务平台查询截图，</w:t>
            </w:r>
            <w:r>
              <w:rPr>
                <w:rFonts w:hint="eastAsia" w:ascii="宋体" w:hAnsi="宋体" w:eastAsia="宋体" w:cs="宋体"/>
                <w:b/>
                <w:bCs/>
                <w:color w:val="auto"/>
                <w:sz w:val="21"/>
                <w:szCs w:val="21"/>
                <w:highlight w:val="none"/>
                <w:lang w:val="en-US" w:eastAsia="zh-CN"/>
              </w:rPr>
              <w:t>未提供不得分</w:t>
            </w:r>
            <w:r>
              <w:rPr>
                <w:rFonts w:hint="eastAsia" w:ascii="宋体" w:hAnsi="宋体" w:eastAsia="宋体" w:cs="宋体"/>
                <w:b/>
                <w:bCs/>
                <w:color w:val="auto"/>
                <w:sz w:val="21"/>
                <w:szCs w:val="21"/>
                <w:highlight w:val="none"/>
              </w:rPr>
              <w:t>。中标后采购人可随时核验原件，如投标人虚假应标，并影响中标结果的，则取消其资格并依法承担相应法律责任。</w:t>
            </w:r>
          </w:p>
        </w:tc>
        <w:tc>
          <w:tcPr>
            <w:tcW w:w="346" w:type="pct"/>
            <w:noWrap w:val="0"/>
            <w:vAlign w:val="center"/>
          </w:tcPr>
          <w:p w14:paraId="57919268">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noWrap w:val="0"/>
            <w:vAlign w:val="center"/>
          </w:tcPr>
          <w:p w14:paraId="63D09D8F">
            <w:pPr>
              <w:widowControl/>
              <w:spacing w:line="240" w:lineRule="auto"/>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3500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5C8C1FD9">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33383450">
            <w:pPr>
              <w:widowControl/>
              <w:spacing w:line="240" w:lineRule="auto"/>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原材料检测报告</w:t>
            </w:r>
          </w:p>
        </w:tc>
        <w:tc>
          <w:tcPr>
            <w:tcW w:w="3645" w:type="pct"/>
            <w:noWrap w:val="0"/>
            <w:vAlign w:val="center"/>
          </w:tcPr>
          <w:p w14:paraId="233A2EAD">
            <w:pPr>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投标人提供具备</w:t>
            </w:r>
            <w:r>
              <w:rPr>
                <w:rFonts w:hint="eastAsia" w:ascii="宋体" w:hAnsi="宋体" w:cs="宋体"/>
                <w:b/>
                <w:bCs/>
                <w:color w:val="auto"/>
                <w:sz w:val="21"/>
                <w:szCs w:val="21"/>
                <w:highlight w:val="none"/>
                <w:lang w:val="en-US" w:eastAsia="zh-CN"/>
              </w:rPr>
              <w:t>相关</w:t>
            </w:r>
            <w:r>
              <w:rPr>
                <w:rFonts w:hint="eastAsia" w:ascii="宋体" w:hAnsi="宋体" w:eastAsia="宋体" w:cs="宋体"/>
                <w:b/>
                <w:bCs/>
                <w:color w:val="auto"/>
                <w:sz w:val="21"/>
                <w:szCs w:val="21"/>
                <w:highlight w:val="none"/>
              </w:rPr>
              <w:t>资质的第三方检测机构出具的检测报告：</w:t>
            </w:r>
          </w:p>
          <w:p w14:paraId="78BDC210">
            <w:pPr>
              <w:keepNext w:val="0"/>
              <w:keepLines w:val="0"/>
              <w:pageBreakBefore w:val="0"/>
              <w:widowControl w:val="0"/>
              <w:kinsoku/>
              <w:wordWrap/>
              <w:overflowPunct/>
              <w:topLinePunct w:val="0"/>
              <w:autoSpaceDE/>
              <w:autoSpaceDN/>
              <w:bidi w:val="0"/>
              <w:adjustRightInd w:val="0"/>
              <w:snapToGrid w:val="0"/>
              <w:spacing w:after="157" w:afterLines="50" w:line="240" w:lineRule="auto"/>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.实木多层板:</w:t>
            </w:r>
            <w:r>
              <w:rPr>
                <w:rFonts w:hint="eastAsia" w:ascii="宋体" w:hAnsi="宋体" w:eastAsia="宋体" w:cs="宋体"/>
                <w:color w:val="auto"/>
                <w:kern w:val="0"/>
                <w:sz w:val="21"/>
                <w:szCs w:val="21"/>
                <w:highlight w:val="none"/>
                <w:lang w:val="en-US" w:eastAsia="zh-CN"/>
              </w:rPr>
              <w:t>符合GB/T 18101-2024、GB/T 35601-2024、LY/T 1926-2020、JC/T 2039-2010、GB/T 44689-2024、GB/T 20284-2006、GB/T 20285-2006标准：外观质量达到一等品；理化性能、胶合强度、甲醛释放量</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苯、甲苯、二甲苯、总挥发性有机化合物、可溶性重金属等符合要求；燃烧性能B1级；产烟特性S1、烟气毒性T1符合要求；抑菌率≥99%；防霉菌等级</w:t>
            </w:r>
            <w:r>
              <w:rPr>
                <w:rFonts w:hint="eastAsia" w:ascii="宋体" w:hAnsi="宋体" w:cs="宋体"/>
                <w:color w:val="auto"/>
                <w:kern w:val="0"/>
                <w:sz w:val="21"/>
                <w:szCs w:val="21"/>
                <w:highlight w:val="none"/>
                <w:lang w:val="en-US" w:eastAsia="zh-CN"/>
              </w:rPr>
              <w:t>不低于</w:t>
            </w:r>
            <w:r>
              <w:rPr>
                <w:rFonts w:hint="eastAsia" w:ascii="宋体" w:hAnsi="宋体" w:eastAsia="宋体" w:cs="宋体"/>
                <w:color w:val="auto"/>
                <w:kern w:val="0"/>
                <w:sz w:val="21"/>
                <w:szCs w:val="21"/>
                <w:highlight w:val="none"/>
                <w:lang w:val="en-US" w:eastAsia="zh-CN"/>
              </w:rPr>
              <w:t>1级；</w:t>
            </w:r>
            <w:r>
              <w:rPr>
                <w:rFonts w:hint="eastAsia" w:ascii="宋体" w:hAnsi="宋体" w:cs="宋体"/>
                <w:color w:val="auto"/>
                <w:kern w:val="0"/>
                <w:sz w:val="21"/>
                <w:szCs w:val="21"/>
                <w:highlight w:val="none"/>
                <w:lang w:val="en-US" w:eastAsia="zh-CN"/>
              </w:rPr>
              <w:t>气味分级不低于1级；</w:t>
            </w:r>
            <w:r>
              <w:rPr>
                <w:rFonts w:hint="eastAsia" w:ascii="宋体" w:hAnsi="宋体" w:eastAsia="宋体" w:cs="宋体"/>
                <w:color w:val="auto"/>
                <w:kern w:val="0"/>
                <w:sz w:val="21"/>
                <w:szCs w:val="21"/>
                <w:highlight w:val="none"/>
                <w:lang w:bidi="ar"/>
              </w:rPr>
              <w:t>（1分）</w:t>
            </w:r>
          </w:p>
          <w:p w14:paraId="5C8B55A7">
            <w:pPr>
              <w:keepNext w:val="0"/>
              <w:keepLines w:val="0"/>
              <w:pageBreakBefore w:val="0"/>
              <w:widowControl w:val="0"/>
              <w:kinsoku/>
              <w:wordWrap/>
              <w:overflowPunct/>
              <w:topLinePunct w:val="0"/>
              <w:autoSpaceDE/>
              <w:autoSpaceDN/>
              <w:bidi w:val="0"/>
              <w:adjustRightInd w:val="0"/>
              <w:snapToGrid w:val="0"/>
              <w:spacing w:after="157" w:afterLines="50" w:line="240" w:lineRule="auto"/>
              <w:jc w:val="both"/>
              <w:textAlignment w:val="auto"/>
              <w:rPr>
                <w:rFonts w:hint="eastAsia" w:ascii="宋体" w:hAnsi="宋体" w:eastAsia="宋体" w:cs="宋体"/>
                <w:color w:val="auto"/>
                <w:kern w:val="0"/>
                <w:sz w:val="21"/>
                <w:szCs w:val="21"/>
                <w:highlight w:val="none"/>
                <w:lang w:bidi="ar"/>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.冷轧钢板</w:t>
            </w:r>
            <w:r>
              <w:rPr>
                <w:rFonts w:hint="eastAsia" w:ascii="宋体" w:hAnsi="宋体" w:eastAsia="宋体" w:cs="宋体"/>
                <w:color w:val="auto"/>
                <w:kern w:val="0"/>
                <w:sz w:val="21"/>
                <w:szCs w:val="21"/>
                <w:highlight w:val="none"/>
                <w:lang w:val="en-US" w:eastAsia="zh-CN"/>
              </w:rPr>
              <w:t>：依据GB/T 3325-2024、GB/T 13237-2013、GB/T 699-2015、GB/T 6461-2002、QB/T 3832-1999、GB/T 9450-2005、GB/T 11354-2005标准：金属件外观、金属喷漆(塑)涂层理化性能、弯曲试验、表面质量等符合标准要求;抗拉强度≥325MPa、下屈服强度≥195MPa；（中性盐雾（72h）镀(涂)层对基体的保护等级(R)10级;镀(涂)层本身的耐腐蚀等级(RA)10 级；乙酸盐雾（72h）镀(涂)层对基体的保护等级(R)10级;镀(涂)层本身的耐腐蚀等级(RA)10 级，渗碳层深度≥0.5mm、渗氮层深度≥0.3mm；</w:t>
            </w:r>
            <w:r>
              <w:rPr>
                <w:rFonts w:hint="eastAsia" w:ascii="宋体" w:hAnsi="宋体" w:eastAsia="宋体" w:cs="宋体"/>
                <w:color w:val="auto"/>
                <w:kern w:val="0"/>
                <w:sz w:val="21"/>
                <w:szCs w:val="21"/>
                <w:highlight w:val="none"/>
                <w:lang w:bidi="ar"/>
              </w:rPr>
              <w:t>（1分）</w:t>
            </w:r>
          </w:p>
          <w:p w14:paraId="50CC6CC8">
            <w:pPr>
              <w:keepNext w:val="0"/>
              <w:keepLines w:val="0"/>
              <w:pageBreakBefore w:val="0"/>
              <w:widowControl w:val="0"/>
              <w:kinsoku/>
              <w:wordWrap/>
              <w:overflowPunct/>
              <w:topLinePunct w:val="0"/>
              <w:autoSpaceDE/>
              <w:autoSpaceDN/>
              <w:bidi w:val="0"/>
              <w:adjustRightInd w:val="0"/>
              <w:snapToGrid w:val="0"/>
              <w:spacing w:after="157" w:afterLines="50" w:line="240" w:lineRule="auto"/>
              <w:jc w:val="both"/>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.塑粉：</w:t>
            </w:r>
            <w:r>
              <w:rPr>
                <w:rFonts w:hint="eastAsia" w:ascii="宋体" w:hAnsi="宋体" w:eastAsia="宋体" w:cs="宋体"/>
                <w:color w:val="auto"/>
                <w:kern w:val="0"/>
                <w:sz w:val="21"/>
                <w:szCs w:val="21"/>
                <w:highlight w:val="none"/>
                <w:lang w:val="en-US" w:eastAsia="zh-CN"/>
              </w:rPr>
              <w:t>依据HG/T 2006-2022、GB/T 9274-1988、GB/T 1766-2008、GB/T 35602-2017、GB/T 1740-2007标准，附着力≤1级，铅笔硬度（内聚破坏中擦伤）≥H，耐冲击性（正向冲击）：50cm无皱纹、裂纹及剥落，弯曲试验≤4mm,耐沸水性1h无异常，500h划痕处单向腐蚀蔓延宽度≤2.0mm，未划痕区无起泡、生锈、开裂、剥落等异常现象；耐碱性（5%NaOH）168h无异常，耐酸性（3%HCI）240h无异常；甲醛释放量、（铅、镉、六价铬、汞、砷、钡、硒、锑、钴）9大重金属元素含量均符合要求；耐湿热性（48h）：无生锈、起泡、变色、开裂；（1分）</w:t>
            </w:r>
          </w:p>
          <w:p w14:paraId="1D40EB6D">
            <w:pPr>
              <w:keepNext w:val="0"/>
              <w:keepLines w:val="0"/>
              <w:pageBreakBefore w:val="0"/>
              <w:widowControl w:val="0"/>
              <w:kinsoku/>
              <w:wordWrap/>
              <w:overflowPunct/>
              <w:topLinePunct w:val="0"/>
              <w:autoSpaceDE/>
              <w:autoSpaceDN/>
              <w:bidi w:val="0"/>
              <w:adjustRightInd w:val="0"/>
              <w:snapToGrid w:val="0"/>
              <w:spacing w:after="157" w:afterLines="50"/>
              <w:textAlignment w:val="auto"/>
              <w:rPr>
                <w:rFonts w:hint="eastAsia" w:ascii="宋体" w:hAnsi="宋体" w:eastAsia="宋体" w:cs="宋体"/>
                <w:color w:val="auto"/>
                <w:sz w:val="21"/>
                <w:szCs w:val="21"/>
                <w:highlight w:val="none"/>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.塑料件：</w:t>
            </w:r>
            <w:r>
              <w:rPr>
                <w:rFonts w:hint="eastAsia" w:ascii="宋体" w:hAnsi="宋体" w:eastAsia="宋体" w:cs="宋体"/>
                <w:color w:val="auto"/>
                <w:kern w:val="0"/>
                <w:sz w:val="21"/>
                <w:szCs w:val="21"/>
                <w:highlight w:val="none"/>
                <w:lang w:val="en-US" w:eastAsia="zh-CN"/>
              </w:rPr>
              <w:t>依据GB/T 22048-2022、GB/T 32487-2016标准</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(DBP、BBP、DEHP)三种增塑剂总含量≤0.1%，(DNOP、DINP、DIDP)三种增塑剂总含量≤0.1%；塑料件外观；耐老化性室内用外观颜色变色评级≥3级，耐老化性室内用冲击强度保持率≥60%，冲击强度≥10J/㎡；（1分）</w:t>
            </w:r>
          </w:p>
          <w:p w14:paraId="02012AE3">
            <w:pPr>
              <w:widowControl/>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lang w:val="en-US" w:eastAsia="zh-CN"/>
              </w:rPr>
              <w:t>最多得</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分，不提供、缺项、检测结果不符或检测依据不符的</w:t>
            </w:r>
            <w:r>
              <w:rPr>
                <w:rFonts w:hint="eastAsia" w:ascii="宋体" w:hAnsi="宋体" w:cs="宋体"/>
                <w:b/>
                <w:bCs/>
                <w:color w:val="auto"/>
                <w:sz w:val="21"/>
                <w:szCs w:val="21"/>
                <w:highlight w:val="none"/>
                <w:lang w:val="en-US" w:eastAsia="zh-CN"/>
              </w:rPr>
              <w:t>每项</w:t>
            </w:r>
            <w:r>
              <w:rPr>
                <w:rFonts w:hint="eastAsia" w:ascii="宋体" w:hAnsi="宋体" w:eastAsia="宋体" w:cs="宋体"/>
                <w:b/>
                <w:bCs/>
                <w:color w:val="auto"/>
                <w:sz w:val="21"/>
                <w:szCs w:val="21"/>
                <w:highlight w:val="none"/>
              </w:rPr>
              <w:t>扣1分，扣完为止。提供符合国家标准或行业标准要求的检测报告及全国认证认可信息公共服务平台查询截图，</w:t>
            </w:r>
            <w:r>
              <w:rPr>
                <w:rFonts w:hint="eastAsia" w:ascii="宋体" w:hAnsi="宋体" w:eastAsia="宋体" w:cs="宋体"/>
                <w:b/>
                <w:bCs/>
                <w:color w:val="auto"/>
                <w:sz w:val="21"/>
                <w:szCs w:val="21"/>
                <w:highlight w:val="none"/>
                <w:lang w:val="en-US" w:eastAsia="zh-CN"/>
              </w:rPr>
              <w:t>未提供不得分</w:t>
            </w:r>
            <w:r>
              <w:rPr>
                <w:rFonts w:hint="eastAsia" w:ascii="宋体" w:hAnsi="宋体" w:eastAsia="宋体" w:cs="宋体"/>
                <w:b/>
                <w:bCs/>
                <w:color w:val="auto"/>
                <w:sz w:val="21"/>
                <w:szCs w:val="21"/>
                <w:highlight w:val="none"/>
              </w:rPr>
              <w:t>。中标后采购人可随时核验原件，如投标人虚假应标，并影响中标结果的，则取消其资格并依法承担相应法律责任。</w:t>
            </w:r>
          </w:p>
        </w:tc>
        <w:tc>
          <w:tcPr>
            <w:tcW w:w="346" w:type="pct"/>
            <w:noWrap w:val="0"/>
            <w:vAlign w:val="center"/>
          </w:tcPr>
          <w:p w14:paraId="6643E1A6">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noWrap w:val="0"/>
            <w:vAlign w:val="center"/>
          </w:tcPr>
          <w:p w14:paraId="7535A5F2">
            <w:pPr>
              <w:widowControl/>
              <w:spacing w:line="240" w:lineRule="auto"/>
              <w:jc w:val="left"/>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2209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2F562DDD">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316C0671">
            <w:pPr>
              <w:widowControl/>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核心专业生产设备</w:t>
            </w:r>
          </w:p>
        </w:tc>
        <w:tc>
          <w:tcPr>
            <w:tcW w:w="3645" w:type="pct"/>
            <w:noWrap w:val="0"/>
            <w:vAlign w:val="center"/>
          </w:tcPr>
          <w:p w14:paraId="0BAEE622">
            <w:pPr>
              <w:widowControl/>
              <w:snapToGrid w:val="0"/>
              <w:jc w:val="left"/>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投标人提供</w:t>
            </w:r>
            <w:r>
              <w:rPr>
                <w:rFonts w:hint="eastAsia" w:ascii="宋体" w:hAnsi="宋体" w:eastAsia="宋体" w:cs="宋体"/>
                <w:color w:val="auto"/>
                <w:kern w:val="0"/>
                <w:sz w:val="21"/>
                <w:szCs w:val="21"/>
                <w:highlight w:val="none"/>
                <w:lang w:val="en-US" w:eastAsia="zh-CN"/>
              </w:rPr>
              <w:t>关于此项目</w:t>
            </w:r>
            <w:r>
              <w:rPr>
                <w:rFonts w:hint="eastAsia" w:ascii="宋体" w:hAnsi="宋体" w:eastAsia="宋体" w:cs="宋体"/>
                <w:color w:val="auto"/>
                <w:kern w:val="0"/>
                <w:sz w:val="21"/>
                <w:szCs w:val="21"/>
                <w:highlight w:val="none"/>
                <w:lang w:val="zh-CN" w:eastAsia="zh-CN"/>
              </w:rPr>
              <w:t>的核心专业生产相关设备：</w:t>
            </w:r>
          </w:p>
          <w:p w14:paraId="33D06922">
            <w:pPr>
              <w:widowControl/>
              <w:snapToGrid w:val="0"/>
              <w:jc w:val="left"/>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高频拼板机、立卧带式砂光机、底漆砂光机、数控榫槽加工中心、全自动数控喷漆机、多排多轴钻、水帘式喷房、无尘环保打磨设备</w:t>
            </w:r>
            <w:r>
              <w:rPr>
                <w:rFonts w:hint="eastAsia" w:ascii="宋体" w:hAnsi="宋体" w:cs="宋体"/>
                <w:color w:val="auto"/>
                <w:kern w:val="0"/>
                <w:sz w:val="21"/>
                <w:szCs w:val="21"/>
                <w:highlight w:val="none"/>
                <w:lang w:val="zh-CN" w:eastAsia="zh-CN"/>
              </w:rPr>
              <w:t>、</w:t>
            </w:r>
            <w:r>
              <w:rPr>
                <w:rFonts w:hint="eastAsia" w:ascii="宋体" w:hAnsi="宋体" w:eastAsia="宋体" w:cs="宋体"/>
                <w:color w:val="auto"/>
                <w:kern w:val="0"/>
                <w:sz w:val="21"/>
                <w:szCs w:val="21"/>
                <w:highlight w:val="none"/>
                <w:lang w:val="en-US" w:eastAsia="zh-CN"/>
              </w:rPr>
              <w:t>钢制家具喷涂生产线、全自动切管机、弯管机</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eastAsia="zh-CN"/>
              </w:rPr>
              <w:t>高速平板缝纫机、</w:t>
            </w:r>
            <w:r>
              <w:rPr>
                <w:rFonts w:hint="eastAsia" w:ascii="宋体" w:hAnsi="宋体" w:eastAsia="宋体" w:cs="宋体"/>
                <w:color w:val="auto"/>
                <w:kern w:val="0"/>
                <w:sz w:val="21"/>
                <w:szCs w:val="21"/>
                <w:highlight w:val="none"/>
                <w:lang w:val="en-US" w:eastAsia="zh-CN"/>
              </w:rPr>
              <w:t>海绵</w:t>
            </w:r>
            <w:r>
              <w:rPr>
                <w:rFonts w:hint="eastAsia" w:ascii="宋体" w:hAnsi="宋体" w:eastAsia="宋体" w:cs="宋体"/>
                <w:color w:val="auto"/>
                <w:kern w:val="0"/>
                <w:sz w:val="21"/>
                <w:szCs w:val="21"/>
                <w:highlight w:val="none"/>
                <w:lang w:val="zh-CN" w:eastAsia="zh-CN"/>
              </w:rPr>
              <w:t>切割机；</w:t>
            </w:r>
          </w:p>
          <w:p w14:paraId="29F718E6">
            <w:pPr>
              <w:widowControl/>
              <w:snapToGrid w:val="0"/>
              <w:jc w:val="left"/>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污染防治设备：智能污染防治中央除尘环保设备；</w:t>
            </w:r>
          </w:p>
          <w:p w14:paraId="29DAE782">
            <w:pPr>
              <w:pStyle w:val="24"/>
              <w:spacing w:line="240" w:lineRule="auto"/>
              <w:ind w:firstLine="0" w:firstLineChars="0"/>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提供十二个以上设备得</w:t>
            </w:r>
            <w:r>
              <w:rPr>
                <w:rFonts w:hint="eastAsia" w:ascii="宋体" w:hAnsi="宋体" w:cs="宋体"/>
                <w:b/>
                <w:bCs/>
                <w:color w:val="auto"/>
                <w:kern w:val="2"/>
                <w:sz w:val="21"/>
                <w:szCs w:val="21"/>
                <w:highlight w:val="none"/>
                <w:lang w:val="en-US" w:eastAsia="zh-CN" w:bidi="ar-SA"/>
              </w:rPr>
              <w:t>4</w:t>
            </w:r>
            <w:r>
              <w:rPr>
                <w:rFonts w:hint="eastAsia" w:ascii="宋体" w:hAnsi="宋体" w:eastAsia="宋体" w:cs="宋体"/>
                <w:b/>
                <w:bCs/>
                <w:color w:val="auto"/>
                <w:kern w:val="2"/>
                <w:sz w:val="21"/>
                <w:szCs w:val="21"/>
                <w:highlight w:val="none"/>
                <w:lang w:val="en-US" w:eastAsia="zh-CN" w:bidi="ar-SA"/>
              </w:rPr>
              <w:t>分，提供六个以上设备得</w:t>
            </w:r>
            <w:r>
              <w:rPr>
                <w:rFonts w:hint="eastAsia" w:ascii="宋体" w:hAnsi="宋体" w:cs="宋体"/>
                <w:b/>
                <w:bCs/>
                <w:color w:val="auto"/>
                <w:kern w:val="2"/>
                <w:sz w:val="21"/>
                <w:szCs w:val="21"/>
                <w:highlight w:val="none"/>
                <w:lang w:val="en-US" w:eastAsia="zh-CN" w:bidi="ar-SA"/>
              </w:rPr>
              <w:t>2</w:t>
            </w:r>
            <w:r>
              <w:rPr>
                <w:rFonts w:hint="eastAsia" w:ascii="宋体" w:hAnsi="宋体" w:eastAsia="宋体" w:cs="宋体"/>
                <w:b/>
                <w:bCs/>
                <w:color w:val="auto"/>
                <w:kern w:val="2"/>
                <w:sz w:val="21"/>
                <w:szCs w:val="21"/>
                <w:highlight w:val="none"/>
                <w:lang w:val="en-US" w:eastAsia="zh-CN" w:bidi="ar-SA"/>
              </w:rPr>
              <w:t>分，提供五个以下设备得1分；不提供则不得分。</w:t>
            </w:r>
          </w:p>
          <w:p w14:paraId="731784A6">
            <w:pPr>
              <w:pStyle w:val="24"/>
              <w:spacing w:line="240" w:lineRule="auto"/>
              <w:ind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为确保设备已经在投入使用，需提供有效证明材料：【证明材料：1）提供设备清单及现场照片、购置发票</w:t>
            </w:r>
            <w:r>
              <w:rPr>
                <w:rFonts w:hint="eastAsia" w:ascii="宋体" w:hAnsi="宋体" w:eastAsia="宋体" w:cs="宋体"/>
                <w:b/>
                <w:bCs/>
                <w:color w:val="auto"/>
                <w:sz w:val="21"/>
                <w:szCs w:val="21"/>
                <w:highlight w:val="none"/>
                <w:lang w:val="zh-CN"/>
              </w:rPr>
              <w:t>或者租赁协议</w:t>
            </w:r>
            <w:r>
              <w:rPr>
                <w:rFonts w:hint="eastAsia" w:ascii="宋体" w:hAnsi="宋体" w:eastAsia="宋体" w:cs="宋体"/>
                <w:b/>
                <w:bCs/>
                <w:color w:val="auto"/>
                <w:sz w:val="21"/>
                <w:szCs w:val="21"/>
                <w:highlight w:val="none"/>
              </w:rPr>
              <w:t>及发票扫描件，否则不得分。2）如设备名称与上述描述不一致，可用类似性能的设备替代，但需提供发票对应设备性能描述的证明材料，否则不得分。】</w:t>
            </w:r>
          </w:p>
        </w:tc>
        <w:tc>
          <w:tcPr>
            <w:tcW w:w="346" w:type="pct"/>
            <w:noWrap w:val="0"/>
            <w:vAlign w:val="center"/>
          </w:tcPr>
          <w:p w14:paraId="02AB9491">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noWrap w:val="0"/>
            <w:vAlign w:val="center"/>
          </w:tcPr>
          <w:p w14:paraId="74447EC1">
            <w:pPr>
              <w:widowControl/>
              <w:spacing w:line="240" w:lineRule="auto"/>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125D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4F22A835">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2930EF69">
            <w:pPr>
              <w:widowControl/>
              <w:spacing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科技创新</w:t>
            </w:r>
          </w:p>
        </w:tc>
        <w:tc>
          <w:tcPr>
            <w:tcW w:w="3645" w:type="pct"/>
            <w:shd w:val="clear" w:color="auto" w:fill="auto"/>
            <w:noWrap w:val="0"/>
            <w:vAlign w:val="center"/>
          </w:tcPr>
          <w:p w14:paraId="7AC996DD">
            <w:pPr>
              <w:bidi w:val="0"/>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sz w:val="21"/>
                <w:szCs w:val="21"/>
                <w:highlight w:val="none"/>
                <w:lang w:val="en-US" w:eastAsia="zh-CN"/>
              </w:rPr>
              <w:t>投标人或生产商提供一项与采购标的相关产品的发明专利得1分；</w:t>
            </w:r>
          </w:p>
        </w:tc>
        <w:tc>
          <w:tcPr>
            <w:tcW w:w="346" w:type="pct"/>
            <w:shd w:val="clear" w:color="auto" w:fill="auto"/>
            <w:noWrap w:val="0"/>
            <w:vAlign w:val="center"/>
          </w:tcPr>
          <w:p w14:paraId="34F77FB5">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w:t>
            </w:r>
          </w:p>
        </w:tc>
        <w:tc>
          <w:tcPr>
            <w:tcW w:w="349" w:type="pct"/>
            <w:shd w:val="clear" w:color="auto" w:fill="auto"/>
            <w:noWrap w:val="0"/>
            <w:vAlign w:val="center"/>
          </w:tcPr>
          <w:p w14:paraId="2DEE5604">
            <w:pPr>
              <w:widowControl/>
              <w:spacing w:line="240" w:lineRule="auto"/>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客观分</w:t>
            </w:r>
          </w:p>
        </w:tc>
      </w:tr>
      <w:tr w14:paraId="2713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3A11C172">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restart"/>
            <w:noWrap w:val="0"/>
            <w:vAlign w:val="center"/>
          </w:tcPr>
          <w:p w14:paraId="5D6338C6">
            <w:pPr>
              <w:widowControl/>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实施方案</w:t>
            </w:r>
          </w:p>
        </w:tc>
        <w:tc>
          <w:tcPr>
            <w:tcW w:w="3645" w:type="pct"/>
            <w:noWrap w:val="0"/>
            <w:vAlign w:val="center"/>
          </w:tcPr>
          <w:p w14:paraId="48479BBB">
            <w:pPr>
              <w:bidi w:val="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项目重难点分析和解决方案：</w:t>
            </w:r>
          </w:p>
          <w:p w14:paraId="273B1338">
            <w:pPr>
              <w:numPr>
                <w:ilvl w:val="0"/>
                <w:numId w:val="17"/>
              </w:numPr>
              <w:bidi w:val="0"/>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根据项目需求内容的重难点进行分析，根据分析情况的详细程度和针对性强弱进行评判：内容详细，针对性强的得2分；内容一般，针对性一般的得1分；</w:t>
            </w:r>
          </w:p>
          <w:p w14:paraId="1082A638">
            <w:pPr>
              <w:numPr>
                <w:ilvl w:val="0"/>
                <w:numId w:val="17"/>
              </w:numPr>
              <w:bidi w:val="0"/>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提出项目需求重难点解决方案，根据方案的</w:t>
            </w:r>
            <w:r>
              <w:rPr>
                <w:rFonts w:hint="eastAsia" w:ascii="宋体" w:hAnsi="宋体" w:eastAsia="宋体" w:cs="宋体"/>
                <w:b w:val="0"/>
                <w:bCs w:val="0"/>
                <w:color w:val="auto"/>
                <w:sz w:val="21"/>
                <w:szCs w:val="21"/>
                <w:highlight w:val="none"/>
                <w:lang w:val="en-US" w:eastAsia="zh-CN"/>
              </w:rPr>
              <w:t>详细</w:t>
            </w:r>
            <w:r>
              <w:rPr>
                <w:rFonts w:hint="eastAsia" w:ascii="宋体" w:hAnsi="宋体" w:cs="宋体"/>
                <w:b w:val="0"/>
                <w:bCs w:val="0"/>
                <w:color w:val="auto"/>
                <w:sz w:val="21"/>
                <w:szCs w:val="21"/>
                <w:highlight w:val="none"/>
                <w:lang w:val="en-US" w:eastAsia="zh-CN"/>
              </w:rPr>
              <w:t>程度、合理性和</w:t>
            </w:r>
            <w:r>
              <w:rPr>
                <w:rFonts w:hint="eastAsia" w:ascii="宋体" w:hAnsi="宋体" w:eastAsia="宋体" w:cs="宋体"/>
                <w:b w:val="0"/>
                <w:bCs w:val="0"/>
                <w:color w:val="auto"/>
                <w:sz w:val="21"/>
                <w:szCs w:val="21"/>
                <w:highlight w:val="none"/>
                <w:lang w:val="en-US" w:eastAsia="zh-CN"/>
              </w:rPr>
              <w:t>针对性强</w:t>
            </w:r>
            <w:r>
              <w:rPr>
                <w:rFonts w:hint="eastAsia" w:ascii="宋体" w:hAnsi="宋体" w:cs="宋体"/>
                <w:b w:val="0"/>
                <w:bCs w:val="0"/>
                <w:color w:val="auto"/>
                <w:sz w:val="21"/>
                <w:szCs w:val="21"/>
                <w:highlight w:val="none"/>
                <w:lang w:val="en-US" w:eastAsia="zh-CN"/>
              </w:rPr>
              <w:t>弱进行评判：内容详细，方案合理，针对性强的得2分；内容一般，方案合理一般，针对性较弱的得1分；不提供不得分。</w:t>
            </w:r>
          </w:p>
        </w:tc>
        <w:tc>
          <w:tcPr>
            <w:tcW w:w="346" w:type="pct"/>
            <w:noWrap w:val="0"/>
            <w:vAlign w:val="center"/>
          </w:tcPr>
          <w:p w14:paraId="5DD6B234">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restart"/>
            <w:noWrap w:val="0"/>
            <w:vAlign w:val="center"/>
          </w:tcPr>
          <w:p w14:paraId="2ABC6627">
            <w:pPr>
              <w:widowControl/>
              <w:spacing w:line="240" w:lineRule="auto"/>
              <w:jc w:val="center"/>
              <w:rPr>
                <w:rFonts w:hint="eastAsia" w:ascii="宋体" w:hAnsi="宋体" w:cs="宋体"/>
                <w:color w:val="auto"/>
                <w:kern w:val="0"/>
                <w:sz w:val="21"/>
                <w:szCs w:val="21"/>
                <w:highlight w:val="none"/>
                <w:lang w:val="en-US" w:eastAsia="zh-CN"/>
              </w:rPr>
            </w:pPr>
            <w:r>
              <w:rPr>
                <w:rFonts w:hint="eastAsia" w:ascii="宋体" w:hAnsi="宋体" w:cs="宋体"/>
                <w:b w:val="0"/>
                <w:bCs/>
                <w:color w:val="auto"/>
                <w:sz w:val="21"/>
                <w:szCs w:val="21"/>
                <w:highlight w:val="none"/>
                <w:lang w:val="en-US" w:eastAsia="zh-CN"/>
              </w:rPr>
              <w:t>主观分</w:t>
            </w:r>
          </w:p>
        </w:tc>
      </w:tr>
      <w:tr w14:paraId="7C8B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4A980854">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continue"/>
            <w:noWrap w:val="0"/>
            <w:vAlign w:val="center"/>
          </w:tcPr>
          <w:p w14:paraId="75D308B2">
            <w:pPr>
              <w:widowControl/>
              <w:spacing w:line="240" w:lineRule="auto"/>
              <w:jc w:val="center"/>
              <w:rPr>
                <w:rFonts w:hint="eastAsia" w:ascii="宋体" w:hAnsi="宋体" w:eastAsia="宋体" w:cs="宋体"/>
                <w:b w:val="0"/>
                <w:bCs/>
                <w:color w:val="auto"/>
                <w:sz w:val="21"/>
                <w:szCs w:val="21"/>
                <w:highlight w:val="none"/>
                <w:lang w:val="en-US" w:eastAsia="zh-CN"/>
              </w:rPr>
            </w:pPr>
          </w:p>
        </w:tc>
        <w:tc>
          <w:tcPr>
            <w:tcW w:w="3645" w:type="pct"/>
            <w:noWrap w:val="0"/>
            <w:vAlign w:val="center"/>
          </w:tcPr>
          <w:p w14:paraId="6ED26C09">
            <w:pPr>
              <w:bidi w:val="0"/>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rPr>
              <w:t>项目实施规划方案，提出合理的项目整体实施方案，能按照项目分解节点，并可跟踪实施。根据投标人提供的方案</w:t>
            </w:r>
            <w:r>
              <w:rPr>
                <w:rFonts w:hint="eastAsia" w:ascii="宋体" w:hAnsi="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否</w:t>
            </w:r>
            <w:r>
              <w:rPr>
                <w:rFonts w:hint="eastAsia" w:ascii="宋体" w:hAnsi="宋体" w:cs="宋体"/>
                <w:b w:val="0"/>
                <w:bCs w:val="0"/>
                <w:color w:val="auto"/>
                <w:sz w:val="21"/>
                <w:szCs w:val="21"/>
                <w:highlight w:val="none"/>
                <w:lang w:val="en-US" w:eastAsia="zh-CN"/>
              </w:rPr>
              <w:t>能</w:t>
            </w:r>
            <w:r>
              <w:rPr>
                <w:rFonts w:hint="eastAsia" w:ascii="宋体" w:hAnsi="宋体" w:eastAsia="宋体" w:cs="宋体"/>
                <w:b w:val="0"/>
                <w:bCs w:val="0"/>
                <w:color w:val="auto"/>
                <w:sz w:val="21"/>
                <w:szCs w:val="21"/>
                <w:highlight w:val="none"/>
              </w:rPr>
              <w:t>满足采购需求</w:t>
            </w:r>
            <w:r>
              <w:rPr>
                <w:rFonts w:hint="eastAsia" w:ascii="宋体" w:hAnsi="宋体" w:cs="宋体"/>
                <w:b w:val="0"/>
                <w:bCs w:val="0"/>
                <w:color w:val="auto"/>
                <w:sz w:val="21"/>
                <w:szCs w:val="21"/>
                <w:highlight w:val="none"/>
                <w:lang w:val="en-US" w:eastAsia="zh-CN"/>
              </w:rPr>
              <w:t>及方案的完善性，可实施性，可操作性进行评判：方案完善合理，可实施性强，操作性强的得4分；方案欠完善但合理，可实施性较强，操作性强的得3分；方案欠完善且合理较弱，可实施性一般，操作性一般的得2分；方案欠缺，具有可实施性，操作性较差的得1分；不提供不得分。</w:t>
            </w:r>
          </w:p>
        </w:tc>
        <w:tc>
          <w:tcPr>
            <w:tcW w:w="346" w:type="pct"/>
            <w:noWrap w:val="0"/>
            <w:vAlign w:val="center"/>
          </w:tcPr>
          <w:p w14:paraId="1539C6DD">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continue"/>
            <w:noWrap w:val="0"/>
            <w:vAlign w:val="center"/>
          </w:tcPr>
          <w:p w14:paraId="0291F886">
            <w:pPr>
              <w:bidi w:val="0"/>
              <w:rPr>
                <w:rFonts w:hint="eastAsia" w:ascii="宋体" w:hAnsi="宋体" w:cs="宋体"/>
                <w:color w:val="auto"/>
                <w:kern w:val="0"/>
                <w:sz w:val="21"/>
                <w:szCs w:val="21"/>
                <w:highlight w:val="none"/>
                <w:lang w:val="en-US" w:eastAsia="zh-CN"/>
              </w:rPr>
            </w:pPr>
          </w:p>
        </w:tc>
      </w:tr>
      <w:tr w14:paraId="57EA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5E514F7F">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continue"/>
            <w:noWrap w:val="0"/>
            <w:vAlign w:val="center"/>
          </w:tcPr>
          <w:p w14:paraId="7341FD84">
            <w:pPr>
              <w:widowControl/>
              <w:spacing w:line="240" w:lineRule="auto"/>
              <w:jc w:val="center"/>
              <w:rPr>
                <w:rFonts w:hint="eastAsia" w:ascii="宋体" w:hAnsi="宋体" w:eastAsia="宋体" w:cs="宋体"/>
                <w:b w:val="0"/>
                <w:bCs/>
                <w:color w:val="auto"/>
                <w:sz w:val="21"/>
                <w:szCs w:val="21"/>
                <w:highlight w:val="none"/>
                <w:lang w:val="en-US" w:eastAsia="zh-CN"/>
              </w:rPr>
            </w:pPr>
          </w:p>
        </w:tc>
        <w:tc>
          <w:tcPr>
            <w:tcW w:w="3645" w:type="pct"/>
            <w:noWrap w:val="0"/>
            <w:vAlign w:val="center"/>
          </w:tcPr>
          <w:p w14:paraId="7F1FF33C">
            <w:pPr>
              <w:bidi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生产实施方案，要具备生产能力，在规定的时间内有计划的完成项目需求产品的生产装配。根据投标人提供的方案</w:t>
            </w:r>
            <w:r>
              <w:rPr>
                <w:rFonts w:hint="eastAsia" w:ascii="宋体" w:hAnsi="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否</w:t>
            </w:r>
            <w:r>
              <w:rPr>
                <w:rFonts w:hint="eastAsia" w:ascii="宋体" w:hAnsi="宋体" w:cs="宋体"/>
                <w:b w:val="0"/>
                <w:bCs w:val="0"/>
                <w:color w:val="auto"/>
                <w:sz w:val="21"/>
                <w:szCs w:val="21"/>
                <w:highlight w:val="none"/>
                <w:lang w:val="en-US" w:eastAsia="zh-CN"/>
              </w:rPr>
              <w:t>能</w:t>
            </w:r>
            <w:r>
              <w:rPr>
                <w:rFonts w:hint="eastAsia" w:ascii="宋体" w:hAnsi="宋体" w:eastAsia="宋体" w:cs="宋体"/>
                <w:b w:val="0"/>
                <w:bCs w:val="0"/>
                <w:color w:val="auto"/>
                <w:sz w:val="21"/>
                <w:szCs w:val="21"/>
                <w:highlight w:val="none"/>
              </w:rPr>
              <w:t>满足采购需求</w:t>
            </w:r>
            <w:r>
              <w:rPr>
                <w:rFonts w:hint="eastAsia" w:ascii="宋体" w:hAnsi="宋体" w:cs="宋体"/>
                <w:b w:val="0"/>
                <w:bCs w:val="0"/>
                <w:color w:val="auto"/>
                <w:sz w:val="21"/>
                <w:szCs w:val="21"/>
                <w:highlight w:val="none"/>
                <w:lang w:val="en-US" w:eastAsia="zh-CN"/>
              </w:rPr>
              <w:t>及方案的完善性，可实施性，可操作性进行评判：方案完善合理，可实施性强，操作性强的得4分；方案欠完善但合理，可实施性较强，操作性强的得3分；方案欠完善且合理较弱，可实施性一般，操作性一般的得2分；方案欠缺，具有可实施性，操作性较差的得1分；不提供不得分。</w:t>
            </w:r>
          </w:p>
        </w:tc>
        <w:tc>
          <w:tcPr>
            <w:tcW w:w="346" w:type="pct"/>
            <w:noWrap w:val="0"/>
            <w:vAlign w:val="center"/>
          </w:tcPr>
          <w:p w14:paraId="5F44CF7B">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continue"/>
            <w:noWrap w:val="0"/>
            <w:vAlign w:val="center"/>
          </w:tcPr>
          <w:p w14:paraId="4CA1B02C">
            <w:pPr>
              <w:bidi w:val="0"/>
              <w:rPr>
                <w:rFonts w:hint="eastAsia" w:ascii="宋体" w:hAnsi="宋体" w:cs="宋体"/>
                <w:color w:val="auto"/>
                <w:kern w:val="0"/>
                <w:sz w:val="21"/>
                <w:szCs w:val="21"/>
                <w:highlight w:val="none"/>
                <w:lang w:val="en-US" w:eastAsia="zh-CN"/>
              </w:rPr>
            </w:pPr>
          </w:p>
        </w:tc>
      </w:tr>
      <w:tr w14:paraId="4A53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68B3EE58">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continue"/>
            <w:noWrap w:val="0"/>
            <w:vAlign w:val="center"/>
          </w:tcPr>
          <w:p w14:paraId="1D6B1E2A">
            <w:pPr>
              <w:widowControl/>
              <w:spacing w:line="240" w:lineRule="auto"/>
              <w:jc w:val="center"/>
              <w:rPr>
                <w:rFonts w:hint="eastAsia" w:ascii="宋体" w:hAnsi="宋体" w:eastAsia="宋体" w:cs="宋体"/>
                <w:b w:val="0"/>
                <w:bCs/>
                <w:color w:val="auto"/>
                <w:sz w:val="21"/>
                <w:szCs w:val="21"/>
                <w:highlight w:val="none"/>
                <w:lang w:val="en-US" w:eastAsia="zh-CN"/>
              </w:rPr>
            </w:pPr>
          </w:p>
        </w:tc>
        <w:tc>
          <w:tcPr>
            <w:tcW w:w="3645" w:type="pct"/>
            <w:noWrap w:val="0"/>
            <w:vAlign w:val="center"/>
          </w:tcPr>
          <w:p w14:paraId="4EFD88EB">
            <w:pPr>
              <w:bidi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品质管理管控过程，有独立品管部门和专门品管人员，确保产品</w:t>
            </w:r>
            <w:r>
              <w:rPr>
                <w:rFonts w:hint="eastAsia" w:ascii="宋体" w:hAnsi="宋体" w:eastAsia="宋体" w:cs="宋体"/>
                <w:b w:val="0"/>
                <w:bCs w:val="0"/>
                <w:color w:val="auto"/>
                <w:sz w:val="21"/>
                <w:szCs w:val="21"/>
                <w:highlight w:val="none"/>
                <w:lang w:val="en-US" w:eastAsia="zh-CN"/>
              </w:rPr>
              <w:t>整体</w:t>
            </w:r>
            <w:r>
              <w:rPr>
                <w:rFonts w:hint="eastAsia" w:ascii="宋体" w:hAnsi="宋体" w:eastAsia="宋体" w:cs="宋体"/>
                <w:b w:val="0"/>
                <w:bCs w:val="0"/>
                <w:color w:val="auto"/>
                <w:sz w:val="21"/>
                <w:szCs w:val="21"/>
                <w:highlight w:val="none"/>
              </w:rPr>
              <w:t>的质量控制完善</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根据投标人提供的方案</w:t>
            </w:r>
            <w:r>
              <w:rPr>
                <w:rFonts w:hint="eastAsia" w:ascii="宋体" w:hAnsi="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否</w:t>
            </w:r>
            <w:r>
              <w:rPr>
                <w:rFonts w:hint="eastAsia" w:ascii="宋体" w:hAnsi="宋体" w:cs="宋体"/>
                <w:b w:val="0"/>
                <w:bCs w:val="0"/>
                <w:color w:val="auto"/>
                <w:sz w:val="21"/>
                <w:szCs w:val="21"/>
                <w:highlight w:val="none"/>
                <w:lang w:val="en-US" w:eastAsia="zh-CN"/>
              </w:rPr>
              <w:t>能</w:t>
            </w:r>
            <w:r>
              <w:rPr>
                <w:rFonts w:hint="eastAsia" w:ascii="宋体" w:hAnsi="宋体" w:eastAsia="宋体" w:cs="宋体"/>
                <w:b w:val="0"/>
                <w:bCs w:val="0"/>
                <w:color w:val="auto"/>
                <w:sz w:val="21"/>
                <w:szCs w:val="21"/>
                <w:highlight w:val="none"/>
              </w:rPr>
              <w:t>满足采购需求</w:t>
            </w:r>
            <w:r>
              <w:rPr>
                <w:rFonts w:hint="eastAsia" w:ascii="宋体" w:hAnsi="宋体" w:cs="宋体"/>
                <w:b w:val="0"/>
                <w:bCs w:val="0"/>
                <w:color w:val="auto"/>
                <w:sz w:val="21"/>
                <w:szCs w:val="21"/>
                <w:highlight w:val="none"/>
                <w:lang w:val="en-US" w:eastAsia="zh-CN"/>
              </w:rPr>
              <w:t>及方案的完善性，可实施性，可操作性进行评判：方案完善合理，可实施性强，操作性强的得4分；方案欠完善但合理，可实施性较强，操作性强的得3分；方案欠完善且合理较弱，可实施性一般，操作性一般的得2分；方案欠缺，具有可实施性，操作性较差的得1分；不提供不得分。</w:t>
            </w:r>
          </w:p>
        </w:tc>
        <w:tc>
          <w:tcPr>
            <w:tcW w:w="346" w:type="pct"/>
            <w:noWrap w:val="0"/>
            <w:vAlign w:val="center"/>
          </w:tcPr>
          <w:p w14:paraId="37B348B0">
            <w:pPr>
              <w:spacing w:line="240" w:lineRule="auto"/>
              <w:ind w:left="-111" w:leftChars="-53" w:right="-101" w:rightChars="-48"/>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continue"/>
            <w:noWrap w:val="0"/>
            <w:vAlign w:val="center"/>
          </w:tcPr>
          <w:p w14:paraId="7CE097EA">
            <w:pPr>
              <w:bidi w:val="0"/>
              <w:rPr>
                <w:rFonts w:hint="eastAsia" w:ascii="宋体" w:hAnsi="宋体" w:cs="宋体"/>
                <w:color w:val="auto"/>
                <w:kern w:val="0"/>
                <w:sz w:val="21"/>
                <w:szCs w:val="21"/>
                <w:highlight w:val="none"/>
                <w:lang w:val="en-US" w:eastAsia="zh-CN"/>
              </w:rPr>
            </w:pPr>
          </w:p>
        </w:tc>
      </w:tr>
      <w:tr w14:paraId="6A66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314175F1">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continue"/>
            <w:noWrap w:val="0"/>
            <w:vAlign w:val="center"/>
          </w:tcPr>
          <w:p w14:paraId="0991A3A1">
            <w:pPr>
              <w:widowControl/>
              <w:spacing w:line="240" w:lineRule="auto"/>
              <w:jc w:val="center"/>
              <w:rPr>
                <w:rFonts w:hint="eastAsia" w:ascii="宋体" w:hAnsi="宋体" w:eastAsia="宋体" w:cs="宋体"/>
                <w:b w:val="0"/>
                <w:bCs/>
                <w:color w:val="auto"/>
                <w:sz w:val="21"/>
                <w:szCs w:val="21"/>
                <w:highlight w:val="none"/>
                <w:lang w:val="en-US" w:eastAsia="zh-CN"/>
              </w:rPr>
            </w:pPr>
          </w:p>
        </w:tc>
        <w:tc>
          <w:tcPr>
            <w:tcW w:w="3645" w:type="pct"/>
            <w:noWrap w:val="0"/>
            <w:vAlign w:val="center"/>
          </w:tcPr>
          <w:p w14:paraId="44BD46E8">
            <w:pPr>
              <w:bidi w:val="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安装服务实施方案，根据货物交付时间节点，落实送货安装时间和人员</w:t>
            </w:r>
            <w:r>
              <w:rPr>
                <w:rFonts w:hint="eastAsia" w:ascii="宋体" w:hAnsi="宋体" w:eastAsia="宋体" w:cs="宋体"/>
                <w:b w:val="0"/>
                <w:bCs w:val="0"/>
                <w:color w:val="auto"/>
                <w:sz w:val="21"/>
                <w:szCs w:val="21"/>
                <w:highlight w:val="none"/>
                <w:lang w:val="en-US" w:eastAsia="zh-CN"/>
              </w:rPr>
              <w:t>安排</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推进产品安装调试的各项工作，确保产品顺利投入使用。</w:t>
            </w:r>
            <w:r>
              <w:rPr>
                <w:rFonts w:hint="eastAsia" w:ascii="宋体" w:hAnsi="宋体" w:eastAsia="宋体" w:cs="宋体"/>
                <w:b w:val="0"/>
                <w:bCs w:val="0"/>
                <w:color w:val="auto"/>
                <w:sz w:val="21"/>
                <w:szCs w:val="21"/>
                <w:highlight w:val="none"/>
              </w:rPr>
              <w:t>根据投标人提供的方案</w:t>
            </w:r>
            <w:r>
              <w:rPr>
                <w:rFonts w:hint="eastAsia" w:ascii="宋体" w:hAnsi="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否</w:t>
            </w:r>
            <w:r>
              <w:rPr>
                <w:rFonts w:hint="eastAsia" w:ascii="宋体" w:hAnsi="宋体" w:cs="宋体"/>
                <w:b w:val="0"/>
                <w:bCs w:val="0"/>
                <w:color w:val="auto"/>
                <w:sz w:val="21"/>
                <w:szCs w:val="21"/>
                <w:highlight w:val="none"/>
                <w:lang w:val="en-US" w:eastAsia="zh-CN"/>
              </w:rPr>
              <w:t>能</w:t>
            </w:r>
            <w:r>
              <w:rPr>
                <w:rFonts w:hint="eastAsia" w:ascii="宋体" w:hAnsi="宋体" w:eastAsia="宋体" w:cs="宋体"/>
                <w:b w:val="0"/>
                <w:bCs w:val="0"/>
                <w:color w:val="auto"/>
                <w:sz w:val="21"/>
                <w:szCs w:val="21"/>
                <w:highlight w:val="none"/>
              </w:rPr>
              <w:t>满足采购需求</w:t>
            </w:r>
            <w:r>
              <w:rPr>
                <w:rFonts w:hint="eastAsia" w:ascii="宋体" w:hAnsi="宋体" w:cs="宋体"/>
                <w:b w:val="0"/>
                <w:bCs w:val="0"/>
                <w:color w:val="auto"/>
                <w:sz w:val="21"/>
                <w:szCs w:val="21"/>
                <w:highlight w:val="none"/>
                <w:lang w:val="en-US" w:eastAsia="zh-CN"/>
              </w:rPr>
              <w:t>及方案的完善性，可实施性，可操作性进行评判：方案完善合理，可实施性强，操作性强的得4分；方案欠完善但合理，可实施性较强，操作性强的得3分；方案欠完善且合理较弱，可实施性一般，操作性一般的得2分；方案欠缺，具有可实施性，操作性较差的得1分；不提供不得分。</w:t>
            </w:r>
          </w:p>
        </w:tc>
        <w:tc>
          <w:tcPr>
            <w:tcW w:w="346" w:type="pct"/>
            <w:noWrap w:val="0"/>
            <w:vAlign w:val="center"/>
          </w:tcPr>
          <w:p w14:paraId="55D707BB">
            <w:pPr>
              <w:spacing w:line="240" w:lineRule="auto"/>
              <w:ind w:left="-111" w:leftChars="-53" w:right="-101" w:rightChars="-48"/>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continue"/>
            <w:noWrap w:val="0"/>
            <w:vAlign w:val="center"/>
          </w:tcPr>
          <w:p w14:paraId="42D6279F">
            <w:pPr>
              <w:spacing w:line="240" w:lineRule="auto"/>
              <w:ind w:left="-111" w:leftChars="-53" w:right="-101" w:rightChars="-48"/>
              <w:jc w:val="center"/>
              <w:rPr>
                <w:rFonts w:hint="eastAsia" w:ascii="宋体" w:hAnsi="宋体" w:cs="宋体"/>
                <w:color w:val="auto"/>
                <w:kern w:val="0"/>
                <w:sz w:val="21"/>
                <w:szCs w:val="21"/>
                <w:highlight w:val="none"/>
                <w:lang w:val="en-US" w:eastAsia="zh-CN"/>
              </w:rPr>
            </w:pPr>
          </w:p>
        </w:tc>
      </w:tr>
      <w:tr w14:paraId="6481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13A29833">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vMerge w:val="continue"/>
            <w:noWrap w:val="0"/>
            <w:vAlign w:val="center"/>
          </w:tcPr>
          <w:p w14:paraId="0909CC7F">
            <w:pPr>
              <w:widowControl/>
              <w:spacing w:line="240" w:lineRule="auto"/>
              <w:jc w:val="center"/>
              <w:rPr>
                <w:rFonts w:hint="eastAsia" w:ascii="宋体" w:hAnsi="宋体" w:eastAsia="宋体" w:cs="宋体"/>
                <w:b w:val="0"/>
                <w:bCs/>
                <w:color w:val="auto"/>
                <w:sz w:val="21"/>
                <w:szCs w:val="21"/>
                <w:highlight w:val="none"/>
                <w:lang w:val="en-US" w:eastAsia="zh-CN"/>
              </w:rPr>
            </w:pPr>
          </w:p>
        </w:tc>
        <w:tc>
          <w:tcPr>
            <w:tcW w:w="3645" w:type="pct"/>
            <w:noWrap w:val="0"/>
            <w:vAlign w:val="center"/>
          </w:tcPr>
          <w:p w14:paraId="5DDD43D8">
            <w:pPr>
              <w:bidi w:val="0"/>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项目验收方案，根据本项目设备特点，制定详细的验收方案，</w:t>
            </w:r>
            <w:r>
              <w:rPr>
                <w:rFonts w:hint="eastAsia" w:ascii="宋体" w:hAnsi="宋体" w:eastAsia="宋体" w:cs="宋体"/>
                <w:b w:val="0"/>
                <w:bCs w:val="0"/>
                <w:color w:val="auto"/>
                <w:sz w:val="21"/>
                <w:szCs w:val="21"/>
                <w:highlight w:val="none"/>
              </w:rPr>
              <w:t>根据投标人提供的方案</w:t>
            </w:r>
            <w:r>
              <w:rPr>
                <w:rFonts w:hint="eastAsia" w:ascii="宋体" w:hAnsi="宋体" w:cs="宋体"/>
                <w:b w:val="0"/>
                <w:bCs w:val="0"/>
                <w:color w:val="auto"/>
                <w:sz w:val="21"/>
                <w:szCs w:val="21"/>
                <w:highlight w:val="none"/>
                <w:lang w:val="en-US" w:eastAsia="zh-CN"/>
              </w:rPr>
              <w:t>是</w:t>
            </w:r>
            <w:r>
              <w:rPr>
                <w:rFonts w:hint="eastAsia" w:ascii="宋体" w:hAnsi="宋体" w:eastAsia="宋体" w:cs="宋体"/>
                <w:b w:val="0"/>
                <w:bCs w:val="0"/>
                <w:color w:val="auto"/>
                <w:sz w:val="21"/>
                <w:szCs w:val="21"/>
                <w:highlight w:val="none"/>
              </w:rPr>
              <w:t>否</w:t>
            </w:r>
            <w:r>
              <w:rPr>
                <w:rFonts w:hint="eastAsia" w:ascii="宋体" w:hAnsi="宋体" w:cs="宋体"/>
                <w:b w:val="0"/>
                <w:bCs w:val="0"/>
                <w:color w:val="auto"/>
                <w:sz w:val="21"/>
                <w:szCs w:val="21"/>
                <w:highlight w:val="none"/>
                <w:lang w:val="en-US" w:eastAsia="zh-CN"/>
              </w:rPr>
              <w:t>能</w:t>
            </w:r>
            <w:r>
              <w:rPr>
                <w:rFonts w:hint="eastAsia" w:ascii="宋体" w:hAnsi="宋体" w:eastAsia="宋体" w:cs="宋体"/>
                <w:b w:val="0"/>
                <w:bCs w:val="0"/>
                <w:color w:val="auto"/>
                <w:sz w:val="21"/>
                <w:szCs w:val="21"/>
                <w:highlight w:val="none"/>
              </w:rPr>
              <w:t>满足采购需求</w:t>
            </w:r>
            <w:r>
              <w:rPr>
                <w:rFonts w:hint="eastAsia" w:ascii="宋体" w:hAnsi="宋体" w:cs="宋体"/>
                <w:b w:val="0"/>
                <w:bCs w:val="0"/>
                <w:color w:val="auto"/>
                <w:sz w:val="21"/>
                <w:szCs w:val="21"/>
                <w:highlight w:val="none"/>
                <w:lang w:val="en-US" w:eastAsia="zh-CN"/>
              </w:rPr>
              <w:t>及方案的完善性，可实施性，可操作性进行评判：方案完善合理，可实施性强，操作性强的得4分；方案欠完善但合理，可实施性较强，操作性强的得3分；方案欠完善且合理较弱，可实施性一般，操作性一般的得2分；方案欠缺，具有可实施性，操作性较差的得1分；不提供不得分。</w:t>
            </w:r>
          </w:p>
        </w:tc>
        <w:tc>
          <w:tcPr>
            <w:tcW w:w="346" w:type="pct"/>
            <w:noWrap w:val="0"/>
            <w:vAlign w:val="center"/>
          </w:tcPr>
          <w:p w14:paraId="41498186">
            <w:pPr>
              <w:spacing w:line="240" w:lineRule="auto"/>
              <w:ind w:left="-111" w:leftChars="-53" w:right="-101" w:rightChars="-48"/>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4</w:t>
            </w:r>
          </w:p>
        </w:tc>
        <w:tc>
          <w:tcPr>
            <w:tcW w:w="349" w:type="pct"/>
            <w:vMerge w:val="continue"/>
            <w:noWrap w:val="0"/>
            <w:vAlign w:val="center"/>
          </w:tcPr>
          <w:p w14:paraId="7BDA16B4">
            <w:pPr>
              <w:bidi w:val="0"/>
              <w:rPr>
                <w:rFonts w:hint="eastAsia" w:ascii="宋体" w:hAnsi="宋体" w:cs="宋体"/>
                <w:color w:val="auto"/>
                <w:kern w:val="0"/>
                <w:sz w:val="21"/>
                <w:szCs w:val="21"/>
                <w:highlight w:val="none"/>
                <w:lang w:val="en-US" w:eastAsia="zh-CN"/>
              </w:rPr>
            </w:pPr>
          </w:p>
        </w:tc>
      </w:tr>
      <w:tr w14:paraId="0C3E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676E8F34">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2A5A1287">
            <w:pPr>
              <w:bidi w:val="0"/>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服务</w:t>
            </w:r>
            <w:r>
              <w:rPr>
                <w:rFonts w:hint="eastAsia" w:ascii="宋体" w:hAnsi="宋体" w:cs="宋体"/>
                <w:b w:val="0"/>
                <w:bCs w:val="0"/>
                <w:color w:val="auto"/>
                <w:sz w:val="21"/>
                <w:szCs w:val="21"/>
                <w:highlight w:val="none"/>
                <w:lang w:val="en-US" w:eastAsia="zh-CN"/>
              </w:rPr>
              <w:t>能力</w:t>
            </w:r>
          </w:p>
        </w:tc>
        <w:tc>
          <w:tcPr>
            <w:tcW w:w="3645" w:type="pct"/>
            <w:noWrap w:val="0"/>
            <w:vAlign w:val="center"/>
          </w:tcPr>
          <w:p w14:paraId="207CC327">
            <w:pPr>
              <w:bidi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服务能力及其组织情况：根据投标人日常维护力量设置情况，投标人维护能力等情况进行评分</w:t>
            </w:r>
            <w:r>
              <w:rPr>
                <w:rFonts w:hint="eastAsia" w:ascii="宋体" w:hAnsi="宋体" w:cs="宋体"/>
                <w:b w:val="0"/>
                <w:bCs w:val="0"/>
                <w:color w:val="auto"/>
                <w:sz w:val="21"/>
                <w:szCs w:val="21"/>
                <w:highlight w:val="none"/>
                <w:lang w:val="en-US" w:eastAsia="zh-CN"/>
              </w:rPr>
              <w:t>：方案完善合理，可实施性强，操作性强的得2分；方案欠完善且合理较弱，可实施性一般，操作性一般的得1分；不提供不得分。</w:t>
            </w:r>
          </w:p>
        </w:tc>
        <w:tc>
          <w:tcPr>
            <w:tcW w:w="346" w:type="pct"/>
            <w:noWrap w:val="0"/>
            <w:vAlign w:val="center"/>
          </w:tcPr>
          <w:p w14:paraId="126161E7">
            <w:pPr>
              <w:bidi w:val="0"/>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p>
        </w:tc>
        <w:tc>
          <w:tcPr>
            <w:tcW w:w="349" w:type="pct"/>
            <w:noWrap w:val="0"/>
            <w:vAlign w:val="center"/>
          </w:tcPr>
          <w:p w14:paraId="3826B0A2">
            <w:pPr>
              <w:widowControl/>
              <w:spacing w:line="240" w:lineRule="auto"/>
              <w:jc w:val="center"/>
              <w:rPr>
                <w:rFonts w:hint="eastAsia" w:ascii="宋体" w:hAnsi="宋体" w:cs="宋体"/>
                <w:b w:val="0"/>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主观分</w:t>
            </w:r>
          </w:p>
        </w:tc>
      </w:tr>
      <w:tr w14:paraId="5318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111A1C76">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7BDE9321">
            <w:pPr>
              <w:bidi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售后服务方案</w:t>
            </w:r>
          </w:p>
        </w:tc>
        <w:tc>
          <w:tcPr>
            <w:tcW w:w="3645" w:type="pct"/>
            <w:noWrap w:val="0"/>
            <w:vAlign w:val="center"/>
          </w:tcPr>
          <w:p w14:paraId="4635316E">
            <w:pPr>
              <w:bidi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在满足招标文件要求的基础上，在技术支持、售后服务响应时间；在日常巡查检修及保养；应急处理等方面提供更优方案或承诺的</w:t>
            </w:r>
            <w:r>
              <w:rPr>
                <w:rFonts w:hint="eastAsia" w:ascii="宋体" w:hAnsi="宋体" w:cs="宋体"/>
                <w:b w:val="0"/>
                <w:bCs w:val="0"/>
                <w:color w:val="auto"/>
                <w:sz w:val="21"/>
                <w:szCs w:val="21"/>
                <w:highlight w:val="none"/>
                <w:lang w:val="en-US" w:eastAsia="zh-CN"/>
              </w:rPr>
              <w:t>，根据方案</w:t>
            </w:r>
            <w:r>
              <w:rPr>
                <w:rFonts w:hint="eastAsia" w:ascii="宋体" w:hAnsi="宋体" w:eastAsia="宋体" w:cs="宋体"/>
                <w:b w:val="0"/>
                <w:bCs w:val="0"/>
                <w:color w:val="auto"/>
                <w:sz w:val="21"/>
                <w:szCs w:val="21"/>
                <w:highlight w:val="none"/>
                <w:lang w:val="en-US" w:eastAsia="zh-CN"/>
              </w:rPr>
              <w:t>内容完善</w:t>
            </w:r>
            <w:r>
              <w:rPr>
                <w:rFonts w:hint="eastAsia" w:ascii="宋体" w:hAnsi="宋体" w:cs="宋体"/>
                <w:b w:val="0"/>
                <w:bCs w:val="0"/>
                <w:color w:val="auto"/>
                <w:sz w:val="21"/>
                <w:szCs w:val="21"/>
                <w:highlight w:val="none"/>
                <w:lang w:val="en-US" w:eastAsia="zh-CN"/>
              </w:rPr>
              <w:t>性</w:t>
            </w:r>
            <w:r>
              <w:rPr>
                <w:rFonts w:hint="eastAsia" w:ascii="宋体" w:hAnsi="宋体" w:eastAsia="宋体" w:cs="宋体"/>
                <w:b w:val="0"/>
                <w:bCs w:val="0"/>
                <w:color w:val="auto"/>
                <w:sz w:val="21"/>
                <w:szCs w:val="21"/>
                <w:highlight w:val="none"/>
                <w:lang w:val="en-US" w:eastAsia="zh-CN"/>
              </w:rPr>
              <w:t>、详细</w:t>
            </w:r>
            <w:r>
              <w:rPr>
                <w:rFonts w:hint="eastAsia" w:ascii="宋体" w:hAnsi="宋体" w:cs="宋体"/>
                <w:b w:val="0"/>
                <w:bCs w:val="0"/>
                <w:color w:val="auto"/>
                <w:sz w:val="21"/>
                <w:szCs w:val="21"/>
                <w:highlight w:val="none"/>
                <w:lang w:val="en-US" w:eastAsia="zh-CN"/>
              </w:rPr>
              <w:t>程度</w:t>
            </w:r>
            <w:r>
              <w:rPr>
                <w:rFonts w:hint="eastAsia" w:ascii="宋体" w:hAnsi="宋体" w:eastAsia="宋体" w:cs="宋体"/>
                <w:b w:val="0"/>
                <w:bCs w:val="0"/>
                <w:color w:val="auto"/>
                <w:sz w:val="21"/>
                <w:szCs w:val="21"/>
                <w:highlight w:val="none"/>
                <w:lang w:val="en-US" w:eastAsia="zh-CN"/>
              </w:rPr>
              <w:t>、可实施性强</w:t>
            </w:r>
            <w:r>
              <w:rPr>
                <w:rFonts w:hint="eastAsia" w:ascii="宋体" w:hAnsi="宋体" w:cs="宋体"/>
                <w:b w:val="0"/>
                <w:bCs w:val="0"/>
                <w:color w:val="auto"/>
                <w:sz w:val="21"/>
                <w:szCs w:val="21"/>
                <w:highlight w:val="none"/>
                <w:lang w:val="en-US" w:eastAsia="zh-CN"/>
              </w:rPr>
              <w:t>弱进行评判：方案完善合理，可实施性强得4分；方案欠完善但合理，可实施性较强得3分；方案欠完善且合理较弱，可实施性一般得2分；方案欠缺，具有可实施性得1分；不提供不得分。</w:t>
            </w:r>
          </w:p>
        </w:tc>
        <w:tc>
          <w:tcPr>
            <w:tcW w:w="346" w:type="pct"/>
            <w:noWrap w:val="0"/>
            <w:vAlign w:val="center"/>
          </w:tcPr>
          <w:p w14:paraId="0DDBD25D">
            <w:pPr>
              <w:bidi w:val="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349" w:type="pct"/>
            <w:noWrap w:val="0"/>
            <w:vAlign w:val="center"/>
          </w:tcPr>
          <w:p w14:paraId="5392356C">
            <w:pPr>
              <w:bidi w:val="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主观分</w:t>
            </w:r>
          </w:p>
        </w:tc>
      </w:tr>
      <w:tr w14:paraId="176D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1" w:type="pct"/>
            <w:noWrap w:val="0"/>
            <w:vAlign w:val="center"/>
          </w:tcPr>
          <w:p w14:paraId="7EF2A74A">
            <w:pPr>
              <w:widowControl/>
              <w:numPr>
                <w:ilvl w:val="0"/>
                <w:numId w:val="16"/>
              </w:numPr>
              <w:spacing w:line="240" w:lineRule="auto"/>
              <w:ind w:left="210" w:leftChars="0" w:firstLine="0" w:firstLineChars="0"/>
              <w:jc w:val="left"/>
              <w:rPr>
                <w:rFonts w:hint="eastAsia" w:ascii="宋体" w:hAnsi="宋体" w:eastAsia="宋体" w:cs="宋体"/>
                <w:b/>
                <w:bCs/>
                <w:color w:val="auto"/>
                <w:sz w:val="21"/>
                <w:szCs w:val="21"/>
                <w:highlight w:val="none"/>
                <w:lang w:val="en-US" w:eastAsia="zh-CN"/>
              </w:rPr>
            </w:pPr>
          </w:p>
        </w:tc>
        <w:tc>
          <w:tcPr>
            <w:tcW w:w="346" w:type="pct"/>
            <w:noWrap w:val="0"/>
            <w:vAlign w:val="center"/>
          </w:tcPr>
          <w:p w14:paraId="6C7845BF">
            <w:pPr>
              <w:bidi w:val="0"/>
              <w:rPr>
                <w:rFonts w:hint="eastAsia" w:ascii="宋体" w:hAnsi="宋体" w:eastAsia="宋体" w:cs="宋体"/>
                <w:b w:val="0"/>
                <w:bCs w:val="0"/>
                <w:color w:val="auto"/>
                <w:sz w:val="21"/>
                <w:szCs w:val="21"/>
                <w:highlight w:val="none"/>
                <w:lang w:val="en-US" w:eastAsia="zh-CN"/>
              </w:rPr>
            </w:pPr>
          </w:p>
        </w:tc>
        <w:tc>
          <w:tcPr>
            <w:tcW w:w="3645" w:type="pct"/>
            <w:noWrap w:val="0"/>
            <w:vAlign w:val="center"/>
          </w:tcPr>
          <w:p w14:paraId="33BF6FD5">
            <w:pPr>
              <w:bidi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有效投标报价的最低价作为评标基准价，其最低报价为满分；按［投标报价得分=（评标基准价/投标报价）*30］的计算公式计算。</w:t>
            </w:r>
          </w:p>
          <w:p w14:paraId="7449E538">
            <w:pPr>
              <w:bidi w:val="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评标过程中，不得去掉报价中的最高报价和最低报价。</w:t>
            </w:r>
          </w:p>
        </w:tc>
        <w:tc>
          <w:tcPr>
            <w:tcW w:w="346" w:type="pct"/>
            <w:noWrap w:val="0"/>
            <w:vAlign w:val="center"/>
          </w:tcPr>
          <w:p w14:paraId="60716BC9">
            <w:pPr>
              <w:bidi w:val="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30</w:t>
            </w:r>
          </w:p>
        </w:tc>
        <w:tc>
          <w:tcPr>
            <w:tcW w:w="349" w:type="pct"/>
            <w:noWrap w:val="0"/>
            <w:vAlign w:val="center"/>
          </w:tcPr>
          <w:p w14:paraId="1CC64617">
            <w:pPr>
              <w:bidi w:val="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color w:val="auto"/>
                <w:sz w:val="21"/>
                <w:szCs w:val="21"/>
                <w:highlight w:val="none"/>
                <w:lang w:val="en-US" w:eastAsia="zh-CN"/>
              </w:rPr>
              <w:t>报价分</w:t>
            </w:r>
          </w:p>
        </w:tc>
      </w:tr>
    </w:tbl>
    <w:p w14:paraId="0D4CBFBD">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71C24FE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2、商务分+技术分=评标委员会所有成员评分合计数/评标委员会组成人员数（精确到小数点后二位）；</w:t>
      </w:r>
    </w:p>
    <w:p w14:paraId="483FEA54">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价格分（30分）采用低价优先法计算，即满足招标文件要求且投标价格最低的投标报价为评标基准价，其他投标人的价格分按照下列公式计算：价格分=（评标基准价/投标报价）×30%×100（精确到小数点后二位）；</w:t>
      </w:r>
    </w:p>
    <w:p w14:paraId="2F42F952">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因落实政府采购政策进行价格调整的，以调整后的价格计算评标基准价和投标报价。</w:t>
      </w:r>
    </w:p>
    <w:p w14:paraId="5F5F608B">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4、投标人评标综合得分=价格分+商务分+技术分（精确到小数点后二位）；</w:t>
      </w:r>
    </w:p>
    <w:p w14:paraId="0653765A">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报价是中标的一个重要因素，但最低报价不是中标的唯一依据。</w:t>
      </w:r>
    </w:p>
    <w:p w14:paraId="4A626B1E">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注：投标文件中提供的复印件及扫描件必须加盖公章，否则不予得分。</w:t>
      </w:r>
    </w:p>
    <w:p w14:paraId="0EF02117">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12C72B70">
      <w:pPr>
        <w:keepNext w:val="0"/>
        <w:keepLines w:val="0"/>
        <w:pageBreakBefore w:val="0"/>
        <w:widowControl w:val="0"/>
        <w:kinsoku/>
        <w:wordWrap/>
        <w:overflowPunct/>
        <w:topLinePunct w:val="0"/>
        <w:autoSpaceDE/>
        <w:autoSpaceDN/>
        <w:bidi w:val="0"/>
        <w:adjustRightInd/>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306A8944">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44941C5F">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37586F9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三、评标程序</w:t>
      </w:r>
    </w:p>
    <w:p w14:paraId="27BE35FF">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30D1A5E">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7C596E85">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30FAF29A">
      <w:pPr>
        <w:pStyle w:val="131"/>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2535C7A6">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59B9E60E">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52B9590E">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68822CD4">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467BE078">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23B3E2B5">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4C0F0831">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1"/>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1个</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en" w:eastAsia="zh-CN"/>
        </w:rPr>
        <w:t>。</w:t>
      </w:r>
    </w:p>
    <w:p w14:paraId="26D0A81B">
      <w:pPr>
        <w:keepNext w:val="0"/>
        <w:keepLines w:val="0"/>
        <w:pageBreakBefore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keepNext w:val="0"/>
        <w:keepLines w:val="0"/>
        <w:pageBreakBefore w:val="0"/>
        <w:kinsoku/>
        <w:wordWrap/>
        <w:overflowPunct/>
        <w:topLinePunct w:val="0"/>
        <w:autoSpaceDE/>
        <w:autoSpaceDN/>
        <w:bidi w:val="0"/>
        <w:snapToGrid/>
        <w:spacing w:line="360" w:lineRule="auto"/>
        <w:ind w:firstLine="472" w:firstLineChars="196"/>
        <w:textAlignment w:val="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keepNext w:val="0"/>
        <w:keepLines w:val="0"/>
        <w:pageBreakBefore w:val="0"/>
        <w:widowControl/>
        <w:shd w:val="clear" w:color="auto" w:fill="FFFFFF"/>
        <w:kinsoku/>
        <w:wordWrap/>
        <w:overflowPunct/>
        <w:topLinePunct w:val="0"/>
        <w:autoSpaceDE/>
        <w:autoSpaceDN/>
        <w:bidi w:val="0"/>
        <w:adjustRightInd/>
        <w:snapToGrid/>
        <w:spacing w:line="315" w:lineRule="atLeast"/>
        <w:jc w:val="left"/>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4171BF8C">
      <w:pPr>
        <w:pStyle w:val="131"/>
        <w:keepNext w:val="0"/>
        <w:keepLines w:val="0"/>
        <w:pageBreakBefore w:val="0"/>
        <w:kinsoku/>
        <w:wordWrap/>
        <w:overflowPunct/>
        <w:topLinePunct w:val="0"/>
        <w:autoSpaceDE/>
        <w:autoSpaceDN/>
        <w:bidi w:val="0"/>
        <w:snapToGrid/>
        <w:spacing w:before="0"/>
        <w:ind w:firstLine="472" w:firstLineChars="196"/>
        <w:textAlignment w:val="auto"/>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4"/>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35AFFF1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671AA06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73BE895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324EB4A8">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622EDD7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6C63B74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kern w:val="0"/>
          <w:sz w:val="24"/>
          <w:highlight w:val="none"/>
        </w:rPr>
        <w:t>投标人对根据修正原则修正后的报价不确认的；</w:t>
      </w:r>
    </w:p>
    <w:p w14:paraId="6EF8FB5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投标人提供虚假材料投标的；</w:t>
      </w:r>
    </w:p>
    <w:p w14:paraId="069FCD77">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w:t>
      </w:r>
      <w:r>
        <w:rPr>
          <w:rFonts w:hint="eastAsia" w:ascii="宋体" w:hAnsi="宋体" w:eastAsia="宋体" w:cs="宋体"/>
          <w:color w:val="auto"/>
          <w:kern w:val="0"/>
          <w:sz w:val="24"/>
          <w:highlight w:val="none"/>
          <w:lang w:val="en-US" w:eastAsia="zh-CN"/>
        </w:rPr>
        <w:t>0</w:t>
      </w:r>
      <w:r>
        <w:rPr>
          <w:rFonts w:hint="eastAsia" w:ascii="宋体" w:hAnsi="宋体" w:eastAsia="宋体" w:cs="宋体"/>
          <w:color w:val="auto"/>
          <w:kern w:val="0"/>
          <w:sz w:val="24"/>
          <w:highlight w:val="none"/>
        </w:rPr>
        <w:t>投标人有恶意串通、妨碍其他投标人的竞争行为、损害采购人或者其他投标人的合法权益情形的；</w:t>
      </w:r>
    </w:p>
    <w:p w14:paraId="198057B3">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4035CC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投标人仅提交备份投标文件，未在电子交易平台传输递交投标文件的，投标无效；</w:t>
      </w:r>
    </w:p>
    <w:p w14:paraId="143D4D9E">
      <w:pPr>
        <w:spacing w:line="360" w:lineRule="auto"/>
        <w:ind w:firstLine="480" w:firstLineChars="20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4.2.1</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lang w:val="en-US"/>
        </w:rPr>
        <w:t xml:space="preserve"> 投标文件不满足招标文件的其它实质性要求的；</w:t>
      </w:r>
    </w:p>
    <w:p w14:paraId="443E8DF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w:t>
      </w:r>
      <w:r>
        <w:rPr>
          <w:rFonts w:hint="eastAsia" w:ascii="宋体" w:hAnsi="宋体" w:eastAsia="宋体" w:cs="宋体"/>
          <w:color w:val="auto"/>
          <w:kern w:val="0"/>
          <w:sz w:val="24"/>
          <w:highlight w:val="none"/>
          <w:lang w:val="en-US" w:eastAsia="zh-CN"/>
        </w:rPr>
        <w:t>4</w:t>
      </w:r>
      <w:r>
        <w:rPr>
          <w:rFonts w:hint="eastAsia" w:ascii="宋体" w:hAnsi="宋体" w:eastAsia="宋体" w:cs="宋体"/>
          <w:color w:val="auto"/>
          <w:kern w:val="0"/>
          <w:sz w:val="24"/>
          <w:highlight w:val="none"/>
        </w:rPr>
        <w:t>法律、法规、规章（适用本市的）及省级以上规范性文件（适用本市的）规定的其他无效情形。</w:t>
      </w:r>
    </w:p>
    <w:p w14:paraId="78901B3C">
      <w:pPr>
        <w:pStyle w:val="24"/>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55706347">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1357C910">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5DE39949">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10DFEF37">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3FF7C98D">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14:paraId="4FAB6630">
      <w:pPr>
        <w:pStyle w:val="24"/>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14:paraId="15FEB146">
      <w:pPr>
        <w:pStyle w:val="24"/>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3B68F5AF">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6E45217E">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7D4A74BD">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28973869">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1E00B229">
      <w:pPr>
        <w:pStyle w:val="24"/>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E110A73">
      <w:pPr>
        <w:pStyle w:val="21"/>
        <w:bidi w:val="0"/>
        <w:rPr>
          <w:rFonts w:hint="eastAsia" w:ascii="宋体" w:hAnsi="宋体" w:eastAsia="宋体" w:cs="宋体"/>
          <w:color w:val="auto"/>
          <w:highlight w:val="none"/>
        </w:rPr>
      </w:pPr>
    </w:p>
    <w:bookmarkEnd w:id="31"/>
    <w:p w14:paraId="4723A345">
      <w:pPr>
        <w:pStyle w:val="21"/>
        <w:bidi w:val="0"/>
        <w:rPr>
          <w:rFonts w:hint="eastAsia" w:ascii="宋体" w:hAnsi="宋体" w:eastAsia="宋体" w:cs="宋体"/>
          <w:color w:val="auto"/>
          <w:highlight w:val="none"/>
        </w:rPr>
      </w:pPr>
      <w:bookmarkStart w:id="397" w:name="第五部分"/>
      <w:bookmarkStart w:id="398" w:name="_Toc86217003"/>
    </w:p>
    <w:p w14:paraId="54BA5F44">
      <w:pPr>
        <w:pStyle w:val="21"/>
        <w:bidi w:val="0"/>
        <w:rPr>
          <w:rFonts w:hint="eastAsia" w:ascii="宋体" w:hAnsi="宋体" w:eastAsia="宋体" w:cs="宋体"/>
          <w:color w:val="auto"/>
          <w:highlight w:val="none"/>
        </w:rPr>
      </w:pPr>
    </w:p>
    <w:p w14:paraId="5EF2D4C2">
      <w:pPr>
        <w:bidi w:val="0"/>
        <w:rPr>
          <w:rFonts w:hint="eastAsia"/>
          <w:color w:val="auto"/>
          <w:highlight w:val="none"/>
        </w:rPr>
      </w:pPr>
    </w:p>
    <w:p w14:paraId="77B11C00">
      <w:pPr>
        <w:bidi w:val="0"/>
        <w:rPr>
          <w:rFonts w:hint="eastAsia"/>
          <w:color w:val="auto"/>
          <w:highlight w:val="none"/>
        </w:rPr>
      </w:pPr>
    </w:p>
    <w:p w14:paraId="3CE65813">
      <w:pPr>
        <w:bidi w:val="0"/>
        <w:rPr>
          <w:rFonts w:hint="eastAsia"/>
          <w:color w:val="auto"/>
          <w:highlight w:val="none"/>
        </w:rPr>
      </w:pPr>
      <w:bookmarkStart w:id="399" w:name="_Toc3995"/>
    </w:p>
    <w:p w14:paraId="7CB6B1C6">
      <w:pPr>
        <w:pStyle w:val="80"/>
        <w:ind w:firstLine="0" w:firstLineChars="0"/>
        <w:rPr>
          <w:rFonts w:hint="eastAsia" w:ascii="宋体" w:hAnsi="宋体" w:eastAsia="宋体" w:cs="宋体"/>
          <w:b/>
          <w:color w:val="auto"/>
          <w:sz w:val="28"/>
          <w:szCs w:val="28"/>
          <w:highlight w:val="none"/>
        </w:rPr>
      </w:pPr>
    </w:p>
    <w:p w14:paraId="5CFBD455">
      <w:pPr>
        <w:pStyle w:val="3"/>
        <w:bidi w:val="0"/>
        <w:jc w:val="center"/>
        <w:rPr>
          <w:rFonts w:hint="eastAsia" w:ascii="宋体" w:hAnsi="宋体" w:eastAsia="宋体" w:cs="宋体"/>
          <w:b/>
          <w:color w:val="auto"/>
          <w:sz w:val="28"/>
          <w:szCs w:val="28"/>
          <w:highlight w:val="none"/>
        </w:rPr>
      </w:pPr>
      <w:r>
        <w:rPr>
          <w:rFonts w:hint="eastAsia"/>
          <w:color w:val="auto"/>
          <w:highlight w:val="none"/>
        </w:rPr>
        <w:t>第五部分 拟签订的合同文本</w:t>
      </w:r>
    </w:p>
    <w:p w14:paraId="65F65405">
      <w:pPr>
        <w:pStyle w:val="80"/>
        <w:ind w:firstLine="0" w:firstLineChars="0"/>
        <w:rPr>
          <w:rFonts w:hint="eastAsia" w:ascii="宋体" w:hAnsi="宋体" w:eastAsia="宋体" w:cs="宋体"/>
          <w:b/>
          <w:color w:val="auto"/>
          <w:sz w:val="28"/>
          <w:szCs w:val="28"/>
          <w:highlight w:val="none"/>
        </w:rPr>
      </w:pPr>
    </w:p>
    <w:p w14:paraId="1BA83EF8">
      <w:pPr>
        <w:spacing w:line="360" w:lineRule="auto"/>
        <w:ind w:left="420" w:leftChars="200"/>
        <w:jc w:val="center"/>
        <w:rPr>
          <w:rFonts w:hint="eastAsia" w:ascii="宋体" w:hAnsi="宋体" w:eastAsia="宋体" w:cs="宋体"/>
          <w:b/>
          <w:bCs/>
          <w:color w:val="auto"/>
          <w:spacing w:val="-20"/>
          <w:kern w:val="44"/>
          <w:sz w:val="48"/>
          <w:szCs w:val="48"/>
          <w:highlight w:val="none"/>
        </w:rPr>
      </w:pPr>
      <w:r>
        <w:rPr>
          <w:rFonts w:hint="eastAsia" w:ascii="宋体" w:hAnsi="宋体" w:eastAsia="宋体" w:cs="宋体"/>
          <w:b/>
          <w:bCs/>
          <w:color w:val="auto"/>
          <w:spacing w:val="-20"/>
          <w:kern w:val="44"/>
          <w:sz w:val="48"/>
          <w:szCs w:val="48"/>
          <w:highlight w:val="none"/>
        </w:rPr>
        <w:t>政府采购</w:t>
      </w:r>
      <w:r>
        <w:rPr>
          <w:rFonts w:hint="eastAsia" w:ascii="宋体" w:hAnsi="宋体" w:eastAsia="宋体" w:cs="宋体"/>
          <w:b/>
          <w:bCs/>
          <w:color w:val="auto"/>
          <w:spacing w:val="-20"/>
          <w:kern w:val="44"/>
          <w:sz w:val="48"/>
          <w:szCs w:val="48"/>
          <w:highlight w:val="none"/>
          <w:lang w:eastAsia="zh-CN"/>
        </w:rPr>
        <w:t>货物买卖</w:t>
      </w:r>
      <w:r>
        <w:rPr>
          <w:rFonts w:hint="eastAsia" w:ascii="宋体" w:hAnsi="宋体" w:eastAsia="宋体" w:cs="宋体"/>
          <w:b/>
          <w:bCs/>
          <w:color w:val="auto"/>
          <w:spacing w:val="-20"/>
          <w:kern w:val="44"/>
          <w:sz w:val="48"/>
          <w:szCs w:val="48"/>
          <w:highlight w:val="none"/>
        </w:rPr>
        <w:t>合同</w:t>
      </w:r>
    </w:p>
    <w:p w14:paraId="1C362CD9">
      <w:pPr>
        <w:spacing w:line="360" w:lineRule="auto"/>
        <w:ind w:left="420" w:leftChars="200"/>
        <w:jc w:val="center"/>
        <w:rPr>
          <w:rFonts w:hint="eastAsia" w:ascii="宋体" w:hAnsi="宋体" w:eastAsia="宋体" w:cs="宋体"/>
          <w:color w:val="auto"/>
          <w:kern w:val="0"/>
          <w:sz w:val="32"/>
          <w:szCs w:val="32"/>
          <w:highlight w:val="none"/>
        </w:rPr>
      </w:pPr>
      <w:r>
        <w:rPr>
          <w:rFonts w:hint="eastAsia" w:ascii="宋体" w:hAnsi="宋体" w:eastAsia="宋体" w:cs="宋体"/>
          <w:b/>
          <w:bCs/>
          <w:color w:val="auto"/>
          <w:spacing w:val="-20"/>
          <w:kern w:val="44"/>
          <w:sz w:val="48"/>
          <w:szCs w:val="48"/>
          <w:highlight w:val="none"/>
          <w:lang w:eastAsia="zh-CN"/>
        </w:rPr>
        <w:t>（试行）</w:t>
      </w:r>
    </w:p>
    <w:p w14:paraId="1281D9FA">
      <w:pPr>
        <w:spacing w:line="360" w:lineRule="auto"/>
        <w:ind w:left="420" w:leftChars="200"/>
        <w:rPr>
          <w:rFonts w:hint="eastAsia" w:ascii="宋体" w:hAnsi="宋体" w:eastAsia="宋体" w:cs="宋体"/>
          <w:color w:val="auto"/>
          <w:kern w:val="0"/>
          <w:sz w:val="32"/>
          <w:szCs w:val="32"/>
          <w:highlight w:val="none"/>
        </w:rPr>
      </w:pPr>
    </w:p>
    <w:p w14:paraId="3899E420">
      <w:pPr>
        <w:spacing w:line="360" w:lineRule="auto"/>
        <w:ind w:left="420" w:leftChars="200"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kern w:val="0"/>
          <w:sz w:val="32"/>
          <w:szCs w:val="32"/>
          <w:highlight w:val="none"/>
        </w:rPr>
        <w:t>项目名称：</w:t>
      </w:r>
      <w:r>
        <w:rPr>
          <w:rFonts w:hint="eastAsia" w:ascii="宋体" w:hAnsi="宋体" w:eastAsia="宋体" w:cs="宋体"/>
          <w:color w:val="auto"/>
          <w:sz w:val="32"/>
          <w:szCs w:val="32"/>
          <w:highlight w:val="none"/>
          <w:u w:val="single"/>
        </w:rPr>
        <w:t xml:space="preserve">                             </w:t>
      </w:r>
    </w:p>
    <w:p w14:paraId="51A2E5EA">
      <w:pPr>
        <w:spacing w:line="360" w:lineRule="auto"/>
        <w:ind w:left="420" w:leftChars="200" w:firstLine="640" w:firstLineChars="2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合同编号：</w:t>
      </w:r>
      <w:r>
        <w:rPr>
          <w:rFonts w:hint="eastAsia" w:ascii="宋体" w:hAnsi="宋体" w:eastAsia="宋体" w:cs="宋体"/>
          <w:color w:val="auto"/>
          <w:sz w:val="32"/>
          <w:szCs w:val="32"/>
          <w:highlight w:val="none"/>
          <w:u w:val="single"/>
        </w:rPr>
        <w:t xml:space="preserve">                             </w:t>
      </w:r>
    </w:p>
    <w:p w14:paraId="527959F5">
      <w:pPr>
        <w:spacing w:line="360" w:lineRule="auto"/>
        <w:ind w:left="420" w:leftChars="200"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甲    方：</w:t>
      </w:r>
      <w:r>
        <w:rPr>
          <w:rFonts w:hint="eastAsia" w:ascii="宋体" w:hAnsi="宋体" w:eastAsia="宋体" w:cs="宋体"/>
          <w:color w:val="auto"/>
          <w:sz w:val="32"/>
          <w:szCs w:val="32"/>
          <w:highlight w:val="none"/>
          <w:u w:val="single"/>
        </w:rPr>
        <w:t xml:space="preserve">                             </w:t>
      </w:r>
    </w:p>
    <w:p w14:paraId="063B7E3C">
      <w:pPr>
        <w:spacing w:line="360" w:lineRule="auto"/>
        <w:ind w:left="420" w:leftChars="200" w:firstLine="640" w:firstLineChars="200"/>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乙    方：</w:t>
      </w:r>
      <w:r>
        <w:rPr>
          <w:rFonts w:hint="eastAsia" w:ascii="宋体" w:hAnsi="宋体" w:eastAsia="宋体" w:cs="宋体"/>
          <w:color w:val="auto"/>
          <w:sz w:val="32"/>
          <w:szCs w:val="32"/>
          <w:highlight w:val="none"/>
          <w:u w:val="single"/>
        </w:rPr>
        <w:t xml:space="preserve">                             </w:t>
      </w:r>
    </w:p>
    <w:p w14:paraId="12AD729B">
      <w:pPr>
        <w:spacing w:line="360" w:lineRule="auto"/>
        <w:ind w:left="420" w:leftChars="200" w:firstLine="640" w:firstLineChars="2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签订时间：</w:t>
      </w:r>
      <w:r>
        <w:rPr>
          <w:rFonts w:hint="eastAsia" w:ascii="宋体" w:hAnsi="宋体" w:eastAsia="宋体" w:cs="宋体"/>
          <w:color w:val="auto"/>
          <w:sz w:val="32"/>
          <w:szCs w:val="32"/>
          <w:highlight w:val="none"/>
          <w:u w:val="single"/>
        </w:rPr>
        <w:t xml:space="preserve">                             </w:t>
      </w:r>
    </w:p>
    <w:p w14:paraId="182645F3">
      <w:pPr>
        <w:rPr>
          <w:rFonts w:hint="eastAsia" w:ascii="宋体" w:hAnsi="宋体" w:eastAsia="宋体" w:cs="宋体"/>
          <w:color w:val="auto"/>
          <w:highlight w:val="none"/>
        </w:rPr>
      </w:pPr>
    </w:p>
    <w:p w14:paraId="7EA47379">
      <w:pP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p>
    <w:p w14:paraId="616487B7">
      <w:pPr>
        <w:rPr>
          <w:rFonts w:hint="eastAsia" w:ascii="宋体" w:hAnsi="宋体" w:eastAsia="宋体" w:cs="宋体"/>
          <w:color w:val="auto"/>
          <w:sz w:val="44"/>
          <w:szCs w:val="44"/>
          <w:highlight w:val="none"/>
        </w:rPr>
      </w:pPr>
    </w:p>
    <w:p w14:paraId="76CE3144">
      <w:pPr>
        <w:rPr>
          <w:rFonts w:hint="eastAsia" w:ascii="宋体" w:hAnsi="宋体" w:eastAsia="宋体" w:cs="宋体"/>
          <w:color w:val="auto"/>
          <w:sz w:val="44"/>
          <w:szCs w:val="44"/>
          <w:highlight w:val="none"/>
        </w:rPr>
      </w:pPr>
    </w:p>
    <w:p w14:paraId="61A20C86">
      <w:pPr>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使</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用</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说</w:t>
      </w: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44"/>
          <w:szCs w:val="44"/>
          <w:highlight w:val="none"/>
          <w:lang w:eastAsia="zh-CN"/>
        </w:rPr>
        <w:t>明</w:t>
      </w:r>
    </w:p>
    <w:p w14:paraId="7BDC382B">
      <w:pPr>
        <w:ind w:firstLine="640" w:firstLineChars="200"/>
        <w:rPr>
          <w:rFonts w:hint="eastAsia" w:ascii="宋体" w:hAnsi="宋体" w:eastAsia="宋体" w:cs="宋体"/>
          <w:color w:val="auto"/>
          <w:sz w:val="32"/>
          <w:szCs w:val="32"/>
          <w:highlight w:val="none"/>
          <w:lang w:val="en-US" w:eastAsia="zh-CN"/>
        </w:rPr>
      </w:pPr>
    </w:p>
    <w:p w14:paraId="5311004F">
      <w:pPr>
        <w:ind w:firstLine="640" w:firstLineChars="2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1.本合同标准文本适用于购买现成货物的采购项目，不包括需要供应商定制开发、创新研发的货物采购项目。</w:t>
      </w:r>
    </w:p>
    <w:p w14:paraId="41B75DAC">
      <w:pPr>
        <w:ind w:firstLine="0" w:firstLineChars="0"/>
        <w:rPr>
          <w:rFonts w:hint="eastAsia" w:ascii="宋体" w:hAnsi="宋体" w:eastAsia="宋体" w:cs="宋体"/>
          <w:color w:val="auto"/>
          <w:sz w:val="44"/>
          <w:szCs w:val="44"/>
          <w:highlight w:val="none"/>
          <w:lang w:val="en-US" w:eastAsia="zh-CN"/>
        </w:rPr>
      </w:pPr>
      <w:r>
        <w:rPr>
          <w:rFonts w:hint="eastAsia" w:ascii="宋体" w:hAnsi="宋体" w:eastAsia="宋体" w:cs="宋体"/>
          <w:color w:val="auto"/>
          <w:sz w:val="44"/>
          <w:szCs w:val="44"/>
          <w:highlight w:val="none"/>
          <w:lang w:val="en-US" w:eastAsia="zh-CN"/>
        </w:rPr>
        <w:t xml:space="preserve">   </w:t>
      </w:r>
      <w:r>
        <w:rPr>
          <w:rFonts w:hint="eastAsia" w:ascii="宋体" w:hAnsi="宋体" w:eastAsia="宋体" w:cs="宋体"/>
          <w:color w:val="auto"/>
          <w:sz w:val="32"/>
          <w:szCs w:val="32"/>
          <w:highlight w:val="none"/>
          <w:lang w:val="en-US" w:eastAsia="zh-CN"/>
        </w:rPr>
        <w:t>2.本合同标准文本为政府采购货物买卖合同编制提供参考，可以结合采购项目具体情况，对文本作必要的调整修订后使用。</w:t>
      </w:r>
    </w:p>
    <w:p w14:paraId="381395DB">
      <w:pPr>
        <w:ind w:firstLine="640" w:firstLineChars="2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6D62A1B">
      <w:pPr>
        <w:ind w:firstLine="880" w:firstLineChars="200"/>
        <w:jc w:val="both"/>
        <w:rPr>
          <w:rFonts w:hint="eastAsia" w:ascii="宋体" w:hAnsi="宋体" w:eastAsia="宋体" w:cs="宋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399"/>
    <w:p w14:paraId="603A96E7">
      <w:pPr>
        <w:bidi w:val="0"/>
        <w:rPr>
          <w:rFonts w:hint="eastAsia" w:ascii="宋体" w:hAnsi="宋体" w:eastAsia="宋体" w:cs="宋体"/>
          <w:color w:val="auto"/>
          <w:highlight w:val="none"/>
        </w:rPr>
      </w:pPr>
      <w:bookmarkStart w:id="400" w:name="_Toc22209"/>
    </w:p>
    <w:p w14:paraId="6BD6C5DD">
      <w:pPr>
        <w:bidi w:val="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第一节 政府采购合同协议书</w:t>
      </w:r>
      <w:bookmarkEnd w:id="400"/>
    </w:p>
    <w:p w14:paraId="692FE3BD">
      <w:pPr>
        <w:bidi w:val="0"/>
        <w:jc w:val="center"/>
        <w:rPr>
          <w:rFonts w:hint="eastAsia" w:ascii="宋体" w:hAnsi="宋体" w:eastAsia="宋体" w:cs="宋体"/>
          <w:color w:val="auto"/>
          <w:highlight w:val="none"/>
        </w:rPr>
      </w:pPr>
    </w:p>
    <w:p w14:paraId="0D30F01D">
      <w:pPr>
        <w:adjustRightInd w:val="0"/>
        <w:snapToGrid w:val="0"/>
        <w:spacing w:before="0" w:beforeLines="0"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（采购人</w:t>
      </w:r>
      <w:r>
        <w:rPr>
          <w:rFonts w:hint="eastAsia" w:ascii="宋体" w:hAnsi="宋体" w:eastAsia="宋体" w:cs="宋体"/>
          <w:color w:val="auto"/>
          <w:szCs w:val="21"/>
          <w:highlight w:val="none"/>
          <w:lang w:eastAsia="zh-CN"/>
        </w:rPr>
        <w:t>、受采购人委托签订合同的单位</w:t>
      </w:r>
      <w:r>
        <w:rPr>
          <w:rFonts w:hint="eastAsia" w:ascii="宋体" w:hAnsi="宋体" w:eastAsia="宋体" w:cs="宋体"/>
          <w:color w:val="auto"/>
          <w:szCs w:val="21"/>
          <w:highlight w:val="none"/>
        </w:rPr>
        <w:t>或采购</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文件约定的合同甲方）</w:t>
      </w:r>
    </w:p>
    <w:p w14:paraId="193E15C6">
      <w:pPr>
        <w:adjustRightInd w:val="0"/>
        <w:snapToGrid w:val="0"/>
        <w:spacing w:before="0" w:beforeLines="0"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（供应商）</w:t>
      </w:r>
    </w:p>
    <w:p w14:paraId="690CF1DA">
      <w:pPr>
        <w:adjustRightInd w:val="0"/>
        <w:snapToGrid w:val="0"/>
        <w:spacing w:before="0" w:beforeLines="0"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乙方2（全称）：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（联合体成员供应商或其他合同主体）（如有）</w:t>
      </w:r>
    </w:p>
    <w:p w14:paraId="24E776DD">
      <w:pPr>
        <w:adjustRightInd w:val="0"/>
        <w:snapToGrid w:val="0"/>
        <w:spacing w:before="0" w:beforeLines="0" w:line="400" w:lineRule="exact"/>
        <w:rPr>
          <w:rFonts w:hint="eastAsia" w:ascii="宋体" w:hAnsi="宋体" w:eastAsia="宋体" w:cs="宋体"/>
          <w:color w:val="auto"/>
          <w:szCs w:val="21"/>
          <w:highlight w:val="none"/>
        </w:rPr>
      </w:pPr>
      <w:r>
        <w:rPr>
          <w:rFonts w:hint="eastAsia" w:ascii="宋体" w:hAnsi="宋体" w:eastAsia="宋体" w:cs="宋体"/>
          <w:color w:val="auto"/>
          <w:highlight w:val="none"/>
          <w:lang w:eastAsia="zh-CN"/>
        </w:rPr>
        <w:t>乙方</w:t>
      </w:r>
      <w:r>
        <w:rPr>
          <w:rFonts w:hint="eastAsia" w:ascii="宋体" w:hAnsi="宋体" w:eastAsia="宋体" w:cs="宋体"/>
          <w:color w:val="auto"/>
          <w:szCs w:val="21"/>
          <w:highlight w:val="none"/>
          <w:lang w:val="en-US" w:eastAsia="zh-CN"/>
        </w:rPr>
        <w:t>3</w:t>
      </w:r>
      <w:r>
        <w:rPr>
          <w:rFonts w:hint="eastAsia" w:ascii="宋体" w:hAnsi="宋体" w:eastAsia="宋体" w:cs="宋体"/>
          <w:color w:val="auto"/>
          <w:highlight w:val="none"/>
          <w:lang w:val="en-US" w:eastAsia="zh-CN"/>
        </w:rPr>
        <w:t>（全称）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（联合体成员供应商或其他合同主体）（如有）</w:t>
      </w:r>
    </w:p>
    <w:p w14:paraId="6390BF35">
      <w:pPr>
        <w:spacing w:beforeLines="0" w:line="400" w:lineRule="exact"/>
        <w:rPr>
          <w:rFonts w:hint="eastAsia" w:ascii="宋体" w:hAnsi="宋体" w:eastAsia="宋体" w:cs="宋体"/>
          <w:color w:val="auto"/>
          <w:highlight w:val="none"/>
          <w:lang w:val="en-US" w:eastAsia="zh-CN"/>
        </w:rPr>
      </w:pPr>
    </w:p>
    <w:p w14:paraId="6B0A98EA">
      <w:pPr>
        <w:pStyle w:val="24"/>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6883AE5A">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4AD05609">
      <w:pPr>
        <w:pStyle w:val="24"/>
        <w:numPr>
          <w:ilvl w:val="0"/>
          <w:numId w:val="19"/>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采购项目编号：</w:t>
      </w:r>
      <w:r>
        <w:rPr>
          <w:rFonts w:hint="eastAsia" w:ascii="宋体" w:hAnsi="宋体" w:eastAsia="宋体" w:cs="宋体"/>
          <w:color w:val="auto"/>
          <w:sz w:val="21"/>
          <w:szCs w:val="21"/>
          <w:highlight w:val="none"/>
          <w:u w:val="single"/>
        </w:rPr>
        <w:t xml:space="preserve">                                          </w:t>
      </w:r>
    </w:p>
    <w:p w14:paraId="69CD7E78">
      <w:pPr>
        <w:pStyle w:val="24"/>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7DB6336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38AFE44D">
      <w:pPr>
        <w:adjustRightInd w:val="0"/>
        <w:snapToGrid w:val="0"/>
        <w:spacing w:before="0" w:beforeLines="0"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采购标的及数量</w:t>
      </w:r>
      <w:r>
        <w:rPr>
          <w:rFonts w:hint="eastAsia" w:ascii="宋体" w:hAnsi="宋体" w:eastAsia="宋体" w:cs="宋体"/>
          <w:color w:val="auto"/>
          <w:szCs w:val="21"/>
          <w:highlight w:val="none"/>
          <w:lang w:val="en-US" w:eastAsia="zh-CN"/>
        </w:rPr>
        <w:t>（台/套</w:t>
      </w:r>
      <w:r>
        <w:rPr>
          <w:rFonts w:hint="eastAsia" w:ascii="宋体" w:hAnsi="宋体" w:eastAsia="宋体" w:cs="宋体"/>
          <w:color w:val="auto"/>
          <w:szCs w:val="21"/>
          <w:highlight w:val="none"/>
          <w:lang w:val="en" w:eastAsia="zh-CN"/>
        </w:rPr>
        <w:t>/个/架/组等</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p>
    <w:p w14:paraId="5AB5F2B5">
      <w:pPr>
        <w:numPr>
          <w:ilvl w:val="-1"/>
          <w:numId w:val="0"/>
        </w:numPr>
        <w:adjustRightInd w:val="0"/>
        <w:snapToGrid w:val="0"/>
        <w:spacing w:before="0" w:beforeLines="0" w:line="400" w:lineRule="exact"/>
        <w:ind w:firstLine="420" w:firstLineChars="200"/>
        <w:rPr>
          <w:rFonts w:hint="eastAsia" w:ascii="宋体" w:hAnsi="宋体" w:eastAsia="宋体" w:cs="宋体"/>
          <w:color w:val="auto"/>
          <w:szCs w:val="21"/>
          <w:highlight w:val="none"/>
          <w:lang w:val="en" w:eastAsia="zh-CN"/>
        </w:rPr>
      </w:pP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 w:eastAsia="zh-CN"/>
        </w:rPr>
        <w:t xml:space="preserve">     </w:t>
      </w:r>
      <w:r>
        <w:rPr>
          <w:rFonts w:hint="eastAsia" w:ascii="宋体" w:hAnsi="宋体" w:eastAsia="宋体" w:cs="宋体"/>
          <w:color w:val="auto"/>
          <w:szCs w:val="21"/>
          <w:highlight w:val="none"/>
          <w:lang w:val="en-US" w:eastAsia="zh-CN"/>
        </w:rPr>
        <w:t>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 w:eastAsia="zh-CN"/>
        </w:rPr>
        <w:t xml:space="preserve">   </w:t>
      </w:r>
    </w:p>
    <w:p w14:paraId="5946B024">
      <w:pPr>
        <w:adjustRightInd w:val="0"/>
        <w:snapToGrid w:val="0"/>
        <w:spacing w:before="0" w:beforeLines="0" w:line="400" w:lineRule="exact"/>
        <w:ind w:firstLine="945" w:firstLineChars="45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945" w:firstLineChars="45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①涉及信息类产品，请填写该产品关键部件的品牌、型号：</w:t>
      </w:r>
    </w:p>
    <w:p w14:paraId="32FBE24B">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Cs w:val="21"/>
          <w:highlight w:val="none"/>
          <w:u w:val="single"/>
          <w:lang w:val="en-US" w:eastAsia="zh-CN"/>
        </w:rPr>
      </w:pPr>
      <w:r>
        <w:rPr>
          <w:rFonts w:hint="eastAsia" w:ascii="宋体" w:hAnsi="宋体" w:eastAsia="宋体" w:cs="宋体"/>
          <w:color w:val="auto"/>
          <w:szCs w:val="21"/>
          <w:highlight w:val="none"/>
          <w:lang w:val="en-US" w:eastAsia="zh-CN"/>
        </w:rPr>
        <w:t xml:space="preserve">     标的名称：</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lang w:val="en" w:eastAsia="zh-CN"/>
        </w:rPr>
        <w:t xml:space="preserve">               </w:t>
      </w:r>
      <w:r>
        <w:rPr>
          <w:rFonts w:hint="eastAsia" w:ascii="宋体" w:hAnsi="宋体" w:eastAsia="宋体" w:cs="宋体"/>
          <w:color w:val="auto"/>
          <w:kern w:val="0"/>
          <w:szCs w:val="21"/>
          <w:highlight w:val="none"/>
          <w:u w:val="single"/>
          <w:lang w:val="en-US" w:eastAsia="zh-CN"/>
        </w:rPr>
        <w:t xml:space="preserve">    </w:t>
      </w:r>
    </w:p>
    <w:p w14:paraId="5A3B8932">
      <w:pPr>
        <w:numPr>
          <w:ilvl w:val="-1"/>
          <w:numId w:val="0"/>
        </w:numPr>
        <w:adjustRightInd w:val="0"/>
        <w:snapToGrid w:val="0"/>
        <w:spacing w:before="0" w:beforeLines="0"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关键部件：</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szCs w:val="21"/>
          <w:highlight w:val="none"/>
          <w:lang w:val="en-US" w:eastAsia="zh-CN"/>
        </w:rPr>
        <w:t>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p>
    <w:p w14:paraId="32E278FB">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9A173D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91E722B">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443DC53D">
      <w:pPr>
        <w:pStyle w:val="79"/>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BFFC7C6">
      <w:pPr>
        <w:pStyle w:val="79"/>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27B4D74">
      <w:pPr>
        <w:pStyle w:val="79"/>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42761423">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797FA8C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092B70C7">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3177EE8">
      <w:pPr>
        <w:pStyle w:val="79"/>
        <w:numPr>
          <w:ilvl w:val="-1"/>
          <w:numId w:val="0"/>
        </w:numPr>
        <w:adjustRightInd w:val="0"/>
        <w:snapToGrid w:val="0"/>
        <w:spacing w:before="0" w:beforeLines="0" w:line="400" w:lineRule="exact"/>
        <w:ind w:firstLine="22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val="en"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Cs w:val="21"/>
          <w:highlight w:val="none"/>
        </w:rPr>
      </w:pPr>
      <w:r>
        <w:rPr>
          <w:rFonts w:hint="eastAsia" w:ascii="宋体" w:hAnsi="宋体" w:eastAsia="宋体" w:cs="宋体"/>
          <w:color w:val="auto"/>
          <w:w w:val="100"/>
          <w:szCs w:val="21"/>
          <w:highlight w:val="none"/>
          <w:lang w:val="en-US" w:eastAsia="zh-CN"/>
        </w:rPr>
        <w:t xml:space="preserve">         本合同</w:t>
      </w:r>
      <w:r>
        <w:rPr>
          <w:rFonts w:hint="eastAsia" w:ascii="宋体" w:hAnsi="宋体" w:eastAsia="宋体" w:cs="宋体"/>
          <w:color w:val="auto"/>
          <w:w w:val="100"/>
          <w:szCs w:val="21"/>
          <w:highlight w:val="none"/>
        </w:rPr>
        <w:t>是否</w:t>
      </w:r>
      <w:r>
        <w:rPr>
          <w:rFonts w:hint="eastAsia" w:ascii="宋体" w:hAnsi="宋体" w:eastAsia="宋体" w:cs="宋体"/>
          <w:color w:val="auto"/>
          <w:w w:val="100"/>
          <w:szCs w:val="21"/>
          <w:highlight w:val="none"/>
          <w:lang w:eastAsia="zh-CN"/>
        </w:rPr>
        <w:t>为专门面向</w:t>
      </w:r>
      <w:r>
        <w:rPr>
          <w:rFonts w:hint="eastAsia" w:ascii="宋体" w:hAnsi="宋体" w:eastAsia="宋体" w:cs="宋体"/>
          <w:color w:val="auto"/>
          <w:w w:val="100"/>
          <w:szCs w:val="21"/>
          <w:highlight w:val="none"/>
        </w:rPr>
        <w:t>中小企业</w:t>
      </w:r>
      <w:r>
        <w:rPr>
          <w:rFonts w:hint="eastAsia" w:ascii="宋体" w:hAnsi="宋体" w:eastAsia="宋体" w:cs="宋体"/>
          <w:color w:val="auto"/>
          <w:w w:val="100"/>
          <w:szCs w:val="21"/>
          <w:highlight w:val="none"/>
          <w:lang w:eastAsia="zh-CN"/>
        </w:rPr>
        <w:t>的采</w:t>
      </w:r>
      <w:r>
        <w:rPr>
          <w:rFonts w:hint="eastAsia" w:ascii="宋体" w:hAnsi="宋体" w:eastAsia="宋体" w:cs="宋体"/>
          <w:color w:val="auto"/>
          <w:w w:val="100"/>
          <w:szCs w:val="21"/>
          <w:highlight w:val="none"/>
          <w:shd w:val="clear"/>
          <w:lang w:eastAsia="zh-CN"/>
        </w:rPr>
        <w:t>购</w:t>
      </w:r>
      <w:r>
        <w:rPr>
          <w:rFonts w:hint="eastAsia" w:ascii="宋体" w:hAnsi="宋体" w:eastAsia="宋体" w:cs="宋体"/>
          <w:color w:val="auto"/>
          <w:w w:val="100"/>
          <w:szCs w:val="21"/>
          <w:highlight w:val="none"/>
          <w:shd w:val="clear"/>
        </w:rPr>
        <w:t>合同</w:t>
      </w:r>
      <w:r>
        <w:rPr>
          <w:rFonts w:hint="eastAsia" w:ascii="宋体" w:hAnsi="宋体" w:eastAsia="宋体" w:cs="宋体"/>
          <w:color w:val="auto"/>
          <w:w w:val="100"/>
          <w:szCs w:val="21"/>
          <w:highlight w:val="none"/>
          <w:shd w:val="clear"/>
          <w:lang w:eastAsia="zh-CN"/>
        </w:rPr>
        <w:t>（中小企业预留合同）</w:t>
      </w:r>
      <w:r>
        <w:rPr>
          <w:rFonts w:hint="eastAsia" w:ascii="宋体" w:hAnsi="宋体" w:eastAsia="宋体" w:cs="宋体"/>
          <w:color w:val="auto"/>
          <w:szCs w:val="21"/>
          <w:highlight w:val="none"/>
          <w:shd w:val="clear"/>
        </w:rPr>
        <w:t>：</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60B37E5D">
      <w:pPr>
        <w:numPr>
          <w:ilvl w:val="-1"/>
          <w:numId w:val="0"/>
        </w:numPr>
        <w:adjustRightInd w:val="0"/>
        <w:snapToGrid w:val="0"/>
        <w:spacing w:before="0" w:beforeLines="0" w:line="400" w:lineRule="exact"/>
        <w:ind w:firstLine="0" w:firstLineChars="0"/>
        <w:rPr>
          <w:rFonts w:hint="eastAsia" w:ascii="宋体" w:hAnsi="宋体" w:eastAsia="宋体" w:cs="宋体"/>
          <w:iCs/>
          <w:color w:val="auto"/>
          <w:szCs w:val="21"/>
          <w:highlight w:val="none"/>
        </w:rPr>
      </w:pPr>
      <w:r>
        <w:rPr>
          <w:rFonts w:hint="eastAsia" w:ascii="宋体" w:hAnsi="宋体" w:eastAsia="宋体" w:cs="宋体"/>
          <w:color w:val="auto"/>
          <w:highlight w:val="none"/>
          <w:lang w:val="en-US" w:eastAsia="zh-CN"/>
        </w:rPr>
        <w:t xml:space="preserve">         若本项目不专门面向中小企业采购，是否给予小微企业评审优惠：</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075650C3">
      <w:pPr>
        <w:numPr>
          <w:ilvl w:val="-1"/>
          <w:numId w:val="0"/>
        </w:numPr>
        <w:adjustRightInd w:val="0"/>
        <w:snapToGrid w:val="0"/>
        <w:spacing w:before="0" w:beforeLines="0" w:line="400" w:lineRule="exact"/>
        <w:ind w:firstLine="0" w:firstLineChars="0"/>
        <w:rPr>
          <w:rFonts w:hint="eastAsia" w:ascii="宋体" w:hAnsi="宋体" w:eastAsia="宋体" w:cs="宋体"/>
          <w:iCs/>
          <w:color w:val="auto"/>
          <w:szCs w:val="21"/>
          <w:highlight w:val="none"/>
        </w:rPr>
      </w:pPr>
      <w:r>
        <w:rPr>
          <w:rFonts w:hint="eastAsia" w:ascii="宋体" w:hAnsi="宋体" w:eastAsia="宋体" w:cs="宋体"/>
          <w:color w:val="auto"/>
          <w:highlight w:val="none"/>
          <w:lang w:val="en-US" w:eastAsia="zh-CN"/>
        </w:rPr>
        <w:t xml:space="preserve">         中标（成交）采购标的制造商是否为残疾人福利性单位：</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6AE1989D">
      <w:pPr>
        <w:numPr>
          <w:ilvl w:val="0"/>
          <w:numId w:val="0"/>
        </w:numPr>
        <w:snapToGrid w:val="0"/>
        <w:spacing w:beforeLines="0" w:line="400" w:lineRule="exact"/>
        <w:ind w:firstLine="0" w:firstLine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中标（成交）采购标的制造商是否为监狱企业：</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049390EB">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 w:eastAsia="zh-CN"/>
        </w:rPr>
        <w:t>7</w:t>
      </w:r>
      <w:r>
        <w:rPr>
          <w:rFonts w:hint="eastAsia" w:ascii="宋体" w:hAnsi="宋体" w:eastAsia="宋体" w:cs="宋体"/>
          <w:color w:val="auto"/>
          <w:szCs w:val="21"/>
          <w:highlight w:val="none"/>
        </w:rPr>
        <w:t>）合同是否分包：</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62B36BD6">
      <w:p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分包主要内容：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1C6AEC7B">
      <w:pPr>
        <w:adjustRightInd w:val="0"/>
        <w:snapToGrid w:val="0"/>
        <w:spacing w:before="0" w:beforeLines="0" w:line="40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szCs w:val="21"/>
          <w:highlight w:val="none"/>
        </w:rPr>
        <w:t>分包供应商</w:t>
      </w:r>
      <w:r>
        <w:rPr>
          <w:rFonts w:hint="eastAsia" w:ascii="宋体" w:hAnsi="宋体" w:eastAsia="宋体" w:cs="宋体"/>
          <w:color w:val="auto"/>
          <w:szCs w:val="21"/>
          <w:highlight w:val="none"/>
          <w:lang w:eastAsia="zh-CN"/>
        </w:rPr>
        <w:t>/制造商</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（如供应商和制造商不同，请分别填写）</w:t>
      </w:r>
      <w:r>
        <w:rPr>
          <w:rFonts w:hint="eastAsia" w:ascii="宋体" w:hAnsi="宋体" w:eastAsia="宋体" w:cs="宋体"/>
          <w:color w:val="auto"/>
          <w:szCs w:val="21"/>
          <w:highlight w:val="none"/>
        </w:rPr>
        <w:t>：</w:t>
      </w:r>
    </w:p>
    <w:p w14:paraId="22680A58">
      <w:p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u w:val="non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0EFA9F91">
      <w:pPr>
        <w:adjustRightInd w:val="0"/>
        <w:snapToGrid w:val="0"/>
        <w:spacing w:before="0" w:beforeLines="0" w:line="400" w:lineRule="exact"/>
        <w:ind w:firstLine="840" w:firstLineChars="4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分包供应商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制造商</w:t>
      </w:r>
      <w:r>
        <w:rPr>
          <w:rFonts w:hint="eastAsia" w:ascii="宋体" w:hAnsi="宋体" w:eastAsia="宋体" w:cs="宋体"/>
          <w:color w:val="auto"/>
          <w:szCs w:val="21"/>
          <w:highlight w:val="none"/>
        </w:rPr>
        <w:t>类型</w:t>
      </w:r>
      <w:r>
        <w:rPr>
          <w:rFonts w:hint="eastAsia" w:ascii="宋体" w:hAnsi="宋体" w:eastAsia="宋体" w:cs="宋体"/>
          <w:color w:val="auto"/>
          <w:szCs w:val="21"/>
          <w:highlight w:val="none"/>
          <w:lang w:eastAsia="zh-CN"/>
        </w:rPr>
        <w:t>（如果供应商和制造商不同，只填写制造商类型）</w:t>
      </w:r>
      <w:r>
        <w:rPr>
          <w:rFonts w:hint="eastAsia" w:ascii="宋体" w:hAnsi="宋体" w:eastAsia="宋体" w:cs="宋体"/>
          <w:color w:val="auto"/>
          <w:szCs w:val="21"/>
          <w:highlight w:val="none"/>
        </w:rPr>
        <w:t>：</w:t>
      </w:r>
    </w:p>
    <w:p w14:paraId="7A309FBE">
      <w:pPr>
        <w:adjustRightInd w:val="0"/>
        <w:snapToGrid w:val="0"/>
        <w:spacing w:beforeLines="0" w:line="400" w:lineRule="exact"/>
        <w:ind w:firstLine="840" w:firstLineChars="400"/>
        <w:rPr>
          <w:rFonts w:hint="eastAsia" w:ascii="宋体" w:hAnsi="宋体" w:eastAsia="宋体" w:cs="宋体"/>
          <w:iCs/>
          <w:color w:val="auto"/>
          <w:szCs w:val="21"/>
          <w:highlight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大型企业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中型企业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小微型企业</w:t>
      </w:r>
      <w:r>
        <w:rPr>
          <w:rFonts w:hint="eastAsia" w:ascii="宋体" w:hAnsi="宋体" w:eastAsia="宋体" w:cs="宋体"/>
          <w:iCs/>
          <w:color w:val="auto"/>
          <w:szCs w:val="21"/>
          <w:highlight w:val="none"/>
          <w:lang w:val="en-US" w:eastAsia="zh-CN"/>
        </w:rPr>
        <w:t xml:space="preserve">  </w:t>
      </w:r>
    </w:p>
    <w:p w14:paraId="1D15FDD5">
      <w:pPr>
        <w:adjustRightInd w:val="0"/>
        <w:snapToGrid w:val="0"/>
        <w:spacing w:beforeLines="0" w:line="400" w:lineRule="exact"/>
        <w:ind w:firstLine="840" w:firstLineChars="400"/>
        <w:rPr>
          <w:rFonts w:hint="eastAsia" w:ascii="宋体" w:hAnsi="宋体" w:eastAsia="宋体" w:cs="宋体"/>
          <w:color w:val="auto"/>
          <w:highlight w:val="none"/>
          <w:u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残疾人福利性单位</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监狱</w:t>
      </w:r>
      <w:r>
        <w:rPr>
          <w:rFonts w:hint="eastAsia" w:ascii="宋体" w:hAnsi="宋体" w:eastAsia="宋体" w:cs="宋体"/>
          <w:iCs/>
          <w:color w:val="auto"/>
          <w:szCs w:val="21"/>
          <w:highlight w:val="none"/>
        </w:rPr>
        <w:t>企业</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Cs w:val="21"/>
          <w:highlight w:val="none"/>
        </w:rPr>
      </w:pPr>
      <w:r>
        <w:rPr>
          <w:rFonts w:hint="eastAsia" w:ascii="宋体" w:hAnsi="宋体" w:eastAsia="宋体" w:cs="宋体"/>
          <w:color w:val="auto"/>
          <w:szCs w:val="21"/>
          <w:highlight w:val="none"/>
          <w:u w:val="none"/>
          <w:lang w:val="en-US" w:eastAsia="zh-CN"/>
        </w:rPr>
        <w:t xml:space="preserve">    （</w:t>
      </w:r>
      <w:r>
        <w:rPr>
          <w:rFonts w:hint="eastAsia" w:ascii="宋体" w:hAnsi="宋体" w:eastAsia="宋体" w:cs="宋体"/>
          <w:color w:val="auto"/>
          <w:szCs w:val="21"/>
          <w:highlight w:val="none"/>
          <w:u w:val="none"/>
          <w:lang w:val="en" w:eastAsia="zh-CN"/>
        </w:rPr>
        <w:t>8</w:t>
      </w:r>
      <w:r>
        <w:rPr>
          <w:rFonts w:hint="eastAsia" w:ascii="宋体" w:hAnsi="宋体" w:eastAsia="宋体" w:cs="宋体"/>
          <w:color w:val="auto"/>
          <w:szCs w:val="21"/>
          <w:highlight w:val="none"/>
          <w:u w:val="none"/>
          <w:lang w:val="en-US" w:eastAsia="zh-CN"/>
        </w:rPr>
        <w:t>）中标（成交）供应商是否为外商投资企业：</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是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否</w:t>
      </w:r>
    </w:p>
    <w:p w14:paraId="3502138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2C951E8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640EB17B">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eastAsia="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金额：</w:t>
      </w:r>
      <w:r>
        <w:rPr>
          <w:rFonts w:hint="eastAsia" w:ascii="宋体" w:hAnsi="宋体" w:eastAsia="宋体" w:cs="宋体"/>
          <w:color w:val="auto"/>
          <w:szCs w:val="21"/>
          <w:highlight w:val="none"/>
          <w:u w:val="single"/>
          <w:lang w:val="en-US" w:eastAsia="zh-CN"/>
        </w:rPr>
        <w:t xml:space="preserve">        </w:t>
      </w:r>
    </w:p>
    <w:p w14:paraId="209E8E50">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Cs w:val="21"/>
          <w:highlight w:val="none"/>
        </w:rPr>
      </w:pPr>
      <w:r>
        <w:rPr>
          <w:rFonts w:hint="eastAsia" w:ascii="宋体" w:hAnsi="宋体" w:eastAsia="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iCs w:val="0"/>
          <w:color w:val="auto"/>
          <w:szCs w:val="21"/>
          <w:highlight w:val="none"/>
        </w:rPr>
        <w:t xml:space="preserve">      </w:t>
      </w:r>
    </w:p>
    <w:p w14:paraId="305E783A">
      <w:pPr>
        <w:adjustRightInd w:val="0"/>
        <w:snapToGrid w:val="0"/>
        <w:spacing w:before="0" w:beforeLines="0" w:line="400" w:lineRule="exact"/>
        <w:ind w:firstLine="840" w:firstLineChars="400"/>
        <w:rPr>
          <w:rFonts w:hint="eastAsia" w:ascii="宋体" w:hAnsi="宋体" w:eastAsia="宋体" w:cs="宋体"/>
          <w:color w:val="auto"/>
          <w:szCs w:val="21"/>
          <w:highlight w:val="none"/>
          <w:u w:val="none"/>
          <w:lang w:val="en-US" w:eastAsia="zh-CN"/>
        </w:rPr>
      </w:pPr>
      <w:r>
        <w:rPr>
          <w:rFonts w:hint="eastAsia" w:ascii="宋体" w:hAnsi="宋体" w:eastAsia="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，《节能产品政府采购品目清单》的底级品目名称：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iCs/>
          <w:color w:val="auto"/>
          <w:szCs w:val="21"/>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Cs w:val="21"/>
          <w:highlight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强制采购</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优先采购</w:t>
      </w:r>
      <w:r>
        <w:rPr>
          <w:rFonts w:hint="eastAsia" w:ascii="宋体" w:hAnsi="宋体" w:eastAsia="宋体" w:cs="宋体"/>
          <w:iCs/>
          <w:color w:val="auto"/>
          <w:szCs w:val="21"/>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Cs w:val="21"/>
          <w:highlight w:val="none"/>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否</w:t>
      </w:r>
    </w:p>
    <w:p w14:paraId="5471FFF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10D9333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，《环境标志产品政府采购品目清单》的底级品目名称：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iCs/>
          <w:color w:val="auto"/>
          <w:szCs w:val="21"/>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Cs w:val="21"/>
          <w:highlight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强制采购</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优先采购</w:t>
      </w:r>
      <w:r>
        <w:rPr>
          <w:rFonts w:hint="eastAsia" w:ascii="宋体" w:hAnsi="宋体" w:eastAsia="宋体" w:cs="宋体"/>
          <w:iCs/>
          <w:color w:val="auto"/>
          <w:szCs w:val="21"/>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否</w:t>
      </w:r>
    </w:p>
    <w:p w14:paraId="72D9CEF8">
      <w:pPr>
        <w:pStyle w:val="79"/>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49E59B22">
      <w:pPr>
        <w:pStyle w:val="79"/>
        <w:spacing w:beforeLines="0"/>
        <w:ind w:firstLine="420" w:firstLineChars="0"/>
        <w:rPr>
          <w:rFonts w:hint="eastAsia" w:ascii="宋体" w:hAnsi="宋体" w:eastAsia="宋体" w:cs="宋体"/>
          <w:color w:val="auto"/>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Cs w:val="21"/>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Cs w:val="21"/>
          <w:highlight w:val="none"/>
          <w:lang w:val="en-US"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强制采购</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优先采购</w:t>
      </w:r>
      <w:r>
        <w:rPr>
          <w:rFonts w:hint="eastAsia" w:ascii="宋体" w:hAnsi="宋体" w:eastAsia="宋体" w:cs="宋体"/>
          <w:iCs/>
          <w:color w:val="auto"/>
          <w:szCs w:val="21"/>
          <w:highlight w:val="none"/>
          <w:lang w:val="en-US" w:eastAsia="zh-CN"/>
        </w:rPr>
        <w:t xml:space="preserve">    </w:t>
      </w:r>
    </w:p>
    <w:p w14:paraId="18C94CF8">
      <w:pPr>
        <w:pStyle w:val="79"/>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（1</w:t>
      </w:r>
      <w:r>
        <w:rPr>
          <w:rFonts w:hint="eastAsia" w:ascii="宋体" w:hAnsi="宋体" w:eastAsia="宋体" w:cs="宋体"/>
          <w:color w:val="auto"/>
          <w:szCs w:val="21"/>
          <w:highlight w:val="none"/>
          <w:lang w:val="en" w:eastAsia="zh-CN"/>
        </w:rPr>
        <w:t>1</w:t>
      </w:r>
      <w:r>
        <w:rPr>
          <w:rFonts w:hint="eastAsia" w:ascii="宋体" w:hAnsi="宋体" w:eastAsia="宋体" w:cs="宋体"/>
          <w:color w:val="auto"/>
          <w:szCs w:val="21"/>
          <w:highlight w:val="none"/>
          <w:lang w:val="en-US" w:eastAsia="zh-CN"/>
        </w:rPr>
        <w:t>）涉及商品包装和快递包装的，是否参考</w:t>
      </w:r>
      <w:r>
        <w:rPr>
          <w:rFonts w:hint="eastAsia" w:ascii="宋体" w:hAnsi="宋体" w:eastAsia="宋体" w:cs="宋体"/>
          <w:color w:val="auto"/>
          <w:szCs w:val="21"/>
          <w:highlight w:val="none"/>
        </w:rPr>
        <w:t>《商品包装政府采购需求标准（试行）》、《快递包装政府采购需求标准（试行）》</w:t>
      </w:r>
      <w:r>
        <w:rPr>
          <w:rFonts w:hint="eastAsia" w:ascii="宋体" w:hAnsi="宋体" w:eastAsia="宋体" w:cs="宋体"/>
          <w:color w:val="auto"/>
          <w:szCs w:val="21"/>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Cs w:val="21"/>
          <w:highlight w:val="none"/>
          <w:lang w:val="en-US" w:eastAsia="zh-CN"/>
        </w:rPr>
      </w:pP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 xml:space="preserve">是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否</w:t>
      </w:r>
      <w:r>
        <w:rPr>
          <w:rFonts w:hint="eastAsia" w:ascii="宋体" w:hAnsi="宋体" w:eastAsia="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lang w:eastAsia="zh-CN"/>
        </w:rPr>
        <w:t>不涉及</w:t>
      </w:r>
    </w:p>
    <w:p w14:paraId="1F9FEDA5">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合同金额</w:t>
      </w:r>
    </w:p>
    <w:p w14:paraId="60748DF9">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（1）合同金额小写：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3100BB11">
      <w:pPr>
        <w:adjustRightInd w:val="0"/>
        <w:snapToGrid w:val="0"/>
        <w:spacing w:before="0" w:beforeLines="0" w:line="400" w:lineRule="exact"/>
        <w:ind w:left="0"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07FDFC3D">
      <w:pPr>
        <w:adjustRightInd w:val="0"/>
        <w:snapToGrid w:val="0"/>
        <w:spacing w:before="0" w:beforeLines="0" w:line="40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分包金额</w:t>
      </w:r>
      <w:r>
        <w:rPr>
          <w:rFonts w:hint="eastAsia" w:ascii="宋体" w:hAnsi="宋体" w:eastAsia="宋体" w:cs="宋体"/>
          <w:color w:val="auto"/>
          <w:szCs w:val="21"/>
          <w:highlight w:val="none"/>
          <w:lang w:eastAsia="zh-CN"/>
        </w:rPr>
        <w:t>（如有）</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p>
    <w:p w14:paraId="690AD270">
      <w:pPr>
        <w:adjustRightInd w:val="0"/>
        <w:snapToGrid w:val="0"/>
        <w:spacing w:before="0" w:beforeLines="0" w:line="400" w:lineRule="exact"/>
        <w:ind w:firstLine="0" w:firstLineChars="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38D4B7D4">
      <w:pPr>
        <w:adjustRightInd w:val="0"/>
        <w:snapToGrid w:val="0"/>
        <w:spacing w:before="0" w:beforeLines="0" w:line="400" w:lineRule="exact"/>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合同定价方式</w:t>
      </w:r>
      <w:r>
        <w:rPr>
          <w:rFonts w:hint="eastAsia" w:ascii="宋体" w:hAnsi="宋体" w:eastAsia="宋体" w:cs="宋体"/>
          <w:color w:val="auto"/>
          <w:szCs w:val="21"/>
          <w:highlight w:val="none"/>
          <w:lang w:eastAsia="zh-CN"/>
        </w:rPr>
        <w:t>（采用组合定价方式的，可以勾选多项）</w:t>
      </w:r>
      <w:r>
        <w:rPr>
          <w:rFonts w:hint="eastAsia" w:ascii="宋体" w:hAnsi="宋体" w:eastAsia="宋体" w:cs="宋体"/>
          <w:color w:val="auto"/>
          <w:szCs w:val="21"/>
          <w:highlight w:val="none"/>
        </w:rPr>
        <w:t>：</w:t>
      </w:r>
    </w:p>
    <w:p w14:paraId="51B866FE">
      <w:pPr>
        <w:adjustRightInd w:val="0"/>
        <w:snapToGrid w:val="0"/>
        <w:spacing w:before="0" w:beforeLines="0"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固定总价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固定单价</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固定费率</w:t>
      </w:r>
      <w:r>
        <w:rPr>
          <w:rFonts w:hint="eastAsia" w:ascii="宋体" w:hAnsi="宋体" w:eastAsia="宋体" w:cs="宋体"/>
          <w:iCs/>
          <w:color w:val="auto"/>
          <w:szCs w:val="21"/>
          <w:highlight w:val="none"/>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 xml:space="preserve">成本补偿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rPr>
        <w:t>绩效激励</w:t>
      </w:r>
      <w:r>
        <w:rPr>
          <w:rFonts w:hint="eastAsia" w:ascii="宋体" w:hAnsi="宋体" w:eastAsia="宋体" w:cs="宋体"/>
          <w:iCs/>
          <w:color w:val="auto"/>
          <w:szCs w:val="21"/>
          <w:highlight w:val="none"/>
          <w:lang w:val="en-US" w:eastAsia="zh-CN"/>
        </w:rPr>
        <w:t xml:space="preserve"> </w:t>
      </w:r>
      <w:r>
        <w:rPr>
          <w:rFonts w:hint="eastAsia" w:ascii="宋体" w:hAnsi="宋体" w:eastAsia="宋体" w:cs="宋体"/>
          <w:iCs/>
          <w:color w:val="auto"/>
          <w:szCs w:val="21"/>
          <w:highlight w:val="none"/>
        </w:rPr>
        <w:sym w:font="Wingdings" w:char="00A8"/>
      </w:r>
      <w:r>
        <w:rPr>
          <w:rFonts w:hint="eastAsia" w:ascii="宋体" w:hAnsi="宋体" w:eastAsia="宋体" w:cs="宋体"/>
          <w:iCs/>
          <w:color w:val="auto"/>
          <w:szCs w:val="21"/>
          <w:highlight w:val="none"/>
          <w:lang w:eastAsia="zh-CN"/>
        </w:rPr>
        <w:t>其他</w:t>
      </w:r>
      <w:r>
        <w:rPr>
          <w:rFonts w:hint="eastAsia" w:ascii="宋体" w:hAnsi="宋体" w:eastAsia="宋体" w:cs="宋体"/>
          <w:color w:val="auto"/>
          <w:szCs w:val="21"/>
          <w:highlight w:val="none"/>
          <w:u w:val="single"/>
        </w:rPr>
        <w:t xml:space="preserve">       </w:t>
      </w:r>
    </w:p>
    <w:p w14:paraId="21D57501">
      <w:pPr>
        <w:pStyle w:val="791"/>
        <w:spacing w:beforeLines="0" w:line="400" w:lineRule="exac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）付款方式（按项目实际勾选填写）：</w:t>
      </w:r>
    </w:p>
    <w:p w14:paraId="10E33036">
      <w:pPr>
        <w:adjustRightInd w:val="0"/>
        <w:snapToGrid w:val="0"/>
        <w:spacing w:before="0" w:beforeLines="0" w:line="400" w:lineRule="exact"/>
        <w:ind w:firstLine="630" w:firstLineChars="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全额付款：</w:t>
      </w:r>
      <w:r>
        <w:rPr>
          <w:rFonts w:hint="eastAsia" w:ascii="宋体" w:hAnsi="宋体" w:eastAsia="宋体" w:cs="宋体"/>
          <w:color w:val="auto"/>
          <w:szCs w:val="21"/>
          <w:highlight w:val="none"/>
          <w:u w:val="single"/>
        </w:rPr>
        <w:t xml:space="preserve">     （应</w:t>
      </w:r>
      <w:r>
        <w:rPr>
          <w:rFonts w:hint="eastAsia" w:ascii="宋体" w:hAnsi="宋体" w:eastAsia="宋体" w:cs="宋体"/>
          <w:color w:val="auto"/>
          <w:szCs w:val="21"/>
          <w:highlight w:val="none"/>
          <w:u w:val="single"/>
          <w:lang w:eastAsia="zh-CN"/>
        </w:rPr>
        <w:t>明确</w:t>
      </w:r>
      <w:r>
        <w:rPr>
          <w:rFonts w:hint="eastAsia" w:ascii="宋体" w:hAnsi="宋体" w:eastAsia="宋体" w:cs="宋体"/>
          <w:color w:val="auto"/>
          <w:szCs w:val="21"/>
          <w:highlight w:val="none"/>
          <w:u w:val="single"/>
        </w:rPr>
        <w:t>一次性支付合同款项</w:t>
      </w:r>
      <w:r>
        <w:rPr>
          <w:rFonts w:hint="eastAsia" w:ascii="宋体" w:hAnsi="宋体" w:eastAsia="宋体" w:cs="宋体"/>
          <w:color w:val="auto"/>
          <w:szCs w:val="21"/>
          <w:highlight w:val="none"/>
          <w:u w:val="single"/>
          <w:lang w:eastAsia="zh-CN"/>
        </w:rPr>
        <w:t>的条件</w:t>
      </w:r>
      <w:r>
        <w:rPr>
          <w:rFonts w:hint="eastAsia" w:ascii="宋体" w:hAnsi="宋体" w:eastAsia="宋体" w:cs="宋体"/>
          <w:color w:val="auto"/>
          <w:szCs w:val="21"/>
          <w:highlight w:val="none"/>
          <w:u w:val="single"/>
        </w:rPr>
        <w:t xml:space="preserve">）                    </w:t>
      </w:r>
    </w:p>
    <w:p w14:paraId="134AFDAB">
      <w:pPr>
        <w:snapToGrid w:val="0"/>
        <w:spacing w:beforeLines="0" w:line="400" w:lineRule="exact"/>
        <w:ind w:firstLine="630" w:firstLineChars="300"/>
        <w:rPr>
          <w:rFonts w:hint="eastAsia" w:ascii="宋体" w:hAnsi="宋体" w:eastAsia="宋体" w:cs="宋体"/>
          <w:color w:val="auto"/>
          <w:highlight w:val="non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分期付款：</w:t>
      </w:r>
      <w:r>
        <w:rPr>
          <w:rFonts w:hint="eastAsia" w:ascii="宋体" w:hAnsi="宋体" w:eastAsia="宋体" w:cs="宋体"/>
          <w:color w:val="auto"/>
          <w:szCs w:val="21"/>
          <w:highlight w:val="none"/>
          <w:u w:val="single"/>
        </w:rPr>
        <w:t xml:space="preserve">  （应明确分期支付合同款项的各期比例和支付条件</w:t>
      </w:r>
      <w:r>
        <w:rPr>
          <w:rFonts w:hint="eastAsia" w:ascii="宋体" w:hAnsi="宋体" w:eastAsia="宋体" w:cs="宋体"/>
          <w:color w:val="auto"/>
          <w:szCs w:val="21"/>
          <w:highlight w:val="none"/>
          <w:u w:val="single"/>
          <w:lang w:eastAsia="zh-CN"/>
        </w:rPr>
        <w:t>，各期支付条件应与分期履约验收情况挂钩</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lang w:eastAsia="zh-CN"/>
        </w:rPr>
        <w:t>其中涉及预付款的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（应明确预付款的支付比例和支付条件） </w:t>
      </w:r>
    </w:p>
    <w:p w14:paraId="7E8B42F5">
      <w:pPr>
        <w:adjustRightInd w:val="0"/>
        <w:snapToGrid w:val="0"/>
        <w:spacing w:before="0" w:beforeLines="0" w:line="400" w:lineRule="exact"/>
        <w:ind w:firstLine="630" w:firstLineChars="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成本补偿：</w:t>
      </w:r>
      <w:r>
        <w:rPr>
          <w:rFonts w:hint="eastAsia" w:ascii="宋体" w:hAnsi="宋体" w:eastAsia="宋体" w:cs="宋体"/>
          <w:color w:val="auto"/>
          <w:szCs w:val="21"/>
          <w:highlight w:val="none"/>
          <w:u w:val="single"/>
        </w:rPr>
        <w:t xml:space="preserve">      （应明确按照成本补偿方式的支付方式和支付条件）   </w:t>
      </w:r>
    </w:p>
    <w:p w14:paraId="605508AB">
      <w:pPr>
        <w:adjustRightInd w:val="0"/>
        <w:snapToGrid w:val="0"/>
        <w:spacing w:before="0" w:beforeLines="0" w:line="400" w:lineRule="exact"/>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绩效激励：</w:t>
      </w:r>
      <w:r>
        <w:rPr>
          <w:rFonts w:hint="eastAsia" w:ascii="宋体" w:hAnsi="宋体" w:eastAsia="宋体" w:cs="宋体"/>
          <w:color w:val="auto"/>
          <w:szCs w:val="21"/>
          <w:highlight w:val="none"/>
          <w:u w:val="single"/>
        </w:rPr>
        <w:t xml:space="preserve">      （应明确按照绩效激励方式的支付方式和支付条件）   </w:t>
      </w:r>
    </w:p>
    <w:p w14:paraId="4EA568F2">
      <w:pPr>
        <w:numPr>
          <w:ilvl w:val="0"/>
          <w:numId w:val="18"/>
        </w:numPr>
        <w:adjustRightInd w:val="0"/>
        <w:snapToGrid w:val="0"/>
        <w:spacing w:before="0" w:beforeLines="0" w:line="400" w:lineRule="exact"/>
        <w:ind w:firstLine="422" w:firstLineChars="200"/>
        <w:rPr>
          <w:rFonts w:hint="eastAsia" w:ascii="宋体" w:hAnsi="宋体" w:eastAsia="宋体" w:cs="宋体"/>
          <w:b/>
          <w:bCs w:val="0"/>
          <w:color w:val="auto"/>
          <w:szCs w:val="21"/>
          <w:highlight w:val="none"/>
          <w:u w:val="single"/>
        </w:rPr>
      </w:pPr>
      <w:r>
        <w:rPr>
          <w:rFonts w:hint="eastAsia" w:ascii="宋体" w:hAnsi="宋体" w:eastAsia="宋体" w:cs="宋体"/>
          <w:b/>
          <w:bCs w:val="0"/>
          <w:color w:val="auto"/>
          <w:szCs w:val="21"/>
          <w:highlight w:val="none"/>
        </w:rPr>
        <w:t>合同履行</w:t>
      </w:r>
    </w:p>
    <w:p w14:paraId="42A1049E">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（1）起始日期：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日，完成日期：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4809E36B">
      <w:pPr>
        <w:adjustRightInd w:val="0"/>
        <w:snapToGrid w:val="0"/>
        <w:spacing w:before="0" w:beforeLines="0"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履约</w:t>
      </w:r>
      <w:r>
        <w:rPr>
          <w:rFonts w:hint="eastAsia" w:ascii="宋体" w:hAnsi="宋体" w:eastAsia="宋体" w:cs="宋体"/>
          <w:color w:val="auto"/>
          <w:szCs w:val="21"/>
          <w:highlight w:val="none"/>
        </w:rPr>
        <w:t>地点</w:t>
      </w:r>
      <w:r>
        <w:rPr>
          <w:rFonts w:hint="eastAsia" w:ascii="宋体" w:hAnsi="宋体" w:eastAsia="宋体" w:cs="宋体"/>
          <w:b w:val="0"/>
          <w:bCs/>
          <w:color w:val="auto"/>
          <w:szCs w:val="21"/>
          <w:highlight w:val="none"/>
        </w:rPr>
        <w:t>：</w:t>
      </w:r>
      <w:r>
        <w:rPr>
          <w:rFonts w:hint="eastAsia" w:ascii="宋体" w:hAnsi="宋体" w:eastAsia="宋体" w:cs="宋体"/>
          <w:color w:val="auto"/>
          <w:szCs w:val="21"/>
          <w:highlight w:val="none"/>
          <w:u w:val="single"/>
        </w:rPr>
        <w:t xml:space="preserve">                             </w:t>
      </w:r>
    </w:p>
    <w:p w14:paraId="51926EB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4F16A36">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E2D856C">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34A304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bCs/>
          <w:color w:val="auto"/>
          <w:szCs w:val="21"/>
          <w:highlight w:val="none"/>
          <w:u w:val="none"/>
          <w:lang w:val="en-US" w:eastAsia="zh-CN"/>
        </w:rPr>
        <w:t xml:space="preserve">    履约担保期限</w:t>
      </w:r>
      <w:r>
        <w:rPr>
          <w:rFonts w:hint="eastAsia" w:ascii="宋体" w:hAnsi="宋体" w:eastAsia="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6B22549">
      <w:pPr>
        <w:adjustRightInd w:val="0"/>
        <w:snapToGrid w:val="0"/>
        <w:spacing w:before="0" w:beforeLines="0"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（4）分期履行要求：</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u w:val="single"/>
          <w:lang w:val="en-US" w:eastAsia="zh-CN"/>
        </w:rPr>
        <w:t xml:space="preserve">    </w:t>
      </w:r>
      <w:r>
        <w:rPr>
          <w:rFonts w:hint="eastAsia" w:ascii="宋体" w:hAnsi="宋体" w:eastAsia="宋体" w:cs="宋体"/>
          <w:bCs/>
          <w:color w:val="auto"/>
          <w:szCs w:val="21"/>
          <w:highlight w:val="none"/>
          <w:u w:val="single"/>
        </w:rPr>
        <w:t xml:space="preserve"> </w:t>
      </w:r>
    </w:p>
    <w:p w14:paraId="42163252">
      <w:pPr>
        <w:adjustRightInd w:val="0"/>
        <w:snapToGrid w:val="0"/>
        <w:spacing w:before="0" w:beforeLines="0" w:line="400" w:lineRule="exact"/>
        <w:ind w:firstLine="420" w:firstLineChars="200"/>
        <w:rPr>
          <w:rFonts w:hint="eastAsia" w:ascii="宋体" w:hAnsi="宋体" w:eastAsia="宋体" w:cs="宋体"/>
          <w:color w:val="auto"/>
          <w:szCs w:val="21"/>
          <w:highlight w:val="none"/>
          <w:u w:val="single"/>
        </w:rPr>
      </w:pPr>
      <w:r>
        <w:rPr>
          <w:rFonts w:hint="eastAsia" w:ascii="宋体" w:hAnsi="宋体" w:eastAsia="宋体" w:cs="宋体"/>
          <w:bCs/>
          <w:color w:val="auto"/>
          <w:szCs w:val="21"/>
          <w:highlight w:val="none"/>
        </w:rPr>
        <w:t>（5）</w:t>
      </w:r>
      <w:r>
        <w:rPr>
          <w:rFonts w:hint="eastAsia" w:ascii="宋体" w:hAnsi="宋体" w:eastAsia="宋体" w:cs="宋体"/>
          <w:bCs/>
          <w:color w:val="auto"/>
          <w:szCs w:val="21"/>
          <w:highlight w:val="none"/>
          <w:lang w:eastAsia="zh-CN"/>
        </w:rPr>
        <w:t>风险处置措施和替代方案</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u w:val="single"/>
        </w:rPr>
        <w:t xml:space="preserve">                                                               </w:t>
      </w:r>
    </w:p>
    <w:p w14:paraId="62B1141F">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合同验收</w:t>
      </w:r>
    </w:p>
    <w:p w14:paraId="35EEB3ED">
      <w:pPr>
        <w:numPr>
          <w:ilvl w:val="0"/>
          <w:numId w:val="20"/>
        </w:numPr>
        <w:adjustRightInd w:val="0"/>
        <w:snapToGrid w:val="0"/>
        <w:spacing w:before="0" w:beforeLines="0"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委托第三方组织</w:t>
      </w:r>
    </w:p>
    <w:p w14:paraId="3EA93E3D">
      <w:pPr>
        <w:numPr>
          <w:ilvl w:val="0"/>
          <w:numId w:val="0"/>
        </w:numPr>
        <w:adjustRightInd w:val="0"/>
        <w:snapToGrid w:val="0"/>
        <w:spacing w:before="0" w:beforeLines="0" w:line="400" w:lineRule="exac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 xml:space="preserve">         </w:t>
      </w:r>
      <w:r>
        <w:rPr>
          <w:rFonts w:hint="eastAsia" w:ascii="宋体" w:hAnsi="宋体" w:eastAsia="宋体" w:cs="宋体"/>
          <w:bCs/>
          <w:color w:val="auto"/>
          <w:szCs w:val="21"/>
          <w:highlight w:val="none"/>
        </w:rPr>
        <w:t>验收主体：</w:t>
      </w:r>
      <w:r>
        <w:rPr>
          <w:rFonts w:hint="eastAsia" w:ascii="宋体" w:hAnsi="宋体" w:eastAsia="宋体" w:cs="宋体"/>
          <w:bCs/>
          <w:color w:val="auto"/>
          <w:szCs w:val="21"/>
          <w:highlight w:val="none"/>
          <w:u w:val="single"/>
        </w:rPr>
        <w:t xml:space="preserve">                  </w:t>
      </w:r>
    </w:p>
    <w:p w14:paraId="0D8D5FD6">
      <w:pPr>
        <w:adjustRightInd w:val="0"/>
        <w:snapToGrid w:val="0"/>
        <w:spacing w:before="0" w:beforeLines="0" w:line="400" w:lineRule="exact"/>
        <w:ind w:firstLine="0" w:firstLineChars="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 xml:space="preserve">        </w:t>
      </w:r>
      <w:r>
        <w:rPr>
          <w:rFonts w:hint="eastAsia" w:ascii="宋体" w:hAnsi="宋体" w:eastAsia="宋体" w:cs="宋体"/>
          <w:bCs/>
          <w:color w:val="auto"/>
          <w:szCs w:val="21"/>
          <w:highlight w:val="none"/>
        </w:rPr>
        <w:t>是否邀请本项目的其他供应商</w:t>
      </w:r>
      <w:r>
        <w:rPr>
          <w:rFonts w:hint="eastAsia" w:ascii="宋体" w:hAnsi="宋体" w:eastAsia="宋体" w:cs="宋体"/>
          <w:bCs/>
          <w:color w:val="auto"/>
          <w:szCs w:val="21"/>
          <w:highlight w:val="none"/>
          <w:lang w:eastAsia="zh-CN"/>
        </w:rPr>
        <w:t>参加验收</w:t>
      </w:r>
      <w:r>
        <w:rPr>
          <w:rFonts w:hint="eastAsia" w:ascii="宋体" w:hAnsi="宋体" w:eastAsia="宋体" w:cs="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0E3725F1">
      <w:pPr>
        <w:adjustRightInd w:val="0"/>
        <w:snapToGrid w:val="0"/>
        <w:spacing w:before="0" w:beforeLines="0" w:line="400" w:lineRule="exact"/>
        <w:ind w:firstLine="84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是否邀请专家</w:t>
      </w:r>
      <w:r>
        <w:rPr>
          <w:rFonts w:hint="eastAsia" w:ascii="宋体" w:hAnsi="宋体" w:eastAsia="宋体" w:cs="宋体"/>
          <w:bCs/>
          <w:color w:val="auto"/>
          <w:szCs w:val="21"/>
          <w:highlight w:val="none"/>
          <w:lang w:eastAsia="zh-CN"/>
        </w:rPr>
        <w:t>参加验收</w:t>
      </w:r>
      <w:r>
        <w:rPr>
          <w:rFonts w:hint="eastAsia" w:ascii="宋体" w:hAnsi="宋体" w:eastAsia="宋体" w:cs="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5803B8A6">
      <w:pPr>
        <w:adjustRightInd w:val="0"/>
        <w:snapToGrid w:val="0"/>
        <w:spacing w:before="0" w:beforeLines="0" w:line="400" w:lineRule="exact"/>
        <w:ind w:firstLine="84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是否邀请服务对象</w:t>
      </w:r>
      <w:r>
        <w:rPr>
          <w:rFonts w:hint="eastAsia" w:ascii="宋体" w:hAnsi="宋体" w:eastAsia="宋体" w:cs="宋体"/>
          <w:bCs/>
          <w:color w:val="auto"/>
          <w:szCs w:val="21"/>
          <w:highlight w:val="none"/>
          <w:lang w:eastAsia="zh-CN"/>
        </w:rPr>
        <w:t>参加验收</w:t>
      </w:r>
      <w:r>
        <w:rPr>
          <w:rFonts w:hint="eastAsia" w:ascii="宋体" w:hAnsi="宋体" w:eastAsia="宋体" w:cs="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640A3EA1">
      <w:pPr>
        <w:adjustRightInd w:val="0"/>
        <w:snapToGrid w:val="0"/>
        <w:spacing w:before="0" w:beforeLines="0" w:line="400" w:lineRule="exact"/>
        <w:ind w:firstLine="84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是否邀请第三方检测机构</w:t>
      </w:r>
      <w:r>
        <w:rPr>
          <w:rFonts w:hint="eastAsia" w:ascii="宋体" w:hAnsi="宋体" w:eastAsia="宋体" w:cs="宋体"/>
          <w:bCs/>
          <w:color w:val="auto"/>
          <w:szCs w:val="21"/>
          <w:highlight w:val="none"/>
          <w:lang w:eastAsia="zh-CN"/>
        </w:rPr>
        <w:t>参加验收</w:t>
      </w:r>
      <w:r>
        <w:rPr>
          <w:rFonts w:hint="eastAsia" w:ascii="宋体" w:hAnsi="宋体" w:eastAsia="宋体" w:cs="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4BD34FAF">
      <w:pPr>
        <w:adjustRightInd w:val="0"/>
        <w:snapToGrid w:val="0"/>
        <w:spacing w:before="0" w:beforeLines="0" w:line="400" w:lineRule="exact"/>
        <w:ind w:firstLine="840" w:firstLineChars="4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是</w:t>
      </w:r>
      <w:r>
        <w:rPr>
          <w:rFonts w:hint="eastAsia" w:ascii="宋体" w:hAnsi="宋体" w:eastAsia="宋体" w:cs="宋体"/>
          <w:bCs/>
          <w:color w:val="auto"/>
          <w:szCs w:val="21"/>
          <w:highlight w:val="none"/>
          <w:lang w:eastAsia="zh-CN"/>
        </w:rPr>
        <w:t>，抽查比例：</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u w:val="single"/>
          <w:lang w:val="en-US" w:eastAsia="zh-CN"/>
        </w:rPr>
        <w:t xml:space="preserve">     </w:t>
      </w:r>
      <w:r>
        <w:rPr>
          <w:rFonts w:hint="eastAsia" w:ascii="宋体" w:hAnsi="宋体" w:eastAsia="宋体" w:cs="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5E1B47A1">
      <w:pPr>
        <w:adjustRightInd w:val="0"/>
        <w:snapToGrid w:val="0"/>
        <w:spacing w:before="0" w:beforeLines="0" w:line="400" w:lineRule="exact"/>
        <w:ind w:firstLine="840" w:firstLineChars="400"/>
        <w:rPr>
          <w:rFonts w:hint="eastAsia" w:ascii="宋体" w:hAnsi="宋体" w:eastAsia="宋体" w:cs="宋体"/>
          <w:bCs/>
          <w:color w:val="auto"/>
          <w:szCs w:val="21"/>
          <w:highlight w:val="none"/>
          <w:u w:val="single"/>
          <w:lang w:eastAsia="zh-CN"/>
        </w:rPr>
      </w:pPr>
      <w:r>
        <w:rPr>
          <w:rFonts w:hint="eastAsia" w:ascii="宋体" w:hAnsi="宋体" w:eastAsia="宋体" w:cs="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是</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u w:val="single"/>
          <w:lang w:eastAsia="zh-CN"/>
        </w:rPr>
        <w:t>（应明确对被破坏的检测产品的处理方式）</w:t>
      </w:r>
    </w:p>
    <w:p w14:paraId="589EA840">
      <w:pPr>
        <w:adjustRightInd w:val="0"/>
        <w:snapToGrid w:val="0"/>
        <w:spacing w:before="0" w:beforeLines="0" w:line="400" w:lineRule="exact"/>
        <w:ind w:firstLine="840" w:firstLineChars="400"/>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否</w:t>
      </w:r>
    </w:p>
    <w:p w14:paraId="47FF1094">
      <w:pPr>
        <w:adjustRightInd w:val="0"/>
        <w:snapToGrid w:val="0"/>
        <w:spacing w:before="0" w:beforeLines="0" w:line="400" w:lineRule="exact"/>
        <w:ind w:firstLine="840" w:firstLineChars="4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验收组织的其他事项：</w:t>
      </w:r>
      <w:r>
        <w:rPr>
          <w:rFonts w:hint="eastAsia" w:ascii="宋体" w:hAnsi="宋体" w:eastAsia="宋体" w:cs="宋体"/>
          <w:bCs/>
          <w:color w:val="auto"/>
          <w:szCs w:val="21"/>
          <w:highlight w:val="none"/>
          <w:u w:val="single"/>
        </w:rPr>
        <w:t xml:space="preserve">                </w:t>
      </w:r>
    </w:p>
    <w:p w14:paraId="3AC852D5">
      <w:pPr>
        <w:adjustRightInd w:val="0"/>
        <w:snapToGrid w:val="0"/>
        <w:spacing w:before="0" w:beforeLines="0" w:line="40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（2）履约验收时间：</w:t>
      </w:r>
      <w:r>
        <w:rPr>
          <w:rFonts w:hint="eastAsia" w:ascii="宋体" w:hAnsi="宋体" w:eastAsia="宋体" w:cs="宋体"/>
          <w:bCs/>
          <w:color w:val="auto"/>
          <w:szCs w:val="21"/>
          <w:highlight w:val="none"/>
          <w:u w:val="single"/>
        </w:rPr>
        <w:t>（计划于何时验收/供应商提出验收申请之日起   日内组织验收）</w:t>
      </w:r>
      <w:r>
        <w:rPr>
          <w:rFonts w:hint="eastAsia" w:ascii="宋体" w:hAnsi="宋体" w:eastAsia="宋体" w:cs="宋体"/>
          <w:bCs/>
          <w:color w:val="auto"/>
          <w:szCs w:val="21"/>
          <w:highlight w:val="none"/>
          <w:u w:val="single"/>
          <w:lang w:val="en-US" w:eastAsia="zh-CN"/>
        </w:rPr>
        <w:t xml:space="preserve"> </w:t>
      </w:r>
    </w:p>
    <w:p w14:paraId="0C3A6C4A">
      <w:pPr>
        <w:adjustRightInd w:val="0"/>
        <w:snapToGrid w:val="0"/>
        <w:spacing w:before="0" w:beforeLines="0"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 xml:space="preserve">一次性验收         </w:t>
      </w:r>
    </w:p>
    <w:p w14:paraId="13EFBE08">
      <w:pPr>
        <w:adjustRightInd w:val="0"/>
        <w:snapToGrid w:val="0"/>
        <w:spacing w:before="0" w:beforeLines="0" w:line="400" w:lineRule="exact"/>
        <w:ind w:firstLine="0" w:firstLineChars="0"/>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Cs w:val="21"/>
          <w:highlight w:val="none"/>
        </w:rPr>
        <w:t>分期/分项验收</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u w:val="single"/>
          <w:lang w:eastAsia="zh-CN"/>
        </w:rPr>
        <w:t>（应明确分期</w:t>
      </w:r>
      <w:r>
        <w:rPr>
          <w:rFonts w:hint="eastAsia" w:ascii="宋体" w:hAnsi="宋体" w:eastAsia="宋体" w:cs="宋体"/>
          <w:bCs/>
          <w:color w:val="auto"/>
          <w:szCs w:val="21"/>
          <w:highlight w:val="none"/>
          <w:u w:val="single"/>
          <w:lang w:val="en" w:eastAsia="zh-CN"/>
        </w:rPr>
        <w:t>/分项验收的工作安排</w:t>
      </w:r>
      <w:r>
        <w:rPr>
          <w:rFonts w:hint="eastAsia" w:ascii="宋体" w:hAnsi="宋体" w:eastAsia="宋体" w:cs="宋体"/>
          <w:bCs/>
          <w:color w:val="auto"/>
          <w:szCs w:val="21"/>
          <w:highlight w:val="none"/>
          <w:u w:val="single"/>
          <w:lang w:eastAsia="zh-CN"/>
        </w:rPr>
        <w:t>）</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u w:val="single"/>
          <w:lang w:val="en-US" w:eastAsia="zh-CN"/>
        </w:rPr>
        <w:t xml:space="preserve"> </w:t>
      </w:r>
    </w:p>
    <w:p w14:paraId="42968403">
      <w:pPr>
        <w:adjustRightInd w:val="0"/>
        <w:snapToGrid w:val="0"/>
        <w:spacing w:before="0" w:beforeLines="0" w:line="40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（4）履约验收程序：</w:t>
      </w:r>
      <w:r>
        <w:rPr>
          <w:rFonts w:hint="eastAsia" w:ascii="宋体" w:hAnsi="宋体" w:eastAsia="宋体" w:cs="宋体"/>
          <w:bCs/>
          <w:color w:val="auto"/>
          <w:szCs w:val="21"/>
          <w:highlight w:val="none"/>
          <w:u w:val="single"/>
        </w:rPr>
        <w:t xml:space="preserve">                                         </w:t>
      </w:r>
    </w:p>
    <w:p w14:paraId="796CFB8F">
      <w:pPr>
        <w:adjustRightInd w:val="0"/>
        <w:snapToGrid w:val="0"/>
        <w:spacing w:before="0" w:beforeLines="0" w:line="40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（5）履约验收的内容：</w:t>
      </w:r>
      <w:r>
        <w:rPr>
          <w:rFonts w:hint="eastAsia" w:ascii="宋体" w:hAnsi="宋体" w:eastAsia="宋体" w:cs="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Cs w:val="21"/>
          <w:highlight w:val="none"/>
          <w:u w:val="single"/>
        </w:rPr>
        <w:t xml:space="preserve">                                      </w:t>
      </w:r>
    </w:p>
    <w:p w14:paraId="7AC5F489">
      <w:pPr>
        <w:adjustRightInd w:val="0"/>
        <w:snapToGrid w:val="0"/>
        <w:spacing w:before="0" w:beforeLines="0" w:line="40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（6）履约验收标准：</w:t>
      </w:r>
      <w:r>
        <w:rPr>
          <w:rFonts w:hint="eastAsia" w:ascii="宋体" w:hAnsi="宋体" w:eastAsia="宋体" w:cs="宋体"/>
          <w:bCs/>
          <w:color w:val="auto"/>
          <w:szCs w:val="21"/>
          <w:highlight w:val="none"/>
          <w:u w:val="single"/>
        </w:rPr>
        <w:t xml:space="preserve">                                         </w:t>
      </w:r>
    </w:p>
    <w:p w14:paraId="126FDE3A">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F73583B">
      <w:pPr>
        <w:adjustRightInd w:val="0"/>
        <w:snapToGrid w:val="0"/>
        <w:spacing w:before="0" w:beforeLines="0" w:line="400" w:lineRule="exact"/>
        <w:ind w:firstLine="420" w:firstLineChars="200"/>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rPr>
        <w:t>（8）履约验收其他事项：</w:t>
      </w:r>
      <w:r>
        <w:rPr>
          <w:rFonts w:hint="eastAsia" w:ascii="宋体" w:hAnsi="宋体" w:eastAsia="宋体" w:cs="宋体"/>
          <w:bCs/>
          <w:color w:val="auto"/>
          <w:szCs w:val="21"/>
          <w:highlight w:val="none"/>
          <w:u w:val="single"/>
        </w:rPr>
        <w:t xml:space="preserve">      </w:t>
      </w:r>
      <w:r>
        <w:rPr>
          <w:rFonts w:hint="eastAsia" w:ascii="宋体" w:hAnsi="宋体" w:eastAsia="宋体" w:cs="宋体"/>
          <w:bCs/>
          <w:i w:val="0"/>
          <w:iCs w:val="0"/>
          <w:color w:val="auto"/>
          <w:szCs w:val="21"/>
          <w:highlight w:val="none"/>
          <w:u w:val="single"/>
        </w:rPr>
        <w:t>（产权过户登记等）</w:t>
      </w:r>
      <w:r>
        <w:rPr>
          <w:rFonts w:hint="eastAsia" w:ascii="宋体" w:hAnsi="宋体" w:eastAsia="宋体" w:cs="宋体"/>
          <w:bCs/>
          <w:color w:val="auto"/>
          <w:szCs w:val="21"/>
          <w:highlight w:val="none"/>
          <w:u w:val="single"/>
        </w:rPr>
        <w:t xml:space="preserve">          </w:t>
      </w:r>
    </w:p>
    <w:p w14:paraId="1667FC31">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组成合同的文件</w:t>
      </w:r>
    </w:p>
    <w:p w14:paraId="032F7A79">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本协议书与下列文件一起构成合同文件，如下述文件之间有任何抵触、矛盾或歧义，应按以下顺序解释：</w:t>
      </w:r>
    </w:p>
    <w:p w14:paraId="4AFCA7A7">
      <w:pPr>
        <w:adjustRightInd w:val="0"/>
        <w:snapToGrid w:val="0"/>
        <w:spacing w:before="0" w:beforeLines="0"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政府采购</w:t>
      </w:r>
      <w:r>
        <w:rPr>
          <w:rFonts w:hint="eastAsia" w:ascii="宋体" w:hAnsi="宋体" w:eastAsia="宋体" w:cs="宋体"/>
          <w:color w:val="auto"/>
          <w:szCs w:val="21"/>
          <w:highlight w:val="none"/>
        </w:rPr>
        <w:t>合同协议书及其变更、补充</w:t>
      </w:r>
      <w:r>
        <w:rPr>
          <w:rFonts w:hint="eastAsia" w:ascii="宋体" w:hAnsi="宋体" w:eastAsia="宋体" w:cs="宋体"/>
          <w:color w:val="auto"/>
          <w:szCs w:val="21"/>
          <w:highlight w:val="none"/>
          <w:lang w:eastAsia="zh-CN"/>
        </w:rPr>
        <w:t>协议</w:t>
      </w:r>
    </w:p>
    <w:p w14:paraId="4C0E99DA">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）政府采购合同专用条款</w:t>
      </w:r>
    </w:p>
    <w:p w14:paraId="1C385165">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）政府采购合同通用条款</w:t>
      </w:r>
    </w:p>
    <w:p w14:paraId="3AEBF082">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）中标</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通知书</w:t>
      </w:r>
    </w:p>
    <w:p w14:paraId="08916A5C">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）投标（响应）文件</w:t>
      </w:r>
    </w:p>
    <w:p w14:paraId="77751DC9">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（6）采购文件</w:t>
      </w:r>
    </w:p>
    <w:p w14:paraId="05BBA7B6">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（7）有关技术文件，图纸</w:t>
      </w:r>
    </w:p>
    <w:p w14:paraId="3E60C8EE">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8E6B096">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合同生效</w:t>
      </w:r>
    </w:p>
    <w:p w14:paraId="21770267">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本合同自</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生效。</w:t>
      </w:r>
    </w:p>
    <w:p w14:paraId="4CB74CE8">
      <w:pPr>
        <w:numPr>
          <w:ilvl w:val="0"/>
          <w:numId w:val="18"/>
        </w:numPr>
        <w:adjustRightInd w:val="0"/>
        <w:snapToGrid w:val="0"/>
        <w:spacing w:before="0" w:beforeLines="0" w:line="40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合同份数</w:t>
      </w:r>
    </w:p>
    <w:p w14:paraId="6C9191C0">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执</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份，均具有同等法律效力。</w:t>
      </w:r>
    </w:p>
    <w:p w14:paraId="4BCAD61B">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合同订立时间：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3D890301">
      <w:pPr>
        <w:adjustRightInd w:val="0"/>
        <w:snapToGrid w:val="0"/>
        <w:spacing w:before="0" w:beforeLines="0"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合同订立地点：</w:t>
      </w:r>
      <w:r>
        <w:rPr>
          <w:rFonts w:hint="eastAsia" w:ascii="宋体" w:hAnsi="宋体" w:eastAsia="宋体" w:cs="宋体"/>
          <w:color w:val="auto"/>
          <w:szCs w:val="21"/>
          <w:highlight w:val="none"/>
          <w:u w:val="single"/>
        </w:rPr>
        <w:t xml:space="preserve">                           </w:t>
      </w:r>
    </w:p>
    <w:p w14:paraId="0C42D95C">
      <w:pPr>
        <w:adjustRightInd w:val="0"/>
        <w:snapToGrid w:val="0"/>
        <w:spacing w:before="0" w:beforeLines="0"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附件：具体标</w:t>
      </w:r>
      <w:r>
        <w:rPr>
          <w:rFonts w:hint="eastAsia" w:ascii="宋体" w:hAnsi="宋体" w:eastAsia="宋体" w:cs="宋体"/>
          <w:color w:val="auto"/>
          <w:szCs w:val="21"/>
          <w:highlight w:val="none"/>
          <w:lang w:eastAsia="zh-CN"/>
        </w:rPr>
        <w:t>的及其</w:t>
      </w:r>
      <w:r>
        <w:rPr>
          <w:rFonts w:hint="eastAsia" w:ascii="宋体" w:hAnsi="宋体" w:eastAsia="宋体" w:cs="宋体"/>
          <w:color w:val="auto"/>
          <w:szCs w:val="21"/>
          <w:highlight w:val="none"/>
          <w:u w:val="none"/>
          <w:lang w:val="en-US" w:eastAsia="zh-CN"/>
        </w:rPr>
        <w:t>技术要求和商务要求</w:t>
      </w:r>
      <w:r>
        <w:rPr>
          <w:rFonts w:hint="eastAsia" w:ascii="宋体" w:hAnsi="宋体" w:eastAsia="宋体" w:cs="宋体"/>
          <w:color w:val="auto"/>
          <w:szCs w:val="21"/>
          <w:highlight w:val="none"/>
        </w:rPr>
        <w:t>、联合协议、分包</w:t>
      </w:r>
      <w:r>
        <w:rPr>
          <w:rFonts w:hint="eastAsia" w:ascii="宋体" w:hAnsi="宋体" w:eastAsia="宋体" w:cs="宋体"/>
          <w:color w:val="auto"/>
          <w:szCs w:val="21"/>
          <w:highlight w:val="none"/>
          <w:lang w:eastAsia="zh-CN"/>
        </w:rPr>
        <w:t>意向</w:t>
      </w:r>
      <w:r>
        <w:rPr>
          <w:rFonts w:hint="eastAsia" w:ascii="宋体" w:hAnsi="宋体" w:eastAsia="宋体" w:cs="宋体"/>
          <w:color w:val="auto"/>
          <w:szCs w:val="21"/>
          <w:highlight w:val="none"/>
        </w:rPr>
        <w:t>协议等。</w:t>
      </w:r>
    </w:p>
    <w:p w14:paraId="0B811AC8">
      <w:pPr>
        <w:pStyle w:val="791"/>
        <w:spacing w:beforeLines="0" w:line="400" w:lineRule="exact"/>
        <w:rPr>
          <w:rFonts w:hint="eastAsia" w:ascii="宋体" w:hAnsi="宋体" w:eastAsia="宋体" w:cs="宋体"/>
          <w:color w:val="auto"/>
          <w:highlight w:val="none"/>
        </w:rPr>
      </w:pPr>
    </w:p>
    <w:p w14:paraId="0B1D678B">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
        </w:rPr>
        <w:t xml:space="preserve">   </w:t>
      </w:r>
    </w:p>
    <w:p w14:paraId="0DA30128">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7BBEFF6">
      <w:pPr>
        <w:pStyle w:val="791"/>
        <w:rPr>
          <w:rFonts w:hint="eastAsia" w:ascii="宋体" w:hAnsi="宋体" w:eastAsia="宋体" w:cs="宋体"/>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rFonts w:hint="eastAsia" w:ascii="宋体" w:hAnsi="宋体" w:eastAsia="宋体" w:cs="宋体"/>
                <w:color w:val="auto"/>
                <w:highlight w:val="none"/>
              </w:rPr>
            </w:pPr>
            <w:r>
              <w:rPr>
                <w:rFonts w:hint="eastAsia" w:ascii="宋体" w:hAnsi="宋体" w:eastAsia="宋体" w:cs="宋体"/>
                <w:color w:val="auto"/>
                <w:szCs w:val="21"/>
                <w:highlight w:val="none"/>
              </w:rPr>
              <w:t>甲方（采购人</w:t>
            </w:r>
            <w:r>
              <w:rPr>
                <w:rFonts w:hint="eastAsia" w:ascii="宋体" w:hAnsi="宋体" w:eastAsia="宋体" w:cs="宋体"/>
                <w:color w:val="auto"/>
                <w:szCs w:val="21"/>
                <w:highlight w:val="none"/>
                <w:lang w:eastAsia="zh-CN"/>
              </w:rPr>
              <w:t>、受采购人委托签订合同的单位</w:t>
            </w:r>
            <w:r>
              <w:rPr>
                <w:rFonts w:hint="eastAsia" w:ascii="宋体" w:hAnsi="宋体" w:eastAsia="宋体" w:cs="宋体"/>
                <w:color w:val="auto"/>
                <w:szCs w:val="21"/>
                <w:highlight w:val="none"/>
              </w:rPr>
              <w:t>或采购文件约定的合同甲方）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rFonts w:hint="eastAsia" w:ascii="宋体" w:hAnsi="宋体" w:eastAsia="宋体" w:cs="宋体"/>
                <w:color w:val="auto"/>
                <w:highlight w:val="none"/>
              </w:rPr>
            </w:pPr>
            <w:r>
              <w:rPr>
                <w:rFonts w:hint="eastAsia" w:ascii="宋体" w:hAnsi="宋体" w:eastAsia="宋体" w:cs="宋体"/>
                <w:color w:val="auto"/>
                <w:szCs w:val="21"/>
                <w:highlight w:val="none"/>
              </w:rPr>
              <w:t>乙方（供应商）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w:t>
            </w:r>
            <w:r>
              <w:rPr>
                <w:rFonts w:hint="eastAsia" w:ascii="宋体" w:hAnsi="宋体" w:eastAsia="宋体" w:cs="宋体"/>
                <w:color w:val="auto"/>
                <w:szCs w:val="21"/>
                <w:highlight w:val="none"/>
                <w:lang w:eastAsia="zh-CN"/>
              </w:rPr>
              <w:t>或合同章</w:t>
            </w:r>
            <w:r>
              <w:rPr>
                <w:rFonts w:hint="eastAsia" w:ascii="宋体" w:hAnsi="宋体" w:eastAsia="宋体" w:cs="宋体"/>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单位名称（公章</w:t>
            </w:r>
            <w:r>
              <w:rPr>
                <w:rFonts w:hint="eastAsia" w:ascii="宋体" w:hAnsi="宋体" w:eastAsia="宋体" w:cs="宋体"/>
                <w:color w:val="auto"/>
                <w:szCs w:val="21"/>
                <w:highlight w:val="none"/>
                <w:lang w:eastAsia="zh-CN"/>
              </w:rPr>
              <w:t>或合同章</w:t>
            </w:r>
            <w:r>
              <w:rPr>
                <w:rFonts w:hint="eastAsia" w:ascii="宋体" w:hAnsi="宋体" w:eastAsia="宋体" w:cs="宋体"/>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rFonts w:hint="eastAsia" w:ascii="宋体" w:hAnsi="宋体" w:eastAsia="宋体" w:cs="宋体"/>
                <w:color w:val="auto"/>
                <w:spacing w:val="20"/>
                <w:szCs w:val="21"/>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C35AA63">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4B46819A">
            <w:pPr>
              <w:adjustRightInd w:val="0"/>
              <w:snapToGrid w:val="0"/>
              <w:spacing w:line="300" w:lineRule="exact"/>
              <w:ind w:firstLine="100" w:firstLineChars="48"/>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412" w:type="dxa"/>
            <w:vMerge w:val="restart"/>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p w14:paraId="3E688193">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或其委托代理人（签章）</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rFonts w:hint="eastAsia" w:ascii="宋体" w:hAnsi="宋体" w:eastAsia="宋体" w:cs="宋体"/>
                <w:color w:val="auto"/>
                <w:szCs w:val="21"/>
                <w:highlight w:val="none"/>
              </w:rPr>
            </w:pPr>
          </w:p>
        </w:tc>
      </w:tr>
      <w:tr w14:paraId="16D3B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CFE57FE">
            <w:pPr>
              <w:adjustRightInd w:val="0"/>
              <w:snapToGrid w:val="0"/>
              <w:spacing w:line="300" w:lineRule="exact"/>
              <w:jc w:val="center"/>
              <w:rPr>
                <w:rFonts w:hint="eastAsia" w:ascii="宋体" w:hAnsi="宋体" w:eastAsia="宋体" w:cs="宋体"/>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F627DD0">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8C987C">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3BA4B44">
            <w:pPr>
              <w:adjustRightInd w:val="0"/>
              <w:snapToGrid w:val="0"/>
              <w:spacing w:line="300" w:lineRule="exact"/>
              <w:jc w:val="center"/>
              <w:rPr>
                <w:rFonts w:hint="eastAsia" w:ascii="宋体" w:hAnsi="宋体" w:eastAsia="宋体" w:cs="宋体"/>
                <w:color w:val="auto"/>
                <w:spacing w:val="20"/>
                <w:szCs w:val="21"/>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住</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住</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rFonts w:hint="eastAsia" w:ascii="宋体" w:hAnsi="宋体" w:eastAsia="宋体" w:cs="宋体"/>
                <w:color w:val="auto"/>
                <w:spacing w:val="20"/>
                <w:szCs w:val="21"/>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rFonts w:hint="eastAsia" w:ascii="宋体" w:hAnsi="宋体" w:eastAsia="宋体" w:cs="宋体"/>
                <w:color w:val="auto"/>
                <w:spacing w:val="20"/>
                <w:szCs w:val="21"/>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rFonts w:hint="eastAsia" w:ascii="宋体" w:hAnsi="宋体" w:eastAsia="宋体" w:cs="宋体"/>
                <w:color w:val="auto"/>
                <w:spacing w:val="20"/>
                <w:szCs w:val="21"/>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rFonts w:hint="eastAsia" w:ascii="宋体" w:hAnsi="宋体" w:eastAsia="宋体" w:cs="宋体"/>
                <w:color w:val="auto"/>
                <w:spacing w:val="20"/>
                <w:szCs w:val="21"/>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rFonts w:hint="eastAsia" w:ascii="宋体" w:hAnsi="宋体" w:eastAsia="宋体" w:cs="宋体"/>
                <w:color w:val="auto"/>
                <w:spacing w:val="20"/>
                <w:szCs w:val="21"/>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rFonts w:hint="eastAsia" w:ascii="宋体" w:hAnsi="宋体" w:eastAsia="宋体" w:cs="宋体"/>
                <w:color w:val="auto"/>
                <w:spacing w:val="20"/>
                <w:szCs w:val="21"/>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rFonts w:hint="eastAsia" w:ascii="宋体" w:hAnsi="宋体" w:eastAsia="宋体" w:cs="宋体"/>
                <w:color w:val="auto"/>
                <w:spacing w:val="20"/>
                <w:szCs w:val="21"/>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rFonts w:hint="eastAsia" w:ascii="宋体" w:hAnsi="宋体" w:eastAsia="宋体" w:cs="宋体"/>
                <w:color w:val="auto"/>
                <w:spacing w:val="20"/>
                <w:szCs w:val="21"/>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rFonts w:hint="eastAsia" w:ascii="宋体" w:hAnsi="宋体" w:eastAsia="宋体" w:cs="宋体"/>
                <w:color w:val="auto"/>
                <w:spacing w:val="20"/>
                <w:szCs w:val="21"/>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rFonts w:hint="eastAsia" w:ascii="宋体" w:hAnsi="宋体" w:eastAsia="宋体" w:cs="宋体"/>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rFonts w:hint="eastAsia" w:ascii="宋体" w:hAnsi="宋体" w:eastAsia="宋体" w:cs="宋体"/>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rFonts w:hint="eastAsia" w:ascii="宋体" w:hAnsi="宋体" w:eastAsia="宋体" w:cs="宋体"/>
                <w:color w:val="auto"/>
                <w:spacing w:val="20"/>
                <w:szCs w:val="21"/>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rFonts w:hint="eastAsia" w:ascii="宋体" w:hAnsi="宋体" w:eastAsia="宋体" w:cs="宋体"/>
                <w:color w:val="auto"/>
                <w:spacing w:val="20"/>
                <w:szCs w:val="21"/>
                <w:highlight w:val="none"/>
              </w:rPr>
            </w:pPr>
            <w:r>
              <w:rPr>
                <w:rFonts w:hint="eastAsia" w:ascii="宋体" w:hAnsi="宋体" w:eastAsia="宋体" w:cs="宋体"/>
                <w:color w:val="auto"/>
                <w:szCs w:val="21"/>
                <w:highlight w:val="none"/>
              </w:rPr>
              <w:t>注：涉及联合体或其他合同主体的信息应按上表格式加列。</w:t>
            </w:r>
          </w:p>
        </w:tc>
      </w:tr>
    </w:tbl>
    <w:p w14:paraId="1361F33E">
      <w:pPr>
        <w:bidi w:val="0"/>
        <w:jc w:val="center"/>
        <w:rPr>
          <w:rFonts w:hint="eastAsia" w:ascii="宋体" w:hAnsi="宋体" w:eastAsia="宋体" w:cs="宋体"/>
          <w:color w:val="auto"/>
          <w:sz w:val="28"/>
          <w:szCs w:val="28"/>
          <w:highlight w:val="none"/>
        </w:rPr>
      </w:pPr>
      <w:r>
        <w:rPr>
          <w:rFonts w:hint="eastAsia" w:ascii="宋体" w:hAnsi="宋体" w:eastAsia="宋体" w:cs="宋体"/>
          <w:color w:val="auto"/>
          <w:sz w:val="21"/>
          <w:szCs w:val="21"/>
          <w:highlight w:val="none"/>
          <w:u w:val="single"/>
        </w:rPr>
        <w:br w:type="page"/>
      </w:r>
      <w:bookmarkStart w:id="401" w:name="_Toc27624"/>
      <w:r>
        <w:rPr>
          <w:rFonts w:hint="eastAsia" w:ascii="宋体" w:hAnsi="宋体" w:eastAsia="宋体" w:cs="宋体"/>
          <w:color w:val="auto"/>
          <w:sz w:val="28"/>
          <w:szCs w:val="28"/>
          <w:highlight w:val="none"/>
        </w:rPr>
        <w:t>第二节 政府采购合同通用条款</w:t>
      </w:r>
      <w:bookmarkEnd w:id="401"/>
    </w:p>
    <w:p w14:paraId="305D7986">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1.</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bCs/>
          <w:color w:val="auto"/>
          <w:sz w:val="24"/>
          <w:highlight w:val="none"/>
        </w:rPr>
        <w:t>定义</w:t>
      </w:r>
    </w:p>
    <w:p w14:paraId="58D2CDD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1.1合同当事人</w:t>
      </w:r>
    </w:p>
    <w:p w14:paraId="5BFB014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（1）采购人（以下称甲方）是指使用财政性资金，通过政府采购方式向供应商购买货物</w:t>
      </w:r>
      <w:r>
        <w:rPr>
          <w:rFonts w:hint="eastAsia" w:ascii="宋体" w:hAnsi="宋体" w:eastAsia="宋体" w:cs="宋体"/>
          <w:color w:val="auto"/>
          <w:szCs w:val="21"/>
          <w:highlight w:val="none"/>
          <w:lang w:val="en-US" w:eastAsia="zh-CN"/>
        </w:rPr>
        <w:t>及其相关服务的</w:t>
      </w:r>
      <w:r>
        <w:rPr>
          <w:rFonts w:hint="eastAsia" w:ascii="宋体" w:hAnsi="宋体" w:eastAsia="宋体" w:cs="宋体"/>
          <w:color w:val="auto"/>
          <w:szCs w:val="21"/>
          <w:highlight w:val="none"/>
        </w:rPr>
        <w:t>国家机关、事业单位、团体组织。</w:t>
      </w:r>
    </w:p>
    <w:p w14:paraId="4152ACF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（2）供应商（以下称</w:t>
      </w:r>
      <w:r>
        <w:rPr>
          <w:rFonts w:hint="eastAsia" w:ascii="宋体" w:hAnsi="宋体" w:eastAsia="宋体" w:cs="宋体"/>
          <w:color w:val="auto"/>
          <w:szCs w:val="21"/>
          <w:highlight w:val="none"/>
          <w:lang w:eastAsia="zh-CN"/>
        </w:rPr>
        <w:t>乙</w:t>
      </w:r>
      <w:r>
        <w:rPr>
          <w:rFonts w:hint="eastAsia" w:ascii="宋体" w:hAnsi="宋体" w:eastAsia="宋体" w:cs="宋体"/>
          <w:color w:val="auto"/>
          <w:szCs w:val="21"/>
          <w:highlight w:val="none"/>
        </w:rPr>
        <w:t>方）是指参加政府采购活动并且中标（成交），向采购人提供</w:t>
      </w:r>
      <w:r>
        <w:rPr>
          <w:rFonts w:hint="eastAsia" w:ascii="宋体" w:hAnsi="宋体" w:eastAsia="宋体" w:cs="宋体"/>
          <w:color w:val="auto"/>
          <w:szCs w:val="21"/>
          <w:highlight w:val="none"/>
          <w:lang w:val="en-US" w:eastAsia="zh-CN"/>
        </w:rPr>
        <w:t>合同约定的货物及其相关服务的法人、非法人组织或者自然人</w:t>
      </w:r>
      <w:r>
        <w:rPr>
          <w:rFonts w:hint="eastAsia" w:ascii="宋体" w:hAnsi="宋体" w:eastAsia="宋体" w:cs="宋体"/>
          <w:color w:val="auto"/>
          <w:szCs w:val="21"/>
          <w:highlight w:val="none"/>
        </w:rPr>
        <w:t>。</w:t>
      </w:r>
    </w:p>
    <w:p w14:paraId="57DE3CA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eastAsia="宋体" w:cs="宋体"/>
          <w:color w:val="auto"/>
          <w:szCs w:val="21"/>
          <w:highlight w:val="none"/>
        </w:rPr>
        <w:t>。</w:t>
      </w:r>
    </w:p>
    <w:p w14:paraId="1D64BC3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1.2本合同下列术语应解释为：</w:t>
      </w:r>
    </w:p>
    <w:p w14:paraId="61F2E781">
      <w:pPr>
        <w:adjustRightInd w:val="0"/>
        <w:snapToGrid w:val="0"/>
        <w:spacing w:before="0" w:beforeLines="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eastAsia="宋体" w:cs="宋体"/>
          <w:color w:val="auto"/>
          <w:szCs w:val="21"/>
          <w:highlight w:val="none"/>
          <w:lang w:eastAsia="zh-CN"/>
        </w:rPr>
        <w:t>政府采购</w:t>
      </w:r>
      <w:r>
        <w:rPr>
          <w:rFonts w:hint="eastAsia" w:ascii="宋体" w:hAnsi="宋体" w:eastAsia="宋体" w:cs="宋体"/>
          <w:color w:val="auto"/>
          <w:szCs w:val="21"/>
          <w:highlight w:val="none"/>
        </w:rPr>
        <w:t>合同协议书及其变更、补充</w:t>
      </w:r>
      <w:r>
        <w:rPr>
          <w:rFonts w:hint="eastAsia" w:ascii="宋体" w:hAnsi="宋体" w:eastAsia="宋体" w:cs="宋体"/>
          <w:color w:val="auto"/>
          <w:szCs w:val="21"/>
          <w:highlight w:val="none"/>
          <w:lang w:eastAsia="zh-CN"/>
        </w:rPr>
        <w:t>协议，</w:t>
      </w:r>
      <w:r>
        <w:rPr>
          <w:rFonts w:hint="eastAsia" w:ascii="宋体" w:hAnsi="宋体" w:eastAsia="宋体" w:cs="宋体"/>
          <w:color w:val="auto"/>
          <w:szCs w:val="21"/>
          <w:highlight w:val="none"/>
        </w:rPr>
        <w:t>政府采购合同专用条款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政府采购合同通用条款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中标</w:t>
      </w:r>
      <w:r>
        <w:rPr>
          <w:rFonts w:hint="eastAsia" w:ascii="宋体" w:hAnsi="宋体" w:eastAsia="宋体" w:cs="宋体"/>
          <w:color w:val="auto"/>
          <w:szCs w:val="21"/>
          <w:highlight w:val="none"/>
          <w:lang w:eastAsia="zh-CN"/>
        </w:rPr>
        <w:t>（成交）</w:t>
      </w:r>
      <w:r>
        <w:rPr>
          <w:rFonts w:hint="eastAsia" w:ascii="宋体" w:hAnsi="宋体" w:eastAsia="宋体" w:cs="宋体"/>
          <w:color w:val="auto"/>
          <w:szCs w:val="21"/>
          <w:highlight w:val="none"/>
        </w:rPr>
        <w:t>通知书</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投标（响应）文件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有关技术文件</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图纸</w:t>
      </w:r>
      <w:r>
        <w:rPr>
          <w:rFonts w:hint="eastAsia" w:ascii="宋体" w:hAnsi="宋体" w:eastAsia="宋体" w:cs="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Cs w:val="21"/>
          <w:highlight w:val="none"/>
        </w:rPr>
        <w:t>。</w:t>
      </w:r>
    </w:p>
    <w:p w14:paraId="5772664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）“合同价</w:t>
      </w:r>
      <w:r>
        <w:rPr>
          <w:rFonts w:hint="eastAsia" w:ascii="宋体" w:hAnsi="宋体" w:eastAsia="宋体" w:cs="宋体"/>
          <w:color w:val="auto"/>
          <w:szCs w:val="21"/>
          <w:highlight w:val="none"/>
          <w:lang w:val="en-US" w:eastAsia="zh-CN"/>
        </w:rPr>
        <w:t>款</w:t>
      </w:r>
      <w:r>
        <w:rPr>
          <w:rFonts w:hint="eastAsia" w:ascii="宋体" w:hAnsi="宋体" w:eastAsia="宋体" w:cs="宋体"/>
          <w:color w:val="auto"/>
          <w:szCs w:val="21"/>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技术资料和材料</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w:t>
      </w:r>
    </w:p>
    <w:p w14:paraId="6C99EF17">
      <w:pPr>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szCs w:val="21"/>
          <w:highlight w:val="none"/>
        </w:rPr>
        <w:t>服务”系指根据合同规定，乙方应提供的</w:t>
      </w:r>
      <w:r>
        <w:rPr>
          <w:rFonts w:hint="eastAsia" w:ascii="宋体" w:hAnsi="宋体" w:eastAsia="宋体" w:cs="宋体"/>
          <w:color w:val="auto"/>
          <w:szCs w:val="21"/>
          <w:highlight w:val="none"/>
          <w:lang w:val="en-US" w:eastAsia="zh-CN"/>
        </w:rPr>
        <w:t>与货物有关的</w:t>
      </w:r>
      <w:r>
        <w:rPr>
          <w:rFonts w:hint="eastAsia" w:ascii="宋体" w:hAnsi="宋体" w:eastAsia="宋体" w:cs="宋体"/>
          <w:color w:val="auto"/>
          <w:szCs w:val="21"/>
          <w:highlight w:val="none"/>
        </w:rPr>
        <w:t>技术、管理和</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服务，包括但不限于：管理和质量保证、运输、保险、检验、现场准备、安装、集成、调试、培训、维修、</w:t>
      </w:r>
      <w:r>
        <w:rPr>
          <w:rFonts w:hint="eastAsia" w:ascii="宋体" w:hAnsi="宋体" w:eastAsia="宋体" w:cs="宋体"/>
          <w:color w:val="auto"/>
          <w:szCs w:val="21"/>
          <w:highlight w:val="none"/>
          <w:lang w:eastAsia="zh-CN"/>
        </w:rPr>
        <w:t>废弃处置、</w:t>
      </w:r>
      <w:r>
        <w:rPr>
          <w:rFonts w:hint="eastAsia" w:ascii="宋体" w:hAnsi="宋体" w:eastAsia="宋体" w:cs="宋体"/>
          <w:color w:val="auto"/>
          <w:szCs w:val="21"/>
          <w:highlight w:val="none"/>
        </w:rPr>
        <w:t>技术支持等以及合同中规定乙方应承担的</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义务。</w:t>
      </w:r>
    </w:p>
    <w:p w14:paraId="4591CEE7">
      <w:pPr>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）“分包”系指中标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供应商按采购文件、投标（响应）文件的规定，根据分包意向协议，将中标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）“联合体”系指</w:t>
      </w:r>
      <w:r>
        <w:rPr>
          <w:rFonts w:hint="eastAsia" w:ascii="宋体" w:hAnsi="宋体" w:eastAsia="宋体" w:cs="宋体"/>
          <w:color w:val="auto"/>
          <w:szCs w:val="21"/>
          <w:highlight w:val="none"/>
          <w:lang w:eastAsia="zh-CN"/>
        </w:rPr>
        <w:t>由</w:t>
      </w:r>
      <w:r>
        <w:rPr>
          <w:rFonts w:hint="eastAsia" w:ascii="宋体" w:hAnsi="宋体" w:eastAsia="宋体" w:cs="宋体"/>
          <w:color w:val="auto"/>
          <w:szCs w:val="21"/>
          <w:highlight w:val="none"/>
        </w:rPr>
        <w:t>两个以上的自然人、法人或者</w:t>
      </w:r>
      <w:r>
        <w:rPr>
          <w:rFonts w:hint="eastAsia" w:ascii="宋体" w:hAnsi="宋体" w:eastAsia="宋体" w:cs="宋体"/>
          <w:color w:val="auto"/>
          <w:szCs w:val="21"/>
          <w:highlight w:val="none"/>
          <w:lang w:val="en-US" w:eastAsia="zh-CN"/>
        </w:rPr>
        <w:t>非法人</w:t>
      </w:r>
      <w:r>
        <w:rPr>
          <w:rFonts w:hint="eastAsia" w:ascii="宋体" w:hAnsi="宋体" w:eastAsia="宋体" w:cs="宋体"/>
          <w:color w:val="auto"/>
          <w:szCs w:val="21"/>
          <w:highlight w:val="none"/>
        </w:rPr>
        <w:t>组织组成，</w:t>
      </w:r>
      <w:r>
        <w:rPr>
          <w:rFonts w:hint="eastAsia" w:ascii="宋体" w:hAnsi="宋体" w:eastAsia="宋体" w:cs="宋体"/>
          <w:color w:val="auto"/>
          <w:szCs w:val="21"/>
          <w:highlight w:val="none"/>
          <w:lang w:eastAsia="zh-CN"/>
        </w:rPr>
        <w:t>以一个供应商的身份共同参加政府采购的主体。</w:t>
      </w:r>
      <w:r>
        <w:rPr>
          <w:rFonts w:hint="eastAsia" w:ascii="宋体" w:hAnsi="宋体" w:eastAsia="宋体" w:cs="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承担连带责任。联合体具体要求见【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722BE3C3">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）其他术语解释，见【</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w:t>
      </w:r>
    </w:p>
    <w:p w14:paraId="6B799978">
      <w:pPr>
        <w:numPr>
          <w:ilvl w:val="0"/>
          <w:numId w:val="21"/>
        </w:num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合同标的及金额</w:t>
      </w:r>
    </w:p>
    <w:p w14:paraId="764BC7F7">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Cs w:val="21"/>
          <w:highlight w:val="none"/>
        </w:rPr>
      </w:pP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.1 合同标的及金额应与中标（成交）结果一致。乙方为履行本合同而发生的所有费用均应包含在合同</w:t>
      </w:r>
      <w:r>
        <w:rPr>
          <w:rFonts w:hint="eastAsia" w:ascii="宋体" w:hAnsi="宋体" w:eastAsia="宋体" w:cs="宋体"/>
          <w:color w:val="auto"/>
          <w:szCs w:val="21"/>
          <w:highlight w:val="none"/>
          <w:lang w:eastAsia="zh-CN"/>
        </w:rPr>
        <w:t>价款</w:t>
      </w:r>
      <w:r>
        <w:rPr>
          <w:rFonts w:hint="eastAsia" w:ascii="宋体" w:hAnsi="宋体" w:eastAsia="宋体" w:cs="宋体"/>
          <w:color w:val="auto"/>
          <w:szCs w:val="21"/>
          <w:highlight w:val="none"/>
        </w:rPr>
        <w:t>中，甲方不再另行支付</w:t>
      </w:r>
      <w:r>
        <w:rPr>
          <w:rFonts w:hint="eastAsia" w:ascii="宋体" w:hAnsi="宋体" w:eastAsia="宋体" w:cs="宋体"/>
          <w:color w:val="auto"/>
          <w:szCs w:val="21"/>
          <w:highlight w:val="none"/>
          <w:lang w:val="en"/>
        </w:rPr>
        <w:t>其他</w:t>
      </w:r>
      <w:r>
        <w:rPr>
          <w:rFonts w:hint="eastAsia" w:ascii="宋体" w:hAnsi="宋体" w:eastAsia="宋体" w:cs="宋体"/>
          <w:color w:val="auto"/>
          <w:szCs w:val="21"/>
          <w:highlight w:val="none"/>
        </w:rPr>
        <w:t>任何费用。</w:t>
      </w:r>
    </w:p>
    <w:p w14:paraId="78402294">
      <w:pPr>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3</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履行合同的时间、地点和方式</w:t>
      </w:r>
    </w:p>
    <w:p w14:paraId="31AA3184">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.1 乙方应当在约定的时间、地点</w:t>
      </w:r>
      <w:r>
        <w:rPr>
          <w:rFonts w:hint="eastAsia" w:ascii="宋体" w:hAnsi="宋体" w:eastAsia="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2659488A">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4</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甲方的权利和义务</w:t>
      </w:r>
    </w:p>
    <w:p w14:paraId="0B2970B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.1 签署合同后，甲方</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确定</w:t>
      </w:r>
      <w:r>
        <w:rPr>
          <w:rFonts w:hint="eastAsia" w:ascii="宋体" w:hAnsi="宋体" w:eastAsia="宋体" w:cs="宋体"/>
          <w:color w:val="auto"/>
          <w:szCs w:val="21"/>
          <w:highlight w:val="none"/>
          <w:lang w:val="en-US" w:eastAsia="zh-CN"/>
        </w:rPr>
        <w:t>项目负责人（或项目联系人）</w:t>
      </w:r>
      <w:r>
        <w:rPr>
          <w:rFonts w:hint="eastAsia" w:ascii="宋体" w:hAnsi="宋体" w:eastAsia="宋体" w:cs="宋体"/>
          <w:color w:val="auto"/>
          <w:szCs w:val="21"/>
          <w:highlight w:val="none"/>
        </w:rPr>
        <w:t>，负责与本合同有关的事务。甲方有权对乙方的履约行为进行检查，并及时确认乙方提交的事项。甲方应当配合乙方完成相关项目实施工作。</w:t>
      </w:r>
    </w:p>
    <w:p w14:paraId="3E568FA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6F6C062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.3 甲方有权要求乙方对缺陷部分予以修复，并按合同约定享有货物保修及其他合同约定的权利。</w:t>
      </w:r>
    </w:p>
    <w:p w14:paraId="40225F27">
      <w:pPr>
        <w:snapToGrid w:val="0"/>
        <w:spacing w:line="4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4.4 甲方应当按照合同约定及时对交付的货物进行验收，</w:t>
      </w:r>
      <w:r>
        <w:rPr>
          <w:rFonts w:hint="eastAsia" w:ascii="宋体" w:hAnsi="宋体" w:eastAsia="宋体" w:cs="宋体"/>
          <w:b w:val="0"/>
          <w:bCs w:val="0"/>
          <w:color w:val="auto"/>
          <w:szCs w:val="21"/>
          <w:highlight w:val="none"/>
          <w:lang w:eastAsia="zh-CN"/>
        </w:rPr>
        <w:t>未</w:t>
      </w:r>
      <w:r>
        <w:rPr>
          <w:rFonts w:hint="eastAsia" w:ascii="宋体" w:hAnsi="宋体" w:eastAsia="宋体" w:cs="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eastAsia="宋体" w:cs="宋体"/>
          <w:b w:val="0"/>
          <w:bCs w:val="0"/>
          <w:color w:val="auto"/>
          <w:szCs w:val="21"/>
          <w:highlight w:val="none"/>
          <w:lang w:eastAsia="zh-CN"/>
        </w:rPr>
        <w:t>约定的期限内对乙方履约提出任何异议或者向乙方作出任何说明的，</w:t>
      </w:r>
      <w:r>
        <w:rPr>
          <w:rFonts w:hint="eastAsia" w:ascii="宋体" w:hAnsi="宋体" w:eastAsia="宋体" w:cs="宋体"/>
          <w:color w:val="auto"/>
          <w:szCs w:val="21"/>
          <w:highlight w:val="none"/>
          <w:lang w:val="en-US" w:eastAsia="zh-CN"/>
        </w:rPr>
        <w:t>视为验收通过。</w:t>
      </w:r>
    </w:p>
    <w:p w14:paraId="1A6AC3D5">
      <w:pPr>
        <w:autoSpaceDE w:val="0"/>
        <w:autoSpaceDN w:val="0"/>
        <w:adjustRightInd w:val="0"/>
        <w:snapToGrid w:val="0"/>
        <w:spacing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 xml:space="preserve"> 甲方应当根据合同约定</w:t>
      </w:r>
      <w:r>
        <w:rPr>
          <w:rFonts w:hint="eastAsia" w:ascii="宋体" w:hAnsi="宋体" w:eastAsia="宋体" w:cs="宋体"/>
          <w:color w:val="auto"/>
          <w:szCs w:val="21"/>
          <w:highlight w:val="none"/>
          <w:lang w:eastAsia="zh-CN"/>
        </w:rPr>
        <w:t>及</w:t>
      </w:r>
      <w:r>
        <w:rPr>
          <w:rFonts w:hint="eastAsia" w:ascii="宋体" w:hAnsi="宋体" w:eastAsia="宋体" w:cs="宋体"/>
          <w:color w:val="auto"/>
          <w:szCs w:val="21"/>
          <w:highlight w:val="none"/>
        </w:rPr>
        <w:t>时向乙方支付</w:t>
      </w:r>
      <w:r>
        <w:rPr>
          <w:rFonts w:hint="eastAsia" w:ascii="宋体" w:hAnsi="宋体" w:eastAsia="宋体" w:cs="宋体"/>
          <w:color w:val="auto"/>
          <w:szCs w:val="21"/>
          <w:highlight w:val="none"/>
          <w:lang w:eastAsia="zh-CN"/>
        </w:rPr>
        <w:t>合同价款，不得以内部人员变更、履行内部付款流程等为由，拒绝或迟延支付。</w:t>
      </w:r>
    </w:p>
    <w:p w14:paraId="270B6E4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xml:space="preserve"> 国家法律法规规定</w:t>
      </w:r>
      <w:r>
        <w:rPr>
          <w:rFonts w:hint="eastAsia" w:ascii="宋体" w:hAnsi="宋体" w:eastAsia="宋体" w:cs="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lang w:eastAsia="zh-CN"/>
        </w:rPr>
        <w:t>约定应</w:t>
      </w:r>
      <w:r>
        <w:rPr>
          <w:rFonts w:hint="eastAsia" w:ascii="宋体" w:hAnsi="宋体" w:eastAsia="宋体" w:cs="宋体"/>
          <w:color w:val="auto"/>
          <w:szCs w:val="21"/>
          <w:highlight w:val="none"/>
        </w:rPr>
        <w:t>由甲方承担的其他义务和责任。</w:t>
      </w:r>
    </w:p>
    <w:p w14:paraId="00AA9F91">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5</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乙方的权利和义务</w:t>
      </w:r>
    </w:p>
    <w:p w14:paraId="52F77F6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.1 签署合同后，乙方</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确定</w:t>
      </w:r>
      <w:r>
        <w:rPr>
          <w:rFonts w:hint="eastAsia" w:ascii="宋体" w:hAnsi="宋体" w:eastAsia="宋体" w:cs="宋体"/>
          <w:color w:val="auto"/>
          <w:szCs w:val="21"/>
          <w:highlight w:val="none"/>
          <w:lang w:val="en-US" w:eastAsia="zh-CN"/>
        </w:rPr>
        <w:t>项目负责人（或项目联系人）</w:t>
      </w:r>
      <w:r>
        <w:rPr>
          <w:rFonts w:hint="eastAsia" w:ascii="宋体" w:hAnsi="宋体" w:eastAsia="宋体" w:cs="宋体"/>
          <w:color w:val="auto"/>
          <w:szCs w:val="21"/>
          <w:highlight w:val="none"/>
        </w:rPr>
        <w:t>，负责与本合同有关的事务。</w:t>
      </w:r>
    </w:p>
    <w:p w14:paraId="320A6D6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.2 乙方应按照合同要求履约，充分合理安排，确保提供的货物</w:t>
      </w:r>
      <w:r>
        <w:rPr>
          <w:rFonts w:hint="eastAsia" w:ascii="宋体" w:hAnsi="宋体" w:eastAsia="宋体" w:cs="宋体"/>
          <w:color w:val="auto"/>
          <w:szCs w:val="21"/>
          <w:highlight w:val="none"/>
          <w:lang w:eastAsia="zh-CN"/>
        </w:rPr>
        <w:t>及相关</w:t>
      </w:r>
      <w:r>
        <w:rPr>
          <w:rFonts w:hint="eastAsia" w:ascii="宋体" w:hAnsi="宋体" w:eastAsia="宋体" w:cs="宋体"/>
          <w:color w:val="auto"/>
          <w:szCs w:val="21"/>
          <w:highlight w:val="none"/>
        </w:rPr>
        <w:t>服务符合合同</w:t>
      </w:r>
      <w:r>
        <w:rPr>
          <w:rFonts w:hint="eastAsia" w:ascii="宋体" w:hAnsi="宋体" w:eastAsia="宋体" w:cs="宋体"/>
          <w:color w:val="auto"/>
          <w:szCs w:val="21"/>
          <w:highlight w:val="none"/>
          <w:lang w:eastAsia="zh-CN"/>
        </w:rPr>
        <w:t>有关</w:t>
      </w:r>
      <w:r>
        <w:rPr>
          <w:rFonts w:hint="eastAsia" w:ascii="宋体" w:hAnsi="宋体" w:eastAsia="宋体" w:cs="宋体"/>
          <w:color w:val="auto"/>
          <w:szCs w:val="21"/>
          <w:highlight w:val="none"/>
        </w:rPr>
        <w:t>要求。接受项目行业管理部门及政府有关部门的指导，配合甲方的履约检查</w:t>
      </w:r>
      <w:r>
        <w:rPr>
          <w:rFonts w:hint="eastAsia" w:ascii="宋体" w:hAnsi="宋体" w:eastAsia="宋体" w:cs="宋体"/>
          <w:color w:val="auto"/>
          <w:szCs w:val="21"/>
          <w:highlight w:val="none"/>
          <w:lang w:eastAsia="zh-CN"/>
        </w:rPr>
        <w:t>及验收</w:t>
      </w:r>
      <w:r>
        <w:rPr>
          <w:rFonts w:hint="eastAsia" w:ascii="宋体" w:hAnsi="宋体" w:eastAsia="宋体" w:cs="宋体"/>
          <w:color w:val="auto"/>
          <w:szCs w:val="21"/>
          <w:highlight w:val="none"/>
        </w:rPr>
        <w:t>，并负责项目实施过程中的所有协调工作。</w:t>
      </w:r>
    </w:p>
    <w:p w14:paraId="65DF0E6A">
      <w:pPr>
        <w:pStyle w:val="23"/>
        <w:spacing w:after="0" w:line="400" w:lineRule="exact"/>
        <w:ind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.3乙方有权根据合同约定向甲方收取</w:t>
      </w:r>
      <w:r>
        <w:rPr>
          <w:rFonts w:hint="eastAsia" w:ascii="宋体" w:hAnsi="宋体" w:eastAsia="宋体" w:cs="宋体"/>
          <w:color w:val="auto"/>
          <w:sz w:val="21"/>
          <w:szCs w:val="21"/>
          <w:highlight w:val="none"/>
          <w:lang w:eastAsia="zh-CN"/>
        </w:rPr>
        <w:t>合同价款</w:t>
      </w:r>
      <w:r>
        <w:rPr>
          <w:rFonts w:hint="eastAsia" w:ascii="宋体" w:hAnsi="宋体" w:eastAsia="宋体" w:cs="宋体"/>
          <w:color w:val="auto"/>
          <w:sz w:val="21"/>
          <w:szCs w:val="21"/>
          <w:highlight w:val="none"/>
        </w:rPr>
        <w:t>。</w:t>
      </w:r>
    </w:p>
    <w:p w14:paraId="35AA2EED">
      <w:pPr>
        <w:pStyle w:val="23"/>
        <w:spacing w:after="0" w:line="400" w:lineRule="exact"/>
        <w:ind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.4国家法律法规规定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约定应</w:t>
      </w:r>
      <w:r>
        <w:rPr>
          <w:rFonts w:hint="eastAsia" w:ascii="宋体" w:hAnsi="宋体" w:eastAsia="宋体" w:cs="宋体"/>
          <w:color w:val="auto"/>
          <w:sz w:val="21"/>
          <w:szCs w:val="21"/>
          <w:highlight w:val="none"/>
        </w:rPr>
        <w:t>由乙方承担的其他义务和责任。</w:t>
      </w:r>
    </w:p>
    <w:p w14:paraId="21709F8B">
      <w:pPr>
        <w:numPr>
          <w:ilvl w:val="0"/>
          <w:numId w:val="22"/>
        </w:num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合同履</w:t>
      </w:r>
      <w:r>
        <w:rPr>
          <w:rFonts w:hint="eastAsia" w:ascii="宋体" w:hAnsi="宋体" w:eastAsia="宋体" w:cs="宋体"/>
          <w:b/>
          <w:bCs/>
          <w:color w:val="auto"/>
          <w:sz w:val="24"/>
          <w:highlight w:val="none"/>
          <w:lang w:val="en-US" w:eastAsia="zh-CN"/>
        </w:rPr>
        <w:t>行</w:t>
      </w:r>
    </w:p>
    <w:p w14:paraId="5AE3FA7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6</w:t>
      </w:r>
      <w:r>
        <w:rPr>
          <w:rFonts w:hint="eastAsia" w:ascii="宋体" w:hAnsi="宋体" w:eastAsia="宋体" w:cs="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约定顺序履行合同义务；如果没有先后顺序的，应当同时履行。</w:t>
      </w:r>
    </w:p>
    <w:p w14:paraId="258636B0">
      <w:pPr>
        <w:autoSpaceDE w:val="0"/>
        <w:autoSpaceDN w:val="0"/>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6</w:t>
      </w:r>
      <w:r>
        <w:rPr>
          <w:rFonts w:hint="eastAsia" w:ascii="宋体" w:hAnsi="宋体" w:eastAsia="宋体" w:cs="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7</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货物包装、运输</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保险</w:t>
      </w:r>
      <w:r>
        <w:rPr>
          <w:rFonts w:hint="eastAsia" w:ascii="宋体" w:hAnsi="宋体" w:eastAsia="宋体" w:cs="宋体"/>
          <w:b/>
          <w:bCs/>
          <w:color w:val="auto"/>
          <w:sz w:val="24"/>
          <w:highlight w:val="none"/>
          <w:lang w:eastAsia="zh-CN"/>
        </w:rPr>
        <w:t>和交付</w:t>
      </w:r>
      <w:r>
        <w:rPr>
          <w:rFonts w:hint="eastAsia" w:ascii="宋体" w:hAnsi="宋体" w:eastAsia="宋体" w:cs="宋体"/>
          <w:b/>
          <w:bCs/>
          <w:color w:val="auto"/>
          <w:sz w:val="24"/>
          <w:highlight w:val="none"/>
        </w:rPr>
        <w:t>要求</w:t>
      </w:r>
    </w:p>
    <w:p w14:paraId="7E22D35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.1 本合同</w:t>
      </w:r>
      <w:r>
        <w:rPr>
          <w:rFonts w:hint="eastAsia" w:ascii="宋体" w:hAnsi="宋体" w:eastAsia="宋体" w:cs="宋体"/>
          <w:bCs/>
          <w:color w:val="auto"/>
          <w:szCs w:val="21"/>
          <w:highlight w:val="none"/>
        </w:rPr>
        <w:t>涉及商品包装</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rPr>
        <w:t>快递包装的，</w:t>
      </w:r>
      <w:r>
        <w:rPr>
          <w:rFonts w:hint="eastAsia" w:ascii="宋体" w:hAnsi="宋体" w:eastAsia="宋体" w:cs="宋体"/>
          <w:color w:val="auto"/>
          <w:szCs w:val="21"/>
          <w:highlight w:val="none"/>
        </w:rPr>
        <w:t>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w:t>
      </w:r>
      <w:r>
        <w:rPr>
          <w:rFonts w:hint="eastAsia" w:ascii="宋体" w:hAnsi="宋体" w:eastAsia="宋体" w:cs="宋体"/>
          <w:bCs/>
          <w:color w:val="auto"/>
          <w:szCs w:val="21"/>
          <w:highlight w:val="none"/>
          <w:lang w:eastAsia="zh-CN"/>
        </w:rPr>
        <w:t>约</w:t>
      </w:r>
      <w:r>
        <w:rPr>
          <w:rFonts w:hint="eastAsia" w:ascii="宋体" w:hAnsi="宋体" w:eastAsia="宋体" w:cs="宋体"/>
          <w:bCs/>
          <w:color w:val="auto"/>
          <w:szCs w:val="21"/>
          <w:highlight w:val="none"/>
        </w:rPr>
        <w:t>定</w:t>
      </w:r>
      <w:r>
        <w:rPr>
          <w:rFonts w:hint="eastAsia" w:ascii="宋体" w:hAnsi="宋体" w:eastAsia="宋体" w:cs="宋体"/>
          <w:bCs/>
          <w:color w:val="auto"/>
          <w:szCs w:val="21"/>
          <w:highlight w:val="none"/>
          <w:lang w:eastAsia="zh-CN"/>
        </w:rPr>
        <w:t>外</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包装应适应远距离运输、防潮、防震、防锈和防野蛮装卸等要求，确保货物安全无损地运抵</w:t>
      </w:r>
      <w:r>
        <w:rPr>
          <w:rFonts w:hint="eastAsia" w:ascii="宋体" w:hAnsi="宋体" w:eastAsia="宋体" w:cs="宋体"/>
          <w:b/>
          <w:color w:val="auto"/>
          <w:szCs w:val="21"/>
          <w:highlight w:val="none"/>
        </w:rPr>
        <w:t>【政府采购合同专用条款】</w:t>
      </w:r>
      <w:r>
        <w:rPr>
          <w:rFonts w:hint="eastAsia" w:ascii="宋体" w:hAnsi="宋体" w:eastAsia="宋体" w:cs="宋体"/>
          <w:b w:val="0"/>
          <w:bCs/>
          <w:color w:val="auto"/>
          <w:szCs w:val="21"/>
          <w:highlight w:val="none"/>
          <w:lang w:eastAsia="zh-CN"/>
        </w:rPr>
        <w:t>约定的</w:t>
      </w:r>
      <w:r>
        <w:rPr>
          <w:rFonts w:hint="eastAsia" w:ascii="宋体" w:hAnsi="宋体" w:eastAsia="宋体" w:cs="宋体"/>
          <w:color w:val="auto"/>
          <w:szCs w:val="21"/>
          <w:highlight w:val="none"/>
        </w:rPr>
        <w:t>指定现场。</w:t>
      </w:r>
    </w:p>
    <w:p w14:paraId="5AC28E33">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.2 除</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另有</w:t>
      </w:r>
      <w:r>
        <w:rPr>
          <w:rFonts w:hint="eastAsia" w:ascii="宋体" w:hAnsi="宋体" w:eastAsia="宋体" w:cs="宋体"/>
          <w:bCs/>
          <w:color w:val="auto"/>
          <w:szCs w:val="21"/>
          <w:highlight w:val="none"/>
          <w:lang w:eastAsia="zh-CN"/>
        </w:rPr>
        <w:t>约</w:t>
      </w:r>
      <w:r>
        <w:rPr>
          <w:rFonts w:hint="eastAsia" w:ascii="宋体" w:hAnsi="宋体" w:eastAsia="宋体" w:cs="宋体"/>
          <w:bCs/>
          <w:color w:val="auto"/>
          <w:szCs w:val="21"/>
          <w:highlight w:val="none"/>
        </w:rPr>
        <w:t>定</w:t>
      </w:r>
      <w:r>
        <w:rPr>
          <w:rFonts w:hint="eastAsia" w:ascii="宋体" w:hAnsi="宋体" w:eastAsia="宋体" w:cs="宋体"/>
          <w:bCs/>
          <w:color w:val="auto"/>
          <w:szCs w:val="21"/>
          <w:highlight w:val="none"/>
          <w:lang w:eastAsia="zh-CN"/>
        </w:rPr>
        <w:t>外</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乙方负责办理将货物运抵本合同规定的交货地点</w:t>
      </w:r>
      <w:r>
        <w:rPr>
          <w:rFonts w:hint="eastAsia" w:ascii="宋体" w:hAnsi="宋体" w:eastAsia="宋体" w:cs="宋体"/>
          <w:color w:val="auto"/>
          <w:szCs w:val="21"/>
          <w:highlight w:val="none"/>
          <w:lang w:eastAsia="zh-CN"/>
        </w:rPr>
        <w:t>，并装卸、交付至甲方</w:t>
      </w:r>
      <w:r>
        <w:rPr>
          <w:rFonts w:hint="eastAsia" w:ascii="宋体" w:hAnsi="宋体" w:eastAsia="宋体" w:cs="宋体"/>
          <w:color w:val="auto"/>
          <w:szCs w:val="21"/>
          <w:highlight w:val="none"/>
        </w:rPr>
        <w:t>的一切运输事项，相关费用应</w:t>
      </w:r>
      <w:r>
        <w:rPr>
          <w:rFonts w:hint="eastAsia" w:ascii="宋体" w:hAnsi="宋体" w:eastAsia="宋体" w:cs="宋体"/>
          <w:color w:val="auto"/>
          <w:szCs w:val="21"/>
          <w:highlight w:val="none"/>
          <w:lang w:eastAsia="zh-CN"/>
        </w:rPr>
        <w:t>包含</w:t>
      </w:r>
      <w:r>
        <w:rPr>
          <w:rFonts w:hint="eastAsia" w:ascii="宋体" w:hAnsi="宋体" w:eastAsia="宋体" w:cs="宋体"/>
          <w:color w:val="auto"/>
          <w:szCs w:val="21"/>
          <w:highlight w:val="none"/>
        </w:rPr>
        <w:t>在合同</w:t>
      </w:r>
      <w:r>
        <w:rPr>
          <w:rFonts w:hint="eastAsia" w:ascii="宋体" w:hAnsi="宋体" w:eastAsia="宋体" w:cs="宋体"/>
          <w:color w:val="auto"/>
          <w:szCs w:val="21"/>
          <w:highlight w:val="none"/>
          <w:lang w:eastAsia="zh-CN"/>
        </w:rPr>
        <w:t>价款</w:t>
      </w:r>
      <w:r>
        <w:rPr>
          <w:rFonts w:hint="eastAsia" w:ascii="宋体" w:hAnsi="宋体" w:eastAsia="宋体" w:cs="宋体"/>
          <w:color w:val="auto"/>
          <w:szCs w:val="21"/>
          <w:highlight w:val="none"/>
        </w:rPr>
        <w:t>中。</w:t>
      </w:r>
    </w:p>
    <w:p w14:paraId="422B967C">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.3 货物保险要求按</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规定执行</w:t>
      </w:r>
      <w:r>
        <w:rPr>
          <w:rFonts w:hint="eastAsia" w:ascii="宋体" w:hAnsi="宋体" w:eastAsia="宋体" w:cs="宋体"/>
          <w:color w:val="auto"/>
          <w:szCs w:val="21"/>
          <w:highlight w:val="none"/>
        </w:rPr>
        <w:t>。</w:t>
      </w:r>
    </w:p>
    <w:p w14:paraId="01D4B20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7</w:t>
      </w:r>
      <w:r>
        <w:rPr>
          <w:rFonts w:hint="eastAsia" w:ascii="宋体" w:hAnsi="宋体" w:eastAsia="宋体" w:cs="宋体"/>
          <w:color w:val="auto"/>
          <w:szCs w:val="21"/>
          <w:highlight w:val="none"/>
        </w:rPr>
        <w:t xml:space="preserve">.4 </w:t>
      </w:r>
      <w:r>
        <w:rPr>
          <w:rFonts w:hint="eastAsia" w:ascii="宋体" w:hAnsi="宋体" w:eastAsia="宋体" w:cs="宋体"/>
          <w:color w:val="auto"/>
          <w:szCs w:val="21"/>
          <w:highlight w:val="none"/>
          <w:lang w:val="en-US" w:eastAsia="zh-CN"/>
        </w:rPr>
        <w:t>除采购活动</w:t>
      </w:r>
      <w:r>
        <w:rPr>
          <w:rFonts w:hint="eastAsia" w:ascii="宋体" w:hAnsi="宋体" w:eastAsia="宋体" w:cs="宋体"/>
          <w:color w:val="auto"/>
          <w:szCs w:val="21"/>
          <w:highlight w:val="none"/>
        </w:rPr>
        <w:t>对商品包装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快递包装</w:t>
      </w:r>
      <w:r>
        <w:rPr>
          <w:rFonts w:hint="eastAsia" w:ascii="宋体" w:hAnsi="宋体" w:eastAsia="宋体" w:cs="宋体"/>
          <w:color w:val="auto"/>
          <w:szCs w:val="21"/>
          <w:highlight w:val="none"/>
          <w:lang w:val="en-US" w:eastAsia="zh-CN"/>
        </w:rPr>
        <w:t>达成具体约定外</w:t>
      </w:r>
      <w:r>
        <w:rPr>
          <w:rFonts w:hint="eastAsia" w:ascii="宋体" w:hAnsi="宋体" w:eastAsia="宋体" w:cs="宋体"/>
          <w:color w:val="auto"/>
          <w:szCs w:val="21"/>
          <w:highlight w:val="none"/>
        </w:rPr>
        <w:t>，乙方提供产品及相关快递服务</w:t>
      </w:r>
      <w:r>
        <w:rPr>
          <w:rFonts w:hint="eastAsia" w:ascii="宋体" w:hAnsi="宋体" w:eastAsia="宋体" w:cs="宋体"/>
          <w:color w:val="auto"/>
          <w:szCs w:val="21"/>
          <w:highlight w:val="none"/>
          <w:lang w:val="en-US" w:eastAsia="zh-CN"/>
        </w:rPr>
        <w:t>涉及到</w:t>
      </w:r>
      <w:r>
        <w:rPr>
          <w:rFonts w:hint="eastAsia" w:ascii="宋体" w:hAnsi="宋体" w:eastAsia="宋体" w:cs="宋体"/>
          <w:color w:val="auto"/>
          <w:szCs w:val="21"/>
          <w:highlight w:val="none"/>
        </w:rPr>
        <w:t>具体包装要求</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不低于</w:t>
      </w:r>
      <w:r>
        <w:rPr>
          <w:rFonts w:hint="eastAsia" w:ascii="宋体" w:hAnsi="宋体" w:eastAsia="宋体" w:cs="宋体"/>
          <w:color w:val="auto"/>
          <w:szCs w:val="21"/>
          <w:highlight w:val="none"/>
        </w:rPr>
        <w:t>《商品包装政府采购需求标准（试行）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快递包装政府采购需求标准（试行）》</w:t>
      </w:r>
      <w:r>
        <w:rPr>
          <w:rFonts w:hint="eastAsia" w:ascii="宋体" w:hAnsi="宋体" w:eastAsia="宋体" w:cs="宋体"/>
          <w:color w:val="auto"/>
          <w:szCs w:val="21"/>
          <w:highlight w:val="none"/>
          <w:lang w:val="en-US" w:eastAsia="zh-CN"/>
        </w:rPr>
        <w:t>标准</w:t>
      </w:r>
      <w:r>
        <w:rPr>
          <w:rFonts w:hint="eastAsia" w:ascii="宋体" w:hAnsi="宋体" w:eastAsia="宋体" w:cs="宋体"/>
          <w:color w:val="auto"/>
          <w:szCs w:val="21"/>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eastAsia="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eastAsia="宋体" w:cs="宋体"/>
          <w:color w:val="auto"/>
          <w:szCs w:val="21"/>
          <w:highlight w:val="none"/>
          <w:lang w:eastAsia="zh-CN"/>
        </w:rPr>
        <w:t>，甲方配合乙方做好货物的接收工作。</w:t>
      </w:r>
    </w:p>
    <w:p w14:paraId="5FC41877">
      <w:pPr>
        <w:pStyle w:val="79"/>
        <w:rPr>
          <w:rFonts w:hint="eastAsia" w:ascii="宋体" w:hAnsi="宋体" w:eastAsia="宋体" w:cs="宋体"/>
          <w:color w:val="auto"/>
          <w:sz w:val="21"/>
          <w:highlight w:val="none"/>
          <w:lang w:val="en-US" w:eastAsia="zh-CN"/>
        </w:rPr>
      </w:pPr>
      <w:r>
        <w:rPr>
          <w:rFonts w:hint="eastAsia" w:ascii="宋体" w:hAnsi="宋体" w:eastAsia="宋体" w:cs="宋体"/>
          <w:color w:val="auto"/>
          <w:kern w:val="2"/>
          <w:sz w:val="21"/>
          <w:szCs w:val="21"/>
          <w:highlight w:val="none"/>
          <w:lang w:val="en-US" w:eastAsia="zh-CN"/>
        </w:rPr>
        <w:t xml:space="preserve">7.6 </w:t>
      </w:r>
      <w:r>
        <w:rPr>
          <w:rFonts w:hint="eastAsia" w:ascii="宋体" w:hAnsi="宋体" w:eastAsia="宋体" w:cs="宋体"/>
          <w:color w:val="auto"/>
          <w:kern w:val="2"/>
          <w:sz w:val="21"/>
          <w:szCs w:val="21"/>
          <w:highlight w:val="none"/>
        </w:rPr>
        <w:t>如因包装</w:t>
      </w:r>
      <w:r>
        <w:rPr>
          <w:rFonts w:hint="eastAsia" w:ascii="宋体" w:hAnsi="宋体" w:eastAsia="宋体" w:cs="宋体"/>
          <w:color w:val="auto"/>
          <w:kern w:val="2"/>
          <w:sz w:val="21"/>
          <w:szCs w:val="21"/>
          <w:highlight w:val="none"/>
          <w:lang w:eastAsia="zh-CN"/>
        </w:rPr>
        <w:t>、运输</w:t>
      </w:r>
      <w:r>
        <w:rPr>
          <w:rFonts w:hint="eastAsia" w:ascii="宋体" w:hAnsi="宋体" w:eastAsia="宋体" w:cs="宋体"/>
          <w:color w:val="auto"/>
          <w:kern w:val="2"/>
          <w:sz w:val="21"/>
          <w:szCs w:val="21"/>
          <w:highlight w:val="none"/>
        </w:rPr>
        <w:t>问题导致货物</w:t>
      </w:r>
      <w:r>
        <w:rPr>
          <w:rFonts w:hint="eastAsia" w:ascii="宋体" w:hAnsi="宋体" w:eastAsia="宋体" w:cs="宋体"/>
          <w:color w:val="auto"/>
          <w:kern w:val="2"/>
          <w:sz w:val="21"/>
          <w:szCs w:val="21"/>
          <w:highlight w:val="none"/>
          <w:lang w:eastAsia="zh-CN"/>
        </w:rPr>
        <w:t>损毁、丢失</w:t>
      </w:r>
      <w:r>
        <w:rPr>
          <w:rFonts w:hint="eastAsia" w:ascii="宋体" w:hAnsi="宋体" w:eastAsia="宋体" w:cs="宋体"/>
          <w:color w:val="auto"/>
          <w:kern w:val="2"/>
          <w:sz w:val="21"/>
          <w:szCs w:val="21"/>
          <w:highlight w:val="none"/>
        </w:rPr>
        <w:t>或者品质下降，</w:t>
      </w:r>
      <w:r>
        <w:rPr>
          <w:rFonts w:hint="eastAsia" w:ascii="宋体" w:hAnsi="宋体" w:eastAsia="宋体" w:cs="宋体"/>
          <w:color w:val="auto"/>
          <w:kern w:val="2"/>
          <w:sz w:val="21"/>
          <w:szCs w:val="21"/>
          <w:highlight w:val="none"/>
          <w:lang w:eastAsia="zh-CN"/>
        </w:rPr>
        <w:t>甲方</w:t>
      </w:r>
      <w:r>
        <w:rPr>
          <w:rFonts w:hint="eastAsia" w:ascii="宋体" w:hAnsi="宋体" w:eastAsia="宋体" w:cs="宋体"/>
          <w:color w:val="auto"/>
          <w:kern w:val="2"/>
          <w:sz w:val="21"/>
          <w:szCs w:val="21"/>
          <w:highlight w:val="none"/>
        </w:rPr>
        <w:t>有权要求降价、换货、拒收部分或整批货物，由此</w:t>
      </w:r>
      <w:r>
        <w:rPr>
          <w:rFonts w:hint="eastAsia" w:ascii="宋体" w:hAnsi="宋体" w:eastAsia="宋体" w:cs="宋体"/>
          <w:color w:val="auto"/>
          <w:kern w:val="2"/>
          <w:sz w:val="21"/>
          <w:szCs w:val="21"/>
          <w:highlight w:val="none"/>
          <w:lang w:eastAsia="zh-CN"/>
        </w:rPr>
        <w:t>产生</w:t>
      </w:r>
      <w:r>
        <w:rPr>
          <w:rFonts w:hint="eastAsia" w:ascii="宋体" w:hAnsi="宋体" w:eastAsia="宋体" w:cs="宋体"/>
          <w:color w:val="auto"/>
          <w:kern w:val="2"/>
          <w:sz w:val="21"/>
          <w:szCs w:val="21"/>
          <w:highlight w:val="none"/>
        </w:rPr>
        <w:t>的费用和损失，均由</w:t>
      </w:r>
      <w:r>
        <w:rPr>
          <w:rFonts w:hint="eastAsia" w:ascii="宋体" w:hAnsi="宋体" w:eastAsia="宋体" w:cs="宋体"/>
          <w:color w:val="auto"/>
          <w:kern w:val="2"/>
          <w:sz w:val="21"/>
          <w:szCs w:val="21"/>
          <w:highlight w:val="none"/>
          <w:lang w:eastAsia="zh-CN"/>
        </w:rPr>
        <w:t>乙方</w:t>
      </w:r>
      <w:r>
        <w:rPr>
          <w:rFonts w:hint="eastAsia" w:ascii="宋体" w:hAnsi="宋体" w:eastAsia="宋体" w:cs="宋体"/>
          <w:color w:val="auto"/>
          <w:kern w:val="2"/>
          <w:sz w:val="21"/>
          <w:szCs w:val="21"/>
          <w:highlight w:val="none"/>
        </w:rPr>
        <w:t>承担。</w:t>
      </w:r>
    </w:p>
    <w:p w14:paraId="2548A28F">
      <w:pPr>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8</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质量标准和保证</w:t>
      </w:r>
    </w:p>
    <w:p w14:paraId="39DD594B">
      <w:pPr>
        <w:pStyle w:val="32"/>
        <w:adjustRightInd w:val="0"/>
        <w:snapToGrid w:val="0"/>
        <w:spacing w:before="0" w:line="400" w:lineRule="exact"/>
        <w:ind w:firstLine="420" w:firstLineChars="200"/>
        <w:jc w:val="left"/>
        <w:rPr>
          <w:rFonts w:hint="eastAsia" w:ascii="宋体" w:hAnsi="宋体" w:eastAsia="宋体" w:cs="宋体"/>
          <w:b/>
          <w:color w:val="auto"/>
          <w:highlight w:val="none"/>
        </w:rPr>
      </w:pPr>
      <w:r>
        <w:rPr>
          <w:rFonts w:hint="eastAsia" w:ascii="宋体" w:hAnsi="宋体" w:eastAsia="宋体" w:cs="宋体"/>
          <w:color w:val="auto"/>
          <w:highlight w:val="none"/>
          <w:lang w:eastAsia="zh-CN"/>
        </w:rPr>
        <w:t>8</w:t>
      </w:r>
      <w:r>
        <w:rPr>
          <w:rFonts w:hint="eastAsia" w:ascii="宋体" w:hAnsi="宋体" w:eastAsia="宋体" w:cs="宋体"/>
          <w:color w:val="auto"/>
          <w:highlight w:val="none"/>
        </w:rPr>
        <w:t>.1 质量标准</w:t>
      </w:r>
    </w:p>
    <w:p w14:paraId="0D156903">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（1）本合同下</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的货物应符合</w:t>
      </w:r>
      <w:r>
        <w:rPr>
          <w:rFonts w:hint="eastAsia" w:ascii="宋体" w:hAnsi="宋体" w:eastAsia="宋体" w:cs="宋体"/>
          <w:color w:val="auto"/>
          <w:szCs w:val="21"/>
          <w:highlight w:val="none"/>
          <w:lang w:eastAsia="zh-CN"/>
        </w:rPr>
        <w:t>合同约</w:t>
      </w:r>
      <w:r>
        <w:rPr>
          <w:rFonts w:hint="eastAsia" w:ascii="宋体" w:hAnsi="宋体" w:eastAsia="宋体" w:cs="宋体"/>
          <w:color w:val="auto"/>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Cs w:val="21"/>
          <w:highlight w:val="none"/>
          <w:lang w:eastAsia="zh-CN"/>
        </w:rPr>
        <w:t>。</w:t>
      </w:r>
    </w:p>
    <w:p w14:paraId="6BB898AD">
      <w:pPr>
        <w:pStyle w:val="32"/>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（2）采用中华人民共和国法定计量单位。</w:t>
      </w:r>
    </w:p>
    <w:p w14:paraId="3930CB08">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的货物应符合国家有关安全、环保、卫生</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规定。</w:t>
      </w:r>
    </w:p>
    <w:p w14:paraId="1C863E62">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（4）乙方应向甲方提交所</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货物的技术文件，包括相应的中文技术文件，如：产品目录、图纸、操作手册、使用说明、维护手册或服务指南</w:t>
      </w:r>
      <w:r>
        <w:rPr>
          <w:rFonts w:hint="eastAsia" w:ascii="宋体" w:hAnsi="宋体" w:eastAsia="宋体" w:cs="宋体"/>
          <w:color w:val="auto"/>
          <w:szCs w:val="21"/>
          <w:highlight w:val="none"/>
          <w:lang w:eastAsia="zh-CN"/>
        </w:rPr>
        <w:t>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上述</w:t>
      </w:r>
      <w:r>
        <w:rPr>
          <w:rFonts w:hint="eastAsia" w:ascii="宋体" w:hAnsi="宋体" w:eastAsia="宋体" w:cs="宋体"/>
          <w:color w:val="auto"/>
          <w:szCs w:val="21"/>
          <w:highlight w:val="none"/>
        </w:rPr>
        <w:t>文件应包装好随货物一同发运。</w:t>
      </w:r>
    </w:p>
    <w:p w14:paraId="06116B9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8</w:t>
      </w:r>
      <w:r>
        <w:rPr>
          <w:rFonts w:hint="eastAsia" w:ascii="宋体" w:hAnsi="宋体" w:eastAsia="宋体" w:cs="宋体"/>
          <w:color w:val="auto"/>
          <w:szCs w:val="21"/>
          <w:highlight w:val="none"/>
        </w:rPr>
        <w:t>.2 保证</w:t>
      </w:r>
    </w:p>
    <w:p w14:paraId="727F797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w:t>
      </w:r>
      <w:r>
        <w:rPr>
          <w:rFonts w:hint="eastAsia" w:ascii="宋体" w:hAnsi="宋体" w:eastAsia="宋体" w:cs="宋体"/>
          <w:color w:val="auto"/>
          <w:szCs w:val="21"/>
          <w:highlight w:val="none"/>
          <w:lang w:eastAsia="zh-CN"/>
        </w:rPr>
        <w:t>提供的货物</w:t>
      </w:r>
      <w:r>
        <w:rPr>
          <w:rFonts w:hint="eastAsia" w:ascii="宋体" w:hAnsi="宋体" w:eastAsia="宋体" w:cs="宋体"/>
          <w:color w:val="auto"/>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eastAsia="宋体" w:cs="宋体"/>
          <w:color w:val="auto"/>
          <w:szCs w:val="21"/>
          <w:highlight w:val="none"/>
          <w:lang w:eastAsia="zh-CN"/>
        </w:rPr>
        <w:t>存在</w:t>
      </w:r>
      <w:r>
        <w:rPr>
          <w:rFonts w:hint="eastAsia" w:ascii="宋体" w:hAnsi="宋体" w:eastAsia="宋体" w:cs="宋体"/>
          <w:color w:val="auto"/>
          <w:szCs w:val="21"/>
          <w:highlight w:val="none"/>
        </w:rPr>
        <w:t>质量保证期的，货物最终交付验收</w:t>
      </w:r>
      <w:r>
        <w:rPr>
          <w:rFonts w:hint="eastAsia" w:ascii="宋体" w:hAnsi="宋体" w:eastAsia="宋体" w:cs="宋体"/>
          <w:color w:val="auto"/>
          <w:szCs w:val="21"/>
          <w:highlight w:val="none"/>
          <w:lang w:eastAsia="zh-CN"/>
        </w:rPr>
        <w:t>合格</w:t>
      </w:r>
      <w:r>
        <w:rPr>
          <w:rFonts w:hint="eastAsia" w:ascii="宋体" w:hAnsi="宋体" w:eastAsia="宋体" w:cs="宋体"/>
          <w:color w:val="auto"/>
          <w:szCs w:val="21"/>
          <w:highlight w:val="none"/>
        </w:rPr>
        <w:t>后</w:t>
      </w:r>
      <w:r>
        <w:rPr>
          <w:rFonts w:hint="eastAsia" w:ascii="宋体" w:hAnsi="宋体" w:eastAsia="宋体" w:cs="宋体"/>
          <w:color w:val="auto"/>
          <w:szCs w:val="21"/>
          <w:highlight w:val="none"/>
          <w:lang w:eastAsia="zh-CN"/>
        </w:rPr>
        <w:t>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规定或乙方</w:t>
      </w:r>
      <w:r>
        <w:rPr>
          <w:rFonts w:hint="eastAsia" w:ascii="宋体" w:hAnsi="宋体" w:eastAsia="宋体" w:cs="宋体"/>
          <w:color w:val="auto"/>
          <w:szCs w:val="21"/>
          <w:highlight w:val="none"/>
          <w:lang w:eastAsia="zh-CN"/>
        </w:rPr>
        <w:t>书面</w:t>
      </w:r>
      <w:r>
        <w:rPr>
          <w:rFonts w:hint="eastAsia" w:ascii="宋体" w:hAnsi="宋体" w:eastAsia="宋体" w:cs="宋体"/>
          <w:color w:val="auto"/>
          <w:szCs w:val="21"/>
          <w:highlight w:val="none"/>
        </w:rPr>
        <w:t>承诺（两者以较长的为准）的质量保证期内，本保证保持有效。</w:t>
      </w:r>
    </w:p>
    <w:p w14:paraId="7A0ABA6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（3）乙方收到通知后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应在</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.1条规定以书面形式</w:t>
      </w:r>
      <w:r>
        <w:rPr>
          <w:rFonts w:hint="eastAsia" w:ascii="宋体" w:hAnsi="宋体" w:eastAsia="宋体" w:cs="宋体"/>
          <w:color w:val="auto"/>
          <w:szCs w:val="21"/>
          <w:highlight w:val="none"/>
          <w:lang w:eastAsia="zh-CN"/>
        </w:rPr>
        <w:t>追究</w:t>
      </w: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eastAsia="zh-CN"/>
        </w:rPr>
        <w:t>的违约责任</w:t>
      </w:r>
      <w:r>
        <w:rPr>
          <w:rFonts w:hint="eastAsia" w:ascii="宋体" w:hAnsi="宋体" w:eastAsia="宋体" w:cs="宋体"/>
          <w:color w:val="auto"/>
          <w:szCs w:val="21"/>
          <w:highlight w:val="none"/>
        </w:rPr>
        <w:t>。</w:t>
      </w:r>
    </w:p>
    <w:p w14:paraId="20908BFA">
      <w:pPr>
        <w:adjustRightInd w:val="0"/>
        <w:snapToGrid w:val="0"/>
        <w:spacing w:before="0"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Cs w:val="21"/>
          <w:highlight w:val="none"/>
          <w:lang w:eastAsia="zh-CN"/>
        </w:rPr>
        <w:t>约定</w:t>
      </w:r>
      <w:r>
        <w:rPr>
          <w:rFonts w:hint="eastAsia" w:ascii="宋体" w:hAnsi="宋体" w:eastAsia="宋体" w:cs="宋体"/>
          <w:color w:val="auto"/>
          <w:szCs w:val="21"/>
          <w:highlight w:val="none"/>
        </w:rPr>
        <w:t>对乙方行使的其他权利不受影响。</w:t>
      </w:r>
    </w:p>
    <w:p w14:paraId="27EF65DA">
      <w:pPr>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9</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权利瑕疵担保</w:t>
      </w:r>
    </w:p>
    <w:p w14:paraId="43B3DE1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.1 乙方保证对其出售的货物享有合法的权利。</w:t>
      </w:r>
    </w:p>
    <w:p w14:paraId="0F3F046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B63014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9</w:t>
      </w:r>
      <w:r>
        <w:rPr>
          <w:rFonts w:hint="eastAsia" w:ascii="宋体" w:hAnsi="宋体" w:eastAsia="宋体" w:cs="宋体"/>
          <w:color w:val="auto"/>
          <w:szCs w:val="21"/>
          <w:highlight w:val="none"/>
        </w:rPr>
        <w:t>.3 如甲方使用</w:t>
      </w:r>
      <w:r>
        <w:rPr>
          <w:rFonts w:hint="eastAsia" w:ascii="宋体" w:hAnsi="宋体" w:eastAsia="宋体" w:cs="宋体"/>
          <w:color w:val="auto"/>
          <w:szCs w:val="21"/>
          <w:highlight w:val="none"/>
          <w:lang w:val="en-US" w:eastAsia="zh-CN"/>
        </w:rPr>
        <w:t>上述</w:t>
      </w:r>
      <w:r>
        <w:rPr>
          <w:rFonts w:hint="eastAsia" w:ascii="宋体" w:hAnsi="宋体" w:eastAsia="宋体" w:cs="宋体"/>
          <w:color w:val="auto"/>
          <w:szCs w:val="21"/>
          <w:highlight w:val="none"/>
        </w:rPr>
        <w:t>货物构成</w:t>
      </w:r>
      <w:r>
        <w:rPr>
          <w:rFonts w:hint="eastAsia" w:ascii="宋体" w:hAnsi="宋体" w:eastAsia="宋体" w:cs="宋体"/>
          <w:color w:val="auto"/>
          <w:szCs w:val="21"/>
          <w:highlight w:val="none"/>
          <w:lang w:val="en-US" w:eastAsia="zh-CN"/>
        </w:rPr>
        <w:t>对第三人</w:t>
      </w:r>
      <w:r>
        <w:rPr>
          <w:rFonts w:hint="eastAsia" w:ascii="宋体" w:hAnsi="宋体" w:eastAsia="宋体" w:cs="宋体"/>
          <w:color w:val="auto"/>
          <w:szCs w:val="21"/>
          <w:highlight w:val="none"/>
        </w:rPr>
        <w:t>侵权的，则由乙方承担全部责任。</w:t>
      </w:r>
    </w:p>
    <w:p w14:paraId="5F580980">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0</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知识产权保护</w:t>
      </w:r>
    </w:p>
    <w:p w14:paraId="385D1F4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0</w:t>
      </w:r>
      <w:r>
        <w:rPr>
          <w:rFonts w:hint="eastAsia" w:ascii="宋体" w:hAnsi="宋体" w:eastAsia="宋体" w:cs="宋体"/>
          <w:color w:val="auto"/>
          <w:szCs w:val="21"/>
          <w:highlight w:val="none"/>
        </w:rPr>
        <w:t>.1 乙方对其所销售的货物应当享有知识产权或经权利人合法授权，保证没有侵犯任何第三人的知识产权等权利。</w:t>
      </w:r>
      <w:bookmarkStart w:id="402"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eastAsia="宋体" w:cs="宋体"/>
          <w:color w:val="auto"/>
          <w:szCs w:val="21"/>
          <w:highlight w:val="none"/>
        </w:rPr>
        <w:t>。</w:t>
      </w:r>
    </w:p>
    <w:p w14:paraId="582259FF">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保密义务</w:t>
      </w:r>
    </w:p>
    <w:p w14:paraId="5CFD1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eastAsia="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eastAsia="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eastAsia="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eastAsia="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eastAsia="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eastAsia="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eastAsia="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314E9EB">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2</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合同价款支付</w:t>
      </w:r>
    </w:p>
    <w:p w14:paraId="0558FA45">
      <w:pPr>
        <w:autoSpaceDE/>
        <w:autoSpaceDN/>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2</w:t>
      </w:r>
      <w:r>
        <w:rPr>
          <w:rFonts w:hint="eastAsia" w:ascii="宋体" w:hAnsi="宋体" w:eastAsia="宋体" w:cs="宋体"/>
          <w:color w:val="auto"/>
          <w:szCs w:val="21"/>
          <w:highlight w:val="none"/>
        </w:rPr>
        <w:t xml:space="preserve">.1 </w:t>
      </w:r>
      <w:r>
        <w:rPr>
          <w:rFonts w:hint="eastAsia" w:ascii="宋体" w:hAnsi="宋体" w:eastAsia="宋体" w:cs="宋体"/>
          <w:color w:val="auto"/>
          <w:szCs w:val="21"/>
          <w:highlight w:val="none"/>
          <w:lang w:eastAsia="zh-CN"/>
        </w:rPr>
        <w:t>合同价款支付</w:t>
      </w:r>
      <w:r>
        <w:rPr>
          <w:rFonts w:hint="eastAsia" w:ascii="宋体" w:hAnsi="宋体" w:eastAsia="宋体" w:cs="宋体"/>
          <w:color w:val="auto"/>
          <w:szCs w:val="21"/>
          <w:highlight w:val="none"/>
        </w:rPr>
        <w:t>按照国库集中支付</w:t>
      </w:r>
      <w:r>
        <w:rPr>
          <w:rFonts w:hint="eastAsia" w:ascii="宋体" w:hAnsi="宋体" w:eastAsia="宋体" w:cs="宋体"/>
          <w:color w:val="auto"/>
          <w:szCs w:val="21"/>
          <w:highlight w:val="none"/>
          <w:lang w:eastAsia="zh-CN"/>
        </w:rPr>
        <w:t>制度及财政管理相关</w:t>
      </w:r>
      <w:r>
        <w:rPr>
          <w:rFonts w:hint="eastAsia" w:ascii="宋体" w:hAnsi="宋体" w:eastAsia="宋体" w:cs="宋体"/>
          <w:color w:val="auto"/>
          <w:szCs w:val="21"/>
          <w:highlight w:val="none"/>
        </w:rPr>
        <w:t>规定执行。</w:t>
      </w:r>
    </w:p>
    <w:p w14:paraId="61D04F5F">
      <w:pPr>
        <w:autoSpaceDE/>
        <w:autoSpaceDN/>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 xml:space="preserve">12.2 </w:t>
      </w:r>
      <w:r>
        <w:rPr>
          <w:rFonts w:hint="eastAsia" w:ascii="宋体" w:hAnsi="宋体" w:eastAsia="宋体" w:cs="宋体"/>
          <w:color w:val="auto"/>
          <w:szCs w:val="21"/>
          <w:highlight w:val="none"/>
        </w:rPr>
        <w:t>对于满足合同约定支付条件的，</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Cs w:val="21"/>
          <w:highlight w:val="none"/>
        </w:rPr>
        <w:t>原则上应当自收到发票后10个工作日内将资金支付到合同约定的</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Cs w:val="21"/>
          <w:highlight w:val="none"/>
        </w:rPr>
        <w:t>付款的条件。具体合同价款支付时间在</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eastAsia="zh-CN"/>
        </w:rPr>
        <w:t>约</w:t>
      </w:r>
      <w:r>
        <w:rPr>
          <w:rFonts w:hint="eastAsia" w:ascii="宋体" w:hAnsi="宋体" w:eastAsia="宋体" w:cs="宋体"/>
          <w:color w:val="auto"/>
          <w:szCs w:val="21"/>
          <w:highlight w:val="none"/>
        </w:rPr>
        <w:t>定。</w:t>
      </w:r>
    </w:p>
    <w:p w14:paraId="2CC70062">
      <w:pPr>
        <w:pStyle w:val="23"/>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13E17E2E">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A7C5B07">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.2 如果乙方</w:t>
      </w:r>
      <w:r>
        <w:rPr>
          <w:rFonts w:hint="eastAsia" w:ascii="宋体" w:hAnsi="宋体" w:eastAsia="宋体" w:cs="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eastAsia="宋体" w:cs="宋体"/>
          <w:b w:val="0"/>
          <w:bCs w:val="0"/>
          <w:color w:val="auto"/>
          <w:szCs w:val="15"/>
          <w:highlight w:val="none"/>
          <w:lang w:eastAsia="zh-CN"/>
        </w:rPr>
        <w:t>约定情形的</w:t>
      </w:r>
      <w:r>
        <w:rPr>
          <w:rFonts w:hint="eastAsia" w:ascii="宋体" w:hAnsi="宋体" w:eastAsia="宋体" w:cs="宋体"/>
          <w:color w:val="auto"/>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Cs w:val="21"/>
          <w:highlight w:val="none"/>
          <w:lang w:eastAsia="zh-CN"/>
        </w:rPr>
        <w:t>且</w:t>
      </w:r>
      <w:r>
        <w:rPr>
          <w:rFonts w:hint="eastAsia" w:ascii="宋体" w:hAnsi="宋体" w:eastAsia="宋体" w:cs="宋体"/>
          <w:color w:val="auto"/>
          <w:szCs w:val="21"/>
          <w:highlight w:val="none"/>
        </w:rPr>
        <w:t>不影响甲方要求乙方承担合同约定的超过履约保证金的违约责任的权利。</w:t>
      </w:r>
    </w:p>
    <w:p w14:paraId="2FC3D6FE">
      <w:pPr>
        <w:spacing w:line="400" w:lineRule="exact"/>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3</w:t>
      </w:r>
      <w:r>
        <w:rPr>
          <w:rFonts w:hint="eastAsia" w:ascii="宋体" w:hAnsi="宋体" w:eastAsia="宋体" w:cs="宋体"/>
          <w:color w:val="auto"/>
          <w:szCs w:val="21"/>
          <w:highlight w:val="none"/>
        </w:rPr>
        <w:t>.3 甲方在项目通过验收后按照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规定的时间内将履约保证金退还乙方；逾期退还的，乙方可要求甲方支付违约金，违约金按照</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规定支付。</w:t>
      </w:r>
    </w:p>
    <w:p w14:paraId="4E15A09B">
      <w:pPr>
        <w:autoSpaceDE w:val="0"/>
        <w:autoSpaceDN w:val="0"/>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4</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color w:val="auto"/>
          <w:sz w:val="24"/>
          <w:highlight w:val="none"/>
        </w:rPr>
        <w:t>售后服务</w:t>
      </w:r>
    </w:p>
    <w:p w14:paraId="5B914494">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4</w:t>
      </w:r>
      <w:r>
        <w:rPr>
          <w:rFonts w:hint="eastAsia" w:ascii="宋体" w:hAnsi="宋体" w:eastAsia="宋体" w:cs="宋体"/>
          <w:color w:val="auto"/>
          <w:szCs w:val="21"/>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（1）货物的现场移动、安装、调试、启动监督及技术支持；</w:t>
      </w:r>
    </w:p>
    <w:p w14:paraId="723508A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（2）提供货物组装和维修所需的专用工具和辅助材料；</w:t>
      </w:r>
    </w:p>
    <w:p w14:paraId="5E27B6D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21"/>
          <w:highlight w:val="none"/>
          <w:lang w:eastAsia="zh-CN"/>
        </w:rPr>
        <w:t>约定</w:t>
      </w:r>
      <w:r>
        <w:rPr>
          <w:rFonts w:hint="eastAsia" w:ascii="宋体" w:hAnsi="宋体" w:eastAsia="宋体" w:cs="宋体"/>
          <w:color w:val="auto"/>
          <w:szCs w:val="21"/>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（4）在制造商</w:t>
      </w:r>
      <w:r>
        <w:rPr>
          <w:rFonts w:hint="eastAsia" w:ascii="宋体" w:hAnsi="宋体" w:eastAsia="宋体" w:cs="宋体"/>
          <w:color w:val="auto"/>
          <w:szCs w:val="21"/>
          <w:highlight w:val="none"/>
          <w:lang w:eastAsia="zh-CN"/>
        </w:rPr>
        <w:t>所在地</w:t>
      </w:r>
      <w:r>
        <w:rPr>
          <w:rFonts w:hint="eastAsia" w:ascii="宋体" w:hAnsi="宋体" w:eastAsia="宋体" w:cs="宋体"/>
          <w:color w:val="auto"/>
          <w:szCs w:val="21"/>
          <w:highlight w:val="none"/>
        </w:rPr>
        <w:t>或</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现场就货物的安装、启动、运营、维护</w:t>
      </w:r>
      <w:r>
        <w:rPr>
          <w:rFonts w:hint="eastAsia" w:ascii="宋体" w:hAnsi="宋体" w:eastAsia="宋体" w:cs="宋体"/>
          <w:color w:val="auto"/>
          <w:szCs w:val="21"/>
          <w:highlight w:val="none"/>
          <w:lang w:eastAsia="zh-CN"/>
        </w:rPr>
        <w:t>、废弃处置等</w:t>
      </w:r>
      <w:r>
        <w:rPr>
          <w:rFonts w:hint="eastAsia" w:ascii="宋体" w:hAnsi="宋体" w:eastAsia="宋体" w:cs="宋体"/>
          <w:color w:val="auto"/>
          <w:szCs w:val="21"/>
          <w:highlight w:val="none"/>
        </w:rPr>
        <w:t>对甲方操作人员进行培训</w:t>
      </w:r>
      <w:r>
        <w:rPr>
          <w:rFonts w:hint="eastAsia" w:ascii="宋体" w:hAnsi="宋体" w:eastAsia="宋体" w:cs="宋体"/>
          <w:color w:val="auto"/>
          <w:szCs w:val="15"/>
          <w:highlight w:val="none"/>
          <w:lang w:eastAsia="zh-CN"/>
        </w:rPr>
        <w:t>；</w:t>
      </w:r>
    </w:p>
    <w:p w14:paraId="7BC65F76">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规定由乙方提供的其他服务。</w:t>
      </w:r>
    </w:p>
    <w:p w14:paraId="7921432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.2 乙方提供的</w:t>
      </w:r>
      <w:r>
        <w:rPr>
          <w:rFonts w:hint="eastAsia" w:ascii="宋体" w:hAnsi="宋体" w:eastAsia="宋体" w:cs="宋体"/>
          <w:color w:val="auto"/>
          <w:szCs w:val="21"/>
          <w:highlight w:val="none"/>
          <w:lang w:eastAsia="zh-CN"/>
        </w:rPr>
        <w:t>售后</w:t>
      </w:r>
      <w:r>
        <w:rPr>
          <w:rFonts w:hint="eastAsia" w:ascii="宋体" w:hAnsi="宋体" w:eastAsia="宋体" w:cs="宋体"/>
          <w:color w:val="auto"/>
          <w:szCs w:val="21"/>
          <w:highlight w:val="none"/>
        </w:rPr>
        <w:t>服务的费用</w:t>
      </w:r>
      <w:r>
        <w:rPr>
          <w:rFonts w:hint="eastAsia" w:ascii="宋体" w:hAnsi="宋体" w:eastAsia="宋体" w:cs="宋体"/>
          <w:color w:val="auto"/>
          <w:szCs w:val="21"/>
          <w:highlight w:val="none"/>
          <w:lang w:val="en-US" w:eastAsia="zh-CN"/>
        </w:rPr>
        <w:t>已</w:t>
      </w:r>
      <w:r>
        <w:rPr>
          <w:rFonts w:hint="eastAsia" w:ascii="宋体" w:hAnsi="宋体" w:eastAsia="宋体" w:cs="宋体"/>
          <w:color w:val="auto"/>
          <w:szCs w:val="21"/>
          <w:highlight w:val="none"/>
        </w:rPr>
        <w:t>包含在合同价款中，甲方不再另行支付。</w:t>
      </w:r>
    </w:p>
    <w:p w14:paraId="41B0DAE4">
      <w:pPr>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eastAsia="zh-CN"/>
        </w:rPr>
        <w:t>5</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违约责任</w:t>
      </w:r>
    </w:p>
    <w:p w14:paraId="0D7A2BBB">
      <w:pPr>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.1质量瑕疵的</w:t>
      </w:r>
      <w:r>
        <w:rPr>
          <w:rFonts w:hint="eastAsia" w:ascii="宋体" w:hAnsi="宋体" w:eastAsia="宋体" w:cs="宋体"/>
          <w:bCs/>
          <w:color w:val="auto"/>
          <w:szCs w:val="21"/>
          <w:highlight w:val="none"/>
          <w:lang w:eastAsia="zh-CN"/>
        </w:rPr>
        <w:t>违约责任</w:t>
      </w:r>
    </w:p>
    <w:p w14:paraId="05CFAAB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的产品不符合</w:t>
      </w:r>
      <w:r>
        <w:rPr>
          <w:rFonts w:hint="eastAsia" w:ascii="宋体" w:hAnsi="宋体" w:eastAsia="宋体" w:cs="宋体"/>
          <w:color w:val="auto"/>
          <w:szCs w:val="21"/>
          <w:highlight w:val="none"/>
          <w:lang w:eastAsia="zh-CN"/>
        </w:rPr>
        <w:t>合同约定的</w:t>
      </w:r>
      <w:r>
        <w:rPr>
          <w:rFonts w:hint="eastAsia" w:ascii="宋体" w:hAnsi="宋体" w:eastAsia="宋体" w:cs="宋体"/>
          <w:color w:val="auto"/>
          <w:szCs w:val="21"/>
          <w:highlight w:val="none"/>
        </w:rPr>
        <w:t>质量标准或存在产品质量缺陷，</w:t>
      </w:r>
      <w:r>
        <w:rPr>
          <w:rFonts w:hint="eastAsia" w:ascii="宋体" w:hAnsi="宋体" w:eastAsia="宋体" w:cs="宋体"/>
          <w:color w:val="auto"/>
          <w:szCs w:val="21"/>
          <w:highlight w:val="none"/>
          <w:lang w:eastAsia="zh-CN"/>
        </w:rPr>
        <w:t>甲方有权要求乙方根据</w:t>
      </w:r>
      <w:r>
        <w:rPr>
          <w:rFonts w:hint="eastAsia" w:ascii="宋体" w:hAnsi="宋体" w:eastAsia="宋体" w:cs="宋体"/>
          <w:b/>
          <w:color w:val="auto"/>
          <w:szCs w:val="21"/>
          <w:highlight w:val="none"/>
        </w:rPr>
        <w:t>【政府采购合同专用条款】</w:t>
      </w:r>
      <w:r>
        <w:rPr>
          <w:rFonts w:hint="eastAsia" w:ascii="宋体" w:hAnsi="宋体" w:eastAsia="宋体" w:cs="宋体"/>
          <w:b w:val="0"/>
          <w:bCs/>
          <w:color w:val="auto"/>
          <w:szCs w:val="21"/>
          <w:highlight w:val="none"/>
          <w:lang w:eastAsia="zh-CN"/>
        </w:rPr>
        <w:t>要求</w:t>
      </w:r>
      <w:r>
        <w:rPr>
          <w:rFonts w:hint="eastAsia" w:ascii="宋体" w:hAnsi="宋体" w:eastAsia="宋体" w:cs="宋体"/>
          <w:color w:val="auto"/>
          <w:szCs w:val="21"/>
          <w:highlight w:val="none"/>
          <w:lang w:eastAsia="zh-CN"/>
        </w:rPr>
        <w:t>及时修理、重作、更换，并承担由此给甲</w:t>
      </w:r>
      <w:r>
        <w:rPr>
          <w:rFonts w:hint="eastAsia" w:ascii="宋体" w:hAnsi="宋体" w:eastAsia="宋体" w:cs="宋体"/>
          <w:color w:val="auto"/>
          <w:szCs w:val="21"/>
          <w:highlight w:val="none"/>
        </w:rPr>
        <w:t>方</w:t>
      </w:r>
      <w:r>
        <w:rPr>
          <w:rFonts w:hint="eastAsia" w:ascii="宋体" w:hAnsi="宋体" w:eastAsia="宋体" w:cs="宋体"/>
          <w:color w:val="auto"/>
          <w:szCs w:val="21"/>
          <w:highlight w:val="none"/>
          <w:lang w:eastAsia="zh-CN"/>
        </w:rPr>
        <w:t>造成的损失</w:t>
      </w:r>
      <w:r>
        <w:rPr>
          <w:rFonts w:hint="eastAsia" w:ascii="宋体" w:hAnsi="宋体" w:eastAsia="宋体" w:cs="宋体"/>
          <w:color w:val="auto"/>
          <w:szCs w:val="21"/>
          <w:highlight w:val="none"/>
        </w:rPr>
        <w:t>。</w:t>
      </w:r>
    </w:p>
    <w:p w14:paraId="3E12848A">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.2 迟延交货的违约责任</w:t>
      </w:r>
    </w:p>
    <w:p w14:paraId="7A5ED36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（1）乙方应按照本合同规定的时间、地点交货和提供</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服务。在履行合同过程中，如果乙方遇到可能</w:t>
      </w:r>
      <w:r>
        <w:rPr>
          <w:rFonts w:hint="eastAsia" w:ascii="宋体" w:hAnsi="宋体" w:eastAsia="宋体" w:cs="宋体"/>
          <w:color w:val="auto"/>
          <w:szCs w:val="21"/>
          <w:highlight w:val="none"/>
          <w:lang w:eastAsia="zh-CN"/>
        </w:rPr>
        <w:t>影响</w:t>
      </w:r>
      <w:r>
        <w:rPr>
          <w:rFonts w:hint="eastAsia" w:ascii="宋体" w:hAnsi="宋体" w:eastAsia="宋体" w:cs="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Cs w:val="21"/>
          <w:highlight w:val="none"/>
          <w:lang w:eastAsia="zh-CN"/>
        </w:rPr>
        <w:t>长</w:t>
      </w:r>
      <w:r>
        <w:rPr>
          <w:rFonts w:hint="eastAsia" w:ascii="宋体" w:hAnsi="宋体" w:eastAsia="宋体" w:cs="宋体"/>
          <w:color w:val="auto"/>
          <w:szCs w:val="21"/>
          <w:highlight w:val="none"/>
        </w:rPr>
        <w:t>交货时间或延期提供服务。</w:t>
      </w:r>
    </w:p>
    <w:p w14:paraId="1465B51E">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（2）如果乙方没有按照合同规定的时间交货和提供</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服务，甲方有权从货款中扣除误期赔偿费而不影响合同项下的其他补救方法，赔偿费按</w:t>
      </w:r>
      <w:r>
        <w:rPr>
          <w:rFonts w:hint="eastAsia" w:ascii="宋体" w:hAnsi="宋体" w:eastAsia="宋体" w:cs="宋体"/>
          <w:b/>
          <w:color w:val="auto"/>
          <w:szCs w:val="21"/>
          <w:highlight w:val="none"/>
        </w:rPr>
        <w:t>【政府采购合同专用条款】</w:t>
      </w:r>
      <w:r>
        <w:rPr>
          <w:rFonts w:hint="eastAsia" w:ascii="宋体" w:hAnsi="宋体" w:eastAsia="宋体" w:cs="宋体"/>
          <w:color w:val="auto"/>
          <w:szCs w:val="21"/>
          <w:highlight w:val="none"/>
        </w:rPr>
        <w:t>规定执行。如果涉及公共利益，且赔偿金额无法弥补公共利益损失，</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可要求继续履行或者</w:t>
      </w:r>
      <w:r>
        <w:rPr>
          <w:rFonts w:hint="eastAsia" w:ascii="宋体" w:hAnsi="宋体" w:eastAsia="宋体" w:cs="宋体"/>
          <w:color w:val="auto"/>
          <w:szCs w:val="21"/>
          <w:highlight w:val="none"/>
          <w:lang w:eastAsia="zh-CN"/>
        </w:rPr>
        <w:t>采取其他补救措施</w:t>
      </w:r>
      <w:r>
        <w:rPr>
          <w:rFonts w:hint="eastAsia" w:ascii="宋体" w:hAnsi="宋体" w:eastAsia="宋体" w:cs="宋体"/>
          <w:color w:val="auto"/>
          <w:szCs w:val="21"/>
          <w:highlight w:val="none"/>
        </w:rPr>
        <w:t>。</w:t>
      </w:r>
    </w:p>
    <w:p w14:paraId="75E7A95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5</w:t>
      </w:r>
      <w:r>
        <w:rPr>
          <w:rFonts w:hint="eastAsia" w:ascii="宋体" w:hAnsi="宋体" w:eastAsia="宋体" w:cs="宋体"/>
          <w:color w:val="auto"/>
          <w:szCs w:val="21"/>
          <w:highlight w:val="none"/>
        </w:rPr>
        <w:t>.3 迟延支付的违约责任</w:t>
      </w:r>
    </w:p>
    <w:p w14:paraId="0A6CF78B">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甲方存在迟延支付乙方合同款项的，应当承担</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规定的逾期付款利息。</w:t>
      </w:r>
    </w:p>
    <w:p w14:paraId="6CC52874">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eastAsia="zh-CN"/>
        </w:rPr>
        <w:t>5</w:t>
      </w:r>
      <w:r>
        <w:rPr>
          <w:rFonts w:hint="eastAsia" w:ascii="宋体" w:hAnsi="宋体" w:eastAsia="宋体" w:cs="宋体"/>
          <w:bCs/>
          <w:color w:val="auto"/>
          <w:szCs w:val="21"/>
          <w:highlight w:val="none"/>
        </w:rPr>
        <w:t>.4其他违约责任根据项目实际需要按</w:t>
      </w:r>
      <w:r>
        <w:rPr>
          <w:rFonts w:hint="eastAsia" w:ascii="宋体" w:hAnsi="宋体" w:eastAsia="宋体" w:cs="宋体"/>
          <w:b/>
          <w:bCs/>
          <w:color w:val="auto"/>
          <w:szCs w:val="21"/>
          <w:highlight w:val="none"/>
        </w:rPr>
        <w:t>【政府采购合同专用条款】</w:t>
      </w:r>
      <w:r>
        <w:rPr>
          <w:rFonts w:hint="eastAsia" w:ascii="宋体" w:hAnsi="宋体" w:eastAsia="宋体" w:cs="宋体"/>
          <w:color w:val="auto"/>
          <w:szCs w:val="21"/>
          <w:highlight w:val="none"/>
        </w:rPr>
        <w:t>规定执行。</w:t>
      </w:r>
    </w:p>
    <w:p w14:paraId="757D7369">
      <w:pPr>
        <w:numPr>
          <w:ilvl w:val="0"/>
          <w:numId w:val="23"/>
        </w:numPr>
        <w:autoSpaceDE w:val="0"/>
        <w:autoSpaceDN w:val="0"/>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合同变更</w:t>
      </w:r>
      <w:r>
        <w:rPr>
          <w:rFonts w:hint="eastAsia" w:ascii="宋体" w:hAnsi="宋体" w:eastAsia="宋体" w:cs="宋体"/>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.1合同的</w:t>
      </w:r>
      <w:r>
        <w:rPr>
          <w:rFonts w:hint="eastAsia" w:ascii="宋体" w:hAnsi="宋体" w:eastAsia="宋体" w:cs="宋体"/>
          <w:color w:val="auto"/>
          <w:szCs w:val="21"/>
          <w:highlight w:val="none"/>
          <w:lang w:eastAsia="zh-CN"/>
        </w:rPr>
        <w:t>变更</w:t>
      </w:r>
    </w:p>
    <w:p w14:paraId="1D4290E6">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政府采购合同履行中，</w:t>
      </w:r>
      <w:r>
        <w:rPr>
          <w:rFonts w:hint="eastAsia" w:ascii="宋体" w:hAnsi="宋体" w:eastAsia="宋体" w:cs="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Cs w:val="21"/>
          <w:highlight w:val="none"/>
          <w:lang w:eastAsia="zh-CN"/>
        </w:rPr>
        <w:t>一致后</w:t>
      </w:r>
      <w:r>
        <w:rPr>
          <w:rFonts w:hint="eastAsia" w:ascii="宋体" w:hAnsi="宋体" w:eastAsia="宋体" w:cs="宋体"/>
          <w:color w:val="auto"/>
          <w:szCs w:val="21"/>
          <w:highlight w:val="none"/>
        </w:rPr>
        <w:t>签订补充协议。</w:t>
      </w:r>
    </w:p>
    <w:p w14:paraId="5E333753">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合同的中止</w:t>
      </w:r>
    </w:p>
    <w:p w14:paraId="1C9AD78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（1）合同履行过程中因供应商就采购文件、采购过程或结果提起投诉的，甲方认为有必要的，</w:t>
      </w:r>
      <w:r>
        <w:rPr>
          <w:rFonts w:hint="eastAsia" w:ascii="宋体" w:hAnsi="宋体" w:eastAsia="宋体" w:cs="宋体"/>
          <w:color w:val="auto"/>
          <w:szCs w:val="21"/>
          <w:highlight w:val="none"/>
          <w:lang w:eastAsia="zh-CN"/>
        </w:rPr>
        <w:t>可以</w:t>
      </w:r>
      <w:r>
        <w:rPr>
          <w:rFonts w:hint="eastAsia" w:ascii="宋体" w:hAnsi="宋体" w:eastAsia="宋体" w:cs="宋体"/>
          <w:color w:val="auto"/>
          <w:szCs w:val="21"/>
          <w:highlight w:val="none"/>
        </w:rPr>
        <w:t>中止合同的履行。</w:t>
      </w:r>
    </w:p>
    <w:p w14:paraId="527E324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合同履行过程中，</w:t>
      </w:r>
      <w:r>
        <w:rPr>
          <w:rFonts w:hint="eastAsia" w:ascii="宋体" w:hAnsi="宋体" w:eastAsia="宋体" w:cs="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Cs w:val="21"/>
          <w:highlight w:val="none"/>
          <w:lang w:eastAsia="zh-CN"/>
        </w:rPr>
        <w:t>，乙方有义务及时告知甲方</w:t>
      </w:r>
      <w:r>
        <w:rPr>
          <w:rFonts w:hint="eastAsia" w:ascii="宋体" w:hAnsi="宋体" w:eastAsia="宋体" w:cs="宋体"/>
          <w:color w:val="auto"/>
          <w:szCs w:val="21"/>
          <w:highlight w:val="none"/>
        </w:rPr>
        <w:t>。甲方</w:t>
      </w:r>
      <w:r>
        <w:rPr>
          <w:rFonts w:hint="eastAsia" w:ascii="宋体" w:hAnsi="宋体" w:eastAsia="宋体" w:cs="宋体"/>
          <w:color w:val="auto"/>
          <w:szCs w:val="21"/>
          <w:highlight w:val="none"/>
          <w:lang w:eastAsia="zh-CN"/>
        </w:rPr>
        <w:t>有权</w:t>
      </w:r>
      <w:r>
        <w:rPr>
          <w:rFonts w:hint="eastAsia" w:ascii="宋体" w:hAnsi="宋体" w:eastAsia="宋体" w:cs="宋体"/>
          <w:color w:val="auto"/>
          <w:szCs w:val="21"/>
          <w:highlight w:val="none"/>
        </w:rPr>
        <w:t>以书面形式通知乙方中止合同</w:t>
      </w:r>
      <w:r>
        <w:rPr>
          <w:rFonts w:hint="eastAsia" w:ascii="宋体" w:hAnsi="宋体" w:eastAsia="宋体" w:cs="宋体"/>
          <w:color w:val="auto"/>
          <w:szCs w:val="21"/>
          <w:highlight w:val="none"/>
          <w:lang w:eastAsia="zh-CN"/>
        </w:rPr>
        <w:t>并要求乙方在合理期限内消除相关情形或者提供适当担保。</w:t>
      </w:r>
      <w:r>
        <w:rPr>
          <w:rFonts w:hint="eastAsia" w:ascii="宋体" w:hAnsi="宋体" w:eastAsia="宋体" w:cs="宋体"/>
          <w:color w:val="auto"/>
          <w:szCs w:val="21"/>
          <w:highlight w:val="none"/>
        </w:rPr>
        <w:t>乙方提供适当担保的，</w:t>
      </w:r>
      <w:r>
        <w:rPr>
          <w:rFonts w:hint="eastAsia" w:ascii="宋体" w:hAnsi="宋体" w:eastAsia="宋体" w:cs="宋体"/>
          <w:color w:val="auto"/>
          <w:szCs w:val="21"/>
          <w:highlight w:val="none"/>
          <w:lang w:eastAsia="zh-CN"/>
        </w:rPr>
        <w:t>合同继续</w:t>
      </w:r>
      <w:r>
        <w:rPr>
          <w:rFonts w:hint="eastAsia" w:ascii="宋体" w:hAnsi="宋体" w:eastAsia="宋体" w:cs="宋体"/>
          <w:color w:val="auto"/>
          <w:szCs w:val="21"/>
          <w:highlight w:val="none"/>
        </w:rPr>
        <w:t>履行</w:t>
      </w:r>
      <w:r>
        <w:rPr>
          <w:rFonts w:hint="eastAsia" w:ascii="宋体" w:hAnsi="宋体" w:eastAsia="宋体" w:cs="宋体"/>
          <w:color w:val="auto"/>
          <w:szCs w:val="21"/>
          <w:highlight w:val="none"/>
          <w:lang w:eastAsia="zh-CN"/>
        </w:rPr>
        <w:t>；乙</w:t>
      </w:r>
      <w:r>
        <w:rPr>
          <w:rFonts w:hint="eastAsia" w:ascii="宋体" w:hAnsi="宋体" w:eastAsia="宋体" w:cs="宋体"/>
          <w:color w:val="auto"/>
          <w:szCs w:val="21"/>
          <w:highlight w:val="none"/>
        </w:rPr>
        <w:t>方在合理期限内未恢复履约能力且未提供适当担保的，视为拒绝</w:t>
      </w:r>
      <w:r>
        <w:rPr>
          <w:rFonts w:hint="eastAsia" w:ascii="宋体" w:hAnsi="宋体" w:eastAsia="宋体" w:cs="宋体"/>
          <w:color w:val="auto"/>
          <w:szCs w:val="21"/>
          <w:highlight w:val="none"/>
          <w:lang w:eastAsia="zh-CN"/>
        </w:rPr>
        <w:t>继续</w:t>
      </w:r>
      <w:r>
        <w:rPr>
          <w:rFonts w:hint="eastAsia" w:ascii="宋体" w:hAnsi="宋体" w:eastAsia="宋体" w:cs="宋体"/>
          <w:color w:val="auto"/>
          <w:szCs w:val="21"/>
          <w:highlight w:val="none"/>
        </w:rPr>
        <w:t>履约，甲方</w:t>
      </w:r>
      <w:r>
        <w:rPr>
          <w:rFonts w:hint="eastAsia" w:ascii="宋体" w:hAnsi="宋体" w:eastAsia="宋体" w:cs="宋体"/>
          <w:color w:val="auto"/>
          <w:szCs w:val="21"/>
          <w:highlight w:val="none"/>
          <w:lang w:eastAsia="zh-CN"/>
        </w:rPr>
        <w:t>有权</w:t>
      </w:r>
      <w:r>
        <w:rPr>
          <w:rFonts w:hint="eastAsia" w:ascii="宋体" w:hAnsi="宋体" w:eastAsia="宋体" w:cs="宋体"/>
          <w:color w:val="auto"/>
          <w:szCs w:val="21"/>
          <w:highlight w:val="none"/>
        </w:rPr>
        <w:t>解除合同并要求乙方承担</w:t>
      </w:r>
      <w:r>
        <w:rPr>
          <w:rFonts w:hint="eastAsia" w:ascii="宋体" w:hAnsi="宋体" w:eastAsia="宋体" w:cs="宋体"/>
          <w:color w:val="auto"/>
          <w:szCs w:val="21"/>
          <w:highlight w:val="none"/>
          <w:lang w:eastAsia="zh-CN"/>
        </w:rPr>
        <w:t>由此给甲方造成的损失</w:t>
      </w:r>
      <w:r>
        <w:rPr>
          <w:rFonts w:hint="eastAsia" w:ascii="宋体" w:hAnsi="宋体" w:eastAsia="宋体" w:cs="宋体"/>
          <w:color w:val="auto"/>
          <w:szCs w:val="21"/>
          <w:highlight w:val="none"/>
        </w:rPr>
        <w:t>。</w:t>
      </w:r>
    </w:p>
    <w:p w14:paraId="36ACE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5636752D">
      <w:pPr>
        <w:snapToGrid w:val="0"/>
        <w:spacing w:line="400" w:lineRule="exact"/>
        <w:ind w:firstLine="420" w:firstLineChars="200"/>
        <w:jc w:val="left"/>
        <w:rPr>
          <w:rFonts w:hint="eastAsia" w:ascii="宋体" w:hAnsi="宋体" w:eastAsia="宋体" w:cs="宋体"/>
          <w:color w:val="auto"/>
          <w:sz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）甲方不得以行政区划调整、政府换届、机构或者职能调整以及相关责任人更替为由中止合同。</w:t>
      </w:r>
    </w:p>
    <w:p w14:paraId="24704C92">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合同的终止</w:t>
      </w:r>
    </w:p>
    <w:p w14:paraId="40344475">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（1）合同因有效期限届满而终止；</w:t>
      </w:r>
    </w:p>
    <w:p w14:paraId="21FA27FB">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（2）乙方未</w:t>
      </w:r>
      <w:r>
        <w:rPr>
          <w:rFonts w:hint="eastAsia" w:ascii="宋体" w:hAnsi="宋体" w:eastAsia="宋体" w:cs="宋体"/>
          <w:color w:val="auto"/>
          <w:szCs w:val="21"/>
          <w:highlight w:val="none"/>
          <w:lang w:eastAsia="zh-CN"/>
        </w:rPr>
        <w:t>按</w:t>
      </w:r>
      <w:r>
        <w:rPr>
          <w:rFonts w:hint="eastAsia" w:ascii="宋体" w:hAnsi="宋体" w:eastAsia="宋体" w:cs="宋体"/>
          <w:color w:val="auto"/>
          <w:szCs w:val="21"/>
          <w:highlight w:val="none"/>
        </w:rPr>
        <w:t>合同约定履行，构成根本性违约的，甲方有权终止合同</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eastAsia="宋体" w:cs="宋体"/>
          <w:color w:val="auto"/>
          <w:szCs w:val="21"/>
          <w:highlight w:val="none"/>
          <w:lang w:val="en-US" w:eastAsia="zh-CN"/>
        </w:rPr>
        <w:t>任</w:t>
      </w:r>
      <w:r>
        <w:rPr>
          <w:rFonts w:hint="eastAsia" w:ascii="宋体" w:hAnsi="宋体" w:eastAsia="宋体" w:cs="宋体"/>
          <w:color w:val="auto"/>
          <w:szCs w:val="21"/>
          <w:highlight w:val="none"/>
        </w:rPr>
        <w:t>。</w:t>
      </w:r>
    </w:p>
    <w:p w14:paraId="61775056">
      <w:pPr>
        <w:pStyle w:val="79"/>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14:paraId="331D08D3">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7</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合同分包</w:t>
      </w:r>
    </w:p>
    <w:p w14:paraId="36B0668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 乙方不得</w:t>
      </w:r>
      <w:r>
        <w:rPr>
          <w:rFonts w:hint="eastAsia" w:ascii="宋体" w:hAnsi="宋体" w:eastAsia="宋体" w:cs="宋体"/>
          <w:color w:val="auto"/>
          <w:szCs w:val="21"/>
          <w:highlight w:val="none"/>
          <w:lang w:eastAsia="zh-CN"/>
        </w:rPr>
        <w:t>将合同转包给其他供应商。涉及合同分包的，乙方</w:t>
      </w:r>
      <w:r>
        <w:rPr>
          <w:rFonts w:hint="eastAsia" w:ascii="宋体" w:hAnsi="宋体" w:eastAsia="宋体" w:cs="宋体"/>
          <w:color w:val="auto"/>
          <w:szCs w:val="21"/>
          <w:highlight w:val="none"/>
          <w:lang w:val="en-US" w:eastAsia="zh-CN"/>
        </w:rPr>
        <w:t>应</w:t>
      </w:r>
      <w:r>
        <w:rPr>
          <w:rFonts w:hint="eastAsia" w:ascii="宋体" w:hAnsi="宋体" w:eastAsia="宋体" w:cs="宋体"/>
          <w:color w:val="auto"/>
          <w:szCs w:val="21"/>
          <w:highlight w:val="none"/>
          <w:lang w:eastAsia="zh-CN"/>
        </w:rPr>
        <w:t>根据采购文件和投标（响应）文件规定进行</w:t>
      </w:r>
      <w:r>
        <w:rPr>
          <w:rFonts w:hint="eastAsia" w:ascii="宋体" w:hAnsi="宋体" w:eastAsia="宋体" w:cs="宋体"/>
          <w:color w:val="auto"/>
          <w:szCs w:val="21"/>
          <w:highlight w:val="none"/>
        </w:rPr>
        <w:t>合同分包。</w:t>
      </w:r>
    </w:p>
    <w:p w14:paraId="1A894E24">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.2 乙方执行政府采购政策向中小企业依法分包的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乙方应当按采购文件</w:t>
      </w:r>
      <w:r>
        <w:rPr>
          <w:rFonts w:hint="eastAsia" w:ascii="宋体" w:hAnsi="宋体" w:eastAsia="宋体" w:cs="宋体"/>
          <w:color w:val="auto"/>
          <w:szCs w:val="21"/>
          <w:highlight w:val="none"/>
          <w:lang w:eastAsia="zh-CN"/>
        </w:rPr>
        <w:t>和</w:t>
      </w:r>
      <w:r>
        <w:rPr>
          <w:rFonts w:hint="eastAsia" w:ascii="宋体" w:hAnsi="宋体" w:eastAsia="宋体" w:cs="宋体"/>
          <w:color w:val="auto"/>
          <w:szCs w:val="21"/>
          <w:highlight w:val="none"/>
        </w:rPr>
        <w:t>投标（响应）文件签订分包</w:t>
      </w:r>
      <w:r>
        <w:rPr>
          <w:rFonts w:hint="eastAsia" w:ascii="宋体" w:hAnsi="宋体" w:eastAsia="宋体" w:cs="宋体"/>
          <w:color w:val="auto"/>
          <w:szCs w:val="21"/>
          <w:highlight w:val="none"/>
          <w:lang w:eastAsia="zh-CN"/>
        </w:rPr>
        <w:t>意向</w:t>
      </w:r>
      <w:r>
        <w:rPr>
          <w:rFonts w:hint="eastAsia" w:ascii="宋体" w:hAnsi="宋体" w:eastAsia="宋体" w:cs="宋体"/>
          <w:color w:val="auto"/>
          <w:szCs w:val="21"/>
          <w:highlight w:val="none"/>
        </w:rPr>
        <w:t>协议，分包</w:t>
      </w:r>
      <w:r>
        <w:rPr>
          <w:rFonts w:hint="eastAsia" w:ascii="宋体" w:hAnsi="宋体" w:eastAsia="宋体" w:cs="宋体"/>
          <w:color w:val="auto"/>
          <w:szCs w:val="21"/>
          <w:highlight w:val="none"/>
          <w:lang w:eastAsia="zh-CN"/>
        </w:rPr>
        <w:t>意向</w:t>
      </w:r>
      <w:r>
        <w:rPr>
          <w:rFonts w:hint="eastAsia" w:ascii="宋体" w:hAnsi="宋体" w:eastAsia="宋体" w:cs="宋体"/>
          <w:color w:val="auto"/>
          <w:szCs w:val="21"/>
          <w:highlight w:val="none"/>
        </w:rPr>
        <w:t>协议属于本合同组成部分。</w:t>
      </w:r>
    </w:p>
    <w:p w14:paraId="5571B563">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1</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不可抗力</w:t>
      </w:r>
    </w:p>
    <w:p w14:paraId="2F50D2A2">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.3 遇有不可抗力的一方，应及时将事件情况以书面形式</w:t>
      </w:r>
      <w:r>
        <w:rPr>
          <w:rFonts w:hint="eastAsia" w:ascii="宋体" w:hAnsi="宋体" w:eastAsia="宋体" w:cs="宋体"/>
          <w:color w:val="auto"/>
          <w:szCs w:val="21"/>
          <w:highlight w:val="none"/>
          <w:lang w:eastAsia="zh-CN"/>
        </w:rPr>
        <w:t>告</w:t>
      </w:r>
      <w:r>
        <w:rPr>
          <w:rFonts w:hint="eastAsia" w:ascii="宋体" w:hAnsi="宋体" w:eastAsia="宋体" w:cs="宋体"/>
          <w:color w:val="auto"/>
          <w:szCs w:val="21"/>
          <w:highlight w:val="none"/>
        </w:rPr>
        <w:t>知另一方，并在事件发生后及时向另一方提交合同不能履行或部分不能履行或需要延期履行</w:t>
      </w:r>
      <w:r>
        <w:rPr>
          <w:rFonts w:hint="eastAsia" w:ascii="宋体" w:hAnsi="宋体" w:eastAsia="宋体" w:cs="宋体"/>
          <w:color w:val="auto"/>
          <w:szCs w:val="21"/>
          <w:highlight w:val="none"/>
          <w:lang w:eastAsia="zh-CN"/>
        </w:rPr>
        <w:t>的详细</w:t>
      </w:r>
      <w:r>
        <w:rPr>
          <w:rFonts w:hint="eastAsia" w:ascii="宋体" w:hAnsi="宋体" w:eastAsia="宋体" w:cs="宋体"/>
          <w:color w:val="auto"/>
          <w:szCs w:val="21"/>
          <w:highlight w:val="none"/>
        </w:rPr>
        <w:t>报告</w:t>
      </w:r>
      <w:r>
        <w:rPr>
          <w:rFonts w:hint="eastAsia" w:ascii="宋体" w:hAnsi="宋体" w:eastAsia="宋体" w:cs="宋体"/>
          <w:color w:val="auto"/>
          <w:szCs w:val="21"/>
          <w:highlight w:val="none"/>
          <w:lang w:eastAsia="zh-CN"/>
        </w:rPr>
        <w:t>，以</w:t>
      </w:r>
      <w:r>
        <w:rPr>
          <w:rFonts w:hint="eastAsia" w:ascii="宋体" w:hAnsi="宋体" w:eastAsia="宋体" w:cs="宋体"/>
          <w:color w:val="auto"/>
          <w:szCs w:val="21"/>
          <w:highlight w:val="none"/>
          <w:lang w:val="en-US" w:eastAsia="zh-CN"/>
        </w:rPr>
        <w:t>及证明不可抗力发生及其持续时间的证据</w:t>
      </w:r>
      <w:r>
        <w:rPr>
          <w:rFonts w:hint="eastAsia" w:ascii="宋体" w:hAnsi="宋体" w:eastAsia="宋体" w:cs="宋体"/>
          <w:color w:val="auto"/>
          <w:szCs w:val="21"/>
          <w:highlight w:val="none"/>
        </w:rPr>
        <w:t>。</w:t>
      </w:r>
    </w:p>
    <w:p w14:paraId="0D5CFDFE">
      <w:pPr>
        <w:autoSpaceDE w:val="0"/>
        <w:autoSpaceDN w:val="0"/>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19</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rPr>
        <w:t>解决争议的方法</w:t>
      </w:r>
    </w:p>
    <w:p w14:paraId="3819E97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851F59F">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41D451D">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29ED97">
      <w:pPr>
        <w:autoSpaceDE w:val="0"/>
        <w:autoSpaceDN w:val="0"/>
        <w:adjustRightInd w:val="0"/>
        <w:snapToGrid w:val="0"/>
        <w:spacing w:before="0" w:line="400" w:lineRule="exact"/>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政府采购政策</w:t>
      </w:r>
    </w:p>
    <w:p w14:paraId="5CA7DAC1">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0A383ABA">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eastAsia="宋体" w:cs="宋体"/>
          <w:color w:val="auto"/>
          <w:szCs w:val="21"/>
          <w:highlight w:val="none"/>
        </w:rPr>
        <w:t>，有过错的一方应当承担赔偿责任，双方都有过错的，各自承担相应的责任。</w:t>
      </w:r>
    </w:p>
    <w:p w14:paraId="0A45DE32">
      <w:pPr>
        <w:pStyle w:val="23"/>
        <w:spacing w:after="0" w:line="400" w:lineRule="exact"/>
        <w:ind w:firstLine="420" w:firstLineChars="20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2</w:t>
      </w:r>
      <w:r>
        <w:rPr>
          <w:rFonts w:hint="eastAsia" w:ascii="宋体" w:hAnsi="宋体" w:eastAsia="宋体" w:cs="宋体"/>
          <w:color w:val="auto"/>
          <w:sz w:val="21"/>
          <w:szCs w:val="18"/>
          <w:highlight w:val="none"/>
          <w:lang w:val="en-US" w:eastAsia="zh-CN"/>
        </w:rPr>
        <w:t>0</w:t>
      </w:r>
      <w:r>
        <w:rPr>
          <w:rFonts w:hint="eastAsia" w:ascii="宋体" w:hAnsi="宋体" w:eastAsia="宋体" w:cs="宋体"/>
          <w:color w:val="auto"/>
          <w:sz w:val="21"/>
          <w:szCs w:val="18"/>
          <w:highlight w:val="none"/>
        </w:rPr>
        <w:t>.</w:t>
      </w:r>
      <w:r>
        <w:rPr>
          <w:rFonts w:hint="eastAsia" w:ascii="宋体" w:hAnsi="宋体" w:eastAsia="宋体" w:cs="宋体"/>
          <w:color w:val="auto"/>
          <w:sz w:val="21"/>
          <w:szCs w:val="18"/>
          <w:highlight w:val="none"/>
          <w:lang w:val="en-US" w:eastAsia="zh-CN"/>
        </w:rPr>
        <w:t>3</w:t>
      </w:r>
      <w:r>
        <w:rPr>
          <w:rFonts w:hint="eastAsia" w:ascii="宋体" w:hAnsi="宋体" w:eastAsia="宋体" w:cs="宋体"/>
          <w:color w:val="auto"/>
          <w:sz w:val="21"/>
          <w:szCs w:val="18"/>
          <w:highlight w:val="none"/>
        </w:rPr>
        <w:t xml:space="preserve"> 对于</w:t>
      </w:r>
      <w:r>
        <w:rPr>
          <w:rFonts w:hint="eastAsia" w:ascii="宋体" w:hAnsi="宋体" w:eastAsia="宋体" w:cs="宋体"/>
          <w:color w:val="auto"/>
          <w:sz w:val="21"/>
          <w:szCs w:val="18"/>
          <w:highlight w:val="none"/>
          <w:lang w:eastAsia="zh-CN"/>
        </w:rPr>
        <w:t>为落实中小企业支持政策，</w:t>
      </w:r>
      <w:r>
        <w:rPr>
          <w:rFonts w:hint="eastAsia" w:ascii="宋体" w:hAnsi="宋体" w:eastAsia="宋体" w:cs="宋体"/>
          <w:color w:val="auto"/>
          <w:sz w:val="21"/>
          <w:szCs w:val="18"/>
          <w:highlight w:val="none"/>
        </w:rPr>
        <w:t>通过采购项目</w:t>
      </w:r>
      <w:r>
        <w:rPr>
          <w:rFonts w:hint="eastAsia" w:ascii="宋体" w:hAnsi="宋体" w:eastAsia="宋体" w:cs="宋体"/>
          <w:color w:val="auto"/>
          <w:sz w:val="21"/>
          <w:szCs w:val="18"/>
          <w:highlight w:val="none"/>
          <w:lang w:eastAsia="zh-CN"/>
        </w:rPr>
        <w:t>整体</w:t>
      </w:r>
      <w:r>
        <w:rPr>
          <w:rFonts w:hint="eastAsia" w:ascii="宋体" w:hAnsi="宋体" w:eastAsia="宋体" w:cs="宋体"/>
          <w:color w:val="auto"/>
          <w:sz w:val="21"/>
          <w:szCs w:val="18"/>
          <w:highlight w:val="none"/>
        </w:rPr>
        <w:t>预留、</w:t>
      </w:r>
      <w:r>
        <w:rPr>
          <w:rFonts w:hint="eastAsia" w:ascii="宋体" w:hAnsi="宋体" w:eastAsia="宋体" w:cs="宋体"/>
          <w:color w:val="auto"/>
          <w:sz w:val="21"/>
          <w:szCs w:val="18"/>
          <w:highlight w:val="none"/>
          <w:lang w:eastAsia="zh-CN"/>
        </w:rPr>
        <w:t>设置</w:t>
      </w:r>
      <w:r>
        <w:rPr>
          <w:rFonts w:hint="eastAsia" w:ascii="宋体" w:hAnsi="宋体" w:eastAsia="宋体" w:cs="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法律适用</w:t>
      </w:r>
    </w:p>
    <w:p w14:paraId="26ACD4B6">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791C2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 xml:space="preserve">22. </w:t>
      </w:r>
      <w:r>
        <w:rPr>
          <w:rFonts w:hint="eastAsia" w:ascii="宋体" w:hAnsi="宋体" w:eastAsia="宋体" w:cs="宋体"/>
          <w:b/>
          <w:color w:val="auto"/>
          <w:sz w:val="24"/>
          <w:highlight w:val="none"/>
        </w:rPr>
        <w:t>通知</w:t>
      </w:r>
    </w:p>
    <w:p w14:paraId="56541F9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0B6340F">
      <w:pPr>
        <w:pStyle w:val="79"/>
        <w:ind w:firstLine="0" w:firstLineChars="0"/>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008D334F">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通知以送达之日或通知书中规定的生效之日起生效，两者中以较迟之日为准。</w:t>
      </w:r>
    </w:p>
    <w:p w14:paraId="57336BB6">
      <w:pPr>
        <w:numPr>
          <w:ilvl w:val="0"/>
          <w:numId w:val="24"/>
        </w:numPr>
        <w:adjustRightInd w:val="0"/>
        <w:snapToGrid w:val="0"/>
        <w:spacing w:before="0" w:line="400" w:lineRule="exact"/>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合同未尽事项</w:t>
      </w:r>
    </w:p>
    <w:p w14:paraId="4A03CEF6">
      <w:pPr>
        <w:adjustRightInd w:val="0"/>
        <w:snapToGrid w:val="0"/>
        <w:spacing w:before="0" w:line="40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rPr>
        <w:t>.1合同未尽事项见</w:t>
      </w:r>
      <w:r>
        <w:rPr>
          <w:rFonts w:hint="eastAsia" w:ascii="宋体" w:hAnsi="宋体" w:eastAsia="宋体" w:cs="宋体"/>
          <w:b/>
          <w:color w:val="auto"/>
          <w:szCs w:val="21"/>
          <w:highlight w:val="none"/>
        </w:rPr>
        <w:t>【政府采购合同专用条款】</w:t>
      </w:r>
      <w:r>
        <w:rPr>
          <w:rFonts w:hint="eastAsia" w:ascii="宋体" w:hAnsi="宋体" w:eastAsia="宋体" w:cs="宋体"/>
          <w:bCs/>
          <w:color w:val="auto"/>
          <w:szCs w:val="21"/>
          <w:highlight w:val="none"/>
        </w:rPr>
        <w:t>。</w:t>
      </w:r>
    </w:p>
    <w:p w14:paraId="41512796">
      <w:pPr>
        <w:adjustRightInd w:val="0"/>
        <w:snapToGrid w:val="0"/>
        <w:spacing w:line="400" w:lineRule="exact"/>
        <w:ind w:firstLine="0" w:firstLineChars="0"/>
        <w:jc w:val="left"/>
        <w:rPr>
          <w:rFonts w:hint="eastAsia" w:ascii="宋体" w:hAnsi="宋体" w:eastAsia="宋体" w:cs="宋体"/>
          <w:color w:val="auto"/>
          <w:sz w:val="28"/>
          <w:szCs w:val="28"/>
          <w:highlight w:val="none"/>
        </w:rPr>
      </w:pPr>
      <w:r>
        <w:rPr>
          <w:rFonts w:hint="eastAsia" w:ascii="宋体" w:hAnsi="宋体" w:eastAsia="宋体" w:cs="宋体"/>
          <w:bCs/>
          <w:color w:val="auto"/>
          <w:szCs w:val="21"/>
          <w:highlight w:val="none"/>
          <w:lang w:val="en-US" w:eastAsia="zh-CN"/>
        </w:rPr>
        <w:t xml:space="preserve">    23.2 合同附件与合同正文具有同等的法律效力。</w:t>
      </w:r>
      <w:bookmarkStart w:id="403" w:name="_Toc20313"/>
    </w:p>
    <w:p w14:paraId="673A22D8">
      <w:pPr>
        <w:adjustRightInd w:val="0"/>
        <w:snapToGrid w:val="0"/>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br w:type="page"/>
      </w:r>
    </w:p>
    <w:p w14:paraId="0A48BE5E">
      <w:pPr>
        <w:bidi w:val="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第三节 政府采购合同专用条款</w:t>
      </w:r>
      <w:bookmarkEnd w:id="403"/>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647609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）项</w:t>
            </w:r>
          </w:p>
        </w:tc>
        <w:tc>
          <w:tcPr>
            <w:tcW w:w="1742" w:type="dxa"/>
            <w:vAlign w:val="center"/>
          </w:tcPr>
          <w:p w14:paraId="1328268D">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联合体具体要求</w:t>
            </w:r>
          </w:p>
        </w:tc>
        <w:tc>
          <w:tcPr>
            <w:tcW w:w="5170" w:type="dxa"/>
            <w:vAlign w:val="center"/>
          </w:tcPr>
          <w:p w14:paraId="3B82086B">
            <w:pPr>
              <w:adjustRightInd w:val="0"/>
              <w:snapToGrid w:val="0"/>
              <w:jc w:val="left"/>
              <w:rPr>
                <w:rFonts w:hint="eastAsia" w:ascii="宋体" w:hAnsi="宋体" w:eastAsia="宋体" w:cs="宋体"/>
                <w:color w:val="auto"/>
                <w:szCs w:val="21"/>
                <w:highlight w:val="none"/>
              </w:rPr>
            </w:pP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20DD92DE">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第1.2（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）项</w:t>
            </w:r>
          </w:p>
        </w:tc>
        <w:tc>
          <w:tcPr>
            <w:tcW w:w="1742" w:type="dxa"/>
            <w:vAlign w:val="center"/>
          </w:tcPr>
          <w:p w14:paraId="038AA940">
            <w:pPr>
              <w:adjustRightInd w:val="0"/>
              <w:snapToGrid w:val="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其他术语解释</w:t>
            </w:r>
          </w:p>
        </w:tc>
        <w:tc>
          <w:tcPr>
            <w:tcW w:w="5170" w:type="dxa"/>
            <w:vAlign w:val="center"/>
          </w:tcPr>
          <w:p w14:paraId="7AC860E3">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AFA8D0B">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4.4款</w:t>
            </w:r>
          </w:p>
        </w:tc>
        <w:tc>
          <w:tcPr>
            <w:tcW w:w="1742" w:type="dxa"/>
            <w:vAlign w:val="center"/>
          </w:tcPr>
          <w:p w14:paraId="4CB8B57E">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履约验收中甲方提出异议或作出说明的期限</w:t>
            </w:r>
          </w:p>
        </w:tc>
        <w:tc>
          <w:tcPr>
            <w:tcW w:w="5170" w:type="dxa"/>
            <w:vAlign w:val="center"/>
          </w:tcPr>
          <w:p w14:paraId="530B6B5D">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FD21E4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4.6款</w:t>
            </w:r>
          </w:p>
        </w:tc>
        <w:tc>
          <w:tcPr>
            <w:tcW w:w="1742" w:type="dxa"/>
            <w:vAlign w:val="center"/>
          </w:tcPr>
          <w:p w14:paraId="0BD6FAEB">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约定甲方承担的其他义务和责任</w:t>
            </w:r>
          </w:p>
        </w:tc>
        <w:tc>
          <w:tcPr>
            <w:tcW w:w="5170" w:type="dxa"/>
            <w:vAlign w:val="center"/>
          </w:tcPr>
          <w:p w14:paraId="17F8F65E">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第二节</w:t>
            </w:r>
          </w:p>
          <w:p w14:paraId="4EA9ACCC">
            <w:pPr>
              <w:snapToGrid w:val="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5.4款</w:t>
            </w:r>
          </w:p>
        </w:tc>
        <w:tc>
          <w:tcPr>
            <w:tcW w:w="1742" w:type="dxa"/>
            <w:vAlign w:val="center"/>
          </w:tcPr>
          <w:p w14:paraId="14DB3DAF">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约定乙方承担的其他义务和责任</w:t>
            </w:r>
          </w:p>
        </w:tc>
        <w:tc>
          <w:tcPr>
            <w:tcW w:w="5170" w:type="dxa"/>
            <w:vAlign w:val="center"/>
          </w:tcPr>
          <w:p w14:paraId="053563B3">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第二节</w:t>
            </w:r>
          </w:p>
          <w:p w14:paraId="2119A11A">
            <w:pPr>
              <w:snapToGri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第</w:t>
            </w:r>
            <w:r>
              <w:rPr>
                <w:rFonts w:hint="eastAsia" w:ascii="宋体" w:hAnsi="宋体" w:eastAsia="宋体" w:cs="宋体"/>
                <w:color w:val="auto"/>
                <w:szCs w:val="21"/>
                <w:highlight w:val="none"/>
                <w:lang w:val="en-US" w:eastAsia="zh-CN"/>
              </w:rPr>
              <w:t>6.1款</w:t>
            </w:r>
          </w:p>
        </w:tc>
        <w:tc>
          <w:tcPr>
            <w:tcW w:w="1742" w:type="dxa"/>
            <w:vAlign w:val="center"/>
          </w:tcPr>
          <w:p w14:paraId="777DF284">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履行合同义务的顺序</w:t>
            </w:r>
          </w:p>
        </w:tc>
        <w:tc>
          <w:tcPr>
            <w:tcW w:w="5170" w:type="dxa"/>
            <w:vAlign w:val="center"/>
          </w:tcPr>
          <w:p w14:paraId="1B3F468F">
            <w:pPr>
              <w:adjustRightInd w:val="0"/>
              <w:snapToGrid w:val="0"/>
              <w:jc w:val="left"/>
              <w:rPr>
                <w:rFonts w:hint="eastAsia" w:ascii="宋体" w:hAnsi="宋体" w:eastAsia="宋体" w:cs="宋体"/>
                <w:color w:val="auto"/>
                <w:kern w:val="2"/>
                <w:sz w:val="21"/>
                <w:szCs w:val="21"/>
                <w:highlight w:val="none"/>
                <w:lang w:val="en-US" w:eastAsia="zh-CN" w:bidi="ar-SA"/>
              </w:rPr>
            </w:pP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B4B6ED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款</w:t>
            </w:r>
          </w:p>
        </w:tc>
        <w:tc>
          <w:tcPr>
            <w:tcW w:w="1742" w:type="dxa"/>
            <w:vAlign w:val="center"/>
          </w:tcPr>
          <w:p w14:paraId="598F8BB8">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包装</w:t>
            </w:r>
            <w:r>
              <w:rPr>
                <w:rFonts w:hint="eastAsia" w:ascii="宋体" w:hAnsi="宋体" w:eastAsia="宋体" w:cs="宋体"/>
                <w:color w:val="auto"/>
                <w:szCs w:val="21"/>
                <w:highlight w:val="none"/>
                <w:lang w:eastAsia="zh-CN"/>
              </w:rPr>
              <w:t>特殊要求</w:t>
            </w:r>
          </w:p>
        </w:tc>
        <w:tc>
          <w:tcPr>
            <w:tcW w:w="5170" w:type="dxa"/>
            <w:vAlign w:val="center"/>
          </w:tcPr>
          <w:p w14:paraId="238F4F69">
            <w:pPr>
              <w:rPr>
                <w:rFonts w:hint="eastAsia" w:ascii="宋体" w:hAnsi="宋体" w:eastAsia="宋体" w:cs="宋体"/>
                <w:color w:val="auto"/>
                <w:highlight w:val="none"/>
              </w:rPr>
            </w:pP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jc w:val="center"/>
              <w:rPr>
                <w:rFonts w:hint="eastAsia" w:ascii="宋体" w:hAnsi="宋体" w:eastAsia="宋体" w:cs="宋体"/>
                <w:color w:val="auto"/>
                <w:szCs w:val="21"/>
                <w:highlight w:val="none"/>
              </w:rPr>
            </w:pPr>
          </w:p>
        </w:tc>
        <w:tc>
          <w:tcPr>
            <w:tcW w:w="1742" w:type="dxa"/>
            <w:vAlign w:val="center"/>
          </w:tcPr>
          <w:p w14:paraId="6367A5F5">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指定现场</w:t>
            </w:r>
          </w:p>
        </w:tc>
        <w:tc>
          <w:tcPr>
            <w:tcW w:w="5170" w:type="dxa"/>
            <w:vAlign w:val="center"/>
          </w:tcPr>
          <w:p w14:paraId="0EE0D077">
            <w:pPr>
              <w:rPr>
                <w:rFonts w:hint="eastAsia" w:ascii="宋体" w:hAnsi="宋体" w:eastAsia="宋体" w:cs="宋体"/>
                <w:color w:val="auto"/>
                <w:highlight w:val="none"/>
              </w:rPr>
            </w:pP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165101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款</w:t>
            </w:r>
          </w:p>
        </w:tc>
        <w:tc>
          <w:tcPr>
            <w:tcW w:w="1742" w:type="dxa"/>
            <w:vAlign w:val="center"/>
          </w:tcPr>
          <w:p w14:paraId="5A0F3F5F">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运输特殊要求</w:t>
            </w:r>
          </w:p>
        </w:tc>
        <w:tc>
          <w:tcPr>
            <w:tcW w:w="5170" w:type="dxa"/>
            <w:vAlign w:val="center"/>
          </w:tcPr>
          <w:p w14:paraId="487F46DE">
            <w:pPr>
              <w:rPr>
                <w:rFonts w:hint="eastAsia" w:ascii="宋体" w:hAnsi="宋体" w:eastAsia="宋体" w:cs="宋体"/>
                <w:color w:val="auto"/>
                <w:highlight w:val="none"/>
              </w:rPr>
            </w:pP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399F034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款</w:t>
            </w:r>
          </w:p>
        </w:tc>
        <w:tc>
          <w:tcPr>
            <w:tcW w:w="1742" w:type="dxa"/>
            <w:vAlign w:val="center"/>
          </w:tcPr>
          <w:p w14:paraId="66AC5AE2">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保险要求</w:t>
            </w:r>
          </w:p>
        </w:tc>
        <w:tc>
          <w:tcPr>
            <w:tcW w:w="5170" w:type="dxa"/>
            <w:vAlign w:val="center"/>
          </w:tcPr>
          <w:p w14:paraId="1B84D584">
            <w:pPr>
              <w:rPr>
                <w:rFonts w:hint="eastAsia" w:ascii="宋体" w:hAnsi="宋体" w:eastAsia="宋体" w:cs="宋体"/>
                <w:color w:val="auto"/>
                <w:highlight w:val="none"/>
              </w:rPr>
            </w:pP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7AC83C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.2（1）项</w:t>
            </w:r>
          </w:p>
        </w:tc>
        <w:tc>
          <w:tcPr>
            <w:tcW w:w="1742" w:type="dxa"/>
            <w:vAlign w:val="center"/>
          </w:tcPr>
          <w:p w14:paraId="48DB353C">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质量保证期</w:t>
            </w:r>
          </w:p>
        </w:tc>
        <w:tc>
          <w:tcPr>
            <w:tcW w:w="5170" w:type="dxa"/>
            <w:vAlign w:val="center"/>
          </w:tcPr>
          <w:p w14:paraId="79864455">
            <w:pPr>
              <w:autoSpaceDE w:val="0"/>
              <w:autoSpaceDN w:val="0"/>
              <w:adjustRightInd w:val="0"/>
              <w:snapToGrid w:val="0"/>
              <w:ind w:firstLine="420" w:firstLineChars="200"/>
              <w:jc w:val="left"/>
              <w:rPr>
                <w:rFonts w:hint="eastAsia" w:ascii="宋体" w:hAnsi="宋体" w:eastAsia="宋体" w:cs="宋体"/>
                <w:color w:val="auto"/>
                <w:szCs w:val="21"/>
                <w:highlight w:val="none"/>
              </w:rPr>
            </w:pP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BD551DA">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.2（3）项</w:t>
            </w:r>
          </w:p>
        </w:tc>
        <w:tc>
          <w:tcPr>
            <w:tcW w:w="1742" w:type="dxa"/>
            <w:vAlign w:val="center"/>
          </w:tcPr>
          <w:p w14:paraId="06235653">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货物质量缺陷</w:t>
            </w:r>
          </w:p>
          <w:p w14:paraId="1BEDD1A2">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响应时间</w:t>
            </w:r>
          </w:p>
        </w:tc>
        <w:tc>
          <w:tcPr>
            <w:tcW w:w="5170" w:type="dxa"/>
            <w:vAlign w:val="center"/>
          </w:tcPr>
          <w:p w14:paraId="248539A8">
            <w:pPr>
              <w:adjustRightInd w:val="0"/>
              <w:snapToGrid w:val="0"/>
              <w:jc w:val="left"/>
              <w:rPr>
                <w:rFonts w:hint="eastAsia" w:ascii="宋体" w:hAnsi="宋体" w:eastAsia="宋体" w:cs="宋体"/>
                <w:color w:val="auto"/>
                <w:szCs w:val="21"/>
                <w:highlight w:val="none"/>
              </w:rPr>
            </w:pP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第二节</w:t>
            </w:r>
          </w:p>
          <w:p w14:paraId="2B09DEA0">
            <w:pPr>
              <w:pStyle w:val="79"/>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E599FD">
            <w:pPr>
              <w:adjustRightInd w:val="0"/>
              <w:snapToGrid w:val="0"/>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其他应当保密的信息</w:t>
            </w:r>
          </w:p>
        </w:tc>
        <w:tc>
          <w:tcPr>
            <w:tcW w:w="5170" w:type="dxa"/>
            <w:vAlign w:val="center"/>
          </w:tcPr>
          <w:p w14:paraId="1C4EA6C8">
            <w:pPr>
              <w:adjustRightInd w:val="0"/>
              <w:snapToGrid w:val="0"/>
              <w:jc w:val="left"/>
              <w:rPr>
                <w:rFonts w:hint="eastAsia" w:ascii="宋体" w:hAnsi="宋体" w:eastAsia="宋体" w:cs="宋体"/>
                <w:color w:val="auto"/>
                <w:szCs w:val="21"/>
                <w:highlight w:val="none"/>
              </w:rPr>
            </w:pP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0340A9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.2款</w:t>
            </w:r>
          </w:p>
        </w:tc>
        <w:tc>
          <w:tcPr>
            <w:tcW w:w="1742" w:type="dxa"/>
            <w:vAlign w:val="center"/>
          </w:tcPr>
          <w:p w14:paraId="585DE3B1">
            <w:pPr>
              <w:adjustRightInd w:val="0"/>
              <w:snapToGrid w:val="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合同价款支付</w:t>
            </w:r>
            <w:r>
              <w:rPr>
                <w:rFonts w:hint="eastAsia" w:ascii="宋体" w:hAnsi="宋体" w:eastAsia="宋体" w:cs="宋体"/>
                <w:color w:val="auto"/>
                <w:szCs w:val="21"/>
                <w:highlight w:val="none"/>
                <w:lang w:eastAsia="zh-CN"/>
              </w:rPr>
              <w:t>时间</w:t>
            </w:r>
          </w:p>
        </w:tc>
        <w:tc>
          <w:tcPr>
            <w:tcW w:w="5170" w:type="dxa"/>
            <w:vAlign w:val="center"/>
          </w:tcPr>
          <w:p w14:paraId="4A7A01BD">
            <w:pPr>
              <w:adjustRightInd w:val="0"/>
              <w:snapToGrid w:val="0"/>
              <w:jc w:val="left"/>
              <w:rPr>
                <w:rFonts w:hint="eastAsia" w:ascii="宋体" w:hAnsi="宋体" w:eastAsia="宋体" w:cs="宋体"/>
                <w:color w:val="auto"/>
                <w:szCs w:val="21"/>
                <w:highlight w:val="none"/>
              </w:rPr>
            </w:pP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06F338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13.2</w:t>
            </w:r>
            <w:r>
              <w:rPr>
                <w:rFonts w:hint="eastAsia" w:ascii="宋体" w:hAnsi="宋体" w:eastAsia="宋体" w:cs="宋体"/>
                <w:color w:val="auto"/>
                <w:szCs w:val="21"/>
                <w:highlight w:val="none"/>
              </w:rPr>
              <w:t>款</w:t>
            </w:r>
          </w:p>
        </w:tc>
        <w:tc>
          <w:tcPr>
            <w:tcW w:w="1742" w:type="dxa"/>
            <w:vAlign w:val="center"/>
          </w:tcPr>
          <w:p w14:paraId="65B7E3EF">
            <w:pPr>
              <w:adjustRightInd w:val="0"/>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履约保证金不予退还的情形</w:t>
            </w:r>
          </w:p>
        </w:tc>
        <w:tc>
          <w:tcPr>
            <w:tcW w:w="5170" w:type="dxa"/>
            <w:vAlign w:val="center"/>
          </w:tcPr>
          <w:p w14:paraId="65AD5173">
            <w:pPr>
              <w:adjustRightInd w:val="0"/>
              <w:snapToGrid w:val="0"/>
              <w:jc w:val="left"/>
              <w:rPr>
                <w:rFonts w:hint="eastAsia" w:ascii="宋体" w:hAnsi="宋体" w:eastAsia="宋体" w:cs="宋体"/>
                <w:color w:val="auto"/>
                <w:szCs w:val="21"/>
                <w:highlight w:val="none"/>
              </w:rPr>
            </w:pP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5FB0532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13.3</w:t>
            </w:r>
            <w:r>
              <w:rPr>
                <w:rFonts w:hint="eastAsia" w:ascii="宋体" w:hAnsi="宋体" w:eastAsia="宋体" w:cs="宋体"/>
                <w:color w:val="auto"/>
                <w:szCs w:val="21"/>
                <w:highlight w:val="none"/>
              </w:rPr>
              <w:t>款</w:t>
            </w:r>
          </w:p>
        </w:tc>
        <w:tc>
          <w:tcPr>
            <w:tcW w:w="1742" w:type="dxa"/>
            <w:vAlign w:val="center"/>
          </w:tcPr>
          <w:p w14:paraId="65FBA4EA">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履约保证金退还时间及</w:t>
            </w:r>
            <w:r>
              <w:rPr>
                <w:rFonts w:hint="eastAsia" w:ascii="宋体" w:hAnsi="宋体" w:eastAsia="宋体" w:cs="宋体"/>
                <w:color w:val="auto"/>
                <w:szCs w:val="21"/>
                <w:highlight w:val="none"/>
                <w:lang w:eastAsia="zh-CN"/>
              </w:rPr>
              <w:t>逾期退还的</w:t>
            </w:r>
            <w:r>
              <w:rPr>
                <w:rFonts w:hint="eastAsia" w:ascii="宋体" w:hAnsi="宋体" w:eastAsia="宋体" w:cs="宋体"/>
                <w:color w:val="auto"/>
                <w:szCs w:val="21"/>
                <w:highlight w:val="none"/>
              </w:rPr>
              <w:t>违约金</w:t>
            </w:r>
          </w:p>
        </w:tc>
        <w:tc>
          <w:tcPr>
            <w:tcW w:w="5170" w:type="dxa"/>
            <w:vAlign w:val="center"/>
          </w:tcPr>
          <w:p w14:paraId="1CD66FD0">
            <w:pPr>
              <w:adjustRightInd w:val="0"/>
              <w:snapToGrid w:val="0"/>
              <w:jc w:val="left"/>
              <w:rPr>
                <w:rFonts w:hint="eastAsia" w:ascii="宋体" w:hAnsi="宋体" w:eastAsia="宋体" w:cs="宋体"/>
                <w:color w:val="auto"/>
                <w:szCs w:val="21"/>
                <w:highlight w:val="none"/>
              </w:rPr>
            </w:pP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077E5FE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）项</w:t>
            </w:r>
          </w:p>
        </w:tc>
        <w:tc>
          <w:tcPr>
            <w:tcW w:w="1742" w:type="dxa"/>
            <w:vAlign w:val="center"/>
          </w:tcPr>
          <w:p w14:paraId="68C33BCA">
            <w:pPr>
              <w:adjustRightInd w:val="0"/>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运行监督、维修期限</w:t>
            </w:r>
          </w:p>
        </w:tc>
        <w:tc>
          <w:tcPr>
            <w:tcW w:w="5170" w:type="dxa"/>
            <w:vAlign w:val="center"/>
          </w:tcPr>
          <w:p w14:paraId="7ED747A5">
            <w:pPr>
              <w:adjustRightInd w:val="0"/>
              <w:snapToGrid w:val="0"/>
              <w:jc w:val="left"/>
              <w:rPr>
                <w:rFonts w:hint="eastAsia" w:ascii="宋体" w:hAnsi="宋体" w:eastAsia="宋体" w:cs="宋体"/>
                <w:color w:val="auto"/>
                <w:szCs w:val="21"/>
                <w:highlight w:val="none"/>
              </w:rPr>
            </w:pP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01398D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）项</w:t>
            </w:r>
          </w:p>
        </w:tc>
        <w:tc>
          <w:tcPr>
            <w:tcW w:w="1742" w:type="dxa"/>
            <w:vAlign w:val="center"/>
          </w:tcPr>
          <w:p w14:paraId="0351ADA4">
            <w:pPr>
              <w:adjustRightInd w:val="0"/>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货物回收的约定</w:t>
            </w:r>
          </w:p>
        </w:tc>
        <w:tc>
          <w:tcPr>
            <w:tcW w:w="5170" w:type="dxa"/>
            <w:vAlign w:val="center"/>
          </w:tcPr>
          <w:p w14:paraId="406ECB70">
            <w:pPr>
              <w:adjustRightInd w:val="0"/>
              <w:snapToGrid w:val="0"/>
              <w:jc w:val="left"/>
              <w:rPr>
                <w:rFonts w:hint="eastAsia" w:ascii="宋体" w:hAnsi="宋体" w:eastAsia="宋体" w:cs="宋体"/>
                <w:color w:val="auto"/>
                <w:szCs w:val="21"/>
                <w:highlight w:val="none"/>
              </w:rPr>
            </w:pP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23957C1">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）项</w:t>
            </w:r>
          </w:p>
        </w:tc>
        <w:tc>
          <w:tcPr>
            <w:tcW w:w="1742" w:type="dxa"/>
            <w:vAlign w:val="center"/>
          </w:tcPr>
          <w:p w14:paraId="24DE333A">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乙方提供的其他服务</w:t>
            </w:r>
          </w:p>
        </w:tc>
        <w:tc>
          <w:tcPr>
            <w:tcW w:w="5170" w:type="dxa"/>
            <w:vAlign w:val="center"/>
          </w:tcPr>
          <w:p w14:paraId="0A9ABA6B">
            <w:pPr>
              <w:adjustRightInd w:val="0"/>
              <w:snapToGrid w:val="0"/>
              <w:jc w:val="left"/>
              <w:rPr>
                <w:rFonts w:hint="eastAsia" w:ascii="宋体" w:hAnsi="宋体" w:eastAsia="宋体" w:cs="宋体"/>
                <w:color w:val="auto"/>
                <w:szCs w:val="21"/>
                <w:highlight w:val="none"/>
              </w:rPr>
            </w:pP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11902E1">
            <w:pPr>
              <w:adjustRightInd w:val="0"/>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1款</w:t>
            </w:r>
          </w:p>
        </w:tc>
        <w:tc>
          <w:tcPr>
            <w:tcW w:w="1742" w:type="dxa"/>
            <w:vAlign w:val="center"/>
          </w:tcPr>
          <w:p w14:paraId="50F41FD9">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修理、重作、更换相关具体规定</w:t>
            </w:r>
          </w:p>
        </w:tc>
        <w:tc>
          <w:tcPr>
            <w:tcW w:w="5170" w:type="dxa"/>
            <w:vAlign w:val="center"/>
          </w:tcPr>
          <w:p w14:paraId="29550D2C">
            <w:pPr>
              <w:adjustRightInd w:val="0"/>
              <w:snapToGrid w:val="0"/>
              <w:jc w:val="left"/>
              <w:rPr>
                <w:rFonts w:hint="eastAsia" w:ascii="宋体" w:hAnsi="宋体" w:eastAsia="宋体" w:cs="宋体"/>
                <w:color w:val="auto"/>
                <w:szCs w:val="21"/>
                <w:highlight w:val="none"/>
              </w:rPr>
            </w:pP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75A1861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.2（2）项</w:t>
            </w:r>
          </w:p>
        </w:tc>
        <w:tc>
          <w:tcPr>
            <w:tcW w:w="1742" w:type="dxa"/>
            <w:vAlign w:val="center"/>
          </w:tcPr>
          <w:p w14:paraId="0DBBE468">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迟延交货赔偿费</w:t>
            </w:r>
          </w:p>
        </w:tc>
        <w:tc>
          <w:tcPr>
            <w:tcW w:w="5170" w:type="dxa"/>
            <w:vAlign w:val="center"/>
          </w:tcPr>
          <w:p w14:paraId="4B0DCEDA">
            <w:pPr>
              <w:adjustRightInd w:val="0"/>
              <w:snapToGrid w:val="0"/>
              <w:jc w:val="left"/>
              <w:rPr>
                <w:rFonts w:hint="eastAsia" w:ascii="宋体" w:hAnsi="宋体" w:eastAsia="宋体" w:cs="宋体"/>
                <w:color w:val="auto"/>
                <w:szCs w:val="21"/>
                <w:highlight w:val="none"/>
                <w:u w:val="single"/>
              </w:rPr>
            </w:pP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69C16FF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3款</w:t>
            </w:r>
          </w:p>
        </w:tc>
        <w:tc>
          <w:tcPr>
            <w:tcW w:w="1742" w:type="dxa"/>
            <w:vAlign w:val="center"/>
          </w:tcPr>
          <w:p w14:paraId="57B8B0CA">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逾期付款利息</w:t>
            </w:r>
          </w:p>
        </w:tc>
        <w:tc>
          <w:tcPr>
            <w:tcW w:w="5170" w:type="dxa"/>
            <w:vAlign w:val="center"/>
          </w:tcPr>
          <w:p w14:paraId="20BDFDDC">
            <w:pPr>
              <w:adjustRightInd w:val="0"/>
              <w:snapToGrid w:val="0"/>
              <w:jc w:val="left"/>
              <w:rPr>
                <w:rFonts w:hint="eastAsia" w:ascii="宋体" w:hAnsi="宋体" w:eastAsia="宋体" w:cs="宋体"/>
                <w:color w:val="auto"/>
                <w:szCs w:val="21"/>
                <w:highlight w:val="none"/>
                <w:u w:val="single"/>
              </w:rPr>
            </w:pP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A6CA578">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jc w:val="left"/>
              <w:rPr>
                <w:rFonts w:hint="eastAsia" w:ascii="宋体" w:hAnsi="宋体" w:eastAsia="宋体" w:cs="宋体"/>
                <w:color w:val="auto"/>
                <w:szCs w:val="21"/>
                <w:highlight w:val="none"/>
                <w:u w:val="single"/>
              </w:rPr>
            </w:pP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40A4E0F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41960E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418F69D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2087714">
            <w:pPr>
              <w:adjustRightInd w:val="0"/>
              <w:snapToGrid w:val="0"/>
              <w:ind w:firstLine="0" w:firstLineChars="0"/>
              <w:jc w:val="left"/>
              <w:rPr>
                <w:rFonts w:hint="eastAsia" w:ascii="宋体" w:hAnsi="宋体" w:eastAsia="宋体" w:cs="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第二节</w:t>
            </w:r>
          </w:p>
          <w:p w14:paraId="153DABD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第2</w:t>
            </w: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lang w:eastAsia="zh-CN"/>
              </w:rPr>
              <w:t>款</w:t>
            </w:r>
          </w:p>
        </w:tc>
        <w:tc>
          <w:tcPr>
            <w:tcW w:w="1742" w:type="dxa"/>
            <w:vAlign w:val="center"/>
          </w:tcPr>
          <w:p w14:paraId="68F5870D">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eastAsia="zh-CN"/>
              </w:rPr>
              <w:t>其他专用条款</w:t>
            </w:r>
          </w:p>
        </w:tc>
        <w:tc>
          <w:tcPr>
            <w:tcW w:w="5170" w:type="dxa"/>
            <w:vAlign w:val="center"/>
          </w:tcPr>
          <w:p w14:paraId="7D3115BE">
            <w:pPr>
              <w:adjustRightInd w:val="0"/>
              <w:snapToGrid w:val="0"/>
              <w:jc w:val="left"/>
              <w:rPr>
                <w:rFonts w:hint="eastAsia" w:ascii="宋体" w:hAnsi="宋体" w:eastAsia="宋体" w:cs="宋体"/>
                <w:color w:val="auto"/>
                <w:szCs w:val="21"/>
                <w:highlight w:val="none"/>
                <w:lang w:val="en-US" w:eastAsia="zh-CN"/>
              </w:rPr>
            </w:pPr>
          </w:p>
        </w:tc>
      </w:tr>
    </w:tbl>
    <w:p w14:paraId="5074F89B">
      <w:pPr>
        <w:rPr>
          <w:rFonts w:hint="eastAsia" w:ascii="宋体" w:hAnsi="宋体" w:eastAsia="宋体" w:cs="宋体"/>
          <w:color w:val="auto"/>
          <w:highlight w:val="none"/>
        </w:rPr>
      </w:pPr>
    </w:p>
    <w:p w14:paraId="32C75F11">
      <w:pPr>
        <w:pStyle w:val="79"/>
        <w:rPr>
          <w:rFonts w:hint="eastAsia" w:ascii="宋体" w:hAnsi="宋体" w:eastAsia="宋体" w:cs="宋体"/>
          <w:color w:val="auto"/>
          <w:highlight w:val="none"/>
        </w:rPr>
      </w:pPr>
    </w:p>
    <w:p w14:paraId="0FE66399">
      <w:pPr>
        <w:pStyle w:val="79"/>
        <w:rPr>
          <w:rFonts w:hint="eastAsia" w:ascii="宋体" w:hAnsi="宋体" w:eastAsia="宋体" w:cs="宋体"/>
          <w:color w:val="auto"/>
          <w:highlight w:val="none"/>
        </w:rPr>
      </w:pPr>
    </w:p>
    <w:p w14:paraId="72C6B1AB">
      <w:pPr>
        <w:pStyle w:val="79"/>
        <w:rPr>
          <w:rFonts w:hint="eastAsia" w:ascii="宋体" w:hAnsi="宋体" w:eastAsia="宋体" w:cs="宋体"/>
          <w:color w:val="auto"/>
          <w:highlight w:val="none"/>
        </w:rPr>
      </w:pPr>
    </w:p>
    <w:p w14:paraId="69194258">
      <w:pPr>
        <w:pStyle w:val="79"/>
        <w:rPr>
          <w:rFonts w:hint="eastAsia" w:ascii="宋体" w:hAnsi="宋体" w:eastAsia="宋体" w:cs="宋体"/>
          <w:color w:val="auto"/>
          <w:highlight w:val="none"/>
        </w:rPr>
      </w:pPr>
    </w:p>
    <w:p w14:paraId="7F46A95C">
      <w:pPr>
        <w:pStyle w:val="79"/>
        <w:rPr>
          <w:rFonts w:hint="eastAsia" w:ascii="宋体" w:hAnsi="宋体" w:eastAsia="宋体" w:cs="宋体"/>
          <w:color w:val="auto"/>
          <w:highlight w:val="none"/>
        </w:rPr>
      </w:pPr>
    </w:p>
    <w:p w14:paraId="3F646F5C">
      <w:pPr>
        <w:pStyle w:val="79"/>
        <w:rPr>
          <w:rFonts w:hint="eastAsia" w:ascii="宋体" w:hAnsi="宋体" w:eastAsia="宋体" w:cs="宋体"/>
          <w:color w:val="auto"/>
          <w:highlight w:val="none"/>
        </w:rPr>
      </w:pPr>
    </w:p>
    <w:p w14:paraId="0C3064A7">
      <w:pPr>
        <w:pStyle w:val="79"/>
        <w:rPr>
          <w:rFonts w:hint="eastAsia" w:ascii="宋体" w:hAnsi="宋体" w:eastAsia="宋体" w:cs="宋体"/>
          <w:color w:val="auto"/>
          <w:highlight w:val="none"/>
        </w:rPr>
      </w:pPr>
    </w:p>
    <w:p w14:paraId="3159F746">
      <w:pPr>
        <w:pStyle w:val="79"/>
        <w:rPr>
          <w:rFonts w:hint="eastAsia" w:ascii="宋体" w:hAnsi="宋体" w:eastAsia="宋体" w:cs="宋体"/>
          <w:color w:val="auto"/>
          <w:highlight w:val="none"/>
        </w:rPr>
      </w:pPr>
    </w:p>
    <w:p w14:paraId="307361D8">
      <w:pPr>
        <w:pStyle w:val="79"/>
        <w:rPr>
          <w:rFonts w:hint="eastAsia" w:ascii="宋体" w:hAnsi="宋体" w:eastAsia="宋体" w:cs="宋体"/>
          <w:color w:val="auto"/>
          <w:highlight w:val="none"/>
        </w:rPr>
      </w:pPr>
    </w:p>
    <w:p w14:paraId="08A303FD">
      <w:pPr>
        <w:pStyle w:val="79"/>
        <w:rPr>
          <w:rFonts w:hint="eastAsia" w:ascii="宋体" w:hAnsi="宋体" w:eastAsia="宋体" w:cs="宋体"/>
          <w:color w:val="auto"/>
          <w:highlight w:val="none"/>
        </w:rPr>
      </w:pPr>
    </w:p>
    <w:p w14:paraId="0B0F0BD9">
      <w:pPr>
        <w:pStyle w:val="79"/>
        <w:rPr>
          <w:rFonts w:hint="eastAsia" w:ascii="宋体" w:hAnsi="宋体" w:eastAsia="宋体" w:cs="宋体"/>
          <w:color w:val="auto"/>
          <w:highlight w:val="none"/>
        </w:rPr>
      </w:pPr>
    </w:p>
    <w:p w14:paraId="0106562A">
      <w:pPr>
        <w:pStyle w:val="79"/>
        <w:rPr>
          <w:rFonts w:hint="eastAsia" w:ascii="宋体" w:hAnsi="宋体" w:eastAsia="宋体" w:cs="宋体"/>
          <w:color w:val="auto"/>
          <w:highlight w:val="none"/>
        </w:rPr>
      </w:pPr>
    </w:p>
    <w:p w14:paraId="5DEDBE1E">
      <w:pPr>
        <w:pStyle w:val="79"/>
        <w:rPr>
          <w:rFonts w:hint="eastAsia" w:ascii="宋体" w:hAnsi="宋体" w:eastAsia="宋体" w:cs="宋体"/>
          <w:color w:val="auto"/>
          <w:highlight w:val="none"/>
        </w:rPr>
      </w:pPr>
    </w:p>
    <w:p w14:paraId="513BE79C">
      <w:pPr>
        <w:pStyle w:val="79"/>
        <w:rPr>
          <w:rFonts w:hint="eastAsia" w:ascii="宋体" w:hAnsi="宋体" w:eastAsia="宋体" w:cs="宋体"/>
          <w:color w:val="auto"/>
          <w:highlight w:val="none"/>
        </w:rPr>
      </w:pPr>
    </w:p>
    <w:p w14:paraId="58E54B89">
      <w:pPr>
        <w:pStyle w:val="79"/>
        <w:rPr>
          <w:rFonts w:hint="eastAsia" w:ascii="宋体" w:hAnsi="宋体" w:eastAsia="宋体" w:cs="宋体"/>
          <w:color w:val="auto"/>
          <w:highlight w:val="none"/>
        </w:rPr>
      </w:pPr>
    </w:p>
    <w:p w14:paraId="188FCDCE">
      <w:pPr>
        <w:pStyle w:val="79"/>
        <w:rPr>
          <w:rFonts w:hint="eastAsia" w:ascii="宋体" w:hAnsi="宋体" w:eastAsia="宋体" w:cs="宋体"/>
          <w:color w:val="auto"/>
          <w:highlight w:val="none"/>
        </w:rPr>
      </w:pPr>
    </w:p>
    <w:p w14:paraId="09FBF278">
      <w:pPr>
        <w:pStyle w:val="79"/>
        <w:rPr>
          <w:rFonts w:hint="eastAsia" w:ascii="宋体" w:hAnsi="宋体" w:eastAsia="宋体" w:cs="宋体"/>
          <w:color w:val="auto"/>
          <w:highlight w:val="none"/>
        </w:rPr>
      </w:pPr>
    </w:p>
    <w:p w14:paraId="7894B757">
      <w:pPr>
        <w:rPr>
          <w:rFonts w:hint="eastAsia" w:ascii="宋体" w:hAnsi="宋体" w:eastAsia="宋体" w:cs="宋体"/>
          <w:color w:val="auto"/>
          <w:highlight w:val="none"/>
        </w:rPr>
      </w:pPr>
    </w:p>
    <w:p w14:paraId="053420C6">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7"/>
      <w:r>
        <w:rPr>
          <w:rFonts w:hint="eastAsia" w:ascii="宋体" w:hAnsi="宋体" w:eastAsia="宋体" w:cs="宋体"/>
          <w:b/>
          <w:color w:val="auto"/>
          <w:sz w:val="36"/>
          <w:szCs w:val="20"/>
          <w:highlight w:val="none"/>
        </w:rPr>
        <w:t xml:space="preserve"> </w:t>
      </w:r>
      <w:bookmarkEnd w:id="398"/>
      <w:r>
        <w:rPr>
          <w:rFonts w:hint="eastAsia" w:ascii="宋体" w:hAnsi="宋体" w:eastAsia="宋体" w:cs="宋体"/>
          <w:b/>
          <w:color w:val="auto"/>
          <w:sz w:val="36"/>
          <w:szCs w:val="20"/>
          <w:highlight w:val="none"/>
        </w:rPr>
        <w:t>应提交的有关格式范例</w:t>
      </w:r>
    </w:p>
    <w:p w14:paraId="410D83D9">
      <w:pPr>
        <w:bidi w:val="0"/>
        <w:rPr>
          <w:rFonts w:hint="eastAsia" w:ascii="宋体" w:hAnsi="宋体" w:eastAsia="宋体" w:cs="宋体"/>
          <w:color w:val="auto"/>
          <w:highlight w:val="none"/>
        </w:rPr>
      </w:pPr>
    </w:p>
    <w:p w14:paraId="382CFB3B">
      <w:pPr>
        <w:spacing w:line="360" w:lineRule="auto"/>
        <w:jc w:val="center"/>
        <w:outlineLvl w:val="0"/>
        <w:rPr>
          <w:rFonts w:hint="eastAsia" w:ascii="宋体" w:hAnsi="宋体" w:eastAsia="宋体" w:cs="宋体"/>
          <w:b/>
          <w:color w:val="auto"/>
          <w:kern w:val="0"/>
          <w:sz w:val="36"/>
          <w:szCs w:val="36"/>
          <w:highlight w:val="none"/>
        </w:rPr>
      </w:pPr>
      <w:bookmarkStart w:id="411" w:name="_GoBack"/>
      <w:bookmarkEnd w:id="411"/>
      <w:r>
        <w:rPr>
          <w:rFonts w:hint="eastAsia" w:ascii="宋体" w:hAnsi="宋体" w:eastAsia="宋体" w:cs="宋体"/>
          <w:b/>
          <w:color w:val="auto"/>
          <w:kern w:val="0"/>
          <w:sz w:val="36"/>
          <w:szCs w:val="36"/>
          <w:highlight w:val="none"/>
        </w:rPr>
        <w:t>资格文件部分</w:t>
      </w:r>
    </w:p>
    <w:p w14:paraId="10F0E0FB">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375A4FC8">
      <w:pPr>
        <w:bidi w:val="0"/>
        <w:rPr>
          <w:rFonts w:hint="eastAsia" w:ascii="宋体" w:hAnsi="宋体" w:eastAsia="宋体" w:cs="宋体"/>
          <w:color w:val="auto"/>
          <w:highlight w:val="none"/>
        </w:rPr>
      </w:pPr>
    </w:p>
    <w:p w14:paraId="2A8123A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785096F9">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0078FE3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1B31C63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7417A20E">
      <w:pPr>
        <w:snapToGrid w:val="0"/>
        <w:spacing w:line="360" w:lineRule="auto"/>
        <w:ind w:firstLine="480" w:firstLineChars="200"/>
        <w:rPr>
          <w:rFonts w:hint="eastAsia" w:ascii="宋体" w:hAnsi="宋体" w:eastAsia="宋体" w:cs="宋体"/>
          <w:color w:val="auto"/>
          <w:sz w:val="24"/>
          <w:highlight w:val="none"/>
        </w:rPr>
      </w:pPr>
    </w:p>
    <w:p w14:paraId="23E396E0">
      <w:pPr>
        <w:spacing w:line="360" w:lineRule="auto"/>
        <w:ind w:firstLine="480" w:firstLineChars="200"/>
        <w:rPr>
          <w:rFonts w:hint="eastAsia" w:ascii="宋体" w:hAnsi="宋体" w:eastAsia="宋体" w:cs="宋体"/>
          <w:color w:val="auto"/>
          <w:sz w:val="24"/>
          <w:highlight w:val="none"/>
        </w:rPr>
      </w:pPr>
    </w:p>
    <w:p w14:paraId="3D8444EB">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1A87A90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2583343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51D4A171">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06AAC8A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16FC1F3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2A82BE2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0178C2E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70BA8F4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1156AD4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9BEF193">
      <w:pPr>
        <w:snapToGrid w:val="0"/>
        <w:spacing w:line="360" w:lineRule="auto"/>
        <w:ind w:right="480"/>
        <w:jc w:val="center"/>
        <w:rPr>
          <w:rFonts w:hint="eastAsia" w:ascii="宋体" w:hAnsi="宋体" w:eastAsia="宋体" w:cs="宋体"/>
          <w:b/>
          <w:color w:val="auto"/>
          <w:kern w:val="0"/>
          <w:sz w:val="32"/>
          <w:szCs w:val="32"/>
          <w:highlight w:val="none"/>
        </w:rPr>
      </w:pPr>
    </w:p>
    <w:p w14:paraId="0B1FCE49">
      <w:pPr>
        <w:snapToGrid w:val="0"/>
        <w:spacing w:line="360" w:lineRule="auto"/>
        <w:ind w:right="480"/>
        <w:jc w:val="center"/>
        <w:rPr>
          <w:rFonts w:hint="eastAsia" w:ascii="宋体" w:hAnsi="宋体" w:eastAsia="宋体" w:cs="宋体"/>
          <w:b/>
          <w:color w:val="auto"/>
          <w:kern w:val="0"/>
          <w:sz w:val="32"/>
          <w:szCs w:val="32"/>
          <w:highlight w:val="none"/>
        </w:rPr>
      </w:pPr>
    </w:p>
    <w:p w14:paraId="658CDDD4">
      <w:pPr>
        <w:snapToGrid w:val="0"/>
        <w:spacing w:line="360" w:lineRule="auto"/>
        <w:ind w:right="480"/>
        <w:jc w:val="center"/>
        <w:rPr>
          <w:rFonts w:hint="eastAsia" w:ascii="宋体" w:hAnsi="宋体" w:eastAsia="宋体" w:cs="宋体"/>
          <w:b/>
          <w:color w:val="auto"/>
          <w:kern w:val="0"/>
          <w:sz w:val="32"/>
          <w:szCs w:val="32"/>
          <w:highlight w:val="none"/>
        </w:rPr>
      </w:pPr>
    </w:p>
    <w:p w14:paraId="7F7F08CB">
      <w:pPr>
        <w:rPr>
          <w:rFonts w:hint="eastAsia" w:ascii="宋体" w:hAnsi="宋体" w:eastAsia="宋体" w:cs="宋体"/>
          <w:color w:val="auto"/>
          <w:highlight w:val="none"/>
        </w:rPr>
      </w:pPr>
    </w:p>
    <w:p w14:paraId="1008B9DA">
      <w:pPr>
        <w:pStyle w:val="23"/>
        <w:rPr>
          <w:rFonts w:hint="eastAsia" w:ascii="宋体" w:hAnsi="宋体" w:eastAsia="宋体" w:cs="宋体"/>
          <w:color w:val="auto"/>
          <w:highlight w:val="none"/>
        </w:rPr>
      </w:pPr>
    </w:p>
    <w:p w14:paraId="2A997B93">
      <w:pPr>
        <w:pStyle w:val="60"/>
        <w:rPr>
          <w:rFonts w:hint="eastAsia" w:ascii="宋体" w:hAnsi="宋体" w:eastAsia="宋体" w:cs="宋体"/>
          <w:color w:val="auto"/>
          <w:highlight w:val="none"/>
        </w:rPr>
      </w:pPr>
    </w:p>
    <w:p w14:paraId="5DE35EAB">
      <w:pPr>
        <w:pStyle w:val="50"/>
        <w:rPr>
          <w:rFonts w:hint="eastAsia" w:ascii="宋体" w:hAnsi="宋体" w:eastAsia="宋体" w:cs="宋体"/>
          <w:color w:val="auto"/>
          <w:highlight w:val="none"/>
        </w:rPr>
      </w:pPr>
    </w:p>
    <w:p w14:paraId="5EEEC394">
      <w:pPr>
        <w:rPr>
          <w:rFonts w:hint="eastAsia" w:ascii="宋体" w:hAnsi="宋体" w:eastAsia="宋体" w:cs="宋体"/>
          <w:color w:val="auto"/>
          <w:highlight w:val="none"/>
        </w:rPr>
      </w:pPr>
    </w:p>
    <w:p w14:paraId="6ECCB766">
      <w:pPr>
        <w:snapToGrid w:val="0"/>
        <w:spacing w:line="360" w:lineRule="auto"/>
        <w:ind w:right="480"/>
        <w:jc w:val="center"/>
        <w:rPr>
          <w:rFonts w:hint="eastAsia" w:ascii="宋体" w:hAnsi="宋体" w:eastAsia="宋体" w:cs="宋体"/>
          <w:b/>
          <w:color w:val="auto"/>
          <w:kern w:val="0"/>
          <w:sz w:val="32"/>
          <w:szCs w:val="32"/>
          <w:highlight w:val="none"/>
        </w:rPr>
      </w:pPr>
    </w:p>
    <w:p w14:paraId="384D28BB">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w:t>
      </w:r>
      <w:r>
        <w:rPr>
          <w:rFonts w:hint="eastAsia" w:ascii="宋体" w:hAnsi="宋体" w:eastAsia="宋体" w:cs="宋体"/>
          <w:b/>
          <w:color w:val="auto"/>
          <w:kern w:val="0"/>
          <w:sz w:val="32"/>
          <w:szCs w:val="32"/>
          <w:highlight w:val="none"/>
          <w:lang w:eastAsia="zh-CN"/>
        </w:rPr>
        <w:t>若有</w:t>
      </w:r>
      <w:r>
        <w:rPr>
          <w:rFonts w:hint="eastAsia" w:ascii="宋体" w:hAnsi="宋体" w:eastAsia="宋体" w:cs="宋体"/>
          <w:b/>
          <w:color w:val="auto"/>
          <w:kern w:val="0"/>
          <w:sz w:val="32"/>
          <w:szCs w:val="32"/>
          <w:highlight w:val="none"/>
        </w:rPr>
        <w:t>）</w:t>
      </w:r>
    </w:p>
    <w:p w14:paraId="7EDECCBA">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0755065D">
      <w:pPr>
        <w:snapToGrid w:val="0"/>
        <w:spacing w:line="360" w:lineRule="auto"/>
        <w:ind w:right="480"/>
        <w:jc w:val="center"/>
        <w:rPr>
          <w:rFonts w:hint="eastAsia" w:ascii="宋体" w:hAnsi="宋体" w:eastAsia="宋体" w:cs="宋体"/>
          <w:b/>
          <w:color w:val="auto"/>
          <w:kern w:val="0"/>
          <w:sz w:val="32"/>
          <w:szCs w:val="32"/>
          <w:highlight w:val="none"/>
        </w:rPr>
      </w:pPr>
    </w:p>
    <w:p w14:paraId="15D2B2FF">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4FD90BA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2CB491FD">
      <w:pPr>
        <w:widowControl/>
        <w:spacing w:line="360" w:lineRule="auto"/>
        <w:ind w:firstLine="480"/>
        <w:jc w:val="left"/>
        <w:rPr>
          <w:rFonts w:hint="eastAsia" w:ascii="宋体" w:hAnsi="宋体" w:eastAsia="宋体" w:cs="宋体"/>
          <w:color w:val="auto"/>
          <w:sz w:val="24"/>
          <w:highlight w:val="none"/>
        </w:rPr>
      </w:pPr>
    </w:p>
    <w:p w14:paraId="55B81FAB">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1C90AF4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hint="eastAsia" w:ascii="宋体" w:hAnsi="宋体" w:eastAsia="宋体" w:cs="宋体"/>
          <w:b/>
          <w:color w:val="auto"/>
          <w:kern w:val="0"/>
          <w:sz w:val="32"/>
          <w:szCs w:val="32"/>
          <w:highlight w:val="none"/>
        </w:rPr>
      </w:pPr>
    </w:p>
    <w:p w14:paraId="7866B93F">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38DA3B3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428A8081">
      <w:pPr>
        <w:rPr>
          <w:rFonts w:hint="eastAsia" w:ascii="宋体" w:hAnsi="宋体" w:eastAsia="宋体" w:cs="宋体"/>
          <w:color w:val="auto"/>
          <w:highlight w:val="none"/>
        </w:rPr>
      </w:pPr>
    </w:p>
    <w:p w14:paraId="7421943D">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66D26039">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2391E201">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4D1330F8">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7F5FB88C">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75890F4E">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45EC7D76">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73FD8A7A">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3982E9C0">
      <w:pPr>
        <w:snapToGrid w:val="0"/>
        <w:spacing w:line="360" w:lineRule="auto"/>
        <w:ind w:left="479" w:leftChars="228"/>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en-US" w:eastAsia="zh-CN"/>
        </w:rPr>
        <w:t>9）</w:t>
      </w:r>
      <w:r>
        <w:rPr>
          <w:rFonts w:hint="eastAsia" w:ascii="宋体" w:hAnsi="宋体" w:eastAsia="宋体" w:cs="宋体"/>
          <w:b/>
          <w:bCs/>
          <w:color w:val="auto"/>
          <w:sz w:val="24"/>
          <w:highlight w:val="none"/>
          <w:lang w:val="zh-CN"/>
        </w:rPr>
        <w:t>政府采购活动现场确认声明书</w:t>
      </w:r>
      <w:r>
        <w:rPr>
          <w:rFonts w:hint="eastAsia" w:ascii="宋体" w:hAnsi="宋体" w:eastAsia="宋体" w:cs="宋体"/>
          <w:b/>
          <w:bCs/>
          <w:color w:val="auto"/>
          <w:highlight w:val="none"/>
        </w:rPr>
        <w:t>………………………</w:t>
      </w:r>
      <w:r>
        <w:rPr>
          <w:rFonts w:hint="eastAsia" w:ascii="宋体" w:hAnsi="宋体" w:eastAsia="宋体" w:cs="宋体"/>
          <w:color w:val="auto"/>
          <w:highlight w:val="none"/>
        </w:rPr>
        <w:t>………</w:t>
      </w:r>
      <w:r>
        <w:rPr>
          <w:rFonts w:hint="eastAsia" w:ascii="宋体" w:hAnsi="宋体" w:eastAsia="宋体" w:cs="宋体"/>
          <w:b/>
          <w:bCs/>
          <w:color w:val="auto"/>
          <w:highlight w:val="none"/>
        </w:rPr>
        <w:t>…</w:t>
      </w:r>
      <w:r>
        <w:rPr>
          <w:rFonts w:hint="eastAsia" w:ascii="宋体" w:hAnsi="宋体" w:eastAsia="宋体" w:cs="宋体"/>
          <w:color w:val="auto"/>
          <w:highlight w:val="none"/>
        </w:rPr>
        <w:t>…</w:t>
      </w:r>
      <w:r>
        <w:rPr>
          <w:rFonts w:hint="eastAsia" w:ascii="宋体" w:hAnsi="宋体" w:eastAsia="宋体" w:cs="宋体"/>
          <w:b/>
          <w:bCs/>
          <w:color w:val="auto"/>
          <w:highlight w:val="none"/>
        </w:rPr>
        <w:t>……………</w:t>
      </w:r>
      <w:r>
        <w:rPr>
          <w:rFonts w:hint="eastAsia" w:ascii="宋体" w:hAnsi="宋体" w:eastAsia="宋体" w:cs="宋体"/>
          <w:color w:val="auto"/>
          <w:highlight w:val="none"/>
        </w:rPr>
        <w:t>…</w:t>
      </w:r>
      <w:r>
        <w:rPr>
          <w:rFonts w:hint="eastAsia" w:ascii="宋体" w:hAnsi="宋体" w:eastAsia="宋体" w:cs="宋体"/>
          <w:b/>
          <w:bCs/>
          <w:color w:val="auto"/>
          <w:highlight w:val="none"/>
        </w:rPr>
        <w:t>（页码）</w:t>
      </w:r>
    </w:p>
    <w:p w14:paraId="0A7AD697">
      <w:pPr>
        <w:snapToGrid w:val="0"/>
        <w:spacing w:line="360" w:lineRule="auto"/>
        <w:jc w:val="center"/>
        <w:rPr>
          <w:rFonts w:hint="eastAsia" w:ascii="宋体" w:hAnsi="宋体" w:eastAsia="宋体" w:cs="宋体"/>
          <w:b/>
          <w:color w:val="auto"/>
          <w:kern w:val="0"/>
          <w:sz w:val="32"/>
          <w:szCs w:val="32"/>
          <w:highlight w:val="none"/>
          <w:lang w:val="zh-CN"/>
        </w:rPr>
      </w:pPr>
    </w:p>
    <w:p w14:paraId="53333492">
      <w:pPr>
        <w:snapToGrid w:val="0"/>
        <w:spacing w:line="360" w:lineRule="auto"/>
        <w:jc w:val="center"/>
        <w:rPr>
          <w:rFonts w:hint="eastAsia" w:ascii="宋体" w:hAnsi="宋体" w:eastAsia="宋体" w:cs="宋体"/>
          <w:b/>
          <w:color w:val="auto"/>
          <w:kern w:val="0"/>
          <w:sz w:val="32"/>
          <w:szCs w:val="32"/>
          <w:highlight w:val="none"/>
          <w:lang w:val="zh-CN"/>
        </w:rPr>
      </w:pPr>
    </w:p>
    <w:p w14:paraId="5448445B">
      <w:pPr>
        <w:snapToGrid w:val="0"/>
        <w:spacing w:line="360" w:lineRule="auto"/>
        <w:jc w:val="center"/>
        <w:rPr>
          <w:rFonts w:hint="eastAsia" w:ascii="宋体" w:hAnsi="宋体" w:eastAsia="宋体" w:cs="宋体"/>
          <w:b/>
          <w:color w:val="auto"/>
          <w:kern w:val="0"/>
          <w:sz w:val="32"/>
          <w:szCs w:val="32"/>
          <w:highlight w:val="none"/>
          <w:lang w:val="zh-CN"/>
        </w:rPr>
      </w:pPr>
    </w:p>
    <w:p w14:paraId="055DBFAE">
      <w:pPr>
        <w:snapToGrid w:val="0"/>
        <w:spacing w:line="360" w:lineRule="auto"/>
        <w:jc w:val="center"/>
        <w:rPr>
          <w:rFonts w:hint="eastAsia" w:ascii="宋体" w:hAnsi="宋体" w:eastAsia="宋体" w:cs="宋体"/>
          <w:b/>
          <w:color w:val="auto"/>
          <w:kern w:val="0"/>
          <w:sz w:val="32"/>
          <w:szCs w:val="32"/>
          <w:highlight w:val="none"/>
          <w:lang w:val="zh-CN"/>
        </w:rPr>
      </w:pPr>
    </w:p>
    <w:p w14:paraId="77B141C9">
      <w:pPr>
        <w:snapToGrid w:val="0"/>
        <w:spacing w:line="360" w:lineRule="auto"/>
        <w:jc w:val="center"/>
        <w:rPr>
          <w:rFonts w:hint="eastAsia" w:ascii="宋体" w:hAnsi="宋体" w:eastAsia="宋体" w:cs="宋体"/>
          <w:b/>
          <w:color w:val="auto"/>
          <w:kern w:val="0"/>
          <w:sz w:val="32"/>
          <w:szCs w:val="32"/>
          <w:highlight w:val="none"/>
          <w:lang w:val="zh-CN"/>
        </w:rPr>
      </w:pPr>
    </w:p>
    <w:p w14:paraId="2BA73D42">
      <w:pPr>
        <w:bidi w:val="0"/>
        <w:rPr>
          <w:rFonts w:hint="eastAsia" w:ascii="宋体" w:hAnsi="宋体" w:eastAsia="宋体" w:cs="宋体"/>
          <w:color w:val="auto"/>
          <w:highlight w:val="none"/>
        </w:rPr>
      </w:pPr>
    </w:p>
    <w:p w14:paraId="571402BA">
      <w:pPr>
        <w:bidi w:val="0"/>
        <w:rPr>
          <w:rFonts w:hint="eastAsia" w:ascii="宋体" w:hAnsi="宋体" w:eastAsia="宋体" w:cs="宋体"/>
          <w:color w:val="auto"/>
          <w:highlight w:val="none"/>
        </w:rPr>
      </w:pPr>
    </w:p>
    <w:p w14:paraId="79FF5851">
      <w:pPr>
        <w:bidi w:val="0"/>
        <w:rPr>
          <w:rFonts w:hint="eastAsia" w:ascii="宋体" w:hAnsi="宋体" w:eastAsia="宋体" w:cs="宋体"/>
          <w:color w:val="auto"/>
          <w:highlight w:val="none"/>
        </w:rPr>
      </w:pPr>
    </w:p>
    <w:p w14:paraId="06F31762">
      <w:pPr>
        <w:bidi w:val="0"/>
        <w:rPr>
          <w:rFonts w:hint="eastAsia" w:ascii="宋体" w:hAnsi="宋体" w:eastAsia="宋体" w:cs="宋体"/>
          <w:color w:val="auto"/>
          <w:highlight w:val="none"/>
        </w:rPr>
      </w:pPr>
    </w:p>
    <w:p w14:paraId="570FCA66">
      <w:pPr>
        <w:bidi w:val="0"/>
        <w:rPr>
          <w:rFonts w:hint="eastAsia" w:ascii="宋体" w:hAnsi="宋体" w:eastAsia="宋体" w:cs="宋体"/>
          <w:color w:val="auto"/>
          <w:highlight w:val="none"/>
        </w:rPr>
      </w:pPr>
    </w:p>
    <w:p w14:paraId="161E05CB">
      <w:pPr>
        <w:bidi w:val="0"/>
        <w:rPr>
          <w:rFonts w:hint="eastAsia" w:ascii="宋体" w:hAnsi="宋体" w:eastAsia="宋体" w:cs="宋体"/>
          <w:color w:val="auto"/>
          <w:highlight w:val="none"/>
          <w:lang w:val="en-US"/>
        </w:rPr>
      </w:pPr>
    </w:p>
    <w:p w14:paraId="4090F648">
      <w:pPr>
        <w:bidi w:val="0"/>
        <w:rPr>
          <w:rFonts w:hint="eastAsia" w:ascii="宋体" w:hAnsi="宋体" w:eastAsia="宋体" w:cs="宋体"/>
          <w:color w:val="auto"/>
          <w:highlight w:val="none"/>
        </w:rPr>
      </w:pPr>
    </w:p>
    <w:p w14:paraId="453C5B2D">
      <w:pPr>
        <w:bidi w:val="0"/>
        <w:rPr>
          <w:rFonts w:hint="eastAsia" w:ascii="宋体" w:hAnsi="宋体" w:eastAsia="宋体" w:cs="宋体"/>
          <w:color w:val="auto"/>
          <w:highlight w:val="none"/>
        </w:rPr>
      </w:pPr>
    </w:p>
    <w:p w14:paraId="416C00C9">
      <w:pPr>
        <w:snapToGrid w:val="0"/>
        <w:spacing w:line="360" w:lineRule="auto"/>
        <w:ind w:firstLine="3855" w:firstLineChars="1200"/>
        <w:outlineLvl w:val="0"/>
        <w:rPr>
          <w:rFonts w:hint="eastAsia" w:ascii="宋体" w:hAnsi="宋体" w:eastAsia="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6BD60D98">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一、投标函</w:t>
      </w:r>
    </w:p>
    <w:p w14:paraId="31F16AE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21E0DBF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我方参加你方组织的（项目名称）【招标编号：（采购编号）】招标的有关活动，并对此项目进行投标。为此：</w:t>
      </w:r>
    </w:p>
    <w:p w14:paraId="0E7A7EB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6A6099E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38C5A8F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3D5CB99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399BF17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p>
    <w:p w14:paraId="6187D7E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45D8019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15C18D9D">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0883262D">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2722C77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w:t>
      </w:r>
      <w:r>
        <w:rPr>
          <w:rFonts w:hint="eastAsia" w:ascii="宋体" w:hAnsi="宋体" w:eastAsia="宋体" w:cs="宋体"/>
          <w:snapToGrid w:val="0"/>
          <w:color w:val="auto"/>
          <w:kern w:val="28"/>
          <w:sz w:val="24"/>
          <w:szCs w:val="20"/>
          <w:highlight w:val="none"/>
          <w:lang w:eastAsia="zh-CN"/>
        </w:rPr>
        <w:t>若有</w:t>
      </w:r>
      <w:r>
        <w:rPr>
          <w:rFonts w:hint="eastAsia" w:ascii="宋体" w:hAnsi="宋体" w:eastAsia="宋体" w:cs="宋体"/>
          <w:snapToGrid w:val="0"/>
          <w:color w:val="auto"/>
          <w:kern w:val="28"/>
          <w:sz w:val="24"/>
          <w:szCs w:val="20"/>
          <w:highlight w:val="none"/>
        </w:rPr>
        <w:t>）</w:t>
      </w:r>
      <w:r>
        <w:rPr>
          <w:rFonts w:hint="eastAsia" w:ascii="宋体" w:hAnsi="宋体" w:eastAsia="宋体" w:cs="宋体"/>
          <w:color w:val="auto"/>
          <w:sz w:val="24"/>
          <w:highlight w:val="none"/>
        </w:rPr>
        <w:t>；</w:t>
      </w:r>
    </w:p>
    <w:p w14:paraId="7790783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3DBCA54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4034ABA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3DB9537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7E0D231E">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501EE619">
      <w:pPr>
        <w:snapToGrid w:val="0"/>
        <w:spacing w:line="360" w:lineRule="auto"/>
        <w:ind w:left="420" w:leftChars="200"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2.2.9</w:t>
      </w:r>
      <w:r>
        <w:rPr>
          <w:rFonts w:hint="eastAsia" w:ascii="宋体" w:hAnsi="宋体" w:eastAsia="宋体" w:cs="宋体"/>
          <w:b/>
          <w:bCs/>
          <w:color w:val="auto"/>
          <w:sz w:val="24"/>
          <w:highlight w:val="none"/>
          <w:lang w:val="zh-CN"/>
        </w:rPr>
        <w:t>政府采购活动现场确认声明书。</w:t>
      </w:r>
    </w:p>
    <w:p w14:paraId="762A4179">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3DC28D13">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若有</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14:paraId="1DF638B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2.3.3</w:t>
      </w:r>
      <w:r>
        <w:rPr>
          <w:rFonts w:hint="eastAsia" w:ascii="宋体" w:hAnsi="宋体" w:eastAsia="宋体" w:cs="宋体"/>
          <w:color w:val="auto"/>
          <w:sz w:val="24"/>
          <w:highlight w:val="none"/>
        </w:rPr>
        <w:t>报价情况说明（</w:t>
      </w:r>
      <w:r>
        <w:rPr>
          <w:rFonts w:hint="eastAsia" w:ascii="宋体" w:hAnsi="宋体" w:eastAsia="宋体" w:cs="宋体"/>
          <w:color w:val="auto"/>
          <w:sz w:val="24"/>
          <w:highlight w:val="none"/>
          <w:lang w:eastAsia="zh-CN"/>
        </w:rPr>
        <w:t>若有</w:t>
      </w:r>
      <w:r>
        <w:rPr>
          <w:rFonts w:hint="eastAsia" w:ascii="宋体" w:hAnsi="宋体" w:eastAsia="宋体" w:cs="宋体"/>
          <w:color w:val="auto"/>
          <w:sz w:val="24"/>
          <w:highlight w:val="none"/>
        </w:rPr>
        <w:t>）。</w:t>
      </w:r>
    </w:p>
    <w:p w14:paraId="1ECB695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5EBE666F">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219E3E7">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538A96B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EA609FE">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6C615743">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42512F4">
      <w:pPr>
        <w:snapToGrid w:val="0"/>
        <w:spacing w:line="360" w:lineRule="auto"/>
        <w:jc w:val="center"/>
        <w:rPr>
          <w:rFonts w:hint="eastAsia" w:ascii="宋体" w:hAnsi="宋体" w:eastAsia="宋体" w:cs="宋体"/>
          <w:b/>
          <w:color w:val="auto"/>
          <w:kern w:val="0"/>
          <w:sz w:val="32"/>
          <w:szCs w:val="32"/>
          <w:highlight w:val="none"/>
        </w:rPr>
      </w:pPr>
    </w:p>
    <w:p w14:paraId="2921107B">
      <w:pPr>
        <w:snapToGrid w:val="0"/>
        <w:spacing w:line="360" w:lineRule="auto"/>
        <w:rPr>
          <w:rFonts w:hint="eastAsia" w:ascii="宋体" w:hAnsi="宋体" w:eastAsia="宋体" w:cs="宋体"/>
          <w:color w:val="auto"/>
          <w:sz w:val="24"/>
          <w:highlight w:val="none"/>
        </w:rPr>
      </w:pPr>
    </w:p>
    <w:p w14:paraId="5696F610">
      <w:pPr>
        <w:jc w:val="both"/>
        <w:rPr>
          <w:rFonts w:hint="eastAsia" w:ascii="宋体" w:hAnsi="宋体" w:eastAsia="宋体" w:cs="宋体"/>
          <w:b/>
          <w:color w:val="auto"/>
          <w:kern w:val="0"/>
          <w:sz w:val="32"/>
          <w:szCs w:val="32"/>
          <w:highlight w:val="none"/>
        </w:rPr>
      </w:pPr>
    </w:p>
    <w:p w14:paraId="611AEBD3">
      <w:pPr>
        <w:jc w:val="both"/>
        <w:rPr>
          <w:rFonts w:hint="eastAsia" w:ascii="宋体" w:hAnsi="宋体" w:eastAsia="宋体" w:cs="宋体"/>
          <w:b/>
          <w:color w:val="auto"/>
          <w:kern w:val="0"/>
          <w:sz w:val="32"/>
          <w:szCs w:val="32"/>
          <w:highlight w:val="none"/>
        </w:rPr>
      </w:pPr>
    </w:p>
    <w:p w14:paraId="46A565B8">
      <w:pPr>
        <w:jc w:val="center"/>
        <w:rPr>
          <w:rFonts w:hint="eastAsia" w:ascii="宋体" w:hAnsi="宋体" w:eastAsia="宋体" w:cs="宋体"/>
          <w:b/>
          <w:color w:val="auto"/>
          <w:kern w:val="0"/>
          <w:sz w:val="32"/>
          <w:szCs w:val="32"/>
          <w:highlight w:val="none"/>
        </w:rPr>
      </w:pPr>
    </w:p>
    <w:p w14:paraId="45368C54">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61C3F6D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3828FD1">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58E36F3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4CE08C0C">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政府采购投标的一切事项，其法律后果由我方承担。</w:t>
      </w:r>
    </w:p>
    <w:p w14:paraId="4C7BF1D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6CE1909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0137913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703D2C8B">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08C7926C">
      <w:pPr>
        <w:snapToGrid w:val="0"/>
        <w:spacing w:line="360" w:lineRule="auto"/>
        <w:rPr>
          <w:rFonts w:hint="eastAsia" w:ascii="宋体" w:hAnsi="宋体" w:eastAsia="宋体" w:cs="宋体"/>
          <w:color w:val="auto"/>
          <w:sz w:val="24"/>
          <w:highlight w:val="none"/>
        </w:rPr>
      </w:pPr>
    </w:p>
    <w:p w14:paraId="3F0715FF">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7861042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3654DDF">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政府采购投标的一切事项，其法律后果由我方承担。</w:t>
      </w:r>
    </w:p>
    <w:p w14:paraId="6CB203D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8F0469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312DBF54">
      <w:pPr>
        <w:jc w:val="center"/>
        <w:rPr>
          <w:rFonts w:hint="eastAsia" w:ascii="宋体" w:hAnsi="宋体" w:eastAsia="宋体" w:cs="宋体"/>
          <w:b/>
          <w:color w:val="auto"/>
          <w:kern w:val="0"/>
          <w:sz w:val="32"/>
          <w:szCs w:val="32"/>
          <w:highlight w:val="none"/>
        </w:rPr>
      </w:pPr>
    </w:p>
    <w:p w14:paraId="57D7E0CE">
      <w:pPr>
        <w:jc w:val="center"/>
        <w:rPr>
          <w:rFonts w:hint="eastAsia" w:ascii="宋体" w:hAnsi="宋体" w:eastAsia="宋体" w:cs="宋体"/>
          <w:b/>
          <w:color w:val="auto"/>
          <w:kern w:val="0"/>
          <w:sz w:val="32"/>
          <w:szCs w:val="32"/>
          <w:highlight w:val="none"/>
        </w:rPr>
      </w:pPr>
    </w:p>
    <w:p w14:paraId="1E56B6E8">
      <w:pPr>
        <w:rPr>
          <w:rFonts w:hint="eastAsia" w:ascii="宋体" w:hAnsi="宋体" w:eastAsia="宋体" w:cs="宋体"/>
          <w:color w:val="auto"/>
          <w:highlight w:val="none"/>
        </w:rPr>
      </w:pPr>
    </w:p>
    <w:p w14:paraId="71285DFE">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2E761B0">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7D8B25B">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3F5E2A2C">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3022E7BD">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48CE7488">
      <w:pPr>
        <w:pStyle w:val="149"/>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7" w:hRule="atLeast"/>
          <w:jc w:val="center"/>
        </w:trPr>
        <w:tc>
          <w:tcPr>
            <w:tcW w:w="8800" w:type="dxa"/>
          </w:tcPr>
          <w:p w14:paraId="7A1DB6A2">
            <w:pPr>
              <w:pStyle w:val="149"/>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10785EB4">
            <w:pPr>
              <w:pStyle w:val="149"/>
              <w:adjustRightInd w:val="0"/>
              <w:spacing w:line="360" w:lineRule="auto"/>
              <w:rPr>
                <w:rFonts w:hint="eastAsia" w:ascii="宋体" w:hAnsi="宋体" w:eastAsia="宋体" w:cs="宋体"/>
                <w:bCs/>
                <w:color w:val="auto"/>
                <w:sz w:val="24"/>
                <w:highlight w:val="none"/>
              </w:rPr>
            </w:pPr>
          </w:p>
        </w:tc>
      </w:tr>
    </w:tbl>
    <w:p w14:paraId="197D004A">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0373E14">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77744DBD">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317D7B1">
      <w:pPr>
        <w:snapToGrid w:val="0"/>
        <w:spacing w:line="360" w:lineRule="auto"/>
        <w:ind w:right="480"/>
        <w:rPr>
          <w:rFonts w:hint="eastAsia" w:ascii="宋体" w:hAnsi="宋体" w:eastAsia="宋体" w:cs="宋体"/>
          <w:b/>
          <w:color w:val="auto"/>
          <w:kern w:val="0"/>
          <w:sz w:val="32"/>
          <w:szCs w:val="32"/>
          <w:highlight w:val="none"/>
        </w:rPr>
        <w:sectPr>
          <w:pgSz w:w="11906" w:h="16838"/>
          <w:pgMar w:top="1276" w:right="1418" w:bottom="1247" w:left="1418" w:header="851" w:footer="992" w:gutter="0"/>
          <w:pgNumType w:fmt="decimal"/>
          <w:cols w:space="720" w:num="1"/>
          <w:titlePg/>
          <w:docGrid w:linePitch="312" w:charSpace="0"/>
        </w:sectPr>
      </w:pPr>
    </w:p>
    <w:p w14:paraId="6FD48583">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w:t>
      </w:r>
      <w:r>
        <w:rPr>
          <w:rFonts w:hint="eastAsia" w:ascii="宋体" w:hAnsi="宋体" w:eastAsia="宋体" w:cs="宋体"/>
          <w:b/>
          <w:color w:val="auto"/>
          <w:kern w:val="0"/>
          <w:sz w:val="32"/>
          <w:szCs w:val="32"/>
          <w:highlight w:val="none"/>
          <w:lang w:eastAsia="zh-CN"/>
        </w:rPr>
        <w:t>若有</w:t>
      </w:r>
      <w:r>
        <w:rPr>
          <w:rFonts w:hint="eastAsia" w:ascii="宋体" w:hAnsi="宋体" w:eastAsia="宋体" w:cs="宋体"/>
          <w:b/>
          <w:color w:val="auto"/>
          <w:kern w:val="0"/>
          <w:sz w:val="32"/>
          <w:szCs w:val="32"/>
          <w:highlight w:val="none"/>
        </w:rPr>
        <w:t>）</w:t>
      </w:r>
    </w:p>
    <w:p w14:paraId="481C03C6">
      <w:pPr>
        <w:widowControl/>
        <w:spacing w:line="360" w:lineRule="auto"/>
        <w:ind w:firstLine="120" w:firstLineChars="50"/>
        <w:jc w:val="left"/>
        <w:rPr>
          <w:rFonts w:hint="eastAsia" w:ascii="宋体" w:hAnsi="宋体" w:eastAsia="宋体" w:cs="宋体"/>
          <w:color w:val="auto"/>
          <w:sz w:val="24"/>
          <w:highlight w:val="none"/>
        </w:rPr>
      </w:pPr>
      <w:bookmarkStart w:id="404"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404"/>
    <w:p w14:paraId="07890F6E">
      <w:pPr>
        <w:bidi w:val="0"/>
        <w:rPr>
          <w:rFonts w:hint="eastAsia" w:ascii="宋体" w:hAnsi="宋体" w:eastAsia="宋体" w:cs="宋体"/>
          <w:color w:val="auto"/>
          <w:highlight w:val="none"/>
          <w:lang w:val="en-US"/>
        </w:rPr>
      </w:pPr>
    </w:p>
    <w:p w14:paraId="51C55C4D">
      <w:pPr>
        <w:bidi w:val="0"/>
        <w:rPr>
          <w:rFonts w:hint="eastAsia" w:ascii="宋体" w:hAnsi="宋体" w:eastAsia="宋体" w:cs="宋体"/>
          <w:color w:val="auto"/>
          <w:highlight w:val="none"/>
        </w:rPr>
      </w:pPr>
    </w:p>
    <w:p w14:paraId="29B4F5CA">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69A1ED46">
      <w:pPr>
        <w:jc w:val="center"/>
        <w:rPr>
          <w:rFonts w:hint="eastAsia" w:ascii="宋体" w:hAnsi="宋体" w:eastAsia="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022759A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54D84488">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3DCCB3A2">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14:paraId="0F93422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23DD204C">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14:paraId="6473C495">
            <w:pPr>
              <w:rPr>
                <w:rFonts w:hint="eastAsia" w:ascii="宋体" w:hAnsi="宋体" w:eastAsia="宋体" w:cs="宋体"/>
                <w:color w:val="auto"/>
                <w:sz w:val="24"/>
                <w:highlight w:val="none"/>
              </w:rPr>
            </w:pPr>
          </w:p>
          <w:p w14:paraId="2EFD984F">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4D40010C">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14:paraId="69497F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54FEB1B3">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14:paraId="418A3ED7">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3</w:t>
            </w:r>
          </w:p>
        </w:tc>
        <w:tc>
          <w:tcPr>
            <w:tcW w:w="4991" w:type="dxa"/>
            <w:vAlign w:val="top"/>
          </w:tcPr>
          <w:p w14:paraId="0816E62A">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hint="eastAsia" w:ascii="宋体" w:hAnsi="宋体" w:eastAsia="宋体" w:cs="宋体"/>
                <w:color w:val="auto"/>
                <w:sz w:val="24"/>
                <w:highlight w:val="none"/>
              </w:rPr>
            </w:pPr>
            <w:r>
              <w:rPr>
                <w:rFonts w:hint="eastAsia" w:ascii="宋体" w:hAnsi="宋体" w:eastAsia="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rPr>
                <w:rFonts w:hint="eastAsia" w:ascii="宋体" w:hAnsi="宋体" w:eastAsia="宋体" w:cs="宋体"/>
                <w:color w:val="auto"/>
                <w:highlight w:val="none"/>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w:t>
            </w:r>
          </w:p>
        </w:tc>
        <w:tc>
          <w:tcPr>
            <w:tcW w:w="4991" w:type="dxa"/>
            <w:vAlign w:val="top"/>
          </w:tcPr>
          <w:p w14:paraId="1BD3FA50">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eastAsia="宋体" w:cs="宋体"/>
                <w:b w:val="0"/>
                <w:bCs w:val="0"/>
                <w:color w:val="auto"/>
                <w:sz w:val="24"/>
                <w:highlight w:val="none"/>
                <w:lang w:val="en-US" w:eastAsia="zh-CN"/>
              </w:rPr>
            </w:pPr>
          </w:p>
        </w:tc>
        <w:tc>
          <w:tcPr>
            <w:tcW w:w="1418" w:type="dxa"/>
            <w:vAlign w:val="top"/>
          </w:tcPr>
          <w:p w14:paraId="05C42D45">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color w:val="auto"/>
                <w:kern w:val="0"/>
                <w:sz w:val="24"/>
                <w:highlight w:val="none"/>
              </w:rPr>
              <w:t>……</w:t>
            </w:r>
          </w:p>
        </w:tc>
        <w:tc>
          <w:tcPr>
            <w:tcW w:w="4991" w:type="dxa"/>
            <w:vAlign w:val="top"/>
          </w:tcPr>
          <w:p w14:paraId="1460D33A">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w:t>
            </w:r>
            <w:r>
              <w:rPr>
                <w:rFonts w:hint="eastAsia" w:ascii="宋体" w:hAnsi="宋体" w:eastAsia="宋体" w:cs="宋体"/>
                <w:color w:val="auto"/>
                <w:kern w:val="0"/>
                <w:sz w:val="24"/>
                <w:highlight w:val="none"/>
              </w:rPr>
              <w:t>……</w:t>
            </w:r>
            <w:r>
              <w:rPr>
                <w:rFonts w:hint="eastAsia" w:ascii="宋体" w:hAnsi="宋体" w:eastAsia="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eastAsia="宋体" w:cs="宋体"/>
                <w:b w:val="0"/>
                <w:bCs w:val="0"/>
                <w:color w:val="auto"/>
                <w:sz w:val="24"/>
                <w:highlight w:val="none"/>
                <w:lang w:val="en-US" w:eastAsia="zh-CN"/>
              </w:rPr>
            </w:pPr>
          </w:p>
        </w:tc>
        <w:tc>
          <w:tcPr>
            <w:tcW w:w="1418" w:type="dxa"/>
            <w:vAlign w:val="top"/>
          </w:tcPr>
          <w:p w14:paraId="3228697A">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bl>
    <w:p w14:paraId="71B70E08">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4CF489CB">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20BAE25D">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color w:val="auto"/>
                <w:kern w:val="0"/>
                <w:sz w:val="24"/>
                <w:highlight w:val="none"/>
              </w:rPr>
              <w:t>……</w:t>
            </w:r>
          </w:p>
        </w:tc>
        <w:tc>
          <w:tcPr>
            <w:tcW w:w="5465" w:type="dxa"/>
          </w:tcPr>
          <w:p w14:paraId="0E1A2FB7">
            <w:pPr>
              <w:snapToGrid w:val="0"/>
              <w:spacing w:line="360" w:lineRule="auto"/>
              <w:jc w:val="center"/>
              <w:rPr>
                <w:rFonts w:hint="eastAsia" w:ascii="宋体" w:hAnsi="宋体" w:eastAsia="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bl>
    <w:p w14:paraId="6B42D008">
      <w:pPr>
        <w:pStyle w:val="79"/>
        <w:rPr>
          <w:rFonts w:hint="eastAsia" w:ascii="宋体" w:hAnsi="宋体" w:eastAsia="宋体" w:cs="宋体"/>
          <w:color w:val="auto"/>
          <w:highlight w:val="none"/>
        </w:rPr>
      </w:pPr>
    </w:p>
    <w:p w14:paraId="00E0E54A">
      <w:pPr>
        <w:jc w:val="center"/>
        <w:rPr>
          <w:rFonts w:hint="eastAsia" w:ascii="宋体" w:hAnsi="宋体" w:eastAsia="宋体" w:cs="宋体"/>
          <w:b/>
          <w:color w:val="auto"/>
          <w:kern w:val="0"/>
          <w:sz w:val="32"/>
          <w:szCs w:val="32"/>
          <w:highlight w:val="none"/>
        </w:rPr>
      </w:pPr>
    </w:p>
    <w:p w14:paraId="11A9EEFB">
      <w:pPr>
        <w:jc w:val="center"/>
        <w:rPr>
          <w:rFonts w:hint="eastAsia" w:ascii="宋体" w:hAnsi="宋体" w:eastAsia="宋体" w:cs="宋体"/>
          <w:b/>
          <w:color w:val="auto"/>
          <w:kern w:val="0"/>
          <w:sz w:val="32"/>
          <w:szCs w:val="32"/>
          <w:highlight w:val="none"/>
        </w:rPr>
      </w:pPr>
    </w:p>
    <w:p w14:paraId="679698A4">
      <w:pPr>
        <w:jc w:val="center"/>
        <w:rPr>
          <w:rFonts w:hint="eastAsia" w:ascii="宋体" w:hAnsi="宋体" w:eastAsia="宋体" w:cs="宋体"/>
          <w:b/>
          <w:color w:val="auto"/>
          <w:kern w:val="0"/>
          <w:sz w:val="32"/>
          <w:szCs w:val="32"/>
          <w:highlight w:val="none"/>
        </w:rPr>
      </w:pPr>
    </w:p>
    <w:p w14:paraId="17612F2D">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spacing w:line="360" w:lineRule="auto"/>
              <w:jc w:val="center"/>
              <w:rPr>
                <w:rFonts w:hint="eastAsia" w:ascii="宋体" w:hAnsi="宋体" w:eastAsia="宋体" w:cs="宋体"/>
                <w:b/>
                <w:color w:val="auto"/>
                <w:sz w:val="24"/>
                <w:highlight w:val="none"/>
              </w:rPr>
            </w:pPr>
          </w:p>
          <w:p w14:paraId="02F51E5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w:t>
            </w:r>
            <w:r>
              <w:rPr>
                <w:rFonts w:hint="eastAsia" w:ascii="宋体" w:hAnsi="宋体" w:eastAsia="宋体" w:cs="宋体"/>
                <w:b/>
                <w:color w:val="auto"/>
                <w:sz w:val="24"/>
                <w:highlight w:val="none"/>
                <w:lang w:eastAsia="zh-CN"/>
              </w:rPr>
              <w:t>若有</w:t>
            </w:r>
            <w:r>
              <w:rPr>
                <w:rFonts w:hint="eastAsia" w:ascii="宋体" w:hAnsi="宋体" w:eastAsia="宋体" w:cs="宋体"/>
                <w:b/>
                <w:color w:val="auto"/>
                <w:sz w:val="24"/>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hint="eastAsia" w:ascii="宋体" w:hAnsi="宋体" w:eastAsia="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hint="eastAsia" w:ascii="宋体" w:hAnsi="宋体" w:eastAsia="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hint="eastAsia" w:ascii="宋体" w:hAnsi="宋体" w:eastAsia="宋体" w:cs="宋体"/>
                <w:color w:val="auto"/>
                <w:sz w:val="24"/>
                <w:highlight w:val="none"/>
              </w:rPr>
            </w:pPr>
          </w:p>
        </w:tc>
      </w:tr>
    </w:tbl>
    <w:p w14:paraId="3FAFDB6A">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B07C9E8">
      <w:pPr>
        <w:jc w:val="center"/>
        <w:rPr>
          <w:rFonts w:hint="eastAsia" w:ascii="宋体" w:hAnsi="宋体" w:eastAsia="宋体" w:cs="宋体"/>
          <w:b/>
          <w:color w:val="auto"/>
          <w:kern w:val="0"/>
          <w:sz w:val="32"/>
          <w:szCs w:val="32"/>
          <w:highlight w:val="none"/>
        </w:rPr>
      </w:pPr>
    </w:p>
    <w:p w14:paraId="5402415D">
      <w:pPr>
        <w:jc w:val="center"/>
        <w:rPr>
          <w:rFonts w:hint="eastAsia" w:ascii="宋体" w:hAnsi="宋体" w:eastAsia="宋体" w:cs="宋体"/>
          <w:b/>
          <w:color w:val="auto"/>
          <w:kern w:val="0"/>
          <w:sz w:val="32"/>
          <w:szCs w:val="32"/>
          <w:highlight w:val="none"/>
        </w:rPr>
      </w:pPr>
    </w:p>
    <w:p w14:paraId="5044F512">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3E4EF47">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8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982FA8E">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180" w:type="dxa"/>
          </w:tcPr>
          <w:p w14:paraId="3B42634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062" w:type="dxa"/>
          </w:tcPr>
          <w:p w14:paraId="0FA21463">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102" w:type="dxa"/>
          </w:tcPr>
          <w:p w14:paraId="6EABD2B7">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1B2B90B">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180" w:type="dxa"/>
          </w:tcPr>
          <w:p w14:paraId="6B6935F5">
            <w:pPr>
              <w:jc w:val="center"/>
              <w:rPr>
                <w:rFonts w:hint="eastAsia" w:ascii="宋体" w:hAnsi="宋体" w:eastAsia="宋体" w:cs="宋体"/>
                <w:b/>
                <w:color w:val="auto"/>
                <w:kern w:val="0"/>
                <w:sz w:val="32"/>
                <w:szCs w:val="32"/>
                <w:highlight w:val="none"/>
              </w:rPr>
            </w:pPr>
          </w:p>
        </w:tc>
        <w:tc>
          <w:tcPr>
            <w:tcW w:w="3062" w:type="dxa"/>
          </w:tcPr>
          <w:p w14:paraId="5FF76456">
            <w:pPr>
              <w:jc w:val="center"/>
              <w:rPr>
                <w:rFonts w:hint="eastAsia" w:ascii="宋体" w:hAnsi="宋体" w:eastAsia="宋体" w:cs="宋体"/>
                <w:b/>
                <w:color w:val="auto"/>
                <w:kern w:val="0"/>
                <w:sz w:val="32"/>
                <w:szCs w:val="32"/>
                <w:highlight w:val="none"/>
              </w:rPr>
            </w:pPr>
          </w:p>
        </w:tc>
        <w:tc>
          <w:tcPr>
            <w:tcW w:w="1102" w:type="dxa"/>
          </w:tcPr>
          <w:p w14:paraId="277CD6D7">
            <w:pPr>
              <w:jc w:val="center"/>
              <w:rPr>
                <w:rFonts w:hint="eastAsia" w:ascii="宋体" w:hAnsi="宋体" w:eastAsia="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FA2FFE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180" w:type="dxa"/>
          </w:tcPr>
          <w:p w14:paraId="3D96D204">
            <w:pPr>
              <w:jc w:val="center"/>
              <w:rPr>
                <w:rFonts w:hint="eastAsia" w:ascii="宋体" w:hAnsi="宋体" w:eastAsia="宋体" w:cs="宋体"/>
                <w:b/>
                <w:color w:val="auto"/>
                <w:kern w:val="0"/>
                <w:sz w:val="32"/>
                <w:szCs w:val="32"/>
                <w:highlight w:val="none"/>
              </w:rPr>
            </w:pPr>
          </w:p>
        </w:tc>
        <w:tc>
          <w:tcPr>
            <w:tcW w:w="3062" w:type="dxa"/>
          </w:tcPr>
          <w:p w14:paraId="0A81AFEB">
            <w:pPr>
              <w:jc w:val="center"/>
              <w:rPr>
                <w:rFonts w:hint="eastAsia" w:ascii="宋体" w:hAnsi="宋体" w:eastAsia="宋体" w:cs="宋体"/>
                <w:b/>
                <w:color w:val="auto"/>
                <w:kern w:val="0"/>
                <w:sz w:val="32"/>
                <w:szCs w:val="32"/>
                <w:highlight w:val="none"/>
              </w:rPr>
            </w:pPr>
          </w:p>
        </w:tc>
        <w:tc>
          <w:tcPr>
            <w:tcW w:w="1102" w:type="dxa"/>
          </w:tcPr>
          <w:p w14:paraId="167149FF">
            <w:pPr>
              <w:jc w:val="center"/>
              <w:rPr>
                <w:rFonts w:hint="eastAsia" w:ascii="宋体" w:hAnsi="宋体" w:eastAsia="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6A5BFD2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180" w:type="dxa"/>
          </w:tcPr>
          <w:p w14:paraId="0A4801BD">
            <w:pPr>
              <w:jc w:val="center"/>
              <w:rPr>
                <w:rFonts w:hint="eastAsia" w:ascii="宋体" w:hAnsi="宋体" w:eastAsia="宋体" w:cs="宋体"/>
                <w:b/>
                <w:color w:val="auto"/>
                <w:kern w:val="0"/>
                <w:sz w:val="32"/>
                <w:szCs w:val="32"/>
                <w:highlight w:val="none"/>
              </w:rPr>
            </w:pPr>
          </w:p>
        </w:tc>
        <w:tc>
          <w:tcPr>
            <w:tcW w:w="3062" w:type="dxa"/>
          </w:tcPr>
          <w:p w14:paraId="25AE5A44">
            <w:pPr>
              <w:jc w:val="center"/>
              <w:rPr>
                <w:rFonts w:hint="eastAsia" w:ascii="宋体" w:hAnsi="宋体" w:eastAsia="宋体" w:cs="宋体"/>
                <w:b/>
                <w:color w:val="auto"/>
                <w:kern w:val="0"/>
                <w:sz w:val="32"/>
                <w:szCs w:val="32"/>
                <w:highlight w:val="none"/>
              </w:rPr>
            </w:pPr>
          </w:p>
        </w:tc>
        <w:tc>
          <w:tcPr>
            <w:tcW w:w="1102" w:type="dxa"/>
          </w:tcPr>
          <w:p w14:paraId="62B49A7F">
            <w:pPr>
              <w:jc w:val="center"/>
              <w:rPr>
                <w:rFonts w:hint="eastAsia" w:ascii="宋体" w:hAnsi="宋体" w:eastAsia="宋体" w:cs="宋体"/>
                <w:b/>
                <w:color w:val="auto"/>
                <w:kern w:val="0"/>
                <w:sz w:val="32"/>
                <w:szCs w:val="32"/>
                <w:highlight w:val="none"/>
              </w:rPr>
            </w:pPr>
          </w:p>
        </w:tc>
      </w:tr>
    </w:tbl>
    <w:p w14:paraId="64B7359B">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60B2AAAA">
      <w:pPr>
        <w:jc w:val="center"/>
        <w:rPr>
          <w:rFonts w:hint="eastAsia" w:ascii="宋体" w:hAnsi="宋体" w:eastAsia="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79"/>
        <w:rPr>
          <w:rFonts w:hint="eastAsia" w:ascii="宋体" w:hAnsi="宋体" w:eastAsia="宋体" w:cs="宋体"/>
          <w:color w:val="auto"/>
          <w:highlight w:val="none"/>
          <w:lang w:val="en-US" w:eastAsia="zh-CN"/>
        </w:rPr>
      </w:pPr>
    </w:p>
    <w:p w14:paraId="1E3ED79A">
      <w:pPr>
        <w:ind w:firstLine="1911" w:firstLineChars="595"/>
        <w:rPr>
          <w:rFonts w:hint="eastAsia" w:ascii="宋体" w:hAnsi="宋体" w:eastAsia="宋体" w:cs="宋体"/>
          <w:b/>
          <w:bCs/>
          <w:color w:val="auto"/>
          <w:sz w:val="32"/>
          <w:szCs w:val="32"/>
          <w:highlight w:val="none"/>
        </w:rPr>
      </w:pPr>
    </w:p>
    <w:p w14:paraId="0B2226BF">
      <w:pPr>
        <w:ind w:firstLine="1911" w:firstLineChars="595"/>
        <w:rPr>
          <w:rFonts w:hint="eastAsia" w:ascii="宋体" w:hAnsi="宋体" w:eastAsia="宋体" w:cs="宋体"/>
          <w:b/>
          <w:bCs/>
          <w:color w:val="auto"/>
          <w:sz w:val="32"/>
          <w:szCs w:val="32"/>
          <w:highlight w:val="none"/>
        </w:rPr>
      </w:pPr>
    </w:p>
    <w:p w14:paraId="035C106E">
      <w:pPr>
        <w:ind w:firstLine="1911" w:firstLineChars="595"/>
        <w:rPr>
          <w:rFonts w:hint="eastAsia" w:ascii="宋体" w:hAnsi="宋体" w:eastAsia="宋体" w:cs="宋体"/>
          <w:b/>
          <w:bCs/>
          <w:color w:val="auto"/>
          <w:sz w:val="32"/>
          <w:szCs w:val="32"/>
          <w:highlight w:val="none"/>
        </w:rPr>
      </w:pPr>
    </w:p>
    <w:p w14:paraId="2AC73259">
      <w:pPr>
        <w:ind w:firstLine="1911" w:firstLineChars="595"/>
        <w:rPr>
          <w:rFonts w:hint="eastAsia" w:ascii="宋体" w:hAnsi="宋体" w:eastAsia="宋体" w:cs="宋体"/>
          <w:b/>
          <w:bCs/>
          <w:color w:val="auto"/>
          <w:sz w:val="32"/>
          <w:szCs w:val="32"/>
          <w:highlight w:val="none"/>
        </w:rPr>
      </w:pPr>
    </w:p>
    <w:p w14:paraId="3CF83AF6">
      <w:pPr>
        <w:ind w:firstLine="1911" w:firstLineChars="595"/>
        <w:rPr>
          <w:rFonts w:hint="eastAsia" w:ascii="宋体" w:hAnsi="宋体" w:eastAsia="宋体" w:cs="宋体"/>
          <w:b/>
          <w:bCs/>
          <w:color w:val="auto"/>
          <w:sz w:val="32"/>
          <w:szCs w:val="32"/>
          <w:highlight w:val="none"/>
        </w:rPr>
      </w:pPr>
    </w:p>
    <w:p w14:paraId="29D7CE69">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4A2D4CE6">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656C1827">
      <w:pPr>
        <w:snapToGrid w:val="0"/>
        <w:spacing w:line="360" w:lineRule="auto"/>
        <w:rPr>
          <w:rFonts w:hint="eastAsia" w:ascii="宋体" w:hAnsi="宋体" w:eastAsia="宋体" w:cs="宋体"/>
          <w:color w:val="auto"/>
          <w:sz w:val="24"/>
          <w:highlight w:val="none"/>
        </w:rPr>
      </w:pPr>
    </w:p>
    <w:p w14:paraId="0B7B72C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6E2407ED">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5EDD992B">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3F1A69E">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3AFB02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3326E63A">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4D656AB8">
      <w:pPr>
        <w:spacing w:line="360" w:lineRule="auto"/>
        <w:jc w:val="center"/>
        <w:rPr>
          <w:rFonts w:hint="eastAsia" w:ascii="宋体" w:hAnsi="宋体" w:eastAsia="宋体" w:cs="宋体"/>
          <w:b/>
          <w:bCs/>
          <w:color w:val="auto"/>
          <w:sz w:val="24"/>
          <w:highlight w:val="none"/>
        </w:rPr>
      </w:pPr>
    </w:p>
    <w:p w14:paraId="68DB89C3">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A683A20">
      <w:pPr>
        <w:spacing w:line="360" w:lineRule="auto"/>
        <w:jc w:val="center"/>
        <w:rPr>
          <w:rFonts w:hint="eastAsia" w:ascii="宋体" w:hAnsi="宋体" w:eastAsia="宋体" w:cs="宋体"/>
          <w:b/>
          <w:bCs/>
          <w:color w:val="auto"/>
          <w:sz w:val="24"/>
          <w:highlight w:val="none"/>
        </w:rPr>
      </w:pPr>
    </w:p>
    <w:p w14:paraId="396EFC95">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7E3DD9AA">
      <w:pPr>
        <w:rPr>
          <w:rFonts w:hint="eastAsia" w:ascii="宋体" w:hAnsi="宋体" w:eastAsia="宋体" w:cs="宋体"/>
          <w:b/>
          <w:bCs/>
          <w:color w:val="auto"/>
          <w:sz w:val="24"/>
          <w:highlight w:val="none"/>
        </w:rPr>
      </w:pPr>
    </w:p>
    <w:p w14:paraId="3420E8D2">
      <w:pPr>
        <w:bidi w:val="0"/>
        <w:rPr>
          <w:rFonts w:hint="eastAsia" w:eastAsia="宋体"/>
          <w:b/>
          <w:bCs/>
          <w:color w:val="auto"/>
          <w:sz w:val="24"/>
          <w:szCs w:val="24"/>
          <w:highlight w:val="none"/>
          <w:lang w:val="en-US" w:eastAsia="zh-CN"/>
        </w:rPr>
      </w:pPr>
      <w:r>
        <w:rPr>
          <w:rFonts w:hint="eastAsia"/>
          <w:b/>
          <w:bCs/>
          <w:color w:val="auto"/>
          <w:sz w:val="24"/>
          <w:szCs w:val="24"/>
          <w:highlight w:val="none"/>
          <w:lang w:val="en-US"/>
        </w:rPr>
        <w:t>将以下表格填写完成后，与投标文件同步制作递交（</w:t>
      </w:r>
      <w:r>
        <w:rPr>
          <w:rFonts w:hint="eastAsia"/>
          <w:b/>
          <w:bCs/>
          <w:color w:val="auto"/>
          <w:sz w:val="24"/>
          <w:szCs w:val="24"/>
          <w:highlight w:val="none"/>
          <w:lang w:val="en-US" w:eastAsia="zh-CN"/>
        </w:rPr>
        <w:t>并</w:t>
      </w:r>
      <w:r>
        <w:rPr>
          <w:rFonts w:hint="eastAsia"/>
          <w:b/>
          <w:bCs/>
          <w:color w:val="auto"/>
          <w:sz w:val="24"/>
          <w:szCs w:val="24"/>
          <w:highlight w:val="none"/>
          <w:lang w:val="en-US"/>
        </w:rPr>
        <w:t>在电子投标文件解密后，自行核实下述承诺内容，如有不符，联系代理公司重新</w:t>
      </w:r>
      <w:r>
        <w:rPr>
          <w:rFonts w:hint="eastAsia"/>
          <w:b/>
          <w:bCs/>
          <w:color w:val="auto"/>
          <w:sz w:val="24"/>
          <w:szCs w:val="24"/>
          <w:highlight w:val="none"/>
          <w:lang w:val="en-US" w:eastAsia="zh-CN"/>
        </w:rPr>
        <w:t>邮箱</w:t>
      </w:r>
      <w:r>
        <w:rPr>
          <w:rFonts w:hint="eastAsia"/>
          <w:b/>
          <w:bCs/>
          <w:color w:val="auto"/>
          <w:sz w:val="24"/>
          <w:szCs w:val="24"/>
          <w:highlight w:val="none"/>
          <w:lang w:val="en-US"/>
        </w:rPr>
        <w:t>递交）</w:t>
      </w:r>
      <w:r>
        <w:rPr>
          <w:rFonts w:hint="eastAsia"/>
          <w:b/>
          <w:bCs/>
          <w:color w:val="auto"/>
          <w:sz w:val="24"/>
          <w:szCs w:val="24"/>
          <w:highlight w:val="none"/>
          <w:lang w:val="en-US" w:eastAsia="zh-CN"/>
        </w:rPr>
        <w:t>。</w:t>
      </w:r>
    </w:p>
    <w:p w14:paraId="645E8CB7">
      <w:pPr>
        <w:spacing w:before="0" w:line="596" w:lineRule="exact"/>
        <w:ind w:left="0" w:leftChars="0" w:right="0"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九、</w:t>
      </w:r>
      <w:r>
        <w:rPr>
          <w:rFonts w:hint="eastAsia" w:ascii="宋体" w:hAnsi="宋体" w:eastAsia="宋体" w:cs="宋体"/>
          <w:b/>
          <w:color w:val="auto"/>
          <w:sz w:val="32"/>
          <w:szCs w:val="32"/>
          <w:highlight w:val="none"/>
        </w:rPr>
        <w:t>政府采购活动现场确认声明书</w:t>
      </w:r>
    </w:p>
    <w:p w14:paraId="65DC0531">
      <w:pPr>
        <w:pStyle w:val="23"/>
        <w:spacing w:before="16"/>
        <w:rPr>
          <w:rFonts w:hint="eastAsia" w:ascii="宋体" w:hAnsi="宋体" w:eastAsia="宋体" w:cs="宋体"/>
          <w:b/>
          <w:color w:val="auto"/>
          <w:sz w:val="14"/>
          <w:highlight w:val="none"/>
        </w:rPr>
      </w:pPr>
    </w:p>
    <w:p w14:paraId="33F48DA8">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115"/>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浙江中达工程造价事务所有限公司:</w:t>
      </w:r>
    </w:p>
    <w:p w14:paraId="0CAE0093">
      <w:pPr>
        <w:pStyle w:val="23"/>
        <w:keepNext w:val="0"/>
        <w:keepLines w:val="0"/>
        <w:pageBreakBefore w:val="0"/>
        <w:widowControl w:val="0"/>
        <w:tabs>
          <w:tab w:val="left" w:pos="2336"/>
          <w:tab w:val="left" w:pos="8063"/>
          <w:tab w:val="left" w:pos="10383"/>
        </w:tabs>
        <w:kinsoku/>
        <w:wordWrap/>
        <w:overflowPunct/>
        <w:topLinePunct w:val="0"/>
        <w:autoSpaceDE w:val="0"/>
        <w:autoSpaceDN w:val="0"/>
        <w:bidi w:val="0"/>
        <w:adjustRightInd/>
        <w:snapToGrid/>
        <w:spacing w:before="0" w:line="360" w:lineRule="auto"/>
        <w:ind w:left="0" w:leftChars="0" w:firstLine="418" w:firstLineChars="181"/>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本人</w:t>
      </w:r>
      <w:r>
        <w:rPr>
          <w:rFonts w:hint="eastAsia" w:ascii="宋体" w:hAnsi="宋体" w:eastAsia="宋体" w:cs="宋体"/>
          <w:color w:val="auto"/>
          <w:w w:val="105"/>
          <w:sz w:val="22"/>
          <w:szCs w:val="22"/>
          <w:highlight w:val="none"/>
          <w:u w:val="single" w:color="212121"/>
        </w:rPr>
        <w:t xml:space="preserve"> </w:t>
      </w:r>
      <w:r>
        <w:rPr>
          <w:rFonts w:hint="eastAsia" w:ascii="宋体" w:hAnsi="宋体" w:eastAsia="宋体" w:cs="宋体"/>
          <w:color w:val="auto"/>
          <w:w w:val="105"/>
          <w:sz w:val="22"/>
          <w:szCs w:val="22"/>
          <w:highlight w:val="none"/>
          <w:u w:val="single" w:color="212121"/>
        </w:rPr>
        <w:tab/>
      </w:r>
      <w:r>
        <w:rPr>
          <w:rFonts w:hint="eastAsia" w:ascii="宋体" w:hAnsi="宋体" w:eastAsia="宋体" w:cs="宋体"/>
          <w:color w:val="auto"/>
          <w:w w:val="105"/>
          <w:sz w:val="22"/>
          <w:szCs w:val="22"/>
          <w:highlight w:val="none"/>
        </w:rPr>
        <w:t>（授权代表姓名），经由</w:t>
      </w:r>
      <w:r>
        <w:rPr>
          <w:rFonts w:hint="eastAsia" w:ascii="宋体" w:hAnsi="宋体" w:eastAsia="宋体" w:cs="宋体"/>
          <w:color w:val="auto"/>
          <w:w w:val="105"/>
          <w:sz w:val="22"/>
          <w:szCs w:val="22"/>
          <w:highlight w:val="none"/>
          <w:u w:val="single" w:color="212121"/>
        </w:rPr>
        <w:t xml:space="preserve"> </w:t>
      </w:r>
      <w:r>
        <w:rPr>
          <w:rFonts w:hint="eastAsia" w:ascii="宋体" w:hAnsi="宋体" w:eastAsia="宋体" w:cs="宋体"/>
          <w:color w:val="auto"/>
          <w:w w:val="105"/>
          <w:sz w:val="22"/>
          <w:szCs w:val="22"/>
          <w:highlight w:val="none"/>
          <w:u w:val="single" w:color="212121"/>
          <w:lang w:val="en-US" w:eastAsia="zh-CN"/>
        </w:rPr>
        <w:t xml:space="preserve">    </w:t>
      </w:r>
      <w:r>
        <w:rPr>
          <w:rFonts w:hint="eastAsia" w:ascii="宋体" w:hAnsi="宋体" w:eastAsia="宋体" w:cs="宋体"/>
          <w:color w:val="auto"/>
          <w:sz w:val="22"/>
          <w:szCs w:val="22"/>
          <w:highlight w:val="none"/>
        </w:rPr>
        <w:t>（单位）</w:t>
      </w:r>
      <w:r>
        <w:rPr>
          <w:rFonts w:hint="eastAsia" w:ascii="宋体" w:hAnsi="宋体" w:eastAsia="宋体" w:cs="宋体"/>
          <w:color w:val="auto"/>
          <w:spacing w:val="2"/>
          <w:sz w:val="22"/>
          <w:szCs w:val="22"/>
          <w:highlight w:val="none"/>
        </w:rPr>
        <w:t xml:space="preserve"> </w:t>
      </w:r>
      <w:r>
        <w:rPr>
          <w:rFonts w:hint="eastAsia" w:ascii="宋体" w:hAnsi="宋体" w:eastAsia="宋体" w:cs="宋体"/>
          <w:color w:val="auto"/>
          <w:w w:val="102"/>
          <w:sz w:val="22"/>
          <w:szCs w:val="22"/>
          <w:highlight w:val="none"/>
          <w:u w:val="single" w:color="212121"/>
          <w:lang w:val="en-US" w:eastAsia="zh-CN"/>
        </w:rPr>
        <w:t xml:space="preserve">        </w:t>
      </w:r>
      <w:r>
        <w:rPr>
          <w:rFonts w:hint="eastAsia" w:ascii="宋体" w:hAnsi="宋体" w:eastAsia="宋体" w:cs="宋体"/>
          <w:color w:val="auto"/>
          <w:sz w:val="22"/>
          <w:szCs w:val="22"/>
          <w:highlight w:val="none"/>
        </w:rPr>
        <w:t xml:space="preserve">（法定代表人姓名）合法授权参加 </w:t>
      </w:r>
      <w:r>
        <w:rPr>
          <w:rFonts w:hint="eastAsia" w:ascii="宋体" w:hAnsi="宋体" w:eastAsia="宋体" w:cs="宋体"/>
          <w:color w:val="auto"/>
          <w:sz w:val="22"/>
          <w:szCs w:val="22"/>
          <w:highlight w:val="none"/>
          <w:u w:val="single" w:color="222222"/>
          <w:lang w:val="en-US" w:eastAsia="zh-CN"/>
        </w:rPr>
        <w:t xml:space="preserve">              </w:t>
      </w:r>
      <w:r>
        <w:rPr>
          <w:rFonts w:hint="eastAsia" w:ascii="宋体" w:hAnsi="宋体" w:eastAsia="宋体" w:cs="宋体"/>
          <w:color w:val="auto"/>
          <w:sz w:val="22"/>
          <w:szCs w:val="22"/>
          <w:highlight w:val="none"/>
        </w:rPr>
        <w:t>（编号：</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）政府采购活动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经与本单位法人代表（负责人）联系确认，现就有关公平竞争事项郑重声明如下:</w:t>
      </w:r>
    </w:p>
    <w:p w14:paraId="45AD985B">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418" w:firstLineChars="181"/>
        <w:textAlignment w:val="auto"/>
        <w:rPr>
          <w:rFonts w:hint="eastAsia" w:ascii="宋体" w:hAnsi="宋体" w:eastAsia="宋体" w:cs="宋体"/>
          <w:color w:val="auto"/>
          <w:sz w:val="22"/>
          <w:szCs w:val="22"/>
          <w:highlight w:val="none"/>
          <w:u w:val="single"/>
          <w:lang w:val="en-US" w:eastAsia="zh-CN"/>
        </w:rPr>
      </w:pPr>
      <w:r>
        <w:rPr>
          <w:rFonts w:hint="eastAsia" w:ascii="宋体" w:hAnsi="宋体" w:eastAsia="宋体" w:cs="宋体"/>
          <w:color w:val="auto"/>
          <w:w w:val="105"/>
          <w:sz w:val="22"/>
          <w:szCs w:val="22"/>
          <w:highlight w:val="none"/>
        </w:rPr>
        <w:t>一、本单位与采购人之间</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u w:val="single"/>
        </w:rPr>
        <w:t>口</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rPr>
        <w:t>不存在利害关系</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u w:val="single"/>
        </w:rPr>
        <w:t>口</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rPr>
        <w:t>存在下列利害关系:</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u w:val="none"/>
          <w:lang w:val="en-US" w:eastAsia="zh-CN"/>
        </w:rPr>
        <w:t>。</w:t>
      </w:r>
    </w:p>
    <w:p w14:paraId="6CCDAE0E">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883"/>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A．投资关系</w:t>
      </w:r>
      <w:r>
        <w:rPr>
          <w:rFonts w:hint="eastAsia" w:ascii="宋体" w:hAnsi="宋体" w:eastAsia="宋体" w:cs="宋体"/>
          <w:color w:val="auto"/>
          <w:w w:val="105"/>
          <w:sz w:val="22"/>
          <w:szCs w:val="22"/>
          <w:highlight w:val="none"/>
          <w:lang w:val="en-US" w:eastAsia="zh-CN"/>
        </w:rPr>
        <w:t xml:space="preserve">        </w:t>
      </w:r>
      <w:r>
        <w:rPr>
          <w:rFonts w:hint="eastAsia" w:ascii="宋体" w:hAnsi="宋体" w:eastAsia="宋体" w:cs="宋体"/>
          <w:color w:val="auto"/>
          <w:sz w:val="22"/>
          <w:szCs w:val="22"/>
          <w:highlight w:val="none"/>
        </w:rPr>
        <w:t>B．行政隶属关系</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C．业务指导关系</w:t>
      </w:r>
    </w:p>
    <w:p w14:paraId="4A3C969A">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883"/>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D．其他可能影响采购公正的利害关系</w:t>
      </w:r>
      <w:r>
        <w:rPr>
          <w:rFonts w:hint="eastAsia" w:ascii="宋体" w:hAnsi="宋体" w:eastAsia="宋体" w:cs="宋体"/>
          <w:color w:val="auto"/>
          <w:w w:val="105"/>
          <w:sz w:val="22"/>
          <w:szCs w:val="22"/>
          <w:highlight w:val="none"/>
          <w:u w:val="single"/>
        </w:rPr>
        <w:t>（如有，请如实说明）</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rPr>
        <w:t>。</w:t>
      </w:r>
    </w:p>
    <w:p w14:paraId="14999400">
      <w:pPr>
        <w:pStyle w:val="23"/>
        <w:keepNext w:val="0"/>
        <w:keepLines w:val="0"/>
        <w:pageBreakBefore w:val="0"/>
        <w:widowControl w:val="0"/>
        <w:tabs>
          <w:tab w:val="left" w:pos="3356"/>
        </w:tabs>
        <w:kinsoku/>
        <w:wordWrap/>
        <w:overflowPunct/>
        <w:topLinePunct w:val="0"/>
        <w:autoSpaceDE w:val="0"/>
        <w:autoSpaceDN w:val="0"/>
        <w:bidi w:val="0"/>
        <w:adjustRightInd/>
        <w:snapToGrid/>
        <w:spacing w:before="0" w:line="360" w:lineRule="auto"/>
        <w:ind w:left="115" w:right="225" w:firstLine="384"/>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二、现己清楚知道参加本项目采购活动的其他所有供应商名称，本单位</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口</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rPr>
        <w:t>与其他所有供应商之间均不存</w:t>
      </w:r>
      <w:r>
        <w:rPr>
          <w:rFonts w:hint="eastAsia" w:ascii="宋体" w:hAnsi="宋体" w:eastAsia="宋体" w:cs="宋体"/>
          <w:color w:val="auto"/>
          <w:w w:val="105"/>
          <w:sz w:val="22"/>
          <w:szCs w:val="22"/>
          <w:highlight w:val="none"/>
        </w:rPr>
        <w:t>在利害关系</w:t>
      </w:r>
      <w:r>
        <w:rPr>
          <w:rFonts w:hint="eastAsia" w:ascii="宋体" w:hAnsi="宋体" w:eastAsia="宋体" w:cs="宋体"/>
          <w:color w:val="auto"/>
          <w:spacing w:val="-16"/>
          <w:w w:val="105"/>
          <w:sz w:val="22"/>
          <w:szCs w:val="22"/>
          <w:highlight w:val="none"/>
          <w:u w:val="single"/>
        </w:rPr>
        <w:t xml:space="preserve"> </w:t>
      </w:r>
      <w:r>
        <w:rPr>
          <w:rFonts w:hint="eastAsia" w:ascii="宋体" w:hAnsi="宋体" w:eastAsia="宋体" w:cs="宋体"/>
          <w:color w:val="auto"/>
          <w:w w:val="105"/>
          <w:sz w:val="22"/>
          <w:szCs w:val="22"/>
          <w:highlight w:val="none"/>
          <w:u w:val="single"/>
        </w:rPr>
        <w:t>口</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rPr>
        <w:t>与</w:t>
      </w:r>
      <w:r>
        <w:rPr>
          <w:rFonts w:hint="eastAsia" w:ascii="宋体" w:hAnsi="宋体" w:eastAsia="宋体" w:cs="宋体"/>
          <w:color w:val="auto"/>
          <w:w w:val="105"/>
          <w:sz w:val="22"/>
          <w:szCs w:val="22"/>
          <w:highlight w:val="none"/>
          <w:u w:val="single" w:color="212121"/>
        </w:rPr>
        <w:t xml:space="preserve"> </w:t>
      </w:r>
      <w:r>
        <w:rPr>
          <w:rFonts w:hint="eastAsia" w:ascii="宋体" w:hAnsi="宋体" w:eastAsia="宋体" w:cs="宋体"/>
          <w:color w:val="auto"/>
          <w:w w:val="105"/>
          <w:sz w:val="22"/>
          <w:szCs w:val="22"/>
          <w:highlight w:val="none"/>
          <w:u w:val="single" w:color="212121"/>
        </w:rPr>
        <w:tab/>
      </w:r>
      <w:r>
        <w:rPr>
          <w:rFonts w:hint="eastAsia" w:ascii="宋体" w:hAnsi="宋体" w:eastAsia="宋体" w:cs="宋体"/>
          <w:color w:val="auto"/>
          <w:w w:val="105"/>
          <w:sz w:val="22"/>
          <w:szCs w:val="22"/>
          <w:highlight w:val="none"/>
          <w:u w:val="single" w:color="212121"/>
          <w:lang w:val="en-US" w:eastAsia="zh-CN"/>
        </w:rPr>
        <w:t xml:space="preserve">                        </w:t>
      </w:r>
      <w:r>
        <w:rPr>
          <w:rFonts w:hint="eastAsia" w:ascii="宋体" w:hAnsi="宋体" w:eastAsia="宋体" w:cs="宋体"/>
          <w:color w:val="auto"/>
          <w:w w:val="105"/>
          <w:sz w:val="22"/>
          <w:szCs w:val="22"/>
          <w:highlight w:val="none"/>
        </w:rPr>
        <w:t>（供应商名称）之间存在下列利害关系:</w:t>
      </w:r>
    </w:p>
    <w:p w14:paraId="63E4EB0B">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A．法定代表人或负责人或实际控制人是同一人</w:t>
      </w:r>
    </w:p>
    <w:p w14:paraId="1D605002">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right="30" w:rightChars="0" w:firstLine="0" w:firstLineChars="0"/>
        <w:textAlignment w:val="auto"/>
        <w:rPr>
          <w:rFonts w:hint="eastAsia" w:ascii="宋体" w:hAnsi="宋体" w:eastAsia="宋体" w:cs="宋体"/>
          <w:color w:val="auto"/>
          <w:w w:val="105"/>
          <w:sz w:val="22"/>
          <w:szCs w:val="22"/>
          <w:highlight w:val="none"/>
        </w:rPr>
      </w:pPr>
      <w:r>
        <w:rPr>
          <w:rFonts w:hint="eastAsia" w:ascii="宋体" w:hAnsi="宋体" w:eastAsia="宋体" w:cs="宋体"/>
          <w:color w:val="auto"/>
          <w:w w:val="105"/>
          <w:sz w:val="22"/>
          <w:szCs w:val="22"/>
          <w:highlight w:val="none"/>
        </w:rPr>
        <w:t xml:space="preserve">B．法定代表人或负责人或实际控制人是夫妻关系 </w:t>
      </w:r>
    </w:p>
    <w:p w14:paraId="3C5B78B7">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right="3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C．法定代表人或负责人或实际控制人是直系血亲系</w:t>
      </w:r>
    </w:p>
    <w:p w14:paraId="7A168FF6">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D．法定代表人或负责人或实际控制人存在三代以内旁系血亲关系</w:t>
      </w:r>
    </w:p>
    <w:p w14:paraId="7BFBE244">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E．法定代表人或负责人或实际控制人存在近姻亲关系</w:t>
      </w:r>
    </w:p>
    <w:p w14:paraId="187F47B2">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F．法定代表人或负责人或实际控制人存在股份控制或实际控制关系</w:t>
      </w:r>
    </w:p>
    <w:p w14:paraId="215147E0">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640" w:leftChars="0" w:right="273"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 xml:space="preserve">G．存在共同直接或间接投资设立子公司、联营企业和合营企业情况                        </w:t>
      </w:r>
      <w:r>
        <w:rPr>
          <w:rFonts w:hint="eastAsia" w:ascii="宋体" w:hAnsi="宋体" w:eastAsia="宋体" w:cs="宋体"/>
          <w:color w:val="auto"/>
          <w:sz w:val="22"/>
          <w:szCs w:val="22"/>
          <w:highlight w:val="none"/>
        </w:rPr>
        <w:t>H．存在分级代理或代销关系、同一生产制造商关系、管理关系、重要业务（</w:t>
      </w:r>
      <w:r>
        <w:rPr>
          <w:rFonts w:hint="eastAsia" w:ascii="宋体" w:hAnsi="宋体" w:eastAsia="宋体" w:cs="宋体"/>
          <w:color w:val="auto"/>
          <w:spacing w:val="2"/>
          <w:sz w:val="22"/>
          <w:szCs w:val="22"/>
          <w:highlight w:val="none"/>
        </w:rPr>
        <w:t xml:space="preserve">占主营业务收入 </w:t>
      </w:r>
      <w:r>
        <w:rPr>
          <w:rFonts w:hint="eastAsia" w:ascii="宋体" w:hAnsi="宋体" w:eastAsia="宋体" w:cs="宋体"/>
          <w:color w:val="auto"/>
          <w:sz w:val="22"/>
          <w:szCs w:val="22"/>
          <w:highlight w:val="none"/>
        </w:rPr>
        <w:t>50</w:t>
      </w:r>
      <w:r>
        <w:rPr>
          <w:rFonts w:hint="eastAsia" w:ascii="宋体" w:hAnsi="宋体" w:eastAsia="宋体" w:cs="宋体"/>
          <w:color w:val="auto"/>
          <w:spacing w:val="12"/>
          <w:sz w:val="22"/>
          <w:szCs w:val="22"/>
          <w:highlight w:val="none"/>
        </w:rPr>
        <w:t xml:space="preserve"> ％</w:t>
      </w:r>
      <w:r>
        <w:rPr>
          <w:rFonts w:hint="eastAsia" w:ascii="宋体" w:hAnsi="宋体" w:eastAsia="宋体" w:cs="宋体"/>
          <w:color w:val="auto"/>
          <w:w w:val="105"/>
          <w:sz w:val="22"/>
          <w:szCs w:val="22"/>
          <w:highlight w:val="none"/>
        </w:rPr>
        <w:t>以上）或重要财务往来关系（如融资）等其他实质性控制关系</w:t>
      </w:r>
    </w:p>
    <w:p w14:paraId="7FC6B68C">
      <w:pPr>
        <w:pStyle w:val="23"/>
        <w:keepNext w:val="0"/>
        <w:keepLines w:val="0"/>
        <w:pageBreakBefore w:val="0"/>
        <w:widowControl w:val="0"/>
        <w:tabs>
          <w:tab w:val="left" w:pos="7367"/>
        </w:tabs>
        <w:kinsoku/>
        <w:wordWrap/>
        <w:overflowPunct/>
        <w:topLinePunct w:val="0"/>
        <w:autoSpaceDE w:val="0"/>
        <w:autoSpaceDN w:val="0"/>
        <w:bidi w:val="0"/>
        <w:adjustRightInd/>
        <w:snapToGrid/>
        <w:spacing w:before="0" w:line="360" w:lineRule="auto"/>
        <w:ind w:left="640" w:lef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I．其他利害关系情况</w:t>
      </w:r>
      <w:r>
        <w:rPr>
          <w:rFonts w:hint="eastAsia" w:ascii="宋体" w:hAnsi="宋体" w:eastAsia="宋体" w:cs="宋体"/>
          <w:color w:val="auto"/>
          <w:w w:val="105"/>
          <w:sz w:val="22"/>
          <w:szCs w:val="22"/>
          <w:highlight w:val="none"/>
          <w:u w:val="single" w:color="212121"/>
        </w:rPr>
        <w:t xml:space="preserve"> </w:t>
      </w:r>
      <w:r>
        <w:rPr>
          <w:rFonts w:hint="eastAsia" w:ascii="宋体" w:hAnsi="宋体" w:eastAsia="宋体" w:cs="宋体"/>
          <w:color w:val="auto"/>
          <w:w w:val="105"/>
          <w:sz w:val="22"/>
          <w:szCs w:val="22"/>
          <w:highlight w:val="none"/>
          <w:u w:val="single" w:color="212121"/>
        </w:rPr>
        <w:tab/>
      </w:r>
      <w:r>
        <w:rPr>
          <w:rFonts w:hint="eastAsia" w:ascii="宋体" w:hAnsi="宋体" w:eastAsia="宋体" w:cs="宋体"/>
          <w:color w:val="auto"/>
          <w:w w:val="105"/>
          <w:sz w:val="22"/>
          <w:szCs w:val="22"/>
          <w:highlight w:val="none"/>
        </w:rPr>
        <w:t>。</w:t>
      </w:r>
    </w:p>
    <w:p w14:paraId="7819A4C1">
      <w:pPr>
        <w:pStyle w:val="23"/>
        <w:keepNext w:val="0"/>
        <w:keepLines w:val="0"/>
        <w:pageBreakBefore w:val="0"/>
        <w:widowControl w:val="0"/>
        <w:kinsoku/>
        <w:wordWrap/>
        <w:overflowPunct/>
        <w:topLinePunct w:val="0"/>
        <w:autoSpaceDE w:val="0"/>
        <w:autoSpaceDN w:val="0"/>
        <w:bidi w:val="0"/>
        <w:adjustRightInd/>
        <w:snapToGrid/>
        <w:spacing w:before="0" w:line="360" w:lineRule="auto"/>
        <w:ind w:left="499"/>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三、现己清楚知道并严格遵守政府采购法律法规和现场纪律。</w:t>
      </w:r>
    </w:p>
    <w:p w14:paraId="7DCB841A">
      <w:pPr>
        <w:pStyle w:val="23"/>
        <w:keepNext w:val="0"/>
        <w:keepLines w:val="0"/>
        <w:pageBreakBefore w:val="0"/>
        <w:widowControl w:val="0"/>
        <w:tabs>
          <w:tab w:val="left" w:pos="3849"/>
          <w:tab w:val="left" w:pos="9144"/>
        </w:tabs>
        <w:kinsoku/>
        <w:wordWrap/>
        <w:overflowPunct/>
        <w:topLinePunct w:val="0"/>
        <w:autoSpaceDE w:val="0"/>
        <w:autoSpaceDN w:val="0"/>
        <w:bidi w:val="0"/>
        <w:adjustRightInd/>
        <w:snapToGrid/>
        <w:spacing w:before="0" w:line="360" w:lineRule="auto"/>
        <w:ind w:left="499" w:right="117"/>
        <w:textAlignment w:val="auto"/>
        <w:rPr>
          <w:rFonts w:hint="eastAsia" w:ascii="宋体" w:hAnsi="宋体" w:eastAsia="宋体" w:cs="宋体"/>
          <w:color w:val="auto"/>
          <w:sz w:val="22"/>
          <w:szCs w:val="22"/>
          <w:highlight w:val="none"/>
        </w:rPr>
      </w:pPr>
      <w:r>
        <w:rPr>
          <w:rFonts w:hint="eastAsia" w:ascii="宋体" w:hAnsi="宋体" w:eastAsia="宋体" w:cs="宋体"/>
          <w:color w:val="auto"/>
          <w:w w:val="105"/>
          <w:sz w:val="22"/>
          <w:szCs w:val="22"/>
          <w:highlight w:val="none"/>
        </w:rPr>
        <w:t>四、我发现</w:t>
      </w:r>
      <w:r>
        <w:rPr>
          <w:rFonts w:hint="eastAsia" w:ascii="宋体" w:hAnsi="宋体" w:eastAsia="宋体" w:cs="宋体"/>
          <w:color w:val="auto"/>
          <w:w w:val="105"/>
          <w:sz w:val="22"/>
          <w:szCs w:val="22"/>
          <w:highlight w:val="none"/>
          <w:u w:val="single"/>
          <w:lang w:val="en-US" w:eastAsia="zh-CN"/>
        </w:rPr>
        <w:t xml:space="preserve">         </w:t>
      </w:r>
      <w:r>
        <w:rPr>
          <w:rFonts w:hint="eastAsia" w:ascii="宋体" w:hAnsi="宋体" w:eastAsia="宋体" w:cs="宋体"/>
          <w:color w:val="auto"/>
          <w:w w:val="105"/>
          <w:sz w:val="22"/>
          <w:szCs w:val="22"/>
          <w:highlight w:val="none"/>
          <w:u w:val="single"/>
        </w:rPr>
        <w:t>供</w:t>
      </w:r>
      <w:r>
        <w:rPr>
          <w:rFonts w:hint="eastAsia" w:ascii="宋体" w:hAnsi="宋体" w:eastAsia="宋体" w:cs="宋体"/>
          <w:color w:val="auto"/>
          <w:w w:val="105"/>
          <w:sz w:val="22"/>
          <w:szCs w:val="22"/>
          <w:highlight w:val="none"/>
        </w:rPr>
        <w:t>应商之间存在或可能存在上述第二条第</w:t>
      </w:r>
      <w:r>
        <w:rPr>
          <w:rFonts w:hint="eastAsia" w:ascii="宋体" w:hAnsi="宋体" w:eastAsia="宋体" w:cs="宋体"/>
          <w:color w:val="auto"/>
          <w:w w:val="105"/>
          <w:sz w:val="22"/>
          <w:szCs w:val="22"/>
          <w:highlight w:val="none"/>
          <w:u w:val="single" w:color="212121"/>
        </w:rPr>
        <w:t xml:space="preserve"> </w:t>
      </w:r>
      <w:r>
        <w:rPr>
          <w:rFonts w:hint="eastAsia" w:ascii="宋体" w:hAnsi="宋体" w:eastAsia="宋体" w:cs="宋体"/>
          <w:color w:val="auto"/>
          <w:w w:val="105"/>
          <w:sz w:val="22"/>
          <w:szCs w:val="22"/>
          <w:highlight w:val="none"/>
          <w:u w:val="single" w:color="212121"/>
          <w:lang w:val="en-US" w:eastAsia="zh-CN"/>
        </w:rPr>
        <w:t xml:space="preserve">       </w:t>
      </w:r>
      <w:r>
        <w:rPr>
          <w:rFonts w:hint="eastAsia" w:ascii="宋体" w:hAnsi="宋体" w:eastAsia="宋体" w:cs="宋体"/>
          <w:color w:val="auto"/>
          <w:sz w:val="22"/>
          <w:szCs w:val="22"/>
          <w:highlight w:val="none"/>
        </w:rPr>
        <w:t>项利害关系。</w:t>
      </w:r>
    </w:p>
    <w:p w14:paraId="5DB9A982">
      <w:pPr>
        <w:spacing w:line="360" w:lineRule="auto"/>
        <w:rPr>
          <w:rFonts w:hint="eastAsia" w:ascii="宋体" w:hAnsi="宋体" w:eastAsia="宋体" w:cs="宋体"/>
          <w:color w:val="auto"/>
          <w:szCs w:val="21"/>
          <w:highlight w:val="none"/>
        </w:rPr>
      </w:pPr>
    </w:p>
    <w:p w14:paraId="5A268E8F">
      <w:pPr>
        <w:spacing w:line="360" w:lineRule="auto"/>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（供应商代表签名）: </w:t>
      </w:r>
    </w:p>
    <w:p w14:paraId="469E6B76">
      <w:pPr>
        <w:spacing w:line="360" w:lineRule="auto"/>
        <w:ind w:firstLine="420" w:firstLineChars="200"/>
        <w:jc w:val="right"/>
        <w:rPr>
          <w:rFonts w:hint="eastAsia" w:ascii="宋体" w:hAnsi="宋体" w:eastAsia="宋体" w:cs="宋体"/>
          <w:b/>
          <w:color w:val="auto"/>
          <w:sz w:val="36"/>
          <w:szCs w:val="20"/>
          <w:highlight w:val="none"/>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日</w:t>
      </w:r>
    </w:p>
    <w:p w14:paraId="0F1FCC14">
      <w:pPr>
        <w:spacing w:line="360" w:lineRule="auto"/>
        <w:jc w:val="center"/>
        <w:rPr>
          <w:rFonts w:hint="eastAsia" w:ascii="宋体" w:hAnsi="宋体" w:eastAsia="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1E654697">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60023703">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4D0B54E8">
      <w:pPr>
        <w:bidi w:val="0"/>
        <w:rPr>
          <w:rFonts w:hint="eastAsia" w:ascii="宋体" w:hAnsi="宋体" w:eastAsia="宋体" w:cs="宋体"/>
          <w:color w:val="auto"/>
          <w:highlight w:val="none"/>
        </w:rPr>
      </w:pPr>
    </w:p>
    <w:p w14:paraId="0A193278">
      <w:pPr>
        <w:numPr>
          <w:ilvl w:val="0"/>
          <w:numId w:val="25"/>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开标一览表（报价表）………………………………………………………（页码）</w:t>
      </w:r>
    </w:p>
    <w:p w14:paraId="7B65DB75">
      <w:pPr>
        <w:numPr>
          <w:ilvl w:val="0"/>
          <w:numId w:val="25"/>
        </w:numPr>
        <w:snapToGrid w:val="0"/>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中小企业声明函………………………………………………………………（页码）</w:t>
      </w:r>
    </w:p>
    <w:p w14:paraId="7BF5923B">
      <w:pPr>
        <w:numPr>
          <w:ilvl w:val="0"/>
          <w:numId w:val="25"/>
        </w:numPr>
        <w:snapToGrid w:val="0"/>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报价情况说明…………………………………………………………………（页码）</w:t>
      </w:r>
    </w:p>
    <w:p w14:paraId="0F82D58D">
      <w:pPr>
        <w:pStyle w:val="80"/>
        <w:rPr>
          <w:rFonts w:hint="eastAsia" w:ascii="宋体" w:hAnsi="宋体" w:eastAsia="宋体" w:cs="宋体"/>
          <w:color w:val="auto"/>
          <w:highlight w:val="none"/>
        </w:rPr>
      </w:pPr>
    </w:p>
    <w:p w14:paraId="724A403D">
      <w:pPr>
        <w:snapToGrid w:val="0"/>
        <w:spacing w:line="360" w:lineRule="auto"/>
        <w:ind w:right="480"/>
        <w:jc w:val="center"/>
        <w:rPr>
          <w:rFonts w:hint="eastAsia" w:ascii="宋体" w:hAnsi="宋体" w:eastAsia="宋体" w:cs="宋体"/>
          <w:b/>
          <w:color w:val="auto"/>
          <w:kern w:val="0"/>
          <w:sz w:val="32"/>
          <w:szCs w:val="32"/>
          <w:highlight w:val="none"/>
        </w:rPr>
      </w:pPr>
    </w:p>
    <w:p w14:paraId="2AD292DD">
      <w:pPr>
        <w:snapToGrid w:val="0"/>
        <w:spacing w:line="360" w:lineRule="auto"/>
        <w:ind w:right="480"/>
        <w:jc w:val="center"/>
        <w:rPr>
          <w:rFonts w:hint="eastAsia" w:ascii="宋体" w:hAnsi="宋体" w:eastAsia="宋体" w:cs="宋体"/>
          <w:b/>
          <w:color w:val="auto"/>
          <w:kern w:val="0"/>
          <w:sz w:val="32"/>
          <w:szCs w:val="32"/>
          <w:highlight w:val="none"/>
        </w:rPr>
      </w:pPr>
    </w:p>
    <w:p w14:paraId="16ED2E2B">
      <w:pPr>
        <w:snapToGrid w:val="0"/>
        <w:spacing w:line="360" w:lineRule="auto"/>
        <w:ind w:right="480"/>
        <w:jc w:val="center"/>
        <w:rPr>
          <w:rFonts w:hint="eastAsia" w:ascii="宋体" w:hAnsi="宋体" w:eastAsia="宋体" w:cs="宋体"/>
          <w:b/>
          <w:color w:val="auto"/>
          <w:kern w:val="0"/>
          <w:sz w:val="32"/>
          <w:szCs w:val="32"/>
          <w:highlight w:val="none"/>
        </w:rPr>
      </w:pPr>
    </w:p>
    <w:p w14:paraId="7958589A">
      <w:pPr>
        <w:snapToGrid w:val="0"/>
        <w:spacing w:line="360" w:lineRule="auto"/>
        <w:ind w:right="480"/>
        <w:jc w:val="center"/>
        <w:rPr>
          <w:rFonts w:hint="eastAsia" w:ascii="宋体" w:hAnsi="宋体" w:eastAsia="宋体" w:cs="宋体"/>
          <w:b/>
          <w:color w:val="auto"/>
          <w:kern w:val="0"/>
          <w:sz w:val="32"/>
          <w:szCs w:val="32"/>
          <w:highlight w:val="none"/>
        </w:rPr>
      </w:pPr>
    </w:p>
    <w:p w14:paraId="35C9038D">
      <w:pPr>
        <w:snapToGrid w:val="0"/>
        <w:spacing w:line="360" w:lineRule="auto"/>
        <w:ind w:right="480"/>
        <w:jc w:val="center"/>
        <w:rPr>
          <w:rFonts w:hint="eastAsia" w:ascii="宋体" w:hAnsi="宋体" w:eastAsia="宋体" w:cs="宋体"/>
          <w:b/>
          <w:color w:val="auto"/>
          <w:kern w:val="0"/>
          <w:sz w:val="32"/>
          <w:szCs w:val="32"/>
          <w:highlight w:val="none"/>
        </w:rPr>
      </w:pPr>
    </w:p>
    <w:p w14:paraId="1D5B9AE0">
      <w:pPr>
        <w:snapToGrid w:val="0"/>
        <w:spacing w:line="360" w:lineRule="auto"/>
        <w:ind w:right="480"/>
        <w:jc w:val="center"/>
        <w:rPr>
          <w:rFonts w:hint="eastAsia" w:ascii="宋体" w:hAnsi="宋体" w:eastAsia="宋体" w:cs="宋体"/>
          <w:b/>
          <w:color w:val="auto"/>
          <w:kern w:val="0"/>
          <w:sz w:val="32"/>
          <w:szCs w:val="32"/>
          <w:highlight w:val="none"/>
        </w:rPr>
      </w:pPr>
    </w:p>
    <w:p w14:paraId="2C2A99BD">
      <w:pPr>
        <w:snapToGrid w:val="0"/>
        <w:spacing w:line="360" w:lineRule="auto"/>
        <w:ind w:right="480"/>
        <w:jc w:val="center"/>
        <w:rPr>
          <w:rFonts w:hint="eastAsia" w:ascii="宋体" w:hAnsi="宋体" w:eastAsia="宋体" w:cs="宋体"/>
          <w:b/>
          <w:color w:val="auto"/>
          <w:kern w:val="0"/>
          <w:sz w:val="32"/>
          <w:szCs w:val="32"/>
          <w:highlight w:val="none"/>
        </w:rPr>
      </w:pPr>
    </w:p>
    <w:p w14:paraId="47AE970B">
      <w:pPr>
        <w:snapToGrid w:val="0"/>
        <w:spacing w:line="360" w:lineRule="auto"/>
        <w:ind w:right="480"/>
        <w:jc w:val="center"/>
        <w:rPr>
          <w:rFonts w:hint="eastAsia" w:ascii="宋体" w:hAnsi="宋体" w:eastAsia="宋体" w:cs="宋体"/>
          <w:b/>
          <w:color w:val="auto"/>
          <w:kern w:val="0"/>
          <w:sz w:val="32"/>
          <w:szCs w:val="32"/>
          <w:highlight w:val="none"/>
        </w:rPr>
      </w:pPr>
    </w:p>
    <w:p w14:paraId="00C49AA0">
      <w:pPr>
        <w:snapToGrid w:val="0"/>
        <w:spacing w:line="360" w:lineRule="auto"/>
        <w:ind w:right="480"/>
        <w:jc w:val="center"/>
        <w:rPr>
          <w:rFonts w:hint="eastAsia" w:ascii="宋体" w:hAnsi="宋体" w:eastAsia="宋体" w:cs="宋体"/>
          <w:b/>
          <w:color w:val="auto"/>
          <w:kern w:val="0"/>
          <w:sz w:val="32"/>
          <w:szCs w:val="32"/>
          <w:highlight w:val="none"/>
        </w:rPr>
      </w:pPr>
    </w:p>
    <w:p w14:paraId="5DB14DF2">
      <w:pPr>
        <w:snapToGrid w:val="0"/>
        <w:spacing w:line="360" w:lineRule="auto"/>
        <w:ind w:right="480"/>
        <w:jc w:val="center"/>
        <w:rPr>
          <w:rFonts w:hint="eastAsia" w:ascii="宋体" w:hAnsi="宋体" w:eastAsia="宋体" w:cs="宋体"/>
          <w:b/>
          <w:color w:val="auto"/>
          <w:kern w:val="0"/>
          <w:sz w:val="32"/>
          <w:szCs w:val="32"/>
          <w:highlight w:val="none"/>
        </w:rPr>
      </w:pPr>
    </w:p>
    <w:p w14:paraId="49686AD2">
      <w:pPr>
        <w:snapToGrid w:val="0"/>
        <w:spacing w:line="360" w:lineRule="auto"/>
        <w:ind w:right="480"/>
        <w:jc w:val="center"/>
        <w:rPr>
          <w:rFonts w:hint="eastAsia" w:ascii="宋体" w:hAnsi="宋体" w:eastAsia="宋体" w:cs="宋体"/>
          <w:b/>
          <w:color w:val="auto"/>
          <w:kern w:val="0"/>
          <w:sz w:val="32"/>
          <w:szCs w:val="32"/>
          <w:highlight w:val="none"/>
        </w:rPr>
      </w:pPr>
    </w:p>
    <w:p w14:paraId="3B8E05B7">
      <w:pPr>
        <w:snapToGrid w:val="0"/>
        <w:spacing w:line="360" w:lineRule="auto"/>
        <w:ind w:right="480"/>
        <w:jc w:val="center"/>
        <w:rPr>
          <w:rFonts w:hint="eastAsia" w:ascii="宋体" w:hAnsi="宋体" w:eastAsia="宋体" w:cs="宋体"/>
          <w:b/>
          <w:color w:val="auto"/>
          <w:kern w:val="0"/>
          <w:sz w:val="32"/>
          <w:szCs w:val="32"/>
          <w:highlight w:val="none"/>
        </w:rPr>
      </w:pPr>
    </w:p>
    <w:p w14:paraId="10B69816">
      <w:pPr>
        <w:snapToGrid w:val="0"/>
        <w:spacing w:line="360" w:lineRule="auto"/>
        <w:ind w:right="480"/>
        <w:jc w:val="center"/>
        <w:rPr>
          <w:rFonts w:hint="eastAsia" w:ascii="宋体" w:hAnsi="宋体" w:eastAsia="宋体" w:cs="宋体"/>
          <w:b/>
          <w:color w:val="auto"/>
          <w:kern w:val="0"/>
          <w:sz w:val="32"/>
          <w:szCs w:val="32"/>
          <w:highlight w:val="none"/>
        </w:rPr>
      </w:pPr>
    </w:p>
    <w:p w14:paraId="2CBB35E8">
      <w:pPr>
        <w:snapToGrid w:val="0"/>
        <w:spacing w:line="360" w:lineRule="auto"/>
        <w:ind w:right="480"/>
        <w:jc w:val="center"/>
        <w:rPr>
          <w:rFonts w:hint="eastAsia" w:ascii="宋体" w:hAnsi="宋体" w:eastAsia="宋体" w:cs="宋体"/>
          <w:b/>
          <w:color w:val="auto"/>
          <w:kern w:val="0"/>
          <w:sz w:val="32"/>
          <w:szCs w:val="32"/>
          <w:highlight w:val="none"/>
        </w:rPr>
      </w:pPr>
    </w:p>
    <w:p w14:paraId="55E9186B">
      <w:pPr>
        <w:pStyle w:val="694"/>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5C0F0B40">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eastAsia="zh-CN"/>
        </w:rPr>
        <w:t>一</w:t>
      </w:r>
      <w:r>
        <w:rPr>
          <w:rFonts w:hint="eastAsia" w:ascii="宋体" w:hAnsi="宋体" w:eastAsia="宋体" w:cs="宋体"/>
          <w:color w:val="auto"/>
          <w:kern w:val="2"/>
          <w:sz w:val="32"/>
          <w:szCs w:val="32"/>
          <w:highlight w:val="none"/>
        </w:rPr>
        <w:t>、开标一览表（报价表）</w:t>
      </w:r>
    </w:p>
    <w:p w14:paraId="055EEEF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4E72F1EB">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2922A1D8">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9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09"/>
        <w:gridCol w:w="1262"/>
        <w:gridCol w:w="2136"/>
        <w:gridCol w:w="680"/>
        <w:gridCol w:w="1068"/>
        <w:gridCol w:w="1359"/>
        <w:gridCol w:w="2136"/>
      </w:tblGrid>
      <w:tr w14:paraId="5D6A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526" w:type="dxa"/>
            <w:vAlign w:val="center"/>
          </w:tcPr>
          <w:p w14:paraId="4CED98F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809" w:type="dxa"/>
            <w:vAlign w:val="center"/>
          </w:tcPr>
          <w:p w14:paraId="6C526F0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262" w:type="dxa"/>
          </w:tcPr>
          <w:p w14:paraId="69EAB2F4">
            <w:pPr>
              <w:spacing w:line="360" w:lineRule="auto"/>
              <w:jc w:val="center"/>
              <w:rPr>
                <w:rFonts w:hint="eastAsia" w:ascii="宋体" w:hAnsi="宋体" w:eastAsia="宋体" w:cs="宋体"/>
                <w:b/>
                <w:color w:val="auto"/>
                <w:sz w:val="24"/>
                <w:highlight w:val="none"/>
              </w:rPr>
            </w:pPr>
          </w:p>
          <w:p w14:paraId="3C9FB3F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w:t>
            </w:r>
            <w:r>
              <w:rPr>
                <w:rFonts w:hint="eastAsia" w:ascii="宋体" w:hAnsi="宋体" w:eastAsia="宋体" w:cs="宋体"/>
                <w:b/>
                <w:color w:val="auto"/>
                <w:sz w:val="24"/>
                <w:highlight w:val="none"/>
                <w:lang w:eastAsia="zh-CN"/>
              </w:rPr>
              <w:t>若有</w:t>
            </w:r>
            <w:r>
              <w:rPr>
                <w:rFonts w:hint="eastAsia" w:ascii="宋体" w:hAnsi="宋体" w:eastAsia="宋体" w:cs="宋体"/>
                <w:b/>
                <w:color w:val="auto"/>
                <w:sz w:val="24"/>
                <w:highlight w:val="none"/>
              </w:rPr>
              <w:t>）</w:t>
            </w:r>
          </w:p>
        </w:tc>
        <w:tc>
          <w:tcPr>
            <w:tcW w:w="2136" w:type="dxa"/>
            <w:vAlign w:val="center"/>
          </w:tcPr>
          <w:p w14:paraId="4DE519B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680" w:type="dxa"/>
            <w:vAlign w:val="center"/>
          </w:tcPr>
          <w:p w14:paraId="16D6905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068" w:type="dxa"/>
            <w:vAlign w:val="center"/>
          </w:tcPr>
          <w:p w14:paraId="7C8C163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359" w:type="dxa"/>
            <w:vAlign w:val="center"/>
          </w:tcPr>
          <w:p w14:paraId="097AF92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2136" w:type="dxa"/>
            <w:vAlign w:val="center"/>
          </w:tcPr>
          <w:p w14:paraId="6BFE7B79">
            <w:pPr>
              <w:spacing w:line="360" w:lineRule="auto"/>
              <w:jc w:val="center"/>
              <w:rPr>
                <w:rFonts w:hint="eastAsia" w:ascii="宋体" w:hAnsi="宋体" w:eastAsia="宋体" w:cs="宋体"/>
                <w:b/>
                <w:color w:val="auto"/>
                <w:sz w:val="24"/>
                <w:highlight w:val="none"/>
              </w:rPr>
            </w:pPr>
          </w:p>
          <w:p w14:paraId="771C117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r>
              <w:rPr>
                <w:rFonts w:hint="eastAsia" w:ascii="宋体" w:hAnsi="宋体" w:eastAsia="宋体" w:cs="宋体"/>
                <w:b/>
                <w:color w:val="auto"/>
                <w:sz w:val="24"/>
                <w:highlight w:val="none"/>
                <w:lang w:eastAsia="zh-CN"/>
              </w:rPr>
              <w:t>若有</w:t>
            </w:r>
            <w:r>
              <w:rPr>
                <w:rFonts w:hint="eastAsia" w:ascii="宋体" w:hAnsi="宋体" w:eastAsia="宋体" w:cs="宋体"/>
                <w:b/>
                <w:color w:val="auto"/>
                <w:sz w:val="24"/>
                <w:highlight w:val="none"/>
              </w:rPr>
              <w:t>）</w:t>
            </w:r>
          </w:p>
          <w:p w14:paraId="183CBC43">
            <w:pPr>
              <w:spacing w:line="360" w:lineRule="auto"/>
              <w:jc w:val="center"/>
              <w:rPr>
                <w:rFonts w:hint="eastAsia" w:ascii="宋体" w:hAnsi="宋体" w:eastAsia="宋体" w:cs="宋体"/>
                <w:b/>
                <w:color w:val="auto"/>
                <w:sz w:val="24"/>
                <w:highlight w:val="none"/>
              </w:rPr>
            </w:pPr>
          </w:p>
        </w:tc>
      </w:tr>
      <w:tr w14:paraId="23B6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6" w:type="dxa"/>
            <w:vAlign w:val="center"/>
          </w:tcPr>
          <w:p w14:paraId="7EFB82F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09" w:type="dxa"/>
            <w:vAlign w:val="center"/>
          </w:tcPr>
          <w:p w14:paraId="289B4B9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262" w:type="dxa"/>
            <w:vAlign w:val="center"/>
          </w:tcPr>
          <w:p w14:paraId="173D8BF4">
            <w:pPr>
              <w:snapToGrid w:val="0"/>
              <w:spacing w:line="360" w:lineRule="auto"/>
              <w:jc w:val="center"/>
              <w:rPr>
                <w:rFonts w:hint="eastAsia" w:ascii="宋体" w:hAnsi="宋体" w:eastAsia="宋体" w:cs="宋体"/>
                <w:color w:val="auto"/>
                <w:sz w:val="24"/>
                <w:highlight w:val="none"/>
              </w:rPr>
            </w:pPr>
          </w:p>
        </w:tc>
        <w:tc>
          <w:tcPr>
            <w:tcW w:w="2136" w:type="dxa"/>
            <w:vAlign w:val="center"/>
          </w:tcPr>
          <w:p w14:paraId="44480681">
            <w:pPr>
              <w:snapToGrid w:val="0"/>
              <w:spacing w:line="360" w:lineRule="auto"/>
              <w:jc w:val="center"/>
              <w:rPr>
                <w:rFonts w:hint="eastAsia" w:ascii="宋体" w:hAnsi="宋体" w:eastAsia="宋体" w:cs="宋体"/>
                <w:color w:val="auto"/>
                <w:sz w:val="24"/>
                <w:highlight w:val="none"/>
              </w:rPr>
            </w:pPr>
          </w:p>
        </w:tc>
        <w:tc>
          <w:tcPr>
            <w:tcW w:w="680" w:type="dxa"/>
            <w:vAlign w:val="center"/>
          </w:tcPr>
          <w:p w14:paraId="710F4B21">
            <w:pPr>
              <w:snapToGrid w:val="0"/>
              <w:spacing w:line="360" w:lineRule="auto"/>
              <w:jc w:val="center"/>
              <w:rPr>
                <w:rFonts w:hint="eastAsia" w:ascii="宋体" w:hAnsi="宋体" w:eastAsia="宋体" w:cs="宋体"/>
                <w:color w:val="auto"/>
                <w:sz w:val="24"/>
                <w:highlight w:val="none"/>
              </w:rPr>
            </w:pPr>
          </w:p>
        </w:tc>
        <w:tc>
          <w:tcPr>
            <w:tcW w:w="1068" w:type="dxa"/>
            <w:vAlign w:val="center"/>
          </w:tcPr>
          <w:p w14:paraId="3F2F8909">
            <w:pPr>
              <w:spacing w:line="360" w:lineRule="auto"/>
              <w:jc w:val="center"/>
              <w:rPr>
                <w:rFonts w:hint="eastAsia" w:ascii="宋体" w:hAnsi="宋体" w:eastAsia="宋体" w:cs="宋体"/>
                <w:color w:val="auto"/>
                <w:sz w:val="24"/>
                <w:highlight w:val="none"/>
              </w:rPr>
            </w:pPr>
          </w:p>
        </w:tc>
        <w:tc>
          <w:tcPr>
            <w:tcW w:w="1359" w:type="dxa"/>
            <w:vAlign w:val="center"/>
          </w:tcPr>
          <w:p w14:paraId="735EE84F">
            <w:pPr>
              <w:spacing w:line="360" w:lineRule="auto"/>
              <w:jc w:val="center"/>
              <w:rPr>
                <w:rFonts w:hint="eastAsia" w:ascii="宋体" w:hAnsi="宋体" w:eastAsia="宋体" w:cs="宋体"/>
                <w:color w:val="auto"/>
                <w:sz w:val="24"/>
                <w:highlight w:val="none"/>
              </w:rPr>
            </w:pPr>
          </w:p>
        </w:tc>
        <w:tc>
          <w:tcPr>
            <w:tcW w:w="2136" w:type="dxa"/>
            <w:vAlign w:val="center"/>
          </w:tcPr>
          <w:p w14:paraId="4A99FF5D">
            <w:pPr>
              <w:spacing w:line="360" w:lineRule="auto"/>
              <w:jc w:val="center"/>
              <w:rPr>
                <w:rFonts w:hint="eastAsia" w:ascii="宋体" w:hAnsi="宋体" w:eastAsia="宋体" w:cs="宋体"/>
                <w:color w:val="auto"/>
                <w:sz w:val="24"/>
                <w:highlight w:val="none"/>
              </w:rPr>
            </w:pPr>
          </w:p>
        </w:tc>
      </w:tr>
      <w:tr w14:paraId="1E5F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6" w:type="dxa"/>
            <w:vAlign w:val="center"/>
          </w:tcPr>
          <w:p w14:paraId="581AB56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09" w:type="dxa"/>
            <w:vAlign w:val="center"/>
          </w:tcPr>
          <w:p w14:paraId="73643CB1">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262" w:type="dxa"/>
            <w:vAlign w:val="center"/>
          </w:tcPr>
          <w:p w14:paraId="5FD45479">
            <w:pPr>
              <w:snapToGrid w:val="0"/>
              <w:spacing w:line="360" w:lineRule="auto"/>
              <w:jc w:val="center"/>
              <w:rPr>
                <w:rFonts w:hint="eastAsia" w:ascii="宋体" w:hAnsi="宋体" w:eastAsia="宋体" w:cs="宋体"/>
                <w:color w:val="auto"/>
                <w:sz w:val="24"/>
                <w:highlight w:val="none"/>
              </w:rPr>
            </w:pPr>
          </w:p>
        </w:tc>
        <w:tc>
          <w:tcPr>
            <w:tcW w:w="2136" w:type="dxa"/>
            <w:vAlign w:val="center"/>
          </w:tcPr>
          <w:p w14:paraId="55A21B5D">
            <w:pPr>
              <w:snapToGrid w:val="0"/>
              <w:spacing w:line="360" w:lineRule="auto"/>
              <w:jc w:val="center"/>
              <w:rPr>
                <w:rFonts w:hint="eastAsia" w:ascii="宋体" w:hAnsi="宋体" w:eastAsia="宋体" w:cs="宋体"/>
                <w:color w:val="auto"/>
                <w:sz w:val="24"/>
                <w:highlight w:val="none"/>
              </w:rPr>
            </w:pPr>
          </w:p>
        </w:tc>
        <w:tc>
          <w:tcPr>
            <w:tcW w:w="680" w:type="dxa"/>
            <w:vAlign w:val="center"/>
          </w:tcPr>
          <w:p w14:paraId="49677DD8">
            <w:pPr>
              <w:snapToGrid w:val="0"/>
              <w:spacing w:line="360" w:lineRule="auto"/>
              <w:jc w:val="center"/>
              <w:rPr>
                <w:rFonts w:hint="eastAsia" w:ascii="宋体" w:hAnsi="宋体" w:eastAsia="宋体" w:cs="宋体"/>
                <w:color w:val="auto"/>
                <w:sz w:val="24"/>
                <w:highlight w:val="none"/>
              </w:rPr>
            </w:pPr>
          </w:p>
        </w:tc>
        <w:tc>
          <w:tcPr>
            <w:tcW w:w="1068" w:type="dxa"/>
            <w:vAlign w:val="center"/>
          </w:tcPr>
          <w:p w14:paraId="7467C26B">
            <w:pPr>
              <w:spacing w:line="360" w:lineRule="auto"/>
              <w:jc w:val="center"/>
              <w:rPr>
                <w:rFonts w:hint="eastAsia" w:ascii="宋体" w:hAnsi="宋体" w:eastAsia="宋体" w:cs="宋体"/>
                <w:color w:val="auto"/>
                <w:sz w:val="24"/>
                <w:highlight w:val="none"/>
              </w:rPr>
            </w:pPr>
          </w:p>
        </w:tc>
        <w:tc>
          <w:tcPr>
            <w:tcW w:w="1359" w:type="dxa"/>
            <w:vAlign w:val="center"/>
          </w:tcPr>
          <w:p w14:paraId="73096B2C">
            <w:pPr>
              <w:spacing w:line="360" w:lineRule="auto"/>
              <w:jc w:val="center"/>
              <w:rPr>
                <w:rFonts w:hint="eastAsia" w:ascii="宋体" w:hAnsi="宋体" w:eastAsia="宋体" w:cs="宋体"/>
                <w:color w:val="auto"/>
                <w:sz w:val="24"/>
                <w:highlight w:val="none"/>
              </w:rPr>
            </w:pPr>
          </w:p>
        </w:tc>
        <w:tc>
          <w:tcPr>
            <w:tcW w:w="2136" w:type="dxa"/>
            <w:vAlign w:val="center"/>
          </w:tcPr>
          <w:p w14:paraId="7A5940DB">
            <w:pPr>
              <w:spacing w:line="360" w:lineRule="auto"/>
              <w:jc w:val="center"/>
              <w:rPr>
                <w:rFonts w:hint="eastAsia" w:ascii="宋体" w:hAnsi="宋体" w:eastAsia="宋体" w:cs="宋体"/>
                <w:color w:val="auto"/>
                <w:sz w:val="24"/>
                <w:highlight w:val="none"/>
              </w:rPr>
            </w:pPr>
          </w:p>
        </w:tc>
      </w:tr>
      <w:tr w14:paraId="0419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6" w:type="dxa"/>
            <w:vAlign w:val="center"/>
          </w:tcPr>
          <w:p w14:paraId="0B750EA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809" w:type="dxa"/>
            <w:vAlign w:val="center"/>
          </w:tcPr>
          <w:p w14:paraId="4FD52B0E">
            <w:pPr>
              <w:snapToGrid w:val="0"/>
              <w:spacing w:line="360" w:lineRule="auto"/>
              <w:jc w:val="center"/>
              <w:rPr>
                <w:rFonts w:hint="eastAsia" w:ascii="宋体" w:hAnsi="宋体" w:eastAsia="宋体" w:cs="宋体"/>
                <w:color w:val="auto"/>
                <w:sz w:val="24"/>
                <w:highlight w:val="none"/>
              </w:rPr>
            </w:pPr>
          </w:p>
        </w:tc>
        <w:tc>
          <w:tcPr>
            <w:tcW w:w="1262" w:type="dxa"/>
            <w:vAlign w:val="center"/>
          </w:tcPr>
          <w:p w14:paraId="78885230">
            <w:pPr>
              <w:snapToGrid w:val="0"/>
              <w:spacing w:line="360" w:lineRule="auto"/>
              <w:jc w:val="center"/>
              <w:rPr>
                <w:rFonts w:hint="eastAsia" w:ascii="宋体" w:hAnsi="宋体" w:eastAsia="宋体" w:cs="宋体"/>
                <w:color w:val="auto"/>
                <w:sz w:val="24"/>
                <w:highlight w:val="none"/>
              </w:rPr>
            </w:pPr>
          </w:p>
        </w:tc>
        <w:tc>
          <w:tcPr>
            <w:tcW w:w="2136" w:type="dxa"/>
            <w:vAlign w:val="center"/>
          </w:tcPr>
          <w:p w14:paraId="17B6770F">
            <w:pPr>
              <w:snapToGrid w:val="0"/>
              <w:spacing w:line="360" w:lineRule="auto"/>
              <w:jc w:val="center"/>
              <w:rPr>
                <w:rFonts w:hint="eastAsia" w:ascii="宋体" w:hAnsi="宋体" w:eastAsia="宋体" w:cs="宋体"/>
                <w:color w:val="auto"/>
                <w:sz w:val="24"/>
                <w:highlight w:val="none"/>
              </w:rPr>
            </w:pPr>
          </w:p>
        </w:tc>
        <w:tc>
          <w:tcPr>
            <w:tcW w:w="680" w:type="dxa"/>
            <w:vAlign w:val="center"/>
          </w:tcPr>
          <w:p w14:paraId="02A80E96">
            <w:pPr>
              <w:snapToGrid w:val="0"/>
              <w:spacing w:line="360" w:lineRule="auto"/>
              <w:jc w:val="center"/>
              <w:rPr>
                <w:rFonts w:hint="eastAsia" w:ascii="宋体" w:hAnsi="宋体" w:eastAsia="宋体" w:cs="宋体"/>
                <w:color w:val="auto"/>
                <w:sz w:val="24"/>
                <w:highlight w:val="none"/>
              </w:rPr>
            </w:pPr>
          </w:p>
        </w:tc>
        <w:tc>
          <w:tcPr>
            <w:tcW w:w="1068" w:type="dxa"/>
            <w:vAlign w:val="center"/>
          </w:tcPr>
          <w:p w14:paraId="53CC5355">
            <w:pPr>
              <w:spacing w:line="360" w:lineRule="auto"/>
              <w:jc w:val="center"/>
              <w:rPr>
                <w:rFonts w:hint="eastAsia" w:ascii="宋体" w:hAnsi="宋体" w:eastAsia="宋体" w:cs="宋体"/>
                <w:color w:val="auto"/>
                <w:sz w:val="24"/>
                <w:highlight w:val="none"/>
              </w:rPr>
            </w:pPr>
          </w:p>
        </w:tc>
        <w:tc>
          <w:tcPr>
            <w:tcW w:w="1359" w:type="dxa"/>
            <w:vAlign w:val="center"/>
          </w:tcPr>
          <w:p w14:paraId="03163091">
            <w:pPr>
              <w:spacing w:line="360" w:lineRule="auto"/>
              <w:jc w:val="center"/>
              <w:rPr>
                <w:rFonts w:hint="eastAsia" w:ascii="宋体" w:hAnsi="宋体" w:eastAsia="宋体" w:cs="宋体"/>
                <w:color w:val="auto"/>
                <w:sz w:val="24"/>
                <w:highlight w:val="none"/>
              </w:rPr>
            </w:pPr>
          </w:p>
        </w:tc>
        <w:tc>
          <w:tcPr>
            <w:tcW w:w="2136" w:type="dxa"/>
            <w:vAlign w:val="center"/>
          </w:tcPr>
          <w:p w14:paraId="0ABC15EF">
            <w:pPr>
              <w:spacing w:line="360" w:lineRule="auto"/>
              <w:jc w:val="center"/>
              <w:rPr>
                <w:rFonts w:hint="eastAsia" w:ascii="宋体" w:hAnsi="宋体" w:eastAsia="宋体" w:cs="宋体"/>
                <w:color w:val="auto"/>
                <w:sz w:val="24"/>
                <w:highlight w:val="none"/>
              </w:rPr>
            </w:pPr>
          </w:p>
        </w:tc>
      </w:tr>
      <w:tr w14:paraId="38E7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6" w:type="dxa"/>
            <w:vAlign w:val="center"/>
          </w:tcPr>
          <w:p w14:paraId="4A4AE164">
            <w:pPr>
              <w:spacing w:line="360" w:lineRule="auto"/>
              <w:jc w:val="center"/>
              <w:rPr>
                <w:rFonts w:hint="eastAsia" w:ascii="宋体" w:hAnsi="宋体" w:eastAsia="宋体" w:cs="宋体"/>
                <w:color w:val="auto"/>
                <w:sz w:val="24"/>
                <w:highlight w:val="none"/>
              </w:rPr>
            </w:pPr>
          </w:p>
        </w:tc>
        <w:tc>
          <w:tcPr>
            <w:tcW w:w="809" w:type="dxa"/>
            <w:vAlign w:val="center"/>
          </w:tcPr>
          <w:p w14:paraId="289142DC">
            <w:pPr>
              <w:snapToGrid w:val="0"/>
              <w:spacing w:line="360" w:lineRule="auto"/>
              <w:jc w:val="center"/>
              <w:rPr>
                <w:rFonts w:hint="eastAsia" w:ascii="宋体" w:hAnsi="宋体" w:eastAsia="宋体" w:cs="宋体"/>
                <w:color w:val="auto"/>
                <w:sz w:val="24"/>
                <w:highlight w:val="none"/>
              </w:rPr>
            </w:pPr>
          </w:p>
        </w:tc>
        <w:tc>
          <w:tcPr>
            <w:tcW w:w="1262" w:type="dxa"/>
            <w:vAlign w:val="center"/>
          </w:tcPr>
          <w:p w14:paraId="06024A30">
            <w:pPr>
              <w:snapToGrid w:val="0"/>
              <w:spacing w:line="360" w:lineRule="auto"/>
              <w:jc w:val="center"/>
              <w:rPr>
                <w:rFonts w:hint="eastAsia" w:ascii="宋体" w:hAnsi="宋体" w:eastAsia="宋体" w:cs="宋体"/>
                <w:color w:val="auto"/>
                <w:sz w:val="24"/>
                <w:highlight w:val="none"/>
              </w:rPr>
            </w:pPr>
          </w:p>
        </w:tc>
        <w:tc>
          <w:tcPr>
            <w:tcW w:w="2136" w:type="dxa"/>
            <w:vAlign w:val="center"/>
          </w:tcPr>
          <w:p w14:paraId="79D40789">
            <w:pPr>
              <w:snapToGrid w:val="0"/>
              <w:spacing w:line="360" w:lineRule="auto"/>
              <w:jc w:val="center"/>
              <w:rPr>
                <w:rFonts w:hint="eastAsia" w:ascii="宋体" w:hAnsi="宋体" w:eastAsia="宋体" w:cs="宋体"/>
                <w:color w:val="auto"/>
                <w:sz w:val="24"/>
                <w:highlight w:val="none"/>
              </w:rPr>
            </w:pPr>
          </w:p>
        </w:tc>
        <w:tc>
          <w:tcPr>
            <w:tcW w:w="680" w:type="dxa"/>
            <w:vAlign w:val="center"/>
          </w:tcPr>
          <w:p w14:paraId="64887C13">
            <w:pPr>
              <w:snapToGrid w:val="0"/>
              <w:spacing w:line="360" w:lineRule="auto"/>
              <w:jc w:val="center"/>
              <w:rPr>
                <w:rFonts w:hint="eastAsia" w:ascii="宋体" w:hAnsi="宋体" w:eastAsia="宋体" w:cs="宋体"/>
                <w:color w:val="auto"/>
                <w:sz w:val="24"/>
                <w:highlight w:val="none"/>
              </w:rPr>
            </w:pPr>
          </w:p>
        </w:tc>
        <w:tc>
          <w:tcPr>
            <w:tcW w:w="1068" w:type="dxa"/>
            <w:vAlign w:val="center"/>
          </w:tcPr>
          <w:p w14:paraId="041E9A8F">
            <w:pPr>
              <w:spacing w:line="360" w:lineRule="auto"/>
              <w:jc w:val="center"/>
              <w:rPr>
                <w:rFonts w:hint="eastAsia" w:ascii="宋体" w:hAnsi="宋体" w:eastAsia="宋体" w:cs="宋体"/>
                <w:color w:val="auto"/>
                <w:sz w:val="24"/>
                <w:highlight w:val="none"/>
              </w:rPr>
            </w:pPr>
          </w:p>
        </w:tc>
        <w:tc>
          <w:tcPr>
            <w:tcW w:w="1359" w:type="dxa"/>
            <w:vAlign w:val="center"/>
          </w:tcPr>
          <w:p w14:paraId="66F77AD6">
            <w:pPr>
              <w:spacing w:line="360" w:lineRule="auto"/>
              <w:jc w:val="center"/>
              <w:rPr>
                <w:rFonts w:hint="eastAsia" w:ascii="宋体" w:hAnsi="宋体" w:eastAsia="宋体" w:cs="宋体"/>
                <w:color w:val="auto"/>
                <w:sz w:val="24"/>
                <w:highlight w:val="none"/>
              </w:rPr>
            </w:pPr>
          </w:p>
        </w:tc>
        <w:tc>
          <w:tcPr>
            <w:tcW w:w="2136" w:type="dxa"/>
            <w:vAlign w:val="center"/>
          </w:tcPr>
          <w:p w14:paraId="5B3035B9">
            <w:pPr>
              <w:spacing w:line="360" w:lineRule="auto"/>
              <w:jc w:val="center"/>
              <w:rPr>
                <w:rFonts w:hint="eastAsia" w:ascii="宋体" w:hAnsi="宋体" w:eastAsia="宋体" w:cs="宋体"/>
                <w:color w:val="auto"/>
                <w:sz w:val="24"/>
                <w:highlight w:val="none"/>
              </w:rPr>
            </w:pPr>
          </w:p>
        </w:tc>
      </w:tr>
      <w:tr w14:paraId="16ED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26" w:type="dxa"/>
            <w:vAlign w:val="center"/>
          </w:tcPr>
          <w:p w14:paraId="3F12D160">
            <w:pPr>
              <w:spacing w:line="360" w:lineRule="auto"/>
              <w:jc w:val="center"/>
              <w:rPr>
                <w:rFonts w:hint="eastAsia" w:ascii="宋体" w:hAnsi="宋体" w:eastAsia="宋体" w:cs="宋体"/>
                <w:color w:val="auto"/>
                <w:sz w:val="24"/>
                <w:highlight w:val="none"/>
              </w:rPr>
            </w:pPr>
          </w:p>
        </w:tc>
        <w:tc>
          <w:tcPr>
            <w:tcW w:w="809" w:type="dxa"/>
            <w:vAlign w:val="center"/>
          </w:tcPr>
          <w:p w14:paraId="2C42AC72">
            <w:pPr>
              <w:snapToGrid w:val="0"/>
              <w:spacing w:line="360" w:lineRule="auto"/>
              <w:jc w:val="center"/>
              <w:rPr>
                <w:rFonts w:hint="eastAsia" w:ascii="宋体" w:hAnsi="宋体" w:eastAsia="宋体" w:cs="宋体"/>
                <w:color w:val="auto"/>
                <w:sz w:val="24"/>
                <w:highlight w:val="none"/>
              </w:rPr>
            </w:pPr>
          </w:p>
        </w:tc>
        <w:tc>
          <w:tcPr>
            <w:tcW w:w="1262" w:type="dxa"/>
            <w:vAlign w:val="center"/>
          </w:tcPr>
          <w:p w14:paraId="50F8A97C">
            <w:pPr>
              <w:snapToGrid w:val="0"/>
              <w:spacing w:line="360" w:lineRule="auto"/>
              <w:jc w:val="center"/>
              <w:rPr>
                <w:rFonts w:hint="eastAsia" w:ascii="宋体" w:hAnsi="宋体" w:eastAsia="宋体" w:cs="宋体"/>
                <w:color w:val="auto"/>
                <w:sz w:val="24"/>
                <w:highlight w:val="none"/>
              </w:rPr>
            </w:pPr>
          </w:p>
        </w:tc>
        <w:tc>
          <w:tcPr>
            <w:tcW w:w="2136" w:type="dxa"/>
            <w:vAlign w:val="center"/>
          </w:tcPr>
          <w:p w14:paraId="51A685FB">
            <w:pPr>
              <w:snapToGrid w:val="0"/>
              <w:spacing w:line="360" w:lineRule="auto"/>
              <w:jc w:val="center"/>
              <w:rPr>
                <w:rFonts w:hint="eastAsia" w:ascii="宋体" w:hAnsi="宋体" w:eastAsia="宋体" w:cs="宋体"/>
                <w:color w:val="auto"/>
                <w:sz w:val="24"/>
                <w:highlight w:val="none"/>
              </w:rPr>
            </w:pPr>
          </w:p>
        </w:tc>
        <w:tc>
          <w:tcPr>
            <w:tcW w:w="680" w:type="dxa"/>
            <w:vAlign w:val="center"/>
          </w:tcPr>
          <w:p w14:paraId="4C576FFB">
            <w:pPr>
              <w:snapToGrid w:val="0"/>
              <w:spacing w:line="360" w:lineRule="auto"/>
              <w:jc w:val="center"/>
              <w:rPr>
                <w:rFonts w:hint="eastAsia" w:ascii="宋体" w:hAnsi="宋体" w:eastAsia="宋体" w:cs="宋体"/>
                <w:color w:val="auto"/>
                <w:sz w:val="24"/>
                <w:highlight w:val="none"/>
              </w:rPr>
            </w:pPr>
          </w:p>
        </w:tc>
        <w:tc>
          <w:tcPr>
            <w:tcW w:w="1068" w:type="dxa"/>
            <w:vAlign w:val="center"/>
          </w:tcPr>
          <w:p w14:paraId="3454DA6F">
            <w:pPr>
              <w:spacing w:line="360" w:lineRule="auto"/>
              <w:jc w:val="center"/>
              <w:rPr>
                <w:rFonts w:hint="eastAsia" w:ascii="宋体" w:hAnsi="宋体" w:eastAsia="宋体" w:cs="宋体"/>
                <w:color w:val="auto"/>
                <w:sz w:val="24"/>
                <w:highlight w:val="none"/>
              </w:rPr>
            </w:pPr>
          </w:p>
        </w:tc>
        <w:tc>
          <w:tcPr>
            <w:tcW w:w="1359" w:type="dxa"/>
            <w:vAlign w:val="center"/>
          </w:tcPr>
          <w:p w14:paraId="66FDCB29">
            <w:pPr>
              <w:spacing w:line="360" w:lineRule="auto"/>
              <w:jc w:val="center"/>
              <w:rPr>
                <w:rFonts w:hint="eastAsia" w:ascii="宋体" w:hAnsi="宋体" w:eastAsia="宋体" w:cs="宋体"/>
                <w:color w:val="auto"/>
                <w:sz w:val="24"/>
                <w:highlight w:val="none"/>
              </w:rPr>
            </w:pPr>
          </w:p>
        </w:tc>
        <w:tc>
          <w:tcPr>
            <w:tcW w:w="2136" w:type="dxa"/>
            <w:vAlign w:val="center"/>
          </w:tcPr>
          <w:p w14:paraId="2626E8B6">
            <w:pPr>
              <w:spacing w:line="360" w:lineRule="auto"/>
              <w:jc w:val="center"/>
              <w:rPr>
                <w:rFonts w:hint="eastAsia" w:ascii="宋体" w:hAnsi="宋体" w:eastAsia="宋体" w:cs="宋体"/>
                <w:color w:val="auto"/>
                <w:sz w:val="24"/>
                <w:highlight w:val="none"/>
              </w:rPr>
            </w:pPr>
          </w:p>
        </w:tc>
      </w:tr>
      <w:tr w14:paraId="062E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733" w:type="dxa"/>
            <w:gridSpan w:val="4"/>
            <w:vAlign w:val="center"/>
          </w:tcPr>
          <w:p w14:paraId="2A076D0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5243" w:type="dxa"/>
            <w:gridSpan w:val="4"/>
            <w:vAlign w:val="center"/>
          </w:tcPr>
          <w:p w14:paraId="32C5F8B2">
            <w:pPr>
              <w:spacing w:line="360" w:lineRule="auto"/>
              <w:jc w:val="center"/>
              <w:rPr>
                <w:rFonts w:hint="eastAsia" w:ascii="宋体" w:hAnsi="宋体" w:eastAsia="宋体" w:cs="宋体"/>
                <w:color w:val="auto"/>
                <w:sz w:val="24"/>
                <w:highlight w:val="none"/>
              </w:rPr>
            </w:pPr>
          </w:p>
        </w:tc>
      </w:tr>
      <w:tr w14:paraId="18AB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733" w:type="dxa"/>
            <w:gridSpan w:val="4"/>
            <w:vAlign w:val="center"/>
          </w:tcPr>
          <w:p w14:paraId="2551ECF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5243" w:type="dxa"/>
            <w:gridSpan w:val="4"/>
            <w:vAlign w:val="center"/>
          </w:tcPr>
          <w:p w14:paraId="79157A94">
            <w:pPr>
              <w:spacing w:line="360" w:lineRule="auto"/>
              <w:jc w:val="center"/>
              <w:rPr>
                <w:rFonts w:hint="eastAsia" w:ascii="宋体" w:hAnsi="宋体" w:eastAsia="宋体" w:cs="宋体"/>
                <w:color w:val="auto"/>
                <w:sz w:val="24"/>
                <w:highlight w:val="none"/>
              </w:rPr>
            </w:pPr>
          </w:p>
        </w:tc>
      </w:tr>
    </w:tbl>
    <w:p w14:paraId="25600DF6">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502EE88B">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4098AC0A">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3、特别提示：采购代理机构将对项目名称和项目编号，中标供应商名称、地址和中标金额，主要中标标的名称、品牌（若有）、规格型号、数量、单价等予以公示。</w:t>
      </w:r>
    </w:p>
    <w:p w14:paraId="0637BD7D">
      <w:pPr>
        <w:pStyle w:val="694"/>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二</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05" w:name="_Hlk101259491"/>
      <w:r>
        <w:rPr>
          <w:rFonts w:hint="eastAsia" w:ascii="宋体" w:hAnsi="宋体" w:eastAsia="宋体" w:cs="宋体"/>
          <w:color w:val="auto"/>
          <w:sz w:val="32"/>
          <w:szCs w:val="32"/>
          <w:highlight w:val="none"/>
        </w:rPr>
        <w:t>（</w:t>
      </w:r>
      <w:r>
        <w:rPr>
          <w:rFonts w:hint="eastAsia" w:ascii="宋体" w:hAnsi="宋体" w:eastAsia="宋体" w:cs="宋体"/>
          <w:b/>
          <w:bCs/>
          <w:color w:val="auto"/>
          <w:sz w:val="32"/>
          <w:szCs w:val="32"/>
          <w:highlight w:val="none"/>
          <w:lang w:val="en-US" w:eastAsia="zh-CN"/>
        </w:rPr>
        <w:t>若</w:t>
      </w:r>
      <w:r>
        <w:rPr>
          <w:rFonts w:hint="eastAsia" w:ascii="宋体" w:hAnsi="宋体" w:eastAsia="宋体" w:cs="宋体"/>
          <w:b/>
          <w:bCs/>
          <w:color w:val="auto"/>
          <w:sz w:val="32"/>
          <w:szCs w:val="32"/>
          <w:highlight w:val="none"/>
        </w:rPr>
        <w:t>有</w:t>
      </w:r>
      <w:r>
        <w:rPr>
          <w:rFonts w:hint="eastAsia" w:ascii="宋体" w:hAnsi="宋体" w:eastAsia="宋体" w:cs="宋体"/>
          <w:color w:val="auto"/>
          <w:sz w:val="32"/>
          <w:szCs w:val="32"/>
          <w:highlight w:val="none"/>
        </w:rPr>
        <w:t>）</w:t>
      </w:r>
      <w:bookmarkEnd w:id="405"/>
    </w:p>
    <w:p w14:paraId="5CAFE1C1">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E93776B">
      <w:pPr>
        <w:jc w:val="center"/>
        <w:rPr>
          <w:rFonts w:hint="eastAsia" w:ascii="宋体" w:hAnsi="宋体" w:eastAsia="宋体" w:cs="宋体"/>
          <w:b/>
          <w:bCs/>
          <w:color w:val="auto"/>
          <w:sz w:val="32"/>
          <w:szCs w:val="32"/>
          <w:highlight w:val="none"/>
          <w:lang w:val="en-US" w:eastAsia="zh-CN"/>
        </w:rPr>
      </w:pPr>
    </w:p>
    <w:p w14:paraId="23B1431F">
      <w:pPr>
        <w:jc w:val="center"/>
        <w:rPr>
          <w:rFonts w:hint="eastAsia" w:ascii="宋体" w:hAnsi="宋体" w:eastAsia="宋体" w:cs="宋体"/>
          <w:b/>
          <w:bCs/>
          <w:color w:val="auto"/>
          <w:sz w:val="32"/>
          <w:szCs w:val="32"/>
          <w:highlight w:val="none"/>
          <w:lang w:val="en-US" w:eastAsia="zh-CN"/>
        </w:rPr>
      </w:pPr>
    </w:p>
    <w:p w14:paraId="3AB3C118">
      <w:pPr>
        <w:jc w:val="center"/>
        <w:rPr>
          <w:rFonts w:hint="eastAsia" w:ascii="宋体" w:hAnsi="宋体" w:eastAsia="宋体" w:cs="宋体"/>
          <w:b/>
          <w:bCs/>
          <w:color w:val="auto"/>
          <w:sz w:val="32"/>
          <w:szCs w:val="32"/>
          <w:highlight w:val="none"/>
          <w:lang w:val="en-US" w:eastAsia="zh-CN"/>
        </w:rPr>
      </w:pPr>
    </w:p>
    <w:p w14:paraId="0FCE0D72">
      <w:pPr>
        <w:jc w:val="center"/>
        <w:rPr>
          <w:rFonts w:hint="eastAsia" w:ascii="宋体" w:hAnsi="宋体" w:eastAsia="宋体" w:cs="宋体"/>
          <w:b/>
          <w:bCs/>
          <w:color w:val="auto"/>
          <w:sz w:val="32"/>
          <w:szCs w:val="32"/>
          <w:highlight w:val="none"/>
          <w:lang w:val="en-US" w:eastAsia="zh-CN"/>
        </w:rPr>
      </w:pPr>
    </w:p>
    <w:p w14:paraId="7B5B95DA">
      <w:pPr>
        <w:jc w:val="center"/>
        <w:rPr>
          <w:rFonts w:hint="eastAsia" w:ascii="宋体" w:hAnsi="宋体" w:eastAsia="宋体" w:cs="宋体"/>
          <w:b/>
          <w:bCs/>
          <w:color w:val="auto"/>
          <w:sz w:val="32"/>
          <w:szCs w:val="32"/>
          <w:highlight w:val="none"/>
          <w:lang w:val="en-US" w:eastAsia="zh-CN"/>
        </w:rPr>
      </w:pPr>
    </w:p>
    <w:p w14:paraId="34374944">
      <w:pPr>
        <w:jc w:val="center"/>
        <w:rPr>
          <w:rFonts w:hint="eastAsia" w:ascii="宋体" w:hAnsi="宋体" w:eastAsia="宋体" w:cs="宋体"/>
          <w:b/>
          <w:bCs/>
          <w:color w:val="auto"/>
          <w:sz w:val="32"/>
          <w:szCs w:val="32"/>
          <w:highlight w:val="none"/>
          <w:lang w:val="en-US" w:eastAsia="zh-CN"/>
        </w:rPr>
      </w:pPr>
    </w:p>
    <w:p w14:paraId="70CA1323">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、报价情况说明（</w:t>
      </w:r>
      <w:r>
        <w:rPr>
          <w:rFonts w:hint="eastAsia" w:ascii="宋体" w:hAnsi="宋体" w:eastAsia="宋体" w:cs="宋体"/>
          <w:b/>
          <w:bCs/>
          <w:color w:val="auto"/>
          <w:sz w:val="32"/>
          <w:szCs w:val="32"/>
          <w:highlight w:val="none"/>
          <w:lang w:val="en-US" w:eastAsia="zh-CN"/>
        </w:rPr>
        <w:t>若</w:t>
      </w:r>
      <w:r>
        <w:rPr>
          <w:rFonts w:hint="eastAsia" w:ascii="宋体" w:hAnsi="宋体" w:eastAsia="宋体" w:cs="宋体"/>
          <w:b/>
          <w:bCs/>
          <w:color w:val="auto"/>
          <w:sz w:val="32"/>
          <w:szCs w:val="32"/>
          <w:highlight w:val="none"/>
        </w:rPr>
        <w:t>有）</w:t>
      </w:r>
    </w:p>
    <w:p w14:paraId="45F1D9AF">
      <w:pPr>
        <w:pStyle w:val="694"/>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468FD30C">
      <w:pPr>
        <w:pStyle w:val="694"/>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r>
        <w:rPr>
          <w:rFonts w:hint="eastAsia" w:ascii="宋体" w:hAnsi="宋体" w:eastAsia="宋体" w:cs="宋体"/>
          <w:b w:val="0"/>
          <w:color w:val="auto"/>
          <w:sz w:val="32"/>
          <w:szCs w:val="32"/>
          <w:highlight w:val="none"/>
        </w:rPr>
        <w:t>注：如供应商报价低于项目预算50%的，应当提交本文档，详细阐述不影响产品质量或者诚信履约的具体原因。</w:t>
      </w:r>
    </w:p>
    <w:p w14:paraId="26C434BB">
      <w:pPr>
        <w:spacing w:line="360" w:lineRule="auto"/>
        <w:ind w:right="420" w:firstLine="3614" w:firstLineChars="1000"/>
        <w:rPr>
          <w:rFonts w:hint="eastAsia" w:ascii="宋体" w:hAnsi="宋体" w:eastAsia="宋体" w:cs="宋体"/>
          <w:b/>
          <w:color w:val="auto"/>
          <w:kern w:val="0"/>
          <w:sz w:val="36"/>
          <w:szCs w:val="36"/>
          <w:highlight w:val="none"/>
        </w:rPr>
      </w:pPr>
    </w:p>
    <w:p w14:paraId="3FB20431">
      <w:pPr>
        <w:spacing w:line="360" w:lineRule="auto"/>
        <w:ind w:right="420" w:firstLine="3614" w:firstLineChars="1000"/>
        <w:rPr>
          <w:rFonts w:hint="eastAsia" w:ascii="宋体" w:hAnsi="宋体" w:eastAsia="宋体" w:cs="宋体"/>
          <w:b/>
          <w:color w:val="auto"/>
          <w:kern w:val="0"/>
          <w:sz w:val="36"/>
          <w:szCs w:val="36"/>
          <w:highlight w:val="none"/>
        </w:rPr>
      </w:pPr>
    </w:p>
    <w:p w14:paraId="0277ADB9">
      <w:pPr>
        <w:spacing w:line="360" w:lineRule="auto"/>
        <w:ind w:right="420" w:firstLine="3614" w:firstLineChars="1000"/>
        <w:rPr>
          <w:rFonts w:hint="eastAsia" w:ascii="宋体" w:hAnsi="宋体" w:eastAsia="宋体" w:cs="宋体"/>
          <w:b/>
          <w:color w:val="auto"/>
          <w:kern w:val="0"/>
          <w:sz w:val="36"/>
          <w:szCs w:val="36"/>
          <w:highlight w:val="none"/>
        </w:rPr>
      </w:pPr>
    </w:p>
    <w:p w14:paraId="3EB2A5C8">
      <w:pPr>
        <w:spacing w:line="360" w:lineRule="auto"/>
        <w:ind w:right="420" w:firstLine="3614" w:firstLineChars="1000"/>
        <w:rPr>
          <w:rFonts w:hint="eastAsia" w:ascii="宋体" w:hAnsi="宋体" w:eastAsia="宋体" w:cs="宋体"/>
          <w:b/>
          <w:color w:val="auto"/>
          <w:kern w:val="0"/>
          <w:sz w:val="36"/>
          <w:szCs w:val="36"/>
          <w:highlight w:val="none"/>
        </w:rPr>
      </w:pPr>
    </w:p>
    <w:p w14:paraId="24962AE3">
      <w:pPr>
        <w:spacing w:line="360" w:lineRule="auto"/>
        <w:ind w:right="420" w:firstLine="3614" w:firstLineChars="1000"/>
        <w:rPr>
          <w:rFonts w:hint="eastAsia" w:ascii="宋体" w:hAnsi="宋体" w:eastAsia="宋体" w:cs="宋体"/>
          <w:b/>
          <w:color w:val="auto"/>
          <w:kern w:val="0"/>
          <w:sz w:val="36"/>
          <w:szCs w:val="36"/>
          <w:highlight w:val="none"/>
        </w:rPr>
      </w:pPr>
    </w:p>
    <w:p w14:paraId="41C36D61">
      <w:pPr>
        <w:spacing w:line="360" w:lineRule="auto"/>
        <w:ind w:right="420" w:firstLine="3614" w:firstLineChars="1000"/>
        <w:rPr>
          <w:rFonts w:hint="eastAsia" w:ascii="宋体" w:hAnsi="宋体" w:eastAsia="宋体" w:cs="宋体"/>
          <w:b/>
          <w:color w:val="auto"/>
          <w:kern w:val="0"/>
          <w:sz w:val="36"/>
          <w:szCs w:val="36"/>
          <w:highlight w:val="none"/>
        </w:rPr>
      </w:pPr>
    </w:p>
    <w:p w14:paraId="28E08F11">
      <w:pPr>
        <w:spacing w:line="360" w:lineRule="auto"/>
        <w:ind w:right="420" w:firstLine="3614" w:firstLineChars="1000"/>
        <w:rPr>
          <w:rFonts w:hint="eastAsia" w:ascii="宋体" w:hAnsi="宋体" w:eastAsia="宋体" w:cs="宋体"/>
          <w:b/>
          <w:color w:val="auto"/>
          <w:kern w:val="0"/>
          <w:sz w:val="36"/>
          <w:szCs w:val="36"/>
          <w:highlight w:val="none"/>
        </w:rPr>
      </w:pPr>
    </w:p>
    <w:p w14:paraId="3DEF01FD">
      <w:pPr>
        <w:rPr>
          <w:rFonts w:hint="eastAsia" w:ascii="宋体" w:hAnsi="宋体" w:eastAsia="宋体" w:cs="宋体"/>
          <w:color w:val="auto"/>
          <w:highlight w:val="none"/>
        </w:rPr>
      </w:pPr>
      <w:bookmarkStart w:id="406" w:name="_Toc465665161"/>
      <w:r>
        <w:rPr>
          <w:rFonts w:hint="eastAsia" w:ascii="宋体" w:hAnsi="宋体" w:eastAsia="宋体" w:cs="宋体"/>
          <w:color w:val="auto"/>
          <w:highlight w:val="none"/>
        </w:rPr>
        <w:br w:type="page"/>
      </w:r>
    </w:p>
    <w:p w14:paraId="29121C5A">
      <w:pPr>
        <w:bidi w:val="0"/>
        <w:jc w:val="center"/>
        <w:rPr>
          <w:rFonts w:hint="eastAsia" w:ascii="宋体" w:hAnsi="宋体" w:eastAsia="宋体" w:cs="宋体"/>
          <w:b/>
          <w:bCs/>
          <w:color w:val="auto"/>
          <w:sz w:val="52"/>
          <w:szCs w:val="60"/>
          <w:highlight w:val="none"/>
        </w:rPr>
      </w:pPr>
      <w:r>
        <w:rPr>
          <w:rFonts w:hint="eastAsia" w:ascii="宋体" w:hAnsi="宋体" w:eastAsia="宋体" w:cs="宋体"/>
          <w:b/>
          <w:bCs/>
          <w:color w:val="auto"/>
          <w:sz w:val="52"/>
          <w:szCs w:val="60"/>
          <w:highlight w:val="none"/>
        </w:rPr>
        <w:t>附件</w:t>
      </w:r>
      <w:bookmarkEnd w:id="406"/>
    </w:p>
    <w:p w14:paraId="44689526">
      <w:pPr>
        <w:bidi w:val="0"/>
        <w:jc w:val="center"/>
        <w:rPr>
          <w:rFonts w:hint="eastAsia" w:ascii="宋体" w:hAnsi="宋体" w:eastAsia="宋体" w:cs="宋体"/>
          <w:b/>
          <w:bCs/>
          <w:color w:val="auto"/>
          <w:sz w:val="52"/>
          <w:szCs w:val="60"/>
          <w:highlight w:val="none"/>
        </w:rPr>
      </w:pPr>
    </w:p>
    <w:p w14:paraId="432A7630">
      <w:pPr>
        <w:snapToGrid w:val="0"/>
        <w:spacing w:line="360" w:lineRule="auto"/>
        <w:jc w:val="center"/>
        <w:outlineLvl w:val="0"/>
        <w:rPr>
          <w:rFonts w:hint="eastAsia" w:ascii="宋体" w:hAnsi="宋体" w:eastAsia="宋体" w:cs="宋体"/>
          <w:b/>
          <w:color w:val="auto"/>
          <w:spacing w:val="6"/>
          <w:sz w:val="32"/>
          <w:szCs w:val="32"/>
          <w:highlight w:val="none"/>
        </w:rPr>
      </w:pPr>
      <w:r>
        <w:rPr>
          <w:rFonts w:hint="eastAsia" w:ascii="宋体" w:hAnsi="宋体" w:eastAsia="宋体" w:cs="宋体"/>
          <w:b/>
          <w:color w:val="auto"/>
          <w:kern w:val="0"/>
          <w:sz w:val="32"/>
          <w:szCs w:val="32"/>
          <w:highlight w:val="none"/>
        </w:rPr>
        <w:t>附件1：</w:t>
      </w:r>
      <w:bookmarkStart w:id="407" w:name="OLE_LINK13"/>
      <w:bookmarkStart w:id="408" w:name="OLE_LINK14"/>
      <w:r>
        <w:rPr>
          <w:rFonts w:hint="eastAsia" w:ascii="宋体" w:hAnsi="宋体" w:eastAsia="宋体" w:cs="宋体"/>
          <w:b/>
          <w:color w:val="auto"/>
          <w:spacing w:val="6"/>
          <w:sz w:val="32"/>
          <w:szCs w:val="32"/>
          <w:highlight w:val="none"/>
        </w:rPr>
        <w:t>残疾人福利性单位声明函</w:t>
      </w:r>
    </w:p>
    <w:bookmarkEnd w:id="407"/>
    <w:bookmarkEnd w:id="408"/>
    <w:p w14:paraId="13CFA370">
      <w:pPr>
        <w:spacing w:line="360" w:lineRule="auto"/>
        <w:rPr>
          <w:rFonts w:hint="eastAsia" w:ascii="宋体" w:hAnsi="宋体" w:eastAsia="宋体" w:cs="宋体"/>
          <w:b/>
          <w:color w:val="auto"/>
          <w:spacing w:val="6"/>
          <w:sz w:val="30"/>
          <w:szCs w:val="30"/>
          <w:highlight w:val="none"/>
        </w:rPr>
      </w:pPr>
    </w:p>
    <w:p w14:paraId="176CD20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1F034538">
      <w:pPr>
        <w:spacing w:line="360" w:lineRule="auto"/>
        <w:ind w:firstLine="480" w:firstLineChars="200"/>
        <w:rPr>
          <w:rFonts w:hint="eastAsia" w:ascii="宋体" w:hAnsi="宋体" w:eastAsia="宋体" w:cs="宋体"/>
          <w:color w:val="auto"/>
          <w:sz w:val="24"/>
          <w:highlight w:val="none"/>
        </w:rPr>
      </w:pPr>
    </w:p>
    <w:p w14:paraId="1708D961">
      <w:pPr>
        <w:spacing w:line="360" w:lineRule="auto"/>
        <w:ind w:firstLine="480" w:firstLineChars="200"/>
        <w:rPr>
          <w:rFonts w:hint="eastAsia" w:ascii="宋体" w:hAnsi="宋体" w:eastAsia="宋体" w:cs="宋体"/>
          <w:color w:val="auto"/>
          <w:sz w:val="24"/>
          <w:highlight w:val="none"/>
        </w:rPr>
      </w:pPr>
    </w:p>
    <w:p w14:paraId="7A689134">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4BC8A01">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6D265132">
      <w:pPr>
        <w:spacing w:line="360" w:lineRule="auto"/>
        <w:ind w:firstLine="480" w:firstLineChars="200"/>
        <w:rPr>
          <w:rFonts w:hint="eastAsia" w:ascii="宋体" w:hAnsi="宋体" w:eastAsia="宋体" w:cs="宋体"/>
          <w:color w:val="auto"/>
          <w:sz w:val="24"/>
          <w:highlight w:val="none"/>
        </w:rPr>
      </w:pPr>
    </w:p>
    <w:p w14:paraId="6069010E">
      <w:pPr>
        <w:spacing w:line="360" w:lineRule="auto"/>
        <w:ind w:firstLine="420" w:firstLineChars="200"/>
        <w:rPr>
          <w:rFonts w:hint="eastAsia" w:ascii="宋体" w:hAnsi="宋体" w:eastAsia="宋体" w:cs="宋体"/>
          <w:color w:val="auto"/>
          <w:highlight w:val="none"/>
        </w:rPr>
      </w:pPr>
    </w:p>
    <w:p w14:paraId="1520542B">
      <w:pPr>
        <w:spacing w:line="360" w:lineRule="auto"/>
        <w:ind w:firstLine="420" w:firstLineChars="200"/>
        <w:rPr>
          <w:rFonts w:hint="eastAsia" w:ascii="宋体" w:hAnsi="宋体" w:eastAsia="宋体" w:cs="宋体"/>
          <w:color w:val="auto"/>
          <w:highlight w:val="none"/>
        </w:rPr>
      </w:pPr>
    </w:p>
    <w:p w14:paraId="26CED478">
      <w:pPr>
        <w:spacing w:line="360" w:lineRule="auto"/>
        <w:ind w:firstLine="420" w:firstLineChars="200"/>
        <w:rPr>
          <w:rFonts w:hint="eastAsia" w:ascii="宋体" w:hAnsi="宋体" w:eastAsia="宋体" w:cs="宋体"/>
          <w:color w:val="auto"/>
          <w:highlight w:val="none"/>
        </w:rPr>
      </w:pPr>
    </w:p>
    <w:p w14:paraId="3997C2FE">
      <w:pPr>
        <w:spacing w:line="360" w:lineRule="auto"/>
        <w:ind w:firstLine="420" w:firstLineChars="200"/>
        <w:rPr>
          <w:rFonts w:hint="eastAsia" w:ascii="宋体" w:hAnsi="宋体" w:eastAsia="宋体" w:cs="宋体"/>
          <w:color w:val="auto"/>
          <w:highlight w:val="none"/>
        </w:rPr>
      </w:pPr>
    </w:p>
    <w:p w14:paraId="509B0E5B">
      <w:pPr>
        <w:spacing w:line="360" w:lineRule="auto"/>
        <w:rPr>
          <w:rFonts w:hint="eastAsia" w:ascii="宋体" w:hAnsi="宋体" w:eastAsia="宋体" w:cs="宋体"/>
          <w:b/>
          <w:color w:val="auto"/>
          <w:sz w:val="24"/>
          <w:highlight w:val="none"/>
        </w:rPr>
      </w:pPr>
    </w:p>
    <w:p w14:paraId="7168F332">
      <w:pPr>
        <w:spacing w:line="360" w:lineRule="auto"/>
        <w:rPr>
          <w:rFonts w:hint="eastAsia" w:ascii="宋体" w:hAnsi="宋体" w:eastAsia="宋体" w:cs="宋体"/>
          <w:b/>
          <w:color w:val="auto"/>
          <w:sz w:val="24"/>
          <w:highlight w:val="none"/>
        </w:rPr>
      </w:pPr>
    </w:p>
    <w:p w14:paraId="4CEF5235">
      <w:pPr>
        <w:spacing w:line="360" w:lineRule="auto"/>
        <w:rPr>
          <w:rFonts w:hint="eastAsia" w:ascii="宋体" w:hAnsi="宋体" w:eastAsia="宋体" w:cs="宋体"/>
          <w:b/>
          <w:color w:val="auto"/>
          <w:sz w:val="24"/>
          <w:highlight w:val="none"/>
        </w:rPr>
      </w:pPr>
    </w:p>
    <w:p w14:paraId="041EC216">
      <w:pPr>
        <w:spacing w:line="360" w:lineRule="auto"/>
        <w:rPr>
          <w:rFonts w:hint="eastAsia" w:ascii="宋体" w:hAnsi="宋体" w:eastAsia="宋体" w:cs="宋体"/>
          <w:b/>
          <w:color w:val="auto"/>
          <w:sz w:val="24"/>
          <w:highlight w:val="none"/>
        </w:rPr>
      </w:pPr>
    </w:p>
    <w:p w14:paraId="2DC728F9">
      <w:pPr>
        <w:bidi w:val="0"/>
        <w:rPr>
          <w:rFonts w:hint="eastAsia" w:ascii="宋体" w:hAnsi="宋体" w:eastAsia="宋体" w:cs="宋体"/>
          <w:color w:val="auto"/>
          <w:highlight w:val="none"/>
        </w:rPr>
      </w:pPr>
    </w:p>
    <w:p w14:paraId="56066885">
      <w:pPr>
        <w:bidi w:val="0"/>
        <w:rPr>
          <w:rFonts w:hint="eastAsia" w:ascii="宋体" w:hAnsi="宋体" w:eastAsia="宋体" w:cs="宋体"/>
          <w:color w:val="auto"/>
          <w:highlight w:val="none"/>
        </w:rPr>
      </w:pPr>
    </w:p>
    <w:p w14:paraId="4D949322">
      <w:pPr>
        <w:bidi w:val="0"/>
        <w:rPr>
          <w:rFonts w:hint="eastAsia" w:ascii="宋体" w:hAnsi="宋体" w:eastAsia="宋体" w:cs="宋体"/>
          <w:color w:val="auto"/>
          <w:highlight w:val="none"/>
        </w:rPr>
      </w:pPr>
    </w:p>
    <w:p w14:paraId="6F363439">
      <w:pPr>
        <w:bidi w:val="0"/>
        <w:rPr>
          <w:rFonts w:hint="eastAsia" w:ascii="宋体" w:hAnsi="宋体" w:eastAsia="宋体" w:cs="宋体"/>
          <w:color w:val="auto"/>
          <w:highlight w:val="none"/>
        </w:rPr>
      </w:pPr>
    </w:p>
    <w:p w14:paraId="1F820A5F">
      <w:pPr>
        <w:spacing w:line="360" w:lineRule="auto"/>
        <w:rPr>
          <w:rFonts w:hint="eastAsia" w:ascii="宋体" w:hAnsi="宋体" w:eastAsia="宋体" w:cs="宋体"/>
          <w:b/>
          <w:color w:val="auto"/>
          <w:sz w:val="24"/>
          <w:highlight w:val="none"/>
        </w:rPr>
      </w:pPr>
    </w:p>
    <w:p w14:paraId="0F125C8A">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3D41F72D">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附件2：质疑函范本及制作说明</w:t>
      </w:r>
    </w:p>
    <w:p w14:paraId="0475BC14">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7290473F">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7D2AAF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3DE3217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54B4DB2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DEB5E7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60F4A6B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66036C0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2551E620">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5AAA5CB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1ECF351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655A3DE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56B6E20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1FF900F0">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C0F219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4296D54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2480B37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75194B5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03BD275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B29DE0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49BC7FE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E5CF909">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0DB7F78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0DBA97B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17E634A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23B8A5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3A59518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D789A9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hint="eastAsia" w:ascii="宋体" w:hAnsi="宋体" w:eastAsia="宋体" w:cs="宋体"/>
          <w:color w:val="auto"/>
          <w:sz w:val="30"/>
          <w:szCs w:val="30"/>
          <w:highlight w:val="none"/>
        </w:rPr>
      </w:pPr>
    </w:p>
    <w:p w14:paraId="6BC264B1">
      <w:pPr>
        <w:spacing w:line="360" w:lineRule="auto"/>
        <w:jc w:val="center"/>
        <w:rPr>
          <w:rFonts w:hint="eastAsia" w:ascii="宋体" w:hAnsi="宋体" w:eastAsia="宋体" w:cs="宋体"/>
          <w:b/>
          <w:color w:val="auto"/>
          <w:spacing w:val="6"/>
          <w:sz w:val="32"/>
          <w:szCs w:val="32"/>
          <w:highlight w:val="none"/>
        </w:rPr>
      </w:pPr>
    </w:p>
    <w:p w14:paraId="0D39F1C2">
      <w:pPr>
        <w:spacing w:line="360" w:lineRule="auto"/>
        <w:jc w:val="center"/>
        <w:rPr>
          <w:rFonts w:hint="eastAsia" w:ascii="宋体" w:hAnsi="宋体" w:eastAsia="宋体" w:cs="宋体"/>
          <w:b/>
          <w:color w:val="auto"/>
          <w:spacing w:val="6"/>
          <w:sz w:val="32"/>
          <w:szCs w:val="32"/>
          <w:highlight w:val="none"/>
        </w:rPr>
      </w:pPr>
    </w:p>
    <w:p w14:paraId="6537D5D1">
      <w:pPr>
        <w:spacing w:line="360" w:lineRule="auto"/>
        <w:jc w:val="center"/>
        <w:rPr>
          <w:rFonts w:hint="eastAsia" w:ascii="宋体" w:hAnsi="宋体" w:eastAsia="宋体" w:cs="宋体"/>
          <w:b/>
          <w:color w:val="auto"/>
          <w:spacing w:val="6"/>
          <w:sz w:val="32"/>
          <w:szCs w:val="32"/>
          <w:highlight w:val="none"/>
        </w:rPr>
      </w:pPr>
    </w:p>
    <w:p w14:paraId="6B4E61A4">
      <w:pPr>
        <w:spacing w:line="360" w:lineRule="auto"/>
        <w:jc w:val="center"/>
        <w:rPr>
          <w:rFonts w:hint="eastAsia" w:ascii="宋体" w:hAnsi="宋体" w:eastAsia="宋体" w:cs="宋体"/>
          <w:b/>
          <w:color w:val="auto"/>
          <w:spacing w:val="6"/>
          <w:sz w:val="32"/>
          <w:szCs w:val="32"/>
          <w:highlight w:val="none"/>
        </w:rPr>
      </w:pPr>
    </w:p>
    <w:p w14:paraId="15696B62">
      <w:pPr>
        <w:spacing w:line="360" w:lineRule="auto"/>
        <w:jc w:val="center"/>
        <w:rPr>
          <w:rFonts w:hint="eastAsia" w:ascii="宋体" w:hAnsi="宋体" w:eastAsia="宋体" w:cs="宋体"/>
          <w:b/>
          <w:color w:val="auto"/>
          <w:spacing w:val="6"/>
          <w:sz w:val="32"/>
          <w:szCs w:val="32"/>
          <w:highlight w:val="none"/>
        </w:rPr>
      </w:pPr>
    </w:p>
    <w:p w14:paraId="21CAB4FC">
      <w:pPr>
        <w:spacing w:line="360" w:lineRule="auto"/>
        <w:jc w:val="center"/>
        <w:rPr>
          <w:rFonts w:hint="eastAsia" w:ascii="宋体" w:hAnsi="宋体" w:eastAsia="宋体" w:cs="宋体"/>
          <w:b/>
          <w:color w:val="auto"/>
          <w:spacing w:val="6"/>
          <w:sz w:val="32"/>
          <w:szCs w:val="32"/>
          <w:highlight w:val="none"/>
        </w:rPr>
      </w:pPr>
    </w:p>
    <w:p w14:paraId="35F4098D">
      <w:pPr>
        <w:spacing w:line="360" w:lineRule="auto"/>
        <w:jc w:val="center"/>
        <w:rPr>
          <w:rFonts w:hint="eastAsia" w:ascii="宋体" w:hAnsi="宋体" w:eastAsia="宋体" w:cs="宋体"/>
          <w:b/>
          <w:color w:val="auto"/>
          <w:spacing w:val="6"/>
          <w:sz w:val="32"/>
          <w:szCs w:val="32"/>
          <w:highlight w:val="none"/>
        </w:rPr>
      </w:pPr>
    </w:p>
    <w:p w14:paraId="71080A65">
      <w:pPr>
        <w:spacing w:line="360" w:lineRule="auto"/>
        <w:jc w:val="left"/>
        <w:rPr>
          <w:rFonts w:hint="eastAsia" w:ascii="宋体" w:hAnsi="宋体" w:eastAsia="宋体" w:cs="宋体"/>
          <w:b/>
          <w:color w:val="auto"/>
          <w:spacing w:val="6"/>
          <w:sz w:val="32"/>
          <w:szCs w:val="32"/>
          <w:highlight w:val="none"/>
        </w:rPr>
      </w:pPr>
    </w:p>
    <w:p w14:paraId="679EBB8B">
      <w:pPr>
        <w:pStyle w:val="79"/>
        <w:rPr>
          <w:rFonts w:hint="eastAsia" w:ascii="宋体" w:hAnsi="宋体" w:eastAsia="宋体" w:cs="宋体"/>
          <w:b/>
          <w:color w:val="auto"/>
          <w:spacing w:val="6"/>
          <w:sz w:val="32"/>
          <w:szCs w:val="32"/>
          <w:highlight w:val="none"/>
        </w:rPr>
      </w:pPr>
    </w:p>
    <w:p w14:paraId="331A6004">
      <w:pPr>
        <w:pStyle w:val="79"/>
        <w:rPr>
          <w:rFonts w:hint="eastAsia" w:ascii="宋体" w:hAnsi="宋体" w:eastAsia="宋体" w:cs="宋体"/>
          <w:b/>
          <w:color w:val="auto"/>
          <w:spacing w:val="6"/>
          <w:sz w:val="32"/>
          <w:szCs w:val="32"/>
          <w:highlight w:val="none"/>
        </w:rPr>
      </w:pPr>
    </w:p>
    <w:p w14:paraId="69CBBC49">
      <w:pPr>
        <w:pStyle w:val="79"/>
        <w:rPr>
          <w:rFonts w:hint="eastAsia" w:ascii="宋体" w:hAnsi="宋体" w:eastAsia="宋体" w:cs="宋体"/>
          <w:b/>
          <w:color w:val="auto"/>
          <w:spacing w:val="6"/>
          <w:sz w:val="32"/>
          <w:szCs w:val="32"/>
          <w:highlight w:val="none"/>
        </w:rPr>
      </w:pPr>
    </w:p>
    <w:p w14:paraId="3E4A0683">
      <w:pPr>
        <w:pStyle w:val="79"/>
        <w:rPr>
          <w:rFonts w:hint="eastAsia" w:ascii="宋体" w:hAnsi="宋体" w:eastAsia="宋体" w:cs="宋体"/>
          <w:b/>
          <w:color w:val="auto"/>
          <w:spacing w:val="6"/>
          <w:sz w:val="32"/>
          <w:szCs w:val="32"/>
          <w:highlight w:val="none"/>
        </w:rPr>
      </w:pPr>
    </w:p>
    <w:p w14:paraId="088232A0">
      <w:pPr>
        <w:pStyle w:val="79"/>
        <w:rPr>
          <w:rFonts w:hint="eastAsia" w:ascii="宋体" w:hAnsi="宋体" w:eastAsia="宋体" w:cs="宋体"/>
          <w:b/>
          <w:color w:val="auto"/>
          <w:spacing w:val="6"/>
          <w:sz w:val="32"/>
          <w:szCs w:val="32"/>
          <w:highlight w:val="none"/>
        </w:rPr>
      </w:pPr>
    </w:p>
    <w:p w14:paraId="2D6800C7">
      <w:pPr>
        <w:spacing w:line="360" w:lineRule="auto"/>
        <w:jc w:val="left"/>
        <w:rPr>
          <w:rFonts w:hint="eastAsia" w:ascii="宋体" w:hAnsi="宋体" w:eastAsia="宋体" w:cs="宋体"/>
          <w:b/>
          <w:color w:val="auto"/>
          <w:spacing w:val="6"/>
          <w:sz w:val="32"/>
          <w:szCs w:val="32"/>
          <w:highlight w:val="none"/>
        </w:rPr>
      </w:pPr>
    </w:p>
    <w:p w14:paraId="3456112A">
      <w:pPr>
        <w:spacing w:line="360" w:lineRule="auto"/>
        <w:jc w:val="left"/>
        <w:rPr>
          <w:rFonts w:hint="eastAsia" w:ascii="宋体" w:hAnsi="宋体" w:eastAsia="宋体" w:cs="宋体"/>
          <w:b/>
          <w:color w:val="auto"/>
          <w:spacing w:val="6"/>
          <w:sz w:val="32"/>
          <w:szCs w:val="32"/>
          <w:highlight w:val="none"/>
        </w:rPr>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NumType w:fmt="decimal"/>
          <w:cols w:space="720" w:num="1"/>
          <w:titlePg/>
          <w:docGrid w:linePitch="312" w:charSpace="0"/>
        </w:sectPr>
      </w:pPr>
    </w:p>
    <w:p w14:paraId="28D8BE3E">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附件3：投诉书范本及制作说明</w:t>
      </w:r>
    </w:p>
    <w:p w14:paraId="18004A02">
      <w:pPr>
        <w:spacing w:line="360" w:lineRule="auto"/>
        <w:jc w:val="center"/>
        <w:rPr>
          <w:rFonts w:hint="eastAsia" w:ascii="宋体" w:hAnsi="宋体" w:eastAsia="宋体" w:cs="宋体"/>
          <w:b/>
          <w:color w:val="auto"/>
          <w:sz w:val="24"/>
          <w:highlight w:val="none"/>
        </w:rPr>
      </w:pPr>
    </w:p>
    <w:p w14:paraId="65170941">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47E8A0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7916E58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1667BC4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FBDD3A7">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2E6ED125">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5AF9A55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72FF0F5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7B65003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166FCF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C88CE7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DE6A4A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47D0285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0B249AF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215A46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FD4E87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F196A8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085F537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360246F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2CF362A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83FF14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66D0E92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71CE496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972D70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3CD8D9E2">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76EA1DD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29575610">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7248CC7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23254008">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64B4B7E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34EA5593">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38523ED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608B3C82">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5B0417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5679597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6CDE5D0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6C0BF78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2C77B7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7F3342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72F7BAA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6D3D07C2">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6C343964">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E9C2C94">
      <w:pPr>
        <w:autoSpaceDE w:val="0"/>
        <w:autoSpaceDN w:val="0"/>
        <w:jc w:val="center"/>
        <w:rPr>
          <w:rFonts w:hint="eastAsia" w:ascii="宋体" w:hAnsi="宋体" w:eastAsia="宋体" w:cs="宋体"/>
          <w:b/>
          <w:color w:val="auto"/>
          <w:spacing w:val="6"/>
          <w:sz w:val="30"/>
          <w:szCs w:val="30"/>
          <w:highlight w:val="none"/>
        </w:rPr>
      </w:pPr>
    </w:p>
    <w:p w14:paraId="10158E22">
      <w:pPr>
        <w:autoSpaceDE w:val="0"/>
        <w:autoSpaceDN w:val="0"/>
        <w:jc w:val="center"/>
        <w:rPr>
          <w:rFonts w:hint="eastAsia" w:ascii="宋体" w:hAnsi="宋体" w:eastAsia="宋体" w:cs="宋体"/>
          <w:b/>
          <w:color w:val="auto"/>
          <w:spacing w:val="6"/>
          <w:sz w:val="30"/>
          <w:szCs w:val="30"/>
          <w:highlight w:val="none"/>
        </w:rPr>
      </w:pPr>
    </w:p>
    <w:p w14:paraId="0FF75A6F">
      <w:pPr>
        <w:autoSpaceDE w:val="0"/>
        <w:autoSpaceDN w:val="0"/>
        <w:jc w:val="center"/>
        <w:rPr>
          <w:rFonts w:hint="eastAsia" w:ascii="宋体" w:hAnsi="宋体" w:eastAsia="宋体" w:cs="宋体"/>
          <w:b/>
          <w:color w:val="auto"/>
          <w:spacing w:val="6"/>
          <w:sz w:val="30"/>
          <w:szCs w:val="30"/>
          <w:highlight w:val="none"/>
        </w:rPr>
      </w:pPr>
    </w:p>
    <w:p w14:paraId="69CF606D">
      <w:pPr>
        <w:autoSpaceDE w:val="0"/>
        <w:autoSpaceDN w:val="0"/>
        <w:jc w:val="center"/>
        <w:rPr>
          <w:rFonts w:hint="eastAsia" w:ascii="宋体" w:hAnsi="宋体" w:eastAsia="宋体" w:cs="宋体"/>
          <w:b/>
          <w:color w:val="auto"/>
          <w:spacing w:val="6"/>
          <w:sz w:val="30"/>
          <w:szCs w:val="30"/>
          <w:highlight w:val="none"/>
        </w:rPr>
      </w:pPr>
    </w:p>
    <w:p w14:paraId="4A9CC399">
      <w:pPr>
        <w:autoSpaceDE w:val="0"/>
        <w:autoSpaceDN w:val="0"/>
        <w:jc w:val="center"/>
        <w:rPr>
          <w:rFonts w:hint="eastAsia" w:ascii="宋体" w:hAnsi="宋体" w:eastAsia="宋体" w:cs="宋体"/>
          <w:b/>
          <w:color w:val="auto"/>
          <w:spacing w:val="6"/>
          <w:sz w:val="30"/>
          <w:szCs w:val="30"/>
          <w:highlight w:val="none"/>
        </w:rPr>
      </w:pPr>
    </w:p>
    <w:p w14:paraId="14BFBE85">
      <w:pPr>
        <w:autoSpaceDE w:val="0"/>
        <w:autoSpaceDN w:val="0"/>
        <w:jc w:val="center"/>
        <w:rPr>
          <w:rFonts w:hint="eastAsia" w:ascii="宋体" w:hAnsi="宋体" w:eastAsia="宋体" w:cs="宋体"/>
          <w:b/>
          <w:color w:val="auto"/>
          <w:spacing w:val="6"/>
          <w:sz w:val="30"/>
          <w:szCs w:val="30"/>
          <w:highlight w:val="none"/>
        </w:rPr>
      </w:pPr>
    </w:p>
    <w:p w14:paraId="3121BBAF">
      <w:pPr>
        <w:autoSpaceDE w:val="0"/>
        <w:autoSpaceDN w:val="0"/>
        <w:jc w:val="center"/>
        <w:rPr>
          <w:rFonts w:hint="eastAsia" w:ascii="宋体" w:hAnsi="宋体" w:eastAsia="宋体" w:cs="宋体"/>
          <w:b/>
          <w:color w:val="auto"/>
          <w:spacing w:val="6"/>
          <w:sz w:val="30"/>
          <w:szCs w:val="30"/>
          <w:highlight w:val="none"/>
        </w:rPr>
      </w:pPr>
    </w:p>
    <w:p w14:paraId="735D837E">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附件4：业务专用章使用说明函</w:t>
      </w:r>
    </w:p>
    <w:p w14:paraId="258D158E">
      <w:pPr>
        <w:spacing w:line="360" w:lineRule="auto"/>
        <w:rPr>
          <w:rFonts w:hint="eastAsia" w:ascii="宋体" w:hAnsi="宋体" w:eastAsia="宋体" w:cs="宋体"/>
          <w:color w:val="auto"/>
          <w:sz w:val="24"/>
          <w:highlight w:val="none"/>
          <w:u w:val="single"/>
        </w:rPr>
      </w:pPr>
    </w:p>
    <w:p w14:paraId="712BEBE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5984859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011F3364">
      <w:pPr>
        <w:spacing w:line="360" w:lineRule="auto"/>
        <w:ind w:firstLine="494"/>
        <w:rPr>
          <w:rFonts w:hint="eastAsia" w:ascii="宋体" w:hAnsi="宋体" w:eastAsia="宋体" w:cs="宋体"/>
          <w:color w:val="auto"/>
          <w:sz w:val="24"/>
          <w:highlight w:val="none"/>
        </w:rPr>
      </w:pPr>
    </w:p>
    <w:p w14:paraId="45EAD287">
      <w:pPr>
        <w:spacing w:line="360" w:lineRule="auto"/>
        <w:ind w:firstLine="494"/>
        <w:rPr>
          <w:rFonts w:hint="eastAsia" w:ascii="宋体" w:hAnsi="宋体" w:eastAsia="宋体" w:cs="宋体"/>
          <w:color w:val="auto"/>
          <w:sz w:val="24"/>
          <w:highlight w:val="none"/>
        </w:rPr>
      </w:pPr>
    </w:p>
    <w:p w14:paraId="3CC0F667">
      <w:pPr>
        <w:spacing w:line="360" w:lineRule="auto"/>
        <w:ind w:firstLine="494"/>
        <w:rPr>
          <w:rFonts w:hint="eastAsia" w:ascii="宋体" w:hAnsi="宋体" w:eastAsia="宋体" w:cs="宋体"/>
          <w:color w:val="auto"/>
          <w:sz w:val="24"/>
          <w:highlight w:val="none"/>
        </w:rPr>
      </w:pPr>
    </w:p>
    <w:p w14:paraId="2456ACE4">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120A655D">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DC64793">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49ABE952">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758C6C7D">
      <w:pPr>
        <w:autoSpaceDE w:val="0"/>
        <w:autoSpaceDN w:val="0"/>
        <w:jc w:val="center"/>
        <w:rPr>
          <w:rFonts w:hint="eastAsia" w:ascii="宋体" w:hAnsi="宋体" w:eastAsia="宋体" w:cs="宋体"/>
          <w:b/>
          <w:color w:val="auto"/>
          <w:spacing w:val="6"/>
          <w:sz w:val="32"/>
          <w:szCs w:val="32"/>
          <w:highlight w:val="none"/>
        </w:rPr>
      </w:pPr>
    </w:p>
    <w:p w14:paraId="4B22CA5D">
      <w:pPr>
        <w:autoSpaceDE w:val="0"/>
        <w:autoSpaceDN w:val="0"/>
        <w:jc w:val="center"/>
        <w:rPr>
          <w:rFonts w:hint="eastAsia" w:ascii="宋体" w:hAnsi="宋体" w:eastAsia="宋体" w:cs="宋体"/>
          <w:b/>
          <w:color w:val="auto"/>
          <w:spacing w:val="6"/>
          <w:sz w:val="32"/>
          <w:szCs w:val="32"/>
          <w:highlight w:val="none"/>
        </w:rPr>
      </w:pPr>
    </w:p>
    <w:p w14:paraId="6CCB2DCB">
      <w:pPr>
        <w:autoSpaceDE w:val="0"/>
        <w:autoSpaceDN w:val="0"/>
        <w:jc w:val="center"/>
        <w:rPr>
          <w:rFonts w:hint="eastAsia" w:ascii="宋体" w:hAnsi="宋体" w:eastAsia="宋体" w:cs="宋体"/>
          <w:b/>
          <w:color w:val="auto"/>
          <w:spacing w:val="6"/>
          <w:sz w:val="32"/>
          <w:szCs w:val="32"/>
          <w:highlight w:val="none"/>
        </w:rPr>
      </w:pPr>
    </w:p>
    <w:p w14:paraId="28ACA463">
      <w:pPr>
        <w:autoSpaceDE w:val="0"/>
        <w:autoSpaceDN w:val="0"/>
        <w:jc w:val="center"/>
        <w:rPr>
          <w:rFonts w:hint="eastAsia" w:ascii="宋体" w:hAnsi="宋体" w:eastAsia="宋体" w:cs="宋体"/>
          <w:b/>
          <w:color w:val="auto"/>
          <w:spacing w:val="6"/>
          <w:sz w:val="32"/>
          <w:szCs w:val="32"/>
          <w:highlight w:val="none"/>
        </w:rPr>
      </w:pPr>
    </w:p>
    <w:p w14:paraId="6585480F">
      <w:pPr>
        <w:autoSpaceDE w:val="0"/>
        <w:autoSpaceDN w:val="0"/>
        <w:jc w:val="center"/>
        <w:rPr>
          <w:rFonts w:hint="eastAsia" w:ascii="宋体" w:hAnsi="宋体" w:eastAsia="宋体" w:cs="宋体"/>
          <w:b/>
          <w:color w:val="auto"/>
          <w:spacing w:val="6"/>
          <w:sz w:val="32"/>
          <w:szCs w:val="32"/>
          <w:highlight w:val="none"/>
        </w:rPr>
      </w:pPr>
    </w:p>
    <w:p w14:paraId="07D32F1B">
      <w:pPr>
        <w:autoSpaceDE w:val="0"/>
        <w:autoSpaceDN w:val="0"/>
        <w:jc w:val="center"/>
        <w:rPr>
          <w:rFonts w:hint="eastAsia" w:ascii="宋体" w:hAnsi="宋体" w:eastAsia="宋体" w:cs="宋体"/>
          <w:b/>
          <w:color w:val="auto"/>
          <w:spacing w:val="6"/>
          <w:sz w:val="32"/>
          <w:szCs w:val="32"/>
          <w:highlight w:val="none"/>
        </w:rPr>
      </w:pPr>
    </w:p>
    <w:p w14:paraId="1C069C21">
      <w:pPr>
        <w:autoSpaceDE w:val="0"/>
        <w:autoSpaceDN w:val="0"/>
        <w:jc w:val="center"/>
        <w:rPr>
          <w:rFonts w:hint="eastAsia" w:ascii="宋体" w:hAnsi="宋体" w:eastAsia="宋体" w:cs="宋体"/>
          <w:b/>
          <w:color w:val="auto"/>
          <w:spacing w:val="6"/>
          <w:sz w:val="32"/>
          <w:szCs w:val="32"/>
          <w:highlight w:val="none"/>
        </w:rPr>
      </w:pPr>
    </w:p>
    <w:p w14:paraId="55BDA3A9">
      <w:pPr>
        <w:autoSpaceDE w:val="0"/>
        <w:autoSpaceDN w:val="0"/>
        <w:jc w:val="center"/>
        <w:rPr>
          <w:rFonts w:hint="eastAsia" w:ascii="宋体" w:hAnsi="宋体" w:eastAsia="宋体" w:cs="宋体"/>
          <w:b/>
          <w:color w:val="auto"/>
          <w:spacing w:val="6"/>
          <w:sz w:val="32"/>
          <w:szCs w:val="32"/>
          <w:highlight w:val="none"/>
        </w:rPr>
      </w:pPr>
    </w:p>
    <w:p w14:paraId="13654A1A">
      <w:pPr>
        <w:autoSpaceDE w:val="0"/>
        <w:autoSpaceDN w:val="0"/>
        <w:jc w:val="center"/>
        <w:rPr>
          <w:rFonts w:hint="eastAsia" w:ascii="宋体" w:hAnsi="宋体" w:eastAsia="宋体" w:cs="宋体"/>
          <w:b/>
          <w:color w:val="auto"/>
          <w:spacing w:val="6"/>
          <w:sz w:val="32"/>
          <w:szCs w:val="32"/>
          <w:highlight w:val="none"/>
        </w:rPr>
      </w:pPr>
    </w:p>
    <w:p w14:paraId="5AA45742">
      <w:pPr>
        <w:autoSpaceDE w:val="0"/>
        <w:autoSpaceDN w:val="0"/>
        <w:jc w:val="center"/>
        <w:rPr>
          <w:rFonts w:hint="eastAsia" w:ascii="宋体" w:hAnsi="宋体" w:eastAsia="宋体" w:cs="宋体"/>
          <w:b/>
          <w:color w:val="auto"/>
          <w:spacing w:val="6"/>
          <w:sz w:val="32"/>
          <w:szCs w:val="32"/>
          <w:highlight w:val="none"/>
        </w:rPr>
      </w:pPr>
    </w:p>
    <w:p w14:paraId="63858715">
      <w:pPr>
        <w:autoSpaceDE w:val="0"/>
        <w:autoSpaceDN w:val="0"/>
        <w:jc w:val="center"/>
        <w:rPr>
          <w:rFonts w:hint="eastAsia" w:ascii="宋体" w:hAnsi="宋体" w:eastAsia="宋体" w:cs="宋体"/>
          <w:b/>
          <w:color w:val="auto"/>
          <w:spacing w:val="6"/>
          <w:sz w:val="32"/>
          <w:szCs w:val="32"/>
          <w:highlight w:val="none"/>
        </w:rPr>
      </w:pPr>
    </w:p>
    <w:p w14:paraId="6748C9D8">
      <w:pPr>
        <w:autoSpaceDE w:val="0"/>
        <w:autoSpaceDN w:val="0"/>
        <w:jc w:val="center"/>
        <w:rPr>
          <w:rFonts w:hint="eastAsia" w:ascii="宋体" w:hAnsi="宋体" w:eastAsia="宋体" w:cs="宋体"/>
          <w:b/>
          <w:color w:val="auto"/>
          <w:spacing w:val="6"/>
          <w:sz w:val="32"/>
          <w:szCs w:val="32"/>
          <w:highlight w:val="none"/>
        </w:rPr>
      </w:pPr>
    </w:p>
    <w:p w14:paraId="3C59CE18">
      <w:pPr>
        <w:bidi w:val="0"/>
        <w:rPr>
          <w:rFonts w:hint="eastAsia" w:ascii="宋体" w:hAnsi="宋体" w:eastAsia="宋体" w:cs="宋体"/>
          <w:color w:val="auto"/>
          <w:highlight w:val="none"/>
        </w:rPr>
      </w:pPr>
    </w:p>
    <w:p w14:paraId="2F4131F5">
      <w:pPr>
        <w:bidi w:val="0"/>
        <w:rPr>
          <w:rFonts w:hint="eastAsia" w:ascii="宋体" w:hAnsi="宋体" w:eastAsia="宋体" w:cs="宋体"/>
          <w:color w:val="auto"/>
          <w:highlight w:val="none"/>
        </w:rPr>
      </w:pPr>
    </w:p>
    <w:p w14:paraId="5AC6EF0F">
      <w:pPr>
        <w:bidi w:val="0"/>
        <w:rPr>
          <w:rFonts w:hint="eastAsia" w:ascii="宋体" w:hAnsi="宋体" w:eastAsia="宋体" w:cs="宋体"/>
          <w:color w:val="auto"/>
          <w:highlight w:val="none"/>
        </w:rPr>
      </w:pPr>
    </w:p>
    <w:p w14:paraId="2C866905">
      <w:pPr>
        <w:bidi w:val="0"/>
        <w:rPr>
          <w:rFonts w:hint="eastAsia" w:ascii="宋体" w:hAnsi="宋体" w:eastAsia="宋体" w:cs="宋体"/>
          <w:color w:val="auto"/>
          <w:highlight w:val="none"/>
        </w:rPr>
      </w:pPr>
    </w:p>
    <w:p w14:paraId="27F1E4BF">
      <w:pPr>
        <w:bidi w:val="0"/>
        <w:rPr>
          <w:rFonts w:hint="eastAsia" w:ascii="宋体" w:hAnsi="宋体" w:eastAsia="宋体" w:cs="宋体"/>
          <w:color w:val="auto"/>
          <w:highlight w:val="none"/>
        </w:rPr>
      </w:pPr>
    </w:p>
    <w:p w14:paraId="1FAEF24F">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0294620">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566A8AA9">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5206F93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20EA123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452110DF">
      <w:pPr>
        <w:snapToGrid w:val="0"/>
        <w:spacing w:line="360" w:lineRule="auto"/>
        <w:ind w:firstLine="576"/>
        <w:rPr>
          <w:rFonts w:hint="eastAsia" w:ascii="宋体" w:hAnsi="宋体" w:eastAsia="宋体" w:cs="宋体"/>
          <w:color w:val="auto"/>
          <w:kern w:val="0"/>
          <w:sz w:val="24"/>
          <w:highlight w:val="none"/>
          <w:lang w:val="zh-CN"/>
        </w:rPr>
      </w:pPr>
      <w:bookmarkStart w:id="409"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1FC7BF9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56C24BEC">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409"/>
    <w:p w14:paraId="2AF48F4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3F6ACECC">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4E3F25A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0A314F1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1DC3B22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F59678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2767371">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055FA96D">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DE4AC0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19F9D76">
      <w:pPr>
        <w:autoSpaceDE w:val="0"/>
        <w:autoSpaceDN w:val="0"/>
        <w:jc w:val="center"/>
        <w:rPr>
          <w:rFonts w:hint="eastAsia" w:ascii="宋体" w:hAnsi="宋体" w:eastAsia="宋体" w:cs="宋体"/>
          <w:b/>
          <w:color w:val="auto"/>
          <w:spacing w:val="6"/>
          <w:sz w:val="32"/>
          <w:szCs w:val="32"/>
          <w:highlight w:val="none"/>
        </w:rPr>
      </w:pPr>
    </w:p>
    <w:p w14:paraId="3439256E">
      <w:pPr>
        <w:autoSpaceDE w:val="0"/>
        <w:autoSpaceDN w:val="0"/>
        <w:jc w:val="center"/>
        <w:rPr>
          <w:rFonts w:hint="eastAsia" w:ascii="宋体" w:hAnsi="宋体" w:eastAsia="宋体" w:cs="宋体"/>
          <w:b/>
          <w:color w:val="auto"/>
          <w:spacing w:val="6"/>
          <w:sz w:val="32"/>
          <w:szCs w:val="32"/>
          <w:highlight w:val="none"/>
        </w:rPr>
      </w:pPr>
    </w:p>
    <w:p w14:paraId="12820784">
      <w:pPr>
        <w:autoSpaceDE w:val="0"/>
        <w:autoSpaceDN w:val="0"/>
        <w:jc w:val="center"/>
        <w:rPr>
          <w:rFonts w:hint="eastAsia" w:ascii="宋体" w:hAnsi="宋体" w:eastAsia="宋体" w:cs="宋体"/>
          <w:b/>
          <w:color w:val="auto"/>
          <w:spacing w:val="6"/>
          <w:sz w:val="32"/>
          <w:szCs w:val="32"/>
          <w:highlight w:val="none"/>
        </w:rPr>
      </w:pPr>
    </w:p>
    <w:p w14:paraId="427BA43F">
      <w:pPr>
        <w:autoSpaceDE w:val="0"/>
        <w:autoSpaceDN w:val="0"/>
        <w:jc w:val="center"/>
        <w:rPr>
          <w:rFonts w:hint="eastAsia" w:ascii="宋体" w:hAnsi="宋体" w:eastAsia="宋体" w:cs="宋体"/>
          <w:b/>
          <w:color w:val="auto"/>
          <w:spacing w:val="6"/>
          <w:sz w:val="32"/>
          <w:szCs w:val="32"/>
          <w:highlight w:val="none"/>
        </w:rPr>
      </w:pPr>
    </w:p>
    <w:p w14:paraId="5BCB4350">
      <w:pPr>
        <w:pStyle w:val="79"/>
        <w:rPr>
          <w:rFonts w:hint="eastAsia" w:ascii="宋体" w:hAnsi="宋体" w:eastAsia="宋体" w:cs="宋体"/>
          <w:b/>
          <w:color w:val="auto"/>
          <w:spacing w:val="6"/>
          <w:sz w:val="32"/>
          <w:szCs w:val="32"/>
          <w:highlight w:val="none"/>
        </w:rPr>
      </w:pPr>
    </w:p>
    <w:p w14:paraId="4041E00B">
      <w:pPr>
        <w:pStyle w:val="79"/>
        <w:rPr>
          <w:rFonts w:hint="eastAsia" w:ascii="宋体" w:hAnsi="宋体" w:eastAsia="宋体" w:cs="宋体"/>
          <w:b/>
          <w:color w:val="auto"/>
          <w:spacing w:val="6"/>
          <w:sz w:val="32"/>
          <w:szCs w:val="32"/>
          <w:highlight w:val="none"/>
        </w:rPr>
      </w:pPr>
    </w:p>
    <w:p w14:paraId="7AFF353E">
      <w:pPr>
        <w:pStyle w:val="79"/>
        <w:rPr>
          <w:rFonts w:hint="eastAsia" w:ascii="宋体" w:hAnsi="宋体" w:eastAsia="宋体" w:cs="宋体"/>
          <w:b/>
          <w:color w:val="auto"/>
          <w:spacing w:val="6"/>
          <w:sz w:val="32"/>
          <w:szCs w:val="32"/>
          <w:highlight w:val="none"/>
        </w:rPr>
      </w:pPr>
    </w:p>
    <w:p w14:paraId="576AF20A">
      <w:pPr>
        <w:pStyle w:val="79"/>
        <w:rPr>
          <w:rFonts w:hint="eastAsia" w:ascii="宋体" w:hAnsi="宋体" w:eastAsia="宋体" w:cs="宋体"/>
          <w:b/>
          <w:color w:val="auto"/>
          <w:spacing w:val="6"/>
          <w:sz w:val="32"/>
          <w:szCs w:val="32"/>
          <w:highlight w:val="none"/>
        </w:rPr>
      </w:pPr>
    </w:p>
    <w:p w14:paraId="177CD6A4">
      <w:pPr>
        <w:pStyle w:val="79"/>
        <w:rPr>
          <w:rFonts w:hint="eastAsia" w:ascii="宋体" w:hAnsi="宋体" w:eastAsia="宋体" w:cs="宋体"/>
          <w:b/>
          <w:color w:val="auto"/>
          <w:spacing w:val="6"/>
          <w:sz w:val="32"/>
          <w:szCs w:val="32"/>
          <w:highlight w:val="none"/>
        </w:rPr>
      </w:pPr>
    </w:p>
    <w:p w14:paraId="4DC462E1">
      <w:pPr>
        <w:pStyle w:val="79"/>
        <w:rPr>
          <w:rFonts w:hint="eastAsia" w:ascii="宋体" w:hAnsi="宋体" w:eastAsia="宋体" w:cs="宋体"/>
          <w:b/>
          <w:color w:val="auto"/>
          <w:spacing w:val="6"/>
          <w:sz w:val="32"/>
          <w:szCs w:val="32"/>
          <w:highlight w:val="none"/>
        </w:rPr>
      </w:pPr>
    </w:p>
    <w:p w14:paraId="4473894C">
      <w:pPr>
        <w:pStyle w:val="79"/>
        <w:rPr>
          <w:rFonts w:hint="eastAsia" w:ascii="宋体" w:hAnsi="宋体" w:eastAsia="宋体" w:cs="宋体"/>
          <w:b/>
          <w:color w:val="auto"/>
          <w:spacing w:val="6"/>
          <w:sz w:val="32"/>
          <w:szCs w:val="32"/>
          <w:highlight w:val="none"/>
        </w:rPr>
      </w:pPr>
    </w:p>
    <w:p w14:paraId="5C4321A1">
      <w:pPr>
        <w:pStyle w:val="79"/>
        <w:rPr>
          <w:rFonts w:hint="eastAsia" w:ascii="宋体" w:hAnsi="宋体" w:eastAsia="宋体" w:cs="宋体"/>
          <w:b/>
          <w:color w:val="auto"/>
          <w:spacing w:val="6"/>
          <w:sz w:val="32"/>
          <w:szCs w:val="32"/>
          <w:highlight w:val="none"/>
        </w:rPr>
      </w:pPr>
    </w:p>
    <w:p w14:paraId="09BE4957">
      <w:pPr>
        <w:pStyle w:val="79"/>
        <w:rPr>
          <w:rFonts w:hint="eastAsia" w:ascii="宋体" w:hAnsi="宋体" w:eastAsia="宋体" w:cs="宋体"/>
          <w:b/>
          <w:color w:val="auto"/>
          <w:spacing w:val="6"/>
          <w:sz w:val="32"/>
          <w:szCs w:val="32"/>
          <w:highlight w:val="none"/>
        </w:rPr>
      </w:pPr>
    </w:p>
    <w:p w14:paraId="266278AD">
      <w:pPr>
        <w:pStyle w:val="79"/>
        <w:rPr>
          <w:rFonts w:hint="eastAsia" w:ascii="宋体" w:hAnsi="宋体" w:eastAsia="宋体" w:cs="宋体"/>
          <w:b/>
          <w:color w:val="auto"/>
          <w:spacing w:val="6"/>
          <w:sz w:val="32"/>
          <w:szCs w:val="32"/>
          <w:highlight w:val="none"/>
        </w:rPr>
      </w:pPr>
    </w:p>
    <w:p w14:paraId="35FCBC83">
      <w:pPr>
        <w:pStyle w:val="79"/>
        <w:rPr>
          <w:rFonts w:hint="eastAsia" w:ascii="宋体" w:hAnsi="宋体" w:eastAsia="宋体" w:cs="宋体"/>
          <w:b/>
          <w:color w:val="auto"/>
          <w:spacing w:val="6"/>
          <w:sz w:val="32"/>
          <w:szCs w:val="32"/>
          <w:highlight w:val="none"/>
        </w:rPr>
      </w:pPr>
    </w:p>
    <w:p w14:paraId="7DD18B97">
      <w:pPr>
        <w:pStyle w:val="79"/>
        <w:rPr>
          <w:rFonts w:hint="eastAsia" w:ascii="宋体" w:hAnsi="宋体" w:eastAsia="宋体" w:cs="宋体"/>
          <w:b/>
          <w:color w:val="auto"/>
          <w:spacing w:val="6"/>
          <w:sz w:val="32"/>
          <w:szCs w:val="32"/>
          <w:highlight w:val="none"/>
        </w:rPr>
      </w:pPr>
    </w:p>
    <w:p w14:paraId="4848CE2E">
      <w:pPr>
        <w:pStyle w:val="79"/>
        <w:rPr>
          <w:rFonts w:hint="eastAsia" w:ascii="宋体" w:hAnsi="宋体" w:eastAsia="宋体" w:cs="宋体"/>
          <w:b/>
          <w:color w:val="auto"/>
          <w:spacing w:val="6"/>
          <w:sz w:val="32"/>
          <w:szCs w:val="32"/>
          <w:highlight w:val="none"/>
        </w:rPr>
      </w:pPr>
    </w:p>
    <w:p w14:paraId="0842F6D2">
      <w:pPr>
        <w:pStyle w:val="79"/>
        <w:rPr>
          <w:rFonts w:hint="eastAsia" w:ascii="宋体" w:hAnsi="宋体" w:eastAsia="宋体" w:cs="宋体"/>
          <w:b/>
          <w:color w:val="auto"/>
          <w:spacing w:val="6"/>
          <w:sz w:val="32"/>
          <w:szCs w:val="32"/>
          <w:highlight w:val="none"/>
        </w:rPr>
      </w:pPr>
    </w:p>
    <w:p w14:paraId="4073A2FB">
      <w:pPr>
        <w:pStyle w:val="79"/>
        <w:rPr>
          <w:rFonts w:hint="eastAsia" w:ascii="宋体" w:hAnsi="宋体" w:eastAsia="宋体" w:cs="宋体"/>
          <w:b/>
          <w:color w:val="auto"/>
          <w:spacing w:val="6"/>
          <w:sz w:val="32"/>
          <w:szCs w:val="32"/>
          <w:highlight w:val="none"/>
        </w:rPr>
      </w:pPr>
    </w:p>
    <w:p w14:paraId="2AC37F77">
      <w:pPr>
        <w:pStyle w:val="79"/>
        <w:rPr>
          <w:rFonts w:hint="eastAsia" w:ascii="宋体" w:hAnsi="宋体" w:eastAsia="宋体" w:cs="宋体"/>
          <w:b/>
          <w:color w:val="auto"/>
          <w:spacing w:val="6"/>
          <w:sz w:val="32"/>
          <w:szCs w:val="32"/>
          <w:highlight w:val="none"/>
        </w:rPr>
      </w:pPr>
    </w:p>
    <w:p w14:paraId="2DA90400">
      <w:pPr>
        <w:pStyle w:val="79"/>
        <w:rPr>
          <w:rFonts w:hint="eastAsia" w:ascii="宋体" w:hAnsi="宋体" w:eastAsia="宋体" w:cs="宋体"/>
          <w:b/>
          <w:color w:val="auto"/>
          <w:spacing w:val="6"/>
          <w:sz w:val="32"/>
          <w:szCs w:val="32"/>
          <w:highlight w:val="none"/>
        </w:rPr>
      </w:pPr>
    </w:p>
    <w:p w14:paraId="662F310C">
      <w:pPr>
        <w:pStyle w:val="79"/>
        <w:rPr>
          <w:rFonts w:hint="eastAsia" w:ascii="宋体" w:hAnsi="宋体" w:eastAsia="宋体" w:cs="宋体"/>
          <w:b/>
          <w:color w:val="auto"/>
          <w:spacing w:val="6"/>
          <w:sz w:val="32"/>
          <w:szCs w:val="32"/>
          <w:highlight w:val="none"/>
        </w:rPr>
      </w:pPr>
    </w:p>
    <w:p w14:paraId="7CFB1928">
      <w:pPr>
        <w:pStyle w:val="79"/>
        <w:rPr>
          <w:rFonts w:hint="eastAsia" w:ascii="宋体" w:hAnsi="宋体" w:eastAsia="宋体" w:cs="宋体"/>
          <w:b/>
          <w:color w:val="auto"/>
          <w:spacing w:val="6"/>
          <w:sz w:val="32"/>
          <w:szCs w:val="32"/>
          <w:highlight w:val="none"/>
        </w:rPr>
      </w:pPr>
    </w:p>
    <w:p w14:paraId="1C9048A9">
      <w:pPr>
        <w:pStyle w:val="79"/>
        <w:rPr>
          <w:rFonts w:hint="eastAsia" w:ascii="宋体" w:hAnsi="宋体" w:eastAsia="宋体" w:cs="宋体"/>
          <w:b/>
          <w:color w:val="auto"/>
          <w:spacing w:val="6"/>
          <w:sz w:val="32"/>
          <w:szCs w:val="32"/>
          <w:highlight w:val="none"/>
        </w:rPr>
      </w:pPr>
    </w:p>
    <w:p w14:paraId="71CE9803">
      <w:pPr>
        <w:pStyle w:val="79"/>
        <w:rPr>
          <w:rFonts w:hint="eastAsia" w:ascii="宋体" w:hAnsi="宋体" w:eastAsia="宋体" w:cs="宋体"/>
          <w:b/>
          <w:color w:val="auto"/>
          <w:spacing w:val="6"/>
          <w:sz w:val="32"/>
          <w:szCs w:val="32"/>
          <w:highlight w:val="none"/>
        </w:rPr>
      </w:pPr>
    </w:p>
    <w:p w14:paraId="32CB68DC">
      <w:pPr>
        <w:pStyle w:val="79"/>
        <w:rPr>
          <w:rFonts w:hint="eastAsia" w:ascii="宋体" w:hAnsi="宋体" w:eastAsia="宋体" w:cs="宋体"/>
          <w:b/>
          <w:color w:val="auto"/>
          <w:spacing w:val="6"/>
          <w:sz w:val="32"/>
          <w:szCs w:val="32"/>
          <w:highlight w:val="none"/>
        </w:rPr>
      </w:pPr>
    </w:p>
    <w:p w14:paraId="6BCC76A7">
      <w:pPr>
        <w:pStyle w:val="79"/>
        <w:ind w:left="0" w:leftChars="0" w:firstLine="0" w:firstLineChars="0"/>
        <w:rPr>
          <w:rFonts w:hint="eastAsia" w:ascii="宋体" w:hAnsi="宋体" w:eastAsia="宋体" w:cs="宋体"/>
          <w:b/>
          <w:color w:val="auto"/>
          <w:spacing w:val="6"/>
          <w:sz w:val="32"/>
          <w:szCs w:val="32"/>
          <w:highlight w:val="none"/>
        </w:rPr>
      </w:pPr>
    </w:p>
    <w:p w14:paraId="48596C08">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267AFCB3">
      <w:pPr>
        <w:pageBreakBefore w:val="0"/>
        <w:widowControl/>
        <w:kinsoku/>
        <w:wordWrap/>
        <w:overflowPunct/>
        <w:topLinePunct w:val="0"/>
        <w:autoSpaceDE/>
        <w:autoSpaceDN/>
        <w:bidi w:val="0"/>
        <w:spacing w:line="400" w:lineRule="exact"/>
        <w:ind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177D70C3">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17F8559D">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16DAC650">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7370A9C1">
      <w:pPr>
        <w:bidi w:val="0"/>
        <w:rPr>
          <w:rFonts w:hint="eastAsia" w:ascii="宋体" w:hAnsi="宋体" w:eastAsia="宋体" w:cs="宋体"/>
          <w:color w:val="auto"/>
          <w:highlight w:val="none"/>
        </w:rPr>
      </w:pPr>
      <w:r>
        <w:rPr>
          <w:rFonts w:hint="eastAsia" w:ascii="宋体" w:hAnsi="宋体" w:eastAsia="宋体" w:cs="宋体"/>
          <w:color w:val="auto"/>
          <w:highlight w:val="none"/>
        </w:rPr>
        <w:t>……</w:t>
      </w:r>
    </w:p>
    <w:p w14:paraId="2EAAAC54">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754355DB">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5D1F68C8">
      <w:pPr>
        <w:pageBreakBefore w:val="0"/>
        <w:kinsoku/>
        <w:wordWrap/>
        <w:overflowPunct/>
        <w:topLinePunct w:val="0"/>
        <w:autoSpaceDE/>
        <w:autoSpaceDN/>
        <w:bidi w:val="0"/>
        <w:spacing w:line="400" w:lineRule="exact"/>
        <w:ind w:firstLine="480" w:firstLineChars="200"/>
        <w:textAlignment w:val="auto"/>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410"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410"/>
    </w:p>
    <w:p w14:paraId="28E37668">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02C16717">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7B2E2115">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1A4B4AF8">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6E77269">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5B3B116E">
      <w:pPr>
        <w:pageBreakBefore w:val="0"/>
        <w:kinsoku/>
        <w:wordWrap/>
        <w:overflowPunct/>
        <w:topLinePunct w:val="0"/>
        <w:autoSpaceDE/>
        <w:autoSpaceDN/>
        <w:bidi w:val="0"/>
        <w:snapToGrid w:val="0"/>
        <w:spacing w:line="400" w:lineRule="exact"/>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69FCAA5">
      <w:pPr>
        <w:pageBreakBefore w:val="0"/>
        <w:kinsoku/>
        <w:wordWrap/>
        <w:overflowPunct/>
        <w:topLinePunct w:val="0"/>
        <w:autoSpaceDE/>
        <w:autoSpaceDN/>
        <w:bidi w:val="0"/>
        <w:snapToGrid w:val="0"/>
        <w:spacing w:line="400" w:lineRule="exact"/>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464AEADF">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4413C50">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6B63FC3C">
      <w:pPr>
        <w:pageBreakBefore w:val="0"/>
        <w:kinsoku/>
        <w:wordWrap/>
        <w:overflowPunct/>
        <w:topLinePunct w:val="0"/>
        <w:autoSpaceDE/>
        <w:autoSpaceDN/>
        <w:bidi w:val="0"/>
        <w:snapToGrid w:val="0"/>
        <w:spacing w:line="400" w:lineRule="exact"/>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73BD663">
      <w:pPr>
        <w:pageBreakBefore w:val="0"/>
        <w:kinsoku/>
        <w:wordWrap/>
        <w:overflowPunct/>
        <w:topLinePunct w:val="0"/>
        <w:autoSpaceDE/>
        <w:autoSpaceDN/>
        <w:bidi w:val="0"/>
        <w:snapToGrid w:val="0"/>
        <w:spacing w:line="400" w:lineRule="exact"/>
        <w:ind w:left="5758" w:leftChars="342" w:hanging="5040" w:hangingChars="21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6276365A">
      <w:pPr>
        <w:pageBreakBefore w:val="0"/>
        <w:kinsoku/>
        <w:wordWrap/>
        <w:overflowPunct/>
        <w:topLinePunct w:val="0"/>
        <w:autoSpaceDE/>
        <w:autoSpaceDN/>
        <w:bidi w:val="0"/>
        <w:snapToGrid w:val="0"/>
        <w:spacing w:line="400" w:lineRule="exact"/>
        <w:jc w:val="right"/>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62FD1608">
      <w:pPr>
        <w:pageBreakBefore w:val="0"/>
        <w:kinsoku/>
        <w:wordWrap/>
        <w:overflowPunct/>
        <w:topLinePunct w:val="0"/>
        <w:autoSpaceDE/>
        <w:autoSpaceDN/>
        <w:bidi w:val="0"/>
        <w:snapToGrid w:val="0"/>
        <w:spacing w:line="400" w:lineRule="exact"/>
        <w:ind w:firstLine="5760" w:firstLineChars="2400"/>
        <w:textAlignment w:val="auto"/>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7B7AFEDC">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22822CD">
      <w:pPr>
        <w:pageBreakBefore w:val="0"/>
        <w:kinsoku/>
        <w:wordWrap/>
        <w:overflowPunct/>
        <w:topLinePunct w:val="0"/>
        <w:autoSpaceDE/>
        <w:autoSpaceDN/>
        <w:bidi w:val="0"/>
        <w:spacing w:line="400" w:lineRule="exact"/>
        <w:ind w:right="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BCCE806">
      <w:pPr>
        <w:autoSpaceDE w:val="0"/>
        <w:autoSpaceDN w:val="0"/>
        <w:jc w:val="center"/>
        <w:rPr>
          <w:rFonts w:hint="eastAsia" w:ascii="宋体" w:hAnsi="宋体" w:eastAsia="宋体" w:cs="宋体"/>
          <w:b/>
          <w:color w:val="auto"/>
          <w:spacing w:val="6"/>
          <w:sz w:val="32"/>
          <w:szCs w:val="32"/>
          <w:highlight w:val="none"/>
        </w:rPr>
      </w:pPr>
    </w:p>
    <w:p w14:paraId="74CDD32C">
      <w:pPr>
        <w:snapToGrid w:val="0"/>
        <w:spacing w:line="360" w:lineRule="auto"/>
        <w:outlineLvl w:val="0"/>
        <w:rPr>
          <w:rFonts w:hint="eastAsia" w:ascii="宋体" w:hAnsi="宋体" w:eastAsia="宋体" w:cs="宋体"/>
          <w:b/>
          <w:color w:val="auto"/>
          <w:kern w:val="0"/>
          <w:sz w:val="44"/>
          <w:szCs w:val="44"/>
          <w:highlight w:val="none"/>
        </w:rPr>
        <w:sectPr>
          <w:pgSz w:w="11906" w:h="16838"/>
          <w:pgMar w:top="1276" w:right="1418" w:bottom="1247" w:left="1418" w:header="851" w:footer="992" w:gutter="0"/>
          <w:pgNumType w:fmt="decimal"/>
          <w:cols w:space="720" w:num="1"/>
          <w:titlePg/>
          <w:docGrid w:linePitch="312" w:charSpace="0"/>
        </w:sectPr>
      </w:pPr>
    </w:p>
    <w:p w14:paraId="299E145F">
      <w:pPr>
        <w:snapToGrid w:val="0"/>
        <w:spacing w:line="36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14:paraId="44508A8D">
      <w:pPr>
        <w:spacing w:line="360" w:lineRule="auto"/>
        <w:jc w:val="center"/>
        <w:rPr>
          <w:rFonts w:hint="eastAsia" w:ascii="宋体" w:hAnsi="宋体" w:eastAsia="宋体" w:cs="宋体"/>
          <w:color w:val="auto"/>
          <w:sz w:val="24"/>
          <w:highlight w:val="none"/>
          <w:u w:val="single"/>
        </w:rPr>
      </w:pPr>
    </w:p>
    <w:p w14:paraId="7A0BF0E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0E59EFA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5FFF459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FC13AD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工业</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75F971F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E3E832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5815411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398F6A65">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7DA68E6E">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3B1016D">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hint="eastAsia" w:ascii="宋体" w:hAnsi="宋体" w:eastAsia="宋体" w:cs="宋体"/>
          <w:b/>
          <w:color w:val="auto"/>
          <w:sz w:val="32"/>
          <w:szCs w:val="32"/>
          <w:highlight w:val="none"/>
        </w:rPr>
        <w:sectPr>
          <w:pgSz w:w="11906" w:h="16838"/>
          <w:pgMar w:top="1276" w:right="1418" w:bottom="1247" w:left="1418" w:header="851" w:footer="992" w:gutter="0"/>
          <w:pgNumType w:fmt="decimal"/>
          <w:cols w:space="720" w:num="1"/>
          <w:titlePg/>
          <w:docGrid w:linePitch="312" w:charSpace="0"/>
        </w:sectPr>
      </w:pPr>
    </w:p>
    <w:p w14:paraId="2E725318">
      <w:pPr>
        <w:spacing w:line="360" w:lineRule="auto"/>
        <w:jc w:val="left"/>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附件</w:t>
      </w:r>
      <w:r>
        <w:rPr>
          <w:rFonts w:hint="eastAsia" w:ascii="宋体" w:hAnsi="宋体" w:eastAsia="宋体" w:cs="宋体"/>
          <w:b/>
          <w:color w:val="auto"/>
          <w:sz w:val="36"/>
          <w:szCs w:val="20"/>
          <w:highlight w:val="none"/>
          <w:lang w:val="en-US" w:eastAsia="zh-CN"/>
        </w:rPr>
        <w:t>8</w:t>
      </w:r>
      <w:r>
        <w:rPr>
          <w:rFonts w:hint="eastAsia" w:ascii="宋体" w:hAnsi="宋体" w:eastAsia="宋体" w:cs="宋体"/>
          <w:b/>
          <w:color w:val="auto"/>
          <w:sz w:val="36"/>
          <w:szCs w:val="20"/>
          <w:highlight w:val="none"/>
        </w:rPr>
        <w:t>：（中标后提供）</w:t>
      </w:r>
    </w:p>
    <w:p w14:paraId="438CC850">
      <w:pPr>
        <w:spacing w:line="360" w:lineRule="auto"/>
        <w:ind w:right="420"/>
        <w:rPr>
          <w:rFonts w:hint="eastAsia" w:ascii="宋体" w:hAnsi="宋体" w:eastAsia="宋体" w:cs="宋体"/>
          <w:color w:val="auto"/>
          <w:highlight w:val="none"/>
        </w:rPr>
      </w:pPr>
    </w:p>
    <w:p w14:paraId="79846772">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承 诺 书</w:t>
      </w:r>
    </w:p>
    <w:p w14:paraId="2A4755FD">
      <w:pPr>
        <w:rPr>
          <w:rFonts w:hint="eastAsia" w:ascii="宋体" w:hAnsi="宋体" w:eastAsia="宋体" w:cs="宋体"/>
          <w:color w:val="auto"/>
          <w:sz w:val="30"/>
          <w:szCs w:val="30"/>
          <w:highlight w:val="none"/>
        </w:rPr>
      </w:pPr>
    </w:p>
    <w:p w14:paraId="507CD0F0">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u w:val="single"/>
        </w:rPr>
        <w:t xml:space="preserve">浙江中达工程造价事务所有限公司 </w:t>
      </w:r>
      <w:r>
        <w:rPr>
          <w:rFonts w:hint="eastAsia" w:ascii="宋体" w:hAnsi="宋体" w:eastAsia="宋体" w:cs="宋体"/>
          <w:color w:val="auto"/>
          <w:sz w:val="30"/>
          <w:szCs w:val="30"/>
          <w:highlight w:val="none"/>
        </w:rPr>
        <w:t>：</w:t>
      </w:r>
    </w:p>
    <w:p w14:paraId="1C625488">
      <w:pPr>
        <w:spacing w:line="780" w:lineRule="exact"/>
        <w:ind w:firstLine="600" w:firstLine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我单位参与投标的</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u w:val="single"/>
          <w:lang w:val="en-US" w:eastAsia="zh-CN"/>
        </w:rPr>
        <w:t xml:space="preserve">                 </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有幸中标，考虑本项目备案事宜，故由我单位再提供加盖公章的纸质版投标文件一式三份（正本一份，副本二份）递交给招标代理机构备案。</w:t>
      </w:r>
    </w:p>
    <w:p w14:paraId="7A466FD0">
      <w:pPr>
        <w:spacing w:line="780" w:lineRule="exact"/>
        <w:ind w:firstLine="600" w:firstLine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本公司承诺：</w:t>
      </w:r>
    </w:p>
    <w:p w14:paraId="1FAAF968">
      <w:pPr>
        <w:spacing w:line="780" w:lineRule="exact"/>
        <w:ind w:firstLine="600" w:firstLineChars="20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本单位提交给招标代理机构备案的</w:t>
      </w:r>
      <w:r>
        <w:rPr>
          <w:rFonts w:hint="eastAsia" w:ascii="宋体" w:hAnsi="宋体" w:eastAsia="宋体" w:cs="宋体"/>
          <w:color w:val="auto"/>
          <w:sz w:val="30"/>
          <w:szCs w:val="30"/>
          <w:highlight w:val="none"/>
          <w:u w:val="single"/>
        </w:rPr>
        <w:t>纸质版投标文件</w:t>
      </w:r>
      <w:r>
        <w:rPr>
          <w:rFonts w:hint="eastAsia" w:ascii="宋体" w:hAnsi="宋体" w:eastAsia="宋体" w:cs="宋体"/>
          <w:color w:val="auto"/>
          <w:sz w:val="30"/>
          <w:szCs w:val="30"/>
          <w:highlight w:val="none"/>
        </w:rPr>
        <w:t>与</w:t>
      </w:r>
      <w:r>
        <w:rPr>
          <w:rFonts w:hint="eastAsia" w:ascii="宋体" w:hAnsi="宋体" w:eastAsia="宋体" w:cs="宋体"/>
          <w:color w:val="auto"/>
          <w:sz w:val="30"/>
          <w:szCs w:val="30"/>
          <w:highlight w:val="none"/>
          <w:u w:val="single"/>
        </w:rPr>
        <w:t>电子投标文件</w:t>
      </w:r>
      <w:r>
        <w:rPr>
          <w:rFonts w:hint="eastAsia" w:ascii="宋体" w:hAnsi="宋体" w:eastAsia="宋体" w:cs="宋体"/>
          <w:color w:val="auto"/>
          <w:sz w:val="30"/>
          <w:szCs w:val="30"/>
          <w:highlight w:val="none"/>
        </w:rPr>
        <w:t>内容均一致，如不一致导致的任何法律责任自负。特此承诺！</w:t>
      </w:r>
    </w:p>
    <w:p w14:paraId="665AC319">
      <w:pPr>
        <w:spacing w:line="780" w:lineRule="exact"/>
        <w:ind w:firstLine="450" w:firstLineChars="150"/>
        <w:rPr>
          <w:rFonts w:hint="eastAsia" w:ascii="宋体" w:hAnsi="宋体" w:eastAsia="宋体" w:cs="宋体"/>
          <w:color w:val="auto"/>
          <w:sz w:val="30"/>
          <w:szCs w:val="30"/>
          <w:highlight w:val="none"/>
        </w:rPr>
      </w:pPr>
    </w:p>
    <w:p w14:paraId="66B40A38">
      <w:pPr>
        <w:spacing w:line="780" w:lineRule="exact"/>
        <w:rPr>
          <w:rFonts w:hint="eastAsia" w:ascii="宋体" w:hAnsi="宋体" w:eastAsia="宋体" w:cs="宋体"/>
          <w:color w:val="auto"/>
          <w:sz w:val="30"/>
          <w:szCs w:val="30"/>
          <w:highlight w:val="none"/>
        </w:rPr>
      </w:pPr>
    </w:p>
    <w:p w14:paraId="4AE950B4">
      <w:pPr>
        <w:spacing w:line="780" w:lineRule="exact"/>
        <w:rPr>
          <w:rFonts w:hint="eastAsia" w:ascii="宋体" w:hAnsi="宋体" w:eastAsia="宋体" w:cs="宋体"/>
          <w:color w:val="auto"/>
          <w:sz w:val="30"/>
          <w:szCs w:val="30"/>
          <w:highlight w:val="none"/>
        </w:rPr>
      </w:pPr>
    </w:p>
    <w:p w14:paraId="74B11408">
      <w:pPr>
        <w:spacing w:line="780" w:lineRule="exac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投标人名称（盖公章）：</w:t>
      </w:r>
    </w:p>
    <w:p w14:paraId="605E771E">
      <w:pPr>
        <w:spacing w:line="780" w:lineRule="exact"/>
        <w:ind w:firstLine="5850" w:firstLineChars="1950"/>
        <w:rPr>
          <w:rFonts w:hint="eastAsia" w:ascii="宋体" w:hAnsi="宋体" w:eastAsia="宋体" w:cs="宋体"/>
          <w:sz w:val="30"/>
          <w:szCs w:val="30"/>
        </w:rPr>
      </w:pPr>
      <w:r>
        <w:rPr>
          <w:rFonts w:hint="eastAsia" w:ascii="宋体" w:hAnsi="宋体" w:eastAsia="宋体" w:cs="宋体"/>
          <w:color w:val="auto"/>
          <w:sz w:val="30"/>
          <w:szCs w:val="30"/>
          <w:highlight w:val="none"/>
        </w:rPr>
        <w:t>202 年   月   日</w:t>
      </w:r>
    </w:p>
    <w:p w14:paraId="405EA69E">
      <w:pPr>
        <w:pStyle w:val="23"/>
        <w:rPr>
          <w:rFonts w:hint="eastAsia"/>
          <w:lang w:eastAsia="zh-CN"/>
        </w:rPr>
      </w:pPr>
    </w:p>
    <w:sectPr>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3727F">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C73727F">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DD2F9">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61DD2F9">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39"/>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E0E45">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40E0E45">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39"/>
      <w:framePr w:wrap="around" w:vAnchor="text" w:hAnchor="margin" w:xAlign="right" w:y="1"/>
      <w:rPr>
        <w:rStyle w:val="72"/>
      </w:rPr>
    </w:pPr>
    <w:r>
      <w:fldChar w:fldCharType="begin"/>
    </w:r>
    <w:r>
      <w:rPr>
        <w:rStyle w:val="72"/>
      </w:rPr>
      <w:instrText xml:space="preserve">PAGE  </w:instrText>
    </w:r>
    <w:r>
      <w:fldChar w:fldCharType="end"/>
    </w:r>
  </w:p>
  <w:p w14:paraId="6C3E18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39"/>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8EF35">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AC8EF35">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39"/>
      <w:framePr w:wrap="around" w:vAnchor="text" w:hAnchor="margin" w:xAlign="right" w:y="1"/>
      <w:rPr>
        <w:rStyle w:val="72"/>
      </w:rPr>
    </w:pPr>
    <w:r>
      <w:fldChar w:fldCharType="begin"/>
    </w:r>
    <w:r>
      <w:rPr>
        <w:rStyle w:val="72"/>
      </w:rPr>
      <w:instrText xml:space="preserve">PAGE  </w:instrText>
    </w:r>
    <w:r>
      <w:fldChar w:fldCharType="end"/>
    </w:r>
  </w:p>
  <w:p w14:paraId="717DD9AE">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6E9C3">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C6E9C3">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4414A">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E54414A">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0196E">
                          <w:pPr>
                            <w:pStyle w:val="39"/>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570196E">
                    <w:pPr>
                      <w:pStyle w:val="39"/>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AB032">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ACAB032">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E6E3A">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01E6E3A">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39"/>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19AD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419AD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0"/>
      <w:pBdr>
        <w:bottom w:val="single" w:color="auto" w:sz="6" w:space="4"/>
      </w:pBdr>
      <w:jc w:val="right"/>
    </w:pPr>
    <w:r>
      <w:t></w:t>
    </w:r>
    <w:r>
      <w:rPr>
        <w:rFonts w:hint="eastAsia"/>
      </w:rPr>
      <w:t xml:space="preserve">             </w:t>
    </w:r>
    <w:r>
      <w:t>杭州市政府采购公开招标文件</w:t>
    </w:r>
  </w:p>
  <w:p w14:paraId="04A4D0B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0"/>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0"/>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0"/>
    </w:pPr>
    <w:r>
      <w:t></w:t>
    </w:r>
    <w:r>
      <w:rPr>
        <w:rFonts w:hint="eastAsia"/>
      </w:rPr>
      <w:t xml:space="preserve">         </w:t>
    </w:r>
  </w:p>
  <w:p w14:paraId="7A5C9F01">
    <w:pPr>
      <w:pStyle w:val="40"/>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0"/>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0"/>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0"/>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0"/>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6ED6AB"/>
    <w:multiLevelType w:val="singleLevel"/>
    <w:tmpl w:val="9E6ED6AB"/>
    <w:lvl w:ilvl="0" w:tentative="0">
      <w:start w:val="1"/>
      <w:numFmt w:val="decimal"/>
      <w:lvlText w:val="%1."/>
      <w:lvlJc w:val="left"/>
      <w:pPr>
        <w:tabs>
          <w:tab w:val="left" w:pos="312"/>
        </w:tabs>
      </w:pPr>
    </w:lvl>
  </w:abstractNum>
  <w:abstractNum w:abstractNumId="1">
    <w:nsid w:val="A25EEBD2"/>
    <w:multiLevelType w:val="singleLevel"/>
    <w:tmpl w:val="A25EEBD2"/>
    <w:lvl w:ilvl="0" w:tentative="0">
      <w:start w:val="1"/>
      <w:numFmt w:val="decimal"/>
      <w:lvlText w:val="%1."/>
      <w:lvlJc w:val="left"/>
      <w:pPr>
        <w:tabs>
          <w:tab w:val="left" w:pos="312"/>
        </w:tabs>
      </w:pPr>
    </w:lvl>
  </w:abstractNum>
  <w:abstractNum w:abstractNumId="2">
    <w:nsid w:val="BD2CA3F8"/>
    <w:multiLevelType w:val="singleLevel"/>
    <w:tmpl w:val="BD2CA3F8"/>
    <w:lvl w:ilvl="0" w:tentative="0">
      <w:start w:val="1"/>
      <w:numFmt w:val="decimal"/>
      <w:lvlText w:val="%1."/>
      <w:lvlJc w:val="left"/>
      <w:pPr>
        <w:tabs>
          <w:tab w:val="left" w:pos="312"/>
        </w:tabs>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13A496"/>
    <w:multiLevelType w:val="singleLevel"/>
    <w:tmpl w:val="CF13A496"/>
    <w:lvl w:ilvl="0" w:tentative="0">
      <w:start w:val="1"/>
      <w:numFmt w:val="decimal"/>
      <w:suff w:val="nothing"/>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59AED1C"/>
    <w:multiLevelType w:val="singleLevel"/>
    <w:tmpl w:val="D59AED1C"/>
    <w:lvl w:ilvl="0" w:tentative="0">
      <w:start w:val="3"/>
      <w:numFmt w:val="chineseCounting"/>
      <w:suff w:val="space"/>
      <w:lvlText w:val="第%1部分"/>
      <w:lvlJc w:val="left"/>
      <w:rPr>
        <w:rFonts w:hint="eastAsia"/>
      </w:rPr>
    </w:lvl>
  </w:abstractNum>
  <w:abstractNum w:abstractNumId="7">
    <w:nsid w:val="D9D9D28D"/>
    <w:multiLevelType w:val="singleLevel"/>
    <w:tmpl w:val="D9D9D28D"/>
    <w:lvl w:ilvl="0" w:tentative="0">
      <w:start w:val="1"/>
      <w:numFmt w:val="decimal"/>
      <w:lvlText w:val="%1."/>
      <w:lvlJc w:val="left"/>
      <w:pPr>
        <w:tabs>
          <w:tab w:val="left" w:pos="312"/>
        </w:tabs>
      </w:pPr>
    </w:lvl>
  </w:abstractNum>
  <w:abstractNum w:abstractNumId="8">
    <w:nsid w:val="DB298E1B"/>
    <w:multiLevelType w:val="singleLevel"/>
    <w:tmpl w:val="DB298E1B"/>
    <w:lvl w:ilvl="0" w:tentative="0">
      <w:start w:val="1"/>
      <w:numFmt w:val="chineseCounting"/>
      <w:suff w:val="nothing"/>
      <w:lvlText w:val="%1、"/>
      <w:lvlJc w:val="left"/>
      <w:pPr>
        <w:ind w:left="0" w:firstLine="420"/>
      </w:pPr>
      <w:rPr>
        <w:rFonts w:hint="eastAsia"/>
      </w:rPr>
    </w:lvl>
  </w:abstractNum>
  <w:abstractNum w:abstractNumId="9">
    <w:nsid w:val="DD862A13"/>
    <w:multiLevelType w:val="singleLevel"/>
    <w:tmpl w:val="DD862A13"/>
    <w:lvl w:ilvl="0" w:tentative="0">
      <w:start w:val="1"/>
      <w:numFmt w:val="decimal"/>
      <w:lvlText w:val="%1."/>
      <w:lvlJc w:val="left"/>
      <w:pPr>
        <w:tabs>
          <w:tab w:val="left" w:pos="312"/>
        </w:tabs>
      </w:pPr>
    </w:lvl>
  </w:abstractNum>
  <w:abstractNum w:abstractNumId="10">
    <w:nsid w:val="DDECD3BC"/>
    <w:multiLevelType w:val="singleLevel"/>
    <w:tmpl w:val="DDECD3BC"/>
    <w:lvl w:ilvl="0" w:tentative="0">
      <w:start w:val="6"/>
      <w:numFmt w:val="decimal"/>
      <w:suff w:val="space"/>
      <w:lvlText w:val="%1."/>
      <w:lvlJc w:val="left"/>
    </w:lvl>
  </w:abstractNum>
  <w:abstractNum w:abstractNumId="11">
    <w:nsid w:val="DE759F4B"/>
    <w:multiLevelType w:val="singleLevel"/>
    <w:tmpl w:val="DE759F4B"/>
    <w:lvl w:ilvl="0" w:tentative="0">
      <w:start w:val="2"/>
      <w:numFmt w:val="decimal"/>
      <w:suff w:val="space"/>
      <w:lvlText w:val="%1."/>
      <w:lvlJc w:val="left"/>
    </w:lvl>
  </w:abstractNum>
  <w:abstractNum w:abstractNumId="12">
    <w:nsid w:val="DEABE1DB"/>
    <w:multiLevelType w:val="singleLevel"/>
    <w:tmpl w:val="DEABE1DB"/>
    <w:lvl w:ilvl="0" w:tentative="0">
      <w:start w:val="23"/>
      <w:numFmt w:val="decimal"/>
      <w:suff w:val="space"/>
      <w:lvlText w:val="%1."/>
      <w:lvlJc w:val="left"/>
    </w:lvl>
  </w:abstractNum>
  <w:abstractNum w:abstractNumId="13">
    <w:nsid w:val="EFF883D8"/>
    <w:multiLevelType w:val="singleLevel"/>
    <w:tmpl w:val="EFF883D8"/>
    <w:lvl w:ilvl="0" w:tentative="0">
      <w:start w:val="1"/>
      <w:numFmt w:val="decimal"/>
      <w:suff w:val="nothing"/>
      <w:lvlText w:val="%1、"/>
      <w:lvlJc w:val="left"/>
      <w:pPr>
        <w:ind w:left="-62"/>
      </w:pPr>
    </w:lvl>
  </w:abstractNum>
  <w:abstractNum w:abstractNumId="14">
    <w:nsid w:val="F67BA9F2"/>
    <w:multiLevelType w:val="singleLevel"/>
    <w:tmpl w:val="F67BA9F2"/>
    <w:lvl w:ilvl="0" w:tentative="0">
      <w:start w:val="1"/>
      <w:numFmt w:val="decimal"/>
      <w:suff w:val="nothing"/>
      <w:lvlText w:val="%1、"/>
      <w:lvlJc w:val="left"/>
    </w:lvl>
  </w:abstractNum>
  <w:abstractNum w:abstractNumId="15">
    <w:nsid w:val="FFEFC674"/>
    <w:multiLevelType w:val="singleLevel"/>
    <w:tmpl w:val="FFEFC674"/>
    <w:lvl w:ilvl="0" w:tentative="0">
      <w:start w:val="1"/>
      <w:numFmt w:val="decimal"/>
      <w:suff w:val="nothing"/>
      <w:lvlText w:val="（%1）"/>
      <w:lvlJc w:val="left"/>
    </w:lvl>
  </w:abstractNum>
  <w:abstractNum w:abstractNumId="16">
    <w:nsid w:val="02052547"/>
    <w:multiLevelType w:val="singleLevel"/>
    <w:tmpl w:val="02052547"/>
    <w:lvl w:ilvl="0" w:tentative="0">
      <w:start w:val="1"/>
      <w:numFmt w:val="decimal"/>
      <w:lvlText w:val="%1."/>
      <w:lvlJc w:val="left"/>
      <w:pPr>
        <w:tabs>
          <w:tab w:val="left" w:pos="312"/>
        </w:tabs>
      </w:pPr>
    </w:lvl>
  </w:abstractNum>
  <w:abstractNum w:abstractNumId="17">
    <w:nsid w:val="086890AD"/>
    <w:multiLevelType w:val="singleLevel"/>
    <w:tmpl w:val="086890AD"/>
    <w:lvl w:ilvl="0" w:tentative="0">
      <w:start w:val="1"/>
      <w:numFmt w:val="decimal"/>
      <w:lvlText w:val="%1."/>
      <w:lvlJc w:val="left"/>
      <w:pPr>
        <w:tabs>
          <w:tab w:val="left" w:pos="312"/>
        </w:tabs>
      </w:pPr>
    </w:lvl>
  </w:abstractNum>
  <w:abstractNum w:abstractNumId="18">
    <w:nsid w:val="097ADB5B"/>
    <w:multiLevelType w:val="singleLevel"/>
    <w:tmpl w:val="097ADB5B"/>
    <w:lvl w:ilvl="0" w:tentative="0">
      <w:start w:val="1"/>
      <w:numFmt w:val="decimal"/>
      <w:lvlText w:val="%1"/>
      <w:lvlJc w:val="center"/>
      <w:pPr>
        <w:ind w:left="210"/>
      </w:pPr>
      <w:rPr>
        <w:rFonts w:hint="default" w:ascii="宋体" w:hAnsi="宋体" w:eastAsia="宋体" w:cs="宋体"/>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9">
    <w:nsid w:val="09F51932"/>
    <w:multiLevelType w:val="singleLevel"/>
    <w:tmpl w:val="09F51932"/>
    <w:lvl w:ilvl="0" w:tentative="0">
      <w:start w:val="1"/>
      <w:numFmt w:val="decimal"/>
      <w:suff w:val="nothing"/>
      <w:lvlText w:val="%1、"/>
      <w:lvlJc w:val="left"/>
    </w:lvl>
  </w:abstractNum>
  <w:abstractNum w:abstractNumId="20">
    <w:nsid w:val="352E6456"/>
    <w:multiLevelType w:val="singleLevel"/>
    <w:tmpl w:val="352E6456"/>
    <w:lvl w:ilvl="0" w:tentative="0">
      <w:start w:val="1"/>
      <w:numFmt w:val="decimal"/>
      <w:lvlText w:val="%1."/>
      <w:lvlJc w:val="left"/>
      <w:pPr>
        <w:tabs>
          <w:tab w:val="left" w:pos="312"/>
        </w:tabs>
      </w:pPr>
    </w:lvl>
  </w:abstractNum>
  <w:abstractNum w:abstractNumId="21">
    <w:nsid w:val="703A9C97"/>
    <w:multiLevelType w:val="singleLevel"/>
    <w:tmpl w:val="703A9C97"/>
    <w:lvl w:ilvl="0" w:tentative="0">
      <w:start w:val="1"/>
      <w:numFmt w:val="decimal"/>
      <w:lvlText w:val="%1."/>
      <w:lvlJc w:val="left"/>
      <w:pPr>
        <w:tabs>
          <w:tab w:val="left" w:pos="312"/>
        </w:tabs>
      </w:pPr>
    </w:lvl>
  </w:abstractNum>
  <w:abstractNum w:abstractNumId="22">
    <w:nsid w:val="73C03BE0"/>
    <w:multiLevelType w:val="singleLevel"/>
    <w:tmpl w:val="73C03BE0"/>
    <w:lvl w:ilvl="0" w:tentative="0">
      <w:start w:val="1"/>
      <w:numFmt w:val="decimal"/>
      <w:suff w:val="nothing"/>
      <w:lvlText w:val="%1、"/>
      <w:lvlJc w:val="left"/>
    </w:lvl>
  </w:abstractNum>
  <w:abstractNum w:abstractNumId="23">
    <w:nsid w:val="7A0F6431"/>
    <w:multiLevelType w:val="singleLevel"/>
    <w:tmpl w:val="7A0F6431"/>
    <w:lvl w:ilvl="0" w:tentative="0">
      <w:start w:val="1"/>
      <w:numFmt w:val="decimal"/>
      <w:suff w:val="space"/>
      <w:lvlText w:val="%1."/>
      <w:lvlJc w:val="left"/>
    </w:lvl>
  </w:abstractNum>
  <w:abstractNum w:abstractNumId="24">
    <w:nsid w:val="7FA616EF"/>
    <w:multiLevelType w:val="singleLevel"/>
    <w:tmpl w:val="7FA616EF"/>
    <w:lvl w:ilvl="0" w:tentative="0">
      <w:start w:val="1"/>
      <w:numFmt w:val="decimal"/>
      <w:suff w:val="nothing"/>
      <w:lvlText w:val="%1、"/>
      <w:lvlJc w:val="left"/>
    </w:lvl>
  </w:abstractNum>
  <w:num w:numId="1">
    <w:abstractNumId w:val="6"/>
  </w:num>
  <w:num w:numId="2">
    <w:abstractNumId w:val="8"/>
  </w:num>
  <w:num w:numId="3">
    <w:abstractNumId w:val="1"/>
  </w:num>
  <w:num w:numId="4">
    <w:abstractNumId w:val="7"/>
  </w:num>
  <w:num w:numId="5">
    <w:abstractNumId w:val="16"/>
  </w:num>
  <w:num w:numId="6">
    <w:abstractNumId w:val="2"/>
  </w:num>
  <w:num w:numId="7">
    <w:abstractNumId w:val="0"/>
  </w:num>
  <w:num w:numId="8">
    <w:abstractNumId w:val="19"/>
  </w:num>
  <w:num w:numId="9">
    <w:abstractNumId w:val="22"/>
  </w:num>
  <w:num w:numId="10">
    <w:abstractNumId w:val="20"/>
  </w:num>
  <w:num w:numId="11">
    <w:abstractNumId w:val="21"/>
  </w:num>
  <w:num w:numId="12">
    <w:abstractNumId w:val="17"/>
  </w:num>
  <w:num w:numId="13">
    <w:abstractNumId w:val="14"/>
  </w:num>
  <w:num w:numId="14">
    <w:abstractNumId w:val="9"/>
  </w:num>
  <w:num w:numId="15">
    <w:abstractNumId w:val="13"/>
  </w:num>
  <w:num w:numId="16">
    <w:abstractNumId w:val="18"/>
  </w:num>
  <w:num w:numId="17">
    <w:abstractNumId w:val="24"/>
  </w:num>
  <w:num w:numId="18">
    <w:abstractNumId w:val="23"/>
  </w:num>
  <w:num w:numId="19">
    <w:abstractNumId w:val="5"/>
  </w:num>
  <w:num w:numId="20">
    <w:abstractNumId w:val="15"/>
  </w:num>
  <w:num w:numId="21">
    <w:abstractNumId w:val="11"/>
  </w:num>
  <w:num w:numId="22">
    <w:abstractNumId w:val="10"/>
  </w:num>
  <w:num w:numId="23">
    <w:abstractNumId w:val="3"/>
  </w:num>
  <w:num w:numId="24">
    <w:abstractNumId w:val="1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BA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C32A07"/>
    <w:rsid w:val="01D55165"/>
    <w:rsid w:val="01DF6BF8"/>
    <w:rsid w:val="01EC2C57"/>
    <w:rsid w:val="023E3495"/>
    <w:rsid w:val="025F0711"/>
    <w:rsid w:val="026B2E25"/>
    <w:rsid w:val="02824D4D"/>
    <w:rsid w:val="028E5F70"/>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77C6AC6"/>
    <w:rsid w:val="08061376"/>
    <w:rsid w:val="08452D77"/>
    <w:rsid w:val="086401F8"/>
    <w:rsid w:val="08751A8F"/>
    <w:rsid w:val="08751CAA"/>
    <w:rsid w:val="087E4C40"/>
    <w:rsid w:val="08A871D0"/>
    <w:rsid w:val="08D66AD6"/>
    <w:rsid w:val="08DA33A3"/>
    <w:rsid w:val="08E80F13"/>
    <w:rsid w:val="08E87F44"/>
    <w:rsid w:val="08EA0F3D"/>
    <w:rsid w:val="09335624"/>
    <w:rsid w:val="0944690F"/>
    <w:rsid w:val="09535675"/>
    <w:rsid w:val="095F057D"/>
    <w:rsid w:val="09642282"/>
    <w:rsid w:val="09733572"/>
    <w:rsid w:val="09772C16"/>
    <w:rsid w:val="098353B5"/>
    <w:rsid w:val="09A26AD4"/>
    <w:rsid w:val="09A92330"/>
    <w:rsid w:val="09B06B87"/>
    <w:rsid w:val="09C13146"/>
    <w:rsid w:val="09E04166"/>
    <w:rsid w:val="0A1C0718"/>
    <w:rsid w:val="0A3E7710"/>
    <w:rsid w:val="0A5B7E63"/>
    <w:rsid w:val="0AA374A5"/>
    <w:rsid w:val="0AAB7649"/>
    <w:rsid w:val="0ABC5606"/>
    <w:rsid w:val="0ACE4A7B"/>
    <w:rsid w:val="0ACF4E8E"/>
    <w:rsid w:val="0AFB3396"/>
    <w:rsid w:val="0B30404E"/>
    <w:rsid w:val="0B4C6C14"/>
    <w:rsid w:val="0B547599"/>
    <w:rsid w:val="0B631A88"/>
    <w:rsid w:val="0B683D45"/>
    <w:rsid w:val="0B7F3F11"/>
    <w:rsid w:val="0B884417"/>
    <w:rsid w:val="0BDE303C"/>
    <w:rsid w:val="0BF6188C"/>
    <w:rsid w:val="0BF73C91"/>
    <w:rsid w:val="0C170175"/>
    <w:rsid w:val="0C215C32"/>
    <w:rsid w:val="0C571A41"/>
    <w:rsid w:val="0C5C1171"/>
    <w:rsid w:val="0C5E1CBC"/>
    <w:rsid w:val="0C615B50"/>
    <w:rsid w:val="0C8445DA"/>
    <w:rsid w:val="0C87121B"/>
    <w:rsid w:val="0CC007F7"/>
    <w:rsid w:val="0CC617AC"/>
    <w:rsid w:val="0CD01C65"/>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2D61ED"/>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81266"/>
    <w:rsid w:val="10FC16EA"/>
    <w:rsid w:val="110F1D40"/>
    <w:rsid w:val="11266F33"/>
    <w:rsid w:val="115B06EA"/>
    <w:rsid w:val="118963A1"/>
    <w:rsid w:val="11C6522A"/>
    <w:rsid w:val="11E104CC"/>
    <w:rsid w:val="11E20309"/>
    <w:rsid w:val="12255233"/>
    <w:rsid w:val="12530213"/>
    <w:rsid w:val="127723A9"/>
    <w:rsid w:val="127F203F"/>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55039"/>
    <w:rsid w:val="14A7619D"/>
    <w:rsid w:val="14EA0703"/>
    <w:rsid w:val="150536C3"/>
    <w:rsid w:val="150C1963"/>
    <w:rsid w:val="151447A0"/>
    <w:rsid w:val="151C63E2"/>
    <w:rsid w:val="154A6454"/>
    <w:rsid w:val="15762120"/>
    <w:rsid w:val="160B4BD7"/>
    <w:rsid w:val="161A6DC6"/>
    <w:rsid w:val="163F0AC2"/>
    <w:rsid w:val="16A8729C"/>
    <w:rsid w:val="16B33777"/>
    <w:rsid w:val="16BC70A7"/>
    <w:rsid w:val="16C6339E"/>
    <w:rsid w:val="172F2D79"/>
    <w:rsid w:val="173F5A3A"/>
    <w:rsid w:val="17557BEF"/>
    <w:rsid w:val="17D349C1"/>
    <w:rsid w:val="18244F26"/>
    <w:rsid w:val="1830729E"/>
    <w:rsid w:val="1852128A"/>
    <w:rsid w:val="1870062C"/>
    <w:rsid w:val="18817102"/>
    <w:rsid w:val="18830A15"/>
    <w:rsid w:val="18852B28"/>
    <w:rsid w:val="188B5321"/>
    <w:rsid w:val="18A706B9"/>
    <w:rsid w:val="19932372"/>
    <w:rsid w:val="19A20DD5"/>
    <w:rsid w:val="19AE03F1"/>
    <w:rsid w:val="1A071A03"/>
    <w:rsid w:val="1A1F16AE"/>
    <w:rsid w:val="1A3B5C77"/>
    <w:rsid w:val="1A6670E8"/>
    <w:rsid w:val="1A6B1B55"/>
    <w:rsid w:val="1A753EF7"/>
    <w:rsid w:val="1A984BAD"/>
    <w:rsid w:val="1AB8220E"/>
    <w:rsid w:val="1AE4166C"/>
    <w:rsid w:val="1AF06CFB"/>
    <w:rsid w:val="1AF11B8D"/>
    <w:rsid w:val="1B11359C"/>
    <w:rsid w:val="1B2A271F"/>
    <w:rsid w:val="1B530544"/>
    <w:rsid w:val="1B713184"/>
    <w:rsid w:val="1B72743E"/>
    <w:rsid w:val="1BA209CF"/>
    <w:rsid w:val="1BB24E37"/>
    <w:rsid w:val="1BB4777D"/>
    <w:rsid w:val="1BD75AB8"/>
    <w:rsid w:val="1C0459C2"/>
    <w:rsid w:val="1C1B3B4A"/>
    <w:rsid w:val="1C88086E"/>
    <w:rsid w:val="1CB44504"/>
    <w:rsid w:val="1CCB5193"/>
    <w:rsid w:val="1D266CE1"/>
    <w:rsid w:val="1D3963AF"/>
    <w:rsid w:val="1D6A673C"/>
    <w:rsid w:val="1D78046E"/>
    <w:rsid w:val="1D9247AE"/>
    <w:rsid w:val="1DB567EC"/>
    <w:rsid w:val="1DC018EF"/>
    <w:rsid w:val="1DF51A98"/>
    <w:rsid w:val="1E051CD9"/>
    <w:rsid w:val="1E3D060F"/>
    <w:rsid w:val="1E3F5F7E"/>
    <w:rsid w:val="1E3F7D2E"/>
    <w:rsid w:val="1E4134E4"/>
    <w:rsid w:val="1E5062B3"/>
    <w:rsid w:val="1E523514"/>
    <w:rsid w:val="1E714A66"/>
    <w:rsid w:val="1E802593"/>
    <w:rsid w:val="1E8B6156"/>
    <w:rsid w:val="1EA703CC"/>
    <w:rsid w:val="1EB7330C"/>
    <w:rsid w:val="1F0A0FF3"/>
    <w:rsid w:val="1F0E3FFC"/>
    <w:rsid w:val="1F5771FF"/>
    <w:rsid w:val="1F9004A1"/>
    <w:rsid w:val="1FAA0841"/>
    <w:rsid w:val="1FD52574"/>
    <w:rsid w:val="1FE868A9"/>
    <w:rsid w:val="20034907"/>
    <w:rsid w:val="20173E4B"/>
    <w:rsid w:val="202F5F1E"/>
    <w:rsid w:val="204E48BC"/>
    <w:rsid w:val="208601A3"/>
    <w:rsid w:val="208921B3"/>
    <w:rsid w:val="20973DEB"/>
    <w:rsid w:val="20B26522"/>
    <w:rsid w:val="20B44310"/>
    <w:rsid w:val="20DD2C3A"/>
    <w:rsid w:val="211116EB"/>
    <w:rsid w:val="216133FC"/>
    <w:rsid w:val="219A61BE"/>
    <w:rsid w:val="21D56769"/>
    <w:rsid w:val="21E52EF3"/>
    <w:rsid w:val="21FB5D7B"/>
    <w:rsid w:val="22015E94"/>
    <w:rsid w:val="220B1C3D"/>
    <w:rsid w:val="221D1D20"/>
    <w:rsid w:val="22334A87"/>
    <w:rsid w:val="22415C47"/>
    <w:rsid w:val="22B204DD"/>
    <w:rsid w:val="22BE6801"/>
    <w:rsid w:val="23085827"/>
    <w:rsid w:val="233500BF"/>
    <w:rsid w:val="23377FF7"/>
    <w:rsid w:val="236B425F"/>
    <w:rsid w:val="2370491B"/>
    <w:rsid w:val="23836192"/>
    <w:rsid w:val="23901F29"/>
    <w:rsid w:val="239C0061"/>
    <w:rsid w:val="23B908A4"/>
    <w:rsid w:val="23E95BEF"/>
    <w:rsid w:val="23FD0064"/>
    <w:rsid w:val="24433734"/>
    <w:rsid w:val="244A6AC8"/>
    <w:rsid w:val="245375B0"/>
    <w:rsid w:val="24642C0A"/>
    <w:rsid w:val="24B22173"/>
    <w:rsid w:val="24B95AD9"/>
    <w:rsid w:val="24BE24DA"/>
    <w:rsid w:val="24CF5825"/>
    <w:rsid w:val="24D663E6"/>
    <w:rsid w:val="24D77F2B"/>
    <w:rsid w:val="25152081"/>
    <w:rsid w:val="258B00E2"/>
    <w:rsid w:val="25A917A6"/>
    <w:rsid w:val="25BE27CC"/>
    <w:rsid w:val="25E05341"/>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7E10D1D"/>
    <w:rsid w:val="28333E1D"/>
    <w:rsid w:val="28454BD6"/>
    <w:rsid w:val="28455253"/>
    <w:rsid w:val="28551971"/>
    <w:rsid w:val="285B1C53"/>
    <w:rsid w:val="289F7086"/>
    <w:rsid w:val="28C32028"/>
    <w:rsid w:val="28C94457"/>
    <w:rsid w:val="28CC490F"/>
    <w:rsid w:val="28DE40AA"/>
    <w:rsid w:val="29121C13"/>
    <w:rsid w:val="29345E77"/>
    <w:rsid w:val="294C65AD"/>
    <w:rsid w:val="29806583"/>
    <w:rsid w:val="2984656F"/>
    <w:rsid w:val="298B3C4C"/>
    <w:rsid w:val="2998358C"/>
    <w:rsid w:val="29F26D24"/>
    <w:rsid w:val="2A15033F"/>
    <w:rsid w:val="2A1662C1"/>
    <w:rsid w:val="2A1C7367"/>
    <w:rsid w:val="2A2815FA"/>
    <w:rsid w:val="2A6D6092"/>
    <w:rsid w:val="2A7D76B4"/>
    <w:rsid w:val="2A9E534E"/>
    <w:rsid w:val="2AD0584D"/>
    <w:rsid w:val="2B437463"/>
    <w:rsid w:val="2B7807EE"/>
    <w:rsid w:val="2BA50BF7"/>
    <w:rsid w:val="2BBF00EC"/>
    <w:rsid w:val="2BC37CFD"/>
    <w:rsid w:val="2BD5237F"/>
    <w:rsid w:val="2BE536CE"/>
    <w:rsid w:val="2BE758D9"/>
    <w:rsid w:val="2BF346BB"/>
    <w:rsid w:val="2C09049E"/>
    <w:rsid w:val="2C0A653C"/>
    <w:rsid w:val="2C191F85"/>
    <w:rsid w:val="2CC444FF"/>
    <w:rsid w:val="2CE82D6F"/>
    <w:rsid w:val="2D343236"/>
    <w:rsid w:val="2D38455E"/>
    <w:rsid w:val="2D575011"/>
    <w:rsid w:val="2DD15014"/>
    <w:rsid w:val="2DD92C6B"/>
    <w:rsid w:val="2DEA5B9A"/>
    <w:rsid w:val="2DF72DE4"/>
    <w:rsid w:val="2E0220AF"/>
    <w:rsid w:val="2E4B082A"/>
    <w:rsid w:val="2E59653C"/>
    <w:rsid w:val="2E5D4E86"/>
    <w:rsid w:val="2E5D790B"/>
    <w:rsid w:val="2E7E1393"/>
    <w:rsid w:val="2E9A3C18"/>
    <w:rsid w:val="2EBB0FEE"/>
    <w:rsid w:val="2EC63002"/>
    <w:rsid w:val="2EF44200"/>
    <w:rsid w:val="2F0A6B38"/>
    <w:rsid w:val="2F946CCB"/>
    <w:rsid w:val="2FD25781"/>
    <w:rsid w:val="2FDC745C"/>
    <w:rsid w:val="2FED31AB"/>
    <w:rsid w:val="2FFD7934"/>
    <w:rsid w:val="3049169C"/>
    <w:rsid w:val="30733ACD"/>
    <w:rsid w:val="308C3862"/>
    <w:rsid w:val="309379D8"/>
    <w:rsid w:val="30A270F7"/>
    <w:rsid w:val="30DF1478"/>
    <w:rsid w:val="30EC586F"/>
    <w:rsid w:val="319C6071"/>
    <w:rsid w:val="31AC537E"/>
    <w:rsid w:val="31E3679B"/>
    <w:rsid w:val="31E732FD"/>
    <w:rsid w:val="32517576"/>
    <w:rsid w:val="326914C9"/>
    <w:rsid w:val="32BE5C2C"/>
    <w:rsid w:val="32FB6478"/>
    <w:rsid w:val="33082324"/>
    <w:rsid w:val="33263B3F"/>
    <w:rsid w:val="336963EB"/>
    <w:rsid w:val="33816EEB"/>
    <w:rsid w:val="33DC5263"/>
    <w:rsid w:val="33EB55CD"/>
    <w:rsid w:val="33EC4C02"/>
    <w:rsid w:val="340D2360"/>
    <w:rsid w:val="3410665D"/>
    <w:rsid w:val="34211214"/>
    <w:rsid w:val="342E63AB"/>
    <w:rsid w:val="34950E68"/>
    <w:rsid w:val="34986E94"/>
    <w:rsid w:val="34AF62C9"/>
    <w:rsid w:val="34CB4388"/>
    <w:rsid w:val="34FA6E12"/>
    <w:rsid w:val="352C0E1B"/>
    <w:rsid w:val="354D7158"/>
    <w:rsid w:val="358D5588"/>
    <w:rsid w:val="35DE3514"/>
    <w:rsid w:val="35E14863"/>
    <w:rsid w:val="363A3B40"/>
    <w:rsid w:val="364E0920"/>
    <w:rsid w:val="365302AE"/>
    <w:rsid w:val="36607A0A"/>
    <w:rsid w:val="36631C6B"/>
    <w:rsid w:val="366E227C"/>
    <w:rsid w:val="366F2E0D"/>
    <w:rsid w:val="367A5D9B"/>
    <w:rsid w:val="367B6A5C"/>
    <w:rsid w:val="36A74ADA"/>
    <w:rsid w:val="36AD60D5"/>
    <w:rsid w:val="36B224F9"/>
    <w:rsid w:val="36EC0CC9"/>
    <w:rsid w:val="370553F4"/>
    <w:rsid w:val="37202102"/>
    <w:rsid w:val="373F410B"/>
    <w:rsid w:val="37EE7094"/>
    <w:rsid w:val="380B2E43"/>
    <w:rsid w:val="38296C89"/>
    <w:rsid w:val="383002EB"/>
    <w:rsid w:val="38586797"/>
    <w:rsid w:val="385D15DF"/>
    <w:rsid w:val="38BC0149"/>
    <w:rsid w:val="38D87D1C"/>
    <w:rsid w:val="38EB06E3"/>
    <w:rsid w:val="39636459"/>
    <w:rsid w:val="396B7F6C"/>
    <w:rsid w:val="39B417A9"/>
    <w:rsid w:val="39FC5695"/>
    <w:rsid w:val="3A006D8E"/>
    <w:rsid w:val="3A3651E5"/>
    <w:rsid w:val="3A744481"/>
    <w:rsid w:val="3A8C7BEF"/>
    <w:rsid w:val="3A906246"/>
    <w:rsid w:val="3AB84AA7"/>
    <w:rsid w:val="3AD0395A"/>
    <w:rsid w:val="3B181276"/>
    <w:rsid w:val="3B2349B7"/>
    <w:rsid w:val="3B616CFF"/>
    <w:rsid w:val="3B6259F6"/>
    <w:rsid w:val="3B976654"/>
    <w:rsid w:val="3BC01EFC"/>
    <w:rsid w:val="3BCA786A"/>
    <w:rsid w:val="3BCC77BA"/>
    <w:rsid w:val="3BD31E2F"/>
    <w:rsid w:val="3BF15831"/>
    <w:rsid w:val="3C105946"/>
    <w:rsid w:val="3C471448"/>
    <w:rsid w:val="3C5F759A"/>
    <w:rsid w:val="3C6C525A"/>
    <w:rsid w:val="3CCE23CB"/>
    <w:rsid w:val="3CD17D17"/>
    <w:rsid w:val="3D3C7F39"/>
    <w:rsid w:val="3D440F09"/>
    <w:rsid w:val="3D4504A0"/>
    <w:rsid w:val="3D863AD1"/>
    <w:rsid w:val="3D8734BB"/>
    <w:rsid w:val="3D9A11D4"/>
    <w:rsid w:val="3DA16D89"/>
    <w:rsid w:val="3DA364BE"/>
    <w:rsid w:val="3DE041CB"/>
    <w:rsid w:val="3E0D48F6"/>
    <w:rsid w:val="3E1868B4"/>
    <w:rsid w:val="3E275434"/>
    <w:rsid w:val="3E377251"/>
    <w:rsid w:val="3E42664B"/>
    <w:rsid w:val="3E5A7334"/>
    <w:rsid w:val="3E7B5D6B"/>
    <w:rsid w:val="3E843E66"/>
    <w:rsid w:val="3E8F51FE"/>
    <w:rsid w:val="3E926F87"/>
    <w:rsid w:val="3E9A59DE"/>
    <w:rsid w:val="3EAF4836"/>
    <w:rsid w:val="3EC33DFA"/>
    <w:rsid w:val="3ED25BE0"/>
    <w:rsid w:val="3EF94F1B"/>
    <w:rsid w:val="3EFC31A7"/>
    <w:rsid w:val="3F060E16"/>
    <w:rsid w:val="3F1D1096"/>
    <w:rsid w:val="3F223D13"/>
    <w:rsid w:val="3F2F0234"/>
    <w:rsid w:val="3F591E5E"/>
    <w:rsid w:val="3F6363FE"/>
    <w:rsid w:val="3F663EB3"/>
    <w:rsid w:val="3F756B8F"/>
    <w:rsid w:val="3F95482B"/>
    <w:rsid w:val="4019356B"/>
    <w:rsid w:val="40592157"/>
    <w:rsid w:val="406E1CAE"/>
    <w:rsid w:val="40715033"/>
    <w:rsid w:val="408C0409"/>
    <w:rsid w:val="40A0133A"/>
    <w:rsid w:val="40C31A53"/>
    <w:rsid w:val="40FF545D"/>
    <w:rsid w:val="40FF5D9F"/>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7A1DC4"/>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6FC6FFE"/>
    <w:rsid w:val="477B778F"/>
    <w:rsid w:val="478203EC"/>
    <w:rsid w:val="47B025FA"/>
    <w:rsid w:val="47FC4D98"/>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470AD"/>
    <w:rsid w:val="4A16615C"/>
    <w:rsid w:val="4A4424D7"/>
    <w:rsid w:val="4AB82D0F"/>
    <w:rsid w:val="4AC32699"/>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E86773"/>
    <w:rsid w:val="4E793892"/>
    <w:rsid w:val="4E800872"/>
    <w:rsid w:val="4EB04FB8"/>
    <w:rsid w:val="4EC569ED"/>
    <w:rsid w:val="4ED50EA1"/>
    <w:rsid w:val="4EEC050C"/>
    <w:rsid w:val="4F104EC3"/>
    <w:rsid w:val="4F47354A"/>
    <w:rsid w:val="4F8D1C8E"/>
    <w:rsid w:val="4F911C54"/>
    <w:rsid w:val="4FE625E0"/>
    <w:rsid w:val="5021480F"/>
    <w:rsid w:val="50962ECB"/>
    <w:rsid w:val="50A42E38"/>
    <w:rsid w:val="50A4577F"/>
    <w:rsid w:val="50B73D1F"/>
    <w:rsid w:val="50BD5BC9"/>
    <w:rsid w:val="50C11EEE"/>
    <w:rsid w:val="50D025AC"/>
    <w:rsid w:val="50E97CFC"/>
    <w:rsid w:val="50FA4028"/>
    <w:rsid w:val="510C1BA6"/>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CA708D"/>
    <w:rsid w:val="55DC29B6"/>
    <w:rsid w:val="55DD4241"/>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424386"/>
    <w:rsid w:val="585F62DF"/>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0171D9"/>
    <w:rsid w:val="5B20005A"/>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81E34"/>
    <w:rsid w:val="5D891B7B"/>
    <w:rsid w:val="5DAD38EE"/>
    <w:rsid w:val="5DBE9A2C"/>
    <w:rsid w:val="5E006862"/>
    <w:rsid w:val="5E0207B9"/>
    <w:rsid w:val="5E1834A1"/>
    <w:rsid w:val="5E261785"/>
    <w:rsid w:val="5E4A7017"/>
    <w:rsid w:val="5E552BBA"/>
    <w:rsid w:val="5E611C10"/>
    <w:rsid w:val="5E65151F"/>
    <w:rsid w:val="5E7A0F3F"/>
    <w:rsid w:val="5EFC7377"/>
    <w:rsid w:val="5F06174D"/>
    <w:rsid w:val="5F3A3602"/>
    <w:rsid w:val="5F3F9AF8"/>
    <w:rsid w:val="5F45733B"/>
    <w:rsid w:val="5F6277C6"/>
    <w:rsid w:val="5F6D0B1D"/>
    <w:rsid w:val="5F8D0B82"/>
    <w:rsid w:val="5FCC5339"/>
    <w:rsid w:val="5FE34A5B"/>
    <w:rsid w:val="5FFB68ED"/>
    <w:rsid w:val="5FFE1E36"/>
    <w:rsid w:val="60232584"/>
    <w:rsid w:val="607330CE"/>
    <w:rsid w:val="60825176"/>
    <w:rsid w:val="609F2AC4"/>
    <w:rsid w:val="60FA2EE8"/>
    <w:rsid w:val="610538E1"/>
    <w:rsid w:val="61054A27"/>
    <w:rsid w:val="610A52BC"/>
    <w:rsid w:val="611D2366"/>
    <w:rsid w:val="612A4050"/>
    <w:rsid w:val="61421856"/>
    <w:rsid w:val="615227C4"/>
    <w:rsid w:val="61654E3F"/>
    <w:rsid w:val="6182292A"/>
    <w:rsid w:val="619F7F92"/>
    <w:rsid w:val="61F94C26"/>
    <w:rsid w:val="62000E56"/>
    <w:rsid w:val="62075FE3"/>
    <w:rsid w:val="624F3E49"/>
    <w:rsid w:val="62632286"/>
    <w:rsid w:val="62885958"/>
    <w:rsid w:val="62E421F1"/>
    <w:rsid w:val="62F40B65"/>
    <w:rsid w:val="62FC2CFE"/>
    <w:rsid w:val="63024505"/>
    <w:rsid w:val="635600A5"/>
    <w:rsid w:val="635B1DB5"/>
    <w:rsid w:val="63711FED"/>
    <w:rsid w:val="63880DDC"/>
    <w:rsid w:val="638D750D"/>
    <w:rsid w:val="63AC6CC0"/>
    <w:rsid w:val="64055776"/>
    <w:rsid w:val="64240056"/>
    <w:rsid w:val="643E143A"/>
    <w:rsid w:val="64491666"/>
    <w:rsid w:val="648B6EEF"/>
    <w:rsid w:val="64B27B07"/>
    <w:rsid w:val="64C158BF"/>
    <w:rsid w:val="64CE2EAA"/>
    <w:rsid w:val="65356BAE"/>
    <w:rsid w:val="653C3090"/>
    <w:rsid w:val="65854376"/>
    <w:rsid w:val="658767BE"/>
    <w:rsid w:val="65892531"/>
    <w:rsid w:val="65E92A43"/>
    <w:rsid w:val="65F85430"/>
    <w:rsid w:val="66195831"/>
    <w:rsid w:val="662E75B1"/>
    <w:rsid w:val="66342C2E"/>
    <w:rsid w:val="663E784C"/>
    <w:rsid w:val="668B6A45"/>
    <w:rsid w:val="67136C12"/>
    <w:rsid w:val="672F3F24"/>
    <w:rsid w:val="673E055F"/>
    <w:rsid w:val="67551CE3"/>
    <w:rsid w:val="67A22552"/>
    <w:rsid w:val="67B22DCC"/>
    <w:rsid w:val="67BE71AA"/>
    <w:rsid w:val="67D90273"/>
    <w:rsid w:val="67DE5875"/>
    <w:rsid w:val="67E55852"/>
    <w:rsid w:val="67EB1AB4"/>
    <w:rsid w:val="67FA1285"/>
    <w:rsid w:val="68136D31"/>
    <w:rsid w:val="68551F4F"/>
    <w:rsid w:val="68790CF7"/>
    <w:rsid w:val="687C10C9"/>
    <w:rsid w:val="68840C16"/>
    <w:rsid w:val="68876EFB"/>
    <w:rsid w:val="68884654"/>
    <w:rsid w:val="689F444F"/>
    <w:rsid w:val="68B96DBB"/>
    <w:rsid w:val="68C12BCC"/>
    <w:rsid w:val="68CA2805"/>
    <w:rsid w:val="68E937A3"/>
    <w:rsid w:val="693E15D3"/>
    <w:rsid w:val="69627681"/>
    <w:rsid w:val="6977531D"/>
    <w:rsid w:val="69CC2BFF"/>
    <w:rsid w:val="69FD55B8"/>
    <w:rsid w:val="6A0B1C62"/>
    <w:rsid w:val="6A204681"/>
    <w:rsid w:val="6A2406C8"/>
    <w:rsid w:val="6A403ED9"/>
    <w:rsid w:val="6ADE0BD1"/>
    <w:rsid w:val="6AE96859"/>
    <w:rsid w:val="6B147746"/>
    <w:rsid w:val="6B24787C"/>
    <w:rsid w:val="6B573233"/>
    <w:rsid w:val="6B5B6274"/>
    <w:rsid w:val="6B935D53"/>
    <w:rsid w:val="6BE07BAA"/>
    <w:rsid w:val="6C196F71"/>
    <w:rsid w:val="6C226FCB"/>
    <w:rsid w:val="6C31226F"/>
    <w:rsid w:val="6C552F0B"/>
    <w:rsid w:val="6C8C67B7"/>
    <w:rsid w:val="6C9D744C"/>
    <w:rsid w:val="6CD83EC3"/>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9E0614"/>
    <w:rsid w:val="6ED446C5"/>
    <w:rsid w:val="6F2A7D94"/>
    <w:rsid w:val="6F6049BF"/>
    <w:rsid w:val="6F8331F1"/>
    <w:rsid w:val="6F9F72A8"/>
    <w:rsid w:val="6FAE1A09"/>
    <w:rsid w:val="6FD75BF8"/>
    <w:rsid w:val="6FF95EA3"/>
    <w:rsid w:val="707723D0"/>
    <w:rsid w:val="70CD199D"/>
    <w:rsid w:val="70F5661B"/>
    <w:rsid w:val="71360107"/>
    <w:rsid w:val="713B688E"/>
    <w:rsid w:val="71D43752"/>
    <w:rsid w:val="71F1796A"/>
    <w:rsid w:val="72154626"/>
    <w:rsid w:val="72262B5D"/>
    <w:rsid w:val="72283FF7"/>
    <w:rsid w:val="722E7212"/>
    <w:rsid w:val="723A0474"/>
    <w:rsid w:val="725923E4"/>
    <w:rsid w:val="72864BF7"/>
    <w:rsid w:val="729023FC"/>
    <w:rsid w:val="72CE37E2"/>
    <w:rsid w:val="73BB61C1"/>
    <w:rsid w:val="73C0646E"/>
    <w:rsid w:val="742222F5"/>
    <w:rsid w:val="74476126"/>
    <w:rsid w:val="74706664"/>
    <w:rsid w:val="747F3682"/>
    <w:rsid w:val="749C4185"/>
    <w:rsid w:val="75067759"/>
    <w:rsid w:val="752E6DCD"/>
    <w:rsid w:val="7551380D"/>
    <w:rsid w:val="75600BE5"/>
    <w:rsid w:val="7564475C"/>
    <w:rsid w:val="7583797F"/>
    <w:rsid w:val="75BA6FE1"/>
    <w:rsid w:val="75BDC257"/>
    <w:rsid w:val="75D20F1D"/>
    <w:rsid w:val="75DA2C18"/>
    <w:rsid w:val="75F54412"/>
    <w:rsid w:val="761D08E0"/>
    <w:rsid w:val="765D347C"/>
    <w:rsid w:val="76826699"/>
    <w:rsid w:val="76855D8D"/>
    <w:rsid w:val="76C87133"/>
    <w:rsid w:val="76CD08D5"/>
    <w:rsid w:val="76DB4B92"/>
    <w:rsid w:val="77052AA4"/>
    <w:rsid w:val="77121B3C"/>
    <w:rsid w:val="77136511"/>
    <w:rsid w:val="77340A39"/>
    <w:rsid w:val="77351FD0"/>
    <w:rsid w:val="77472422"/>
    <w:rsid w:val="77696060"/>
    <w:rsid w:val="777F31F2"/>
    <w:rsid w:val="77D1700D"/>
    <w:rsid w:val="77E41650"/>
    <w:rsid w:val="77EC04CC"/>
    <w:rsid w:val="78743289"/>
    <w:rsid w:val="78775729"/>
    <w:rsid w:val="78A42DB0"/>
    <w:rsid w:val="78A656AB"/>
    <w:rsid w:val="78B2245C"/>
    <w:rsid w:val="78E172CC"/>
    <w:rsid w:val="78EA1D1F"/>
    <w:rsid w:val="7904172F"/>
    <w:rsid w:val="790F7E27"/>
    <w:rsid w:val="792A231A"/>
    <w:rsid w:val="79316829"/>
    <w:rsid w:val="797E66A9"/>
    <w:rsid w:val="798518A4"/>
    <w:rsid w:val="79A97383"/>
    <w:rsid w:val="79C36E1F"/>
    <w:rsid w:val="79E27E8B"/>
    <w:rsid w:val="79EC4DB6"/>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5B445D"/>
    <w:rsid w:val="7B667AF9"/>
    <w:rsid w:val="7B7468F8"/>
    <w:rsid w:val="7BEE0103"/>
    <w:rsid w:val="7C0A0FE4"/>
    <w:rsid w:val="7C254906"/>
    <w:rsid w:val="7C590818"/>
    <w:rsid w:val="7C6158D2"/>
    <w:rsid w:val="7C7C10F6"/>
    <w:rsid w:val="7C853BEA"/>
    <w:rsid w:val="7C881368"/>
    <w:rsid w:val="7CB41E15"/>
    <w:rsid w:val="7CE27788"/>
    <w:rsid w:val="7D0C32F1"/>
    <w:rsid w:val="7D0F408D"/>
    <w:rsid w:val="7D3B33DD"/>
    <w:rsid w:val="7D491C6C"/>
    <w:rsid w:val="7D5429C0"/>
    <w:rsid w:val="7D6E6D43"/>
    <w:rsid w:val="7D995A8B"/>
    <w:rsid w:val="7DB57A34"/>
    <w:rsid w:val="7DD86F60"/>
    <w:rsid w:val="7DE60973"/>
    <w:rsid w:val="7DEF0916"/>
    <w:rsid w:val="7E1E5218"/>
    <w:rsid w:val="7E7257DC"/>
    <w:rsid w:val="7E8613C8"/>
    <w:rsid w:val="7E9A4E1F"/>
    <w:rsid w:val="7EA7723A"/>
    <w:rsid w:val="7EF56FBB"/>
    <w:rsid w:val="7F0768EB"/>
    <w:rsid w:val="7F143BEC"/>
    <w:rsid w:val="7F2D30FB"/>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7"/>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5"/>
    <w:qFormat/>
    <w:uiPriority w:val="99"/>
    <w:pPr>
      <w:tabs>
        <w:tab w:val="center" w:pos="4153"/>
        <w:tab w:val="right" w:pos="8306"/>
      </w:tabs>
      <w:snapToGrid w:val="0"/>
      <w:jc w:val="left"/>
    </w:pPr>
    <w:rPr>
      <w:sz w:val="18"/>
      <w:szCs w:val="18"/>
    </w:rPr>
  </w:style>
  <w:style w:type="paragraph" w:styleId="40">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7"/>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4"/>
    <w:qFormat/>
    <w:uiPriority w:val="0"/>
    <w:pPr>
      <w:spacing w:after="120" w:line="480" w:lineRule="auto"/>
    </w:pPr>
  </w:style>
  <w:style w:type="paragraph" w:styleId="56">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50"/>
    <w:link w:val="323"/>
    <w:qFormat/>
    <w:uiPriority w:val="0"/>
    <w:pPr>
      <w:ind w:firstLine="420"/>
    </w:pPr>
    <w:rPr>
      <w:rFonts w:hAnsi="Calibri" w:cs="Times New Roman"/>
      <w:snapToGrid/>
      <w:szCs w:val="20"/>
    </w:rPr>
  </w:style>
  <w:style w:type="paragraph" w:styleId="61">
    <w:name w:val="Body Text First Indent 2"/>
    <w:basedOn w:val="24"/>
    <w:next w:val="1"/>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next w:val="259"/>
    <w:qFormat/>
    <w:uiPriority w:val="34"/>
    <w:pPr>
      <w:spacing w:line="360" w:lineRule="auto"/>
      <w:ind w:firstLine="200" w:firstLineChars="200"/>
    </w:pPr>
    <w:rPr>
      <w:rFonts w:eastAsia="楷体_GB2312" w:cs="Lucida Sans"/>
      <w:sz w:val="24"/>
    </w:rPr>
  </w:style>
  <w:style w:type="paragraph" w:customStyle="1" w:styleId="259">
    <w:name w:val="Char"/>
    <w:basedOn w:val="1"/>
    <w:next w:val="260"/>
    <w:qFormat/>
    <w:uiPriority w:val="0"/>
    <w:rPr>
      <w:rFonts w:ascii="仿宋_GB2312" w:eastAsia="仿宋_GB2312"/>
      <w:b/>
      <w:sz w:val="32"/>
      <w:szCs w:val="32"/>
    </w:rPr>
  </w:style>
  <w:style w:type="paragraph" w:customStyle="1" w:styleId="260">
    <w:name w:val="p0"/>
    <w:basedOn w:val="1"/>
    <w:qFormat/>
    <w:uiPriority w:val="0"/>
    <w:pPr>
      <w:widowControl/>
      <w:adjustRightInd/>
    </w:pPr>
    <w:rPr>
      <w:kern w:val="0"/>
      <w:szCs w:val="21"/>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semiHidden/>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
    <w:qFormat/>
    <w:locked/>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3"/>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8"/>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locked/>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6"/>
    <w:qFormat/>
    <w:uiPriority w:val="0"/>
    <w:rPr>
      <w:rFonts w:ascii="黑体" w:hAnsi="Courier New" w:eastAsia="黑体"/>
    </w:rPr>
  </w:style>
  <w:style w:type="character" w:customStyle="1" w:styleId="304">
    <w:name w:val="正文文本 2 Char1"/>
    <w:link w:val="55"/>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6"/>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49"/>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0"/>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1"/>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semiHidden/>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2"/>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39"/>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0"/>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3"/>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2"/>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35"/>
    <w:next w:val="23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35"/>
    <w:next w:val="235"/>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1"/>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5"/>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5"/>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正文文本首行缩进 21"/>
    <w:basedOn w:val="24"/>
    <w:qFormat/>
    <w:uiPriority w:val="99"/>
    <w:pPr>
      <w:tabs>
        <w:tab w:val="right" w:leader="dot" w:pos="8268"/>
      </w:tabs>
      <w:spacing w:line="200" w:lineRule="atLeast"/>
      <w:ind w:firstLine="420"/>
    </w:pPr>
    <w:rPr>
      <w:rFonts w:ascii="宋体"/>
      <w:spacing w:val="-4"/>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13073</Words>
  <Characters>14127</Characters>
  <Lines>279</Lines>
  <Paragraphs>78</Paragraphs>
  <TotalTime>14</TotalTime>
  <ScaleCrop>false</ScaleCrop>
  <LinksUpToDate>false</LinksUpToDate>
  <CharactersWithSpaces>14576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醉冬雪</cp:lastModifiedBy>
  <cp:lastPrinted>2021-12-29T19:06:00Z</cp:lastPrinted>
  <dcterms:modified xsi:type="dcterms:W3CDTF">2025-06-21T05:25:47Z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97F0B243B0D6EBCFD7B9BA67829C6E63_43</vt:lpwstr>
  </property>
  <property fmtid="{D5CDD505-2E9C-101B-9397-08002B2CF9AE}" pid="5" name="KSOTemplateDocerSaveRecord">
    <vt:lpwstr>eyJoZGlkIjoiNzFmYTlhMjc0MWMxZWIxMDY0YzBjOTgwZDQ5YmE1NzMiLCJ1c2VySWQiOiI0MzU0MjAyMDQifQ==</vt:lpwstr>
  </property>
</Properties>
</file>