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山北生活区架空层增加喷淋系统</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60"/>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HSZB-2025-980</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6EE947C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4786"/>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4786"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HSZB-2025-980</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4786"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山北生活区架空层增加喷淋系统</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4786"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中国美术学院</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4786"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07</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14</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39"/>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39"/>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39"/>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39"/>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39"/>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39"/>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78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bookmarkStart w:id="697" w:name="_GoBack"/>
      <w:bookmarkEnd w:id="69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山北生活区架空层增加喷淋系统采购项目的潜在供应商应在https://www.zcygov.cn获取（下载）采购文件，并于2025年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25</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02"/>
      <w:bookmarkStart w:id="4" w:name="_Toc35393790"/>
      <w:bookmarkStart w:id="5" w:name="_Toc35393621"/>
      <w:bookmarkStart w:id="6" w:name="_Toc28359079"/>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HSZB-2025-980</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山北生活区架空层增加喷淋系统</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317696.00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317696.00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317696.00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山北生活区架空层增加喷淋系统</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35</w:t>
      </w:r>
      <w:r>
        <w:rPr>
          <w:rFonts w:hint="eastAsia" w:ascii="宋体" w:hAnsi="宋体" w:eastAsia="宋体" w:cs="宋体"/>
          <w:color w:val="auto"/>
          <w:spacing w:val="-4"/>
          <w:kern w:val="0"/>
          <w:sz w:val="24"/>
          <w:szCs w:val="24"/>
          <w:highlight w:val="none"/>
          <w:lang w:val="en-US" w:eastAsia="zh-CN"/>
        </w:rPr>
        <w:t>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791"/>
      <w:bookmarkStart w:id="9" w:name="_Toc28359080"/>
      <w:bookmarkStart w:id="10" w:name="_Toc28359003"/>
      <w:bookmarkStart w:id="11" w:name="_Toc35393622"/>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r>
        <w:rPr>
          <w:rFonts w:hint="eastAsia" w:ascii="宋体" w:hAnsi="宋体" w:eastAsia="宋体" w:cs="宋体"/>
          <w:color w:val="auto"/>
          <w:kern w:val="0"/>
          <w:sz w:val="24"/>
          <w:highlight w:val="none"/>
          <w:lang w:eastAsia="zh-CN"/>
        </w:rPr>
        <w:t>。</w:t>
      </w:r>
    </w:p>
    <w:p w14:paraId="56DF1E9E">
      <w:pPr>
        <w:numPr>
          <w:ilvl w:val="0"/>
          <w:numId w:val="6"/>
        </w:num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本项目的特定资格要求：</w:t>
      </w:r>
      <w:bookmarkStart w:id="14" w:name="_Toc35393792"/>
      <w:bookmarkStart w:id="15" w:name="_Toc35393623"/>
    </w:p>
    <w:p w14:paraId="0748D5B9">
      <w:pPr>
        <w:numPr>
          <w:ilvl w:val="0"/>
          <w:numId w:val="0"/>
        </w:num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（1）具有建筑工程施工总承包</w:t>
      </w:r>
      <w:r>
        <w:rPr>
          <w:rFonts w:hint="eastAsia" w:ascii="宋体" w:hAnsi="宋体" w:eastAsia="宋体" w:cs="宋体"/>
          <w:b/>
          <w:color w:val="auto"/>
          <w:spacing w:val="-4"/>
          <w:kern w:val="0"/>
          <w:sz w:val="24"/>
          <w:szCs w:val="24"/>
          <w:highlight w:val="none"/>
          <w:lang w:val="en-US" w:eastAsia="zh-CN"/>
        </w:rPr>
        <w:t>叁</w:t>
      </w:r>
      <w:r>
        <w:rPr>
          <w:rFonts w:hint="eastAsia" w:ascii="宋体" w:hAnsi="宋体" w:eastAsia="宋体" w:cs="宋体"/>
          <w:b/>
          <w:color w:val="auto"/>
          <w:spacing w:val="-4"/>
          <w:kern w:val="0"/>
          <w:sz w:val="24"/>
          <w:szCs w:val="24"/>
          <w:highlight w:val="none"/>
        </w:rPr>
        <w:t>级及以上资质；</w:t>
      </w:r>
    </w:p>
    <w:p w14:paraId="20F34CEA">
      <w:pPr>
        <w:autoSpaceDN w:val="0"/>
        <w:adjustRightInd w:val="0"/>
        <w:snapToGrid w:val="0"/>
        <w:spacing w:line="360" w:lineRule="auto"/>
        <w:ind w:firstLine="466" w:firstLineChars="200"/>
        <w:rPr>
          <w:rFonts w:hint="eastAsia" w:ascii="宋体" w:hAnsi="宋体" w:eastAsia="宋体" w:cs="宋体"/>
          <w:b/>
          <w:bCs/>
          <w:color w:val="auto"/>
          <w:sz w:val="24"/>
          <w:highlight w:val="none"/>
          <w:lang w:eastAsia="zh-CN"/>
        </w:rPr>
      </w:pPr>
      <w:r>
        <w:rPr>
          <w:rFonts w:hint="eastAsia" w:ascii="宋体" w:hAnsi="宋体" w:eastAsia="宋体" w:cs="宋体"/>
          <w:b/>
          <w:color w:val="auto"/>
          <w:spacing w:val="-4"/>
          <w:kern w:val="0"/>
          <w:sz w:val="24"/>
          <w:szCs w:val="24"/>
          <w:highlight w:val="none"/>
        </w:rPr>
        <w:t>（2）具有有效期内的《安全生产许可证书》</w:t>
      </w:r>
      <w:r>
        <w:rPr>
          <w:rFonts w:hint="eastAsia" w:ascii="宋体" w:hAnsi="宋体" w:eastAsia="宋体" w:cs="宋体"/>
          <w:b/>
          <w:color w:val="auto"/>
          <w:spacing w:val="-4"/>
          <w:kern w:val="0"/>
          <w:sz w:val="24"/>
          <w:szCs w:val="24"/>
          <w:highlight w:val="none"/>
          <w:lang w:eastAsia="zh-CN"/>
        </w:rPr>
        <w:t>。</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25</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35393793"/>
      <w:bookmarkStart w:id="17" w:name="_Toc28359082"/>
      <w:bookmarkStart w:id="18" w:name="_Toc28359005"/>
      <w:bookmarkStart w:id="19" w:name="_Toc35393624"/>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25</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25</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35393625"/>
      <w:bookmarkStart w:id="21" w:name="_Toc35393794"/>
      <w:bookmarkStart w:id="22" w:name="_Toc28359007"/>
      <w:bookmarkStart w:id="23" w:name="_Toc2835908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08"/>
      <w:bookmarkStart w:id="27" w:name="_Toc35393627"/>
      <w:bookmarkStart w:id="28" w:name="_Toc28359085"/>
      <w:bookmarkStart w:id="29" w:name="_Toc35393796"/>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中国美术学院</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址：杭州市南山路218号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顾老师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lang w:val="en-US" w:eastAsia="zh-CN"/>
        </w:rPr>
        <w:t>0571-87168812</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val="en-US" w:eastAsia="zh-CN"/>
        </w:rPr>
        <w:t>林</w:t>
      </w:r>
      <w:r>
        <w:rPr>
          <w:rFonts w:hint="eastAsia" w:ascii="宋体" w:hAnsi="宋体" w:eastAsia="宋体" w:cs="宋体"/>
          <w:color w:val="auto"/>
          <w:spacing w:val="-4"/>
          <w:kern w:val="0"/>
          <w:sz w:val="24"/>
          <w:szCs w:val="24"/>
          <w:highlight w:val="none"/>
        </w:rPr>
        <w:t>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质疑联系方式：0571-87164774</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86"/>
      <w:bookmarkStart w:id="31" w:name="_Toc28359009"/>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bookmarkStart w:id="32" w:name="_Toc28359010"/>
      <w:bookmarkStart w:id="33" w:name="_Toc28359087"/>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3A905F8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193C51B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政策咨询：何一平、冯华，0571-87058424、87055741</w:t>
      </w:r>
    </w:p>
    <w:p w14:paraId="3141666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4"/>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92"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7"/>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山北生活区架空层增加喷淋系统</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59"/>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垃圾清运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0"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21BACE">
            <w:pPr>
              <w:pageBreakBefore w:val="0"/>
              <w:widowControl w:val="0"/>
              <w:kinsoku/>
              <w:wordWrap/>
              <w:overflowPunct/>
              <w:topLinePunct w:val="0"/>
              <w:autoSpaceDE/>
              <w:autoSpaceDN/>
              <w:bidi w:val="0"/>
              <w:adjustRightInd w:val="0"/>
              <w:snapToGrid w:val="0"/>
              <w:spacing w:line="360" w:lineRule="exact"/>
              <w:textAlignment w:val="auto"/>
              <w:rPr>
                <w:rFonts w:hint="default"/>
                <w:color w:val="auto"/>
                <w:highlight w:val="none"/>
                <w:lang w:val="en-US"/>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06"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29"/>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29"/>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29"/>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成交价作为基数，以每标项为一个计费单位，以原国家计算委《招标代理服务收费管理办法》（计价格[2002]1980号）、国家发展改革委员会办公厅关于招标代理服务收费有关问题的通知（发改办价格[2003]857号）规定和发改价格[2011]534号的收费标准为参照基础，按此基准的80%进行计算（不足3000元时按3000元）。由成交供应商在领取中标通知书时一次性向代理机构支付。该费用在投标文件中不单列，由供应商在投标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1、金额为合同金额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合同签订</w:t>
            </w:r>
            <w:r>
              <w:rPr>
                <w:rFonts w:hint="eastAsia" w:ascii="宋体" w:hAnsi="宋体" w:eastAsia="宋体" w:cs="宋体"/>
                <w:color w:val="auto"/>
                <w:sz w:val="24"/>
                <w:szCs w:val="24"/>
                <w:highlight w:val="none"/>
              </w:rPr>
              <w:t>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3"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施工用水、用电费用由承包人承担，费用包含在合同价款中，施工水电费按工程竣工结算</w:t>
            </w:r>
            <w:r>
              <w:rPr>
                <w:rFonts w:hint="eastAsia" w:ascii="宋体" w:hAnsi="宋体" w:eastAsia="宋体" w:cs="宋体"/>
                <w:color w:val="auto"/>
                <w:sz w:val="24"/>
                <w:szCs w:val="24"/>
                <w:highlight w:val="none"/>
              </w:rPr>
              <w:t>审定价的0.7％计算</w:t>
            </w:r>
            <w:r>
              <w:rPr>
                <w:rFonts w:hint="eastAsia" w:ascii="宋体" w:hAnsi="宋体" w:eastAsia="宋体" w:cs="宋体"/>
                <w:color w:val="auto"/>
                <w:sz w:val="24"/>
                <w:szCs w:val="24"/>
                <w:highlight w:val="none"/>
              </w:rPr>
              <w:t>，在结算</w:t>
            </w:r>
            <w:r>
              <w:rPr>
                <w:rFonts w:hint="eastAsia" w:ascii="宋体" w:hAnsi="宋体" w:eastAsia="宋体" w:cs="宋体"/>
                <w:color w:val="auto"/>
                <w:sz w:val="24"/>
                <w:szCs w:val="24"/>
                <w:highlight w:val="none"/>
                <w:lang w:val="en-US" w:eastAsia="zh-CN"/>
              </w:rPr>
              <w:t>审计时</w:t>
            </w:r>
            <w:r>
              <w:rPr>
                <w:rFonts w:hint="eastAsia" w:ascii="宋体" w:hAnsi="宋体" w:eastAsia="宋体" w:cs="宋体"/>
                <w:color w:val="auto"/>
                <w:sz w:val="24"/>
                <w:szCs w:val="24"/>
                <w:highlight w:val="none"/>
              </w:rPr>
              <w:t>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1"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5F633F9C">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FF0000"/>
                <w:sz w:val="24"/>
                <w:szCs w:val="24"/>
                <w:highlight w:val="none"/>
                <w:u w:val="single"/>
                <w:lang w:val="en-US" w:eastAsia="zh-CN"/>
              </w:rPr>
              <w:t>（3）本项目</w:t>
            </w:r>
            <w:r>
              <w:rPr>
                <w:rFonts w:hint="eastAsia" w:ascii="宋体" w:hAnsi="宋体" w:eastAsia="宋体" w:cs="宋体"/>
                <w:b/>
                <w:bCs/>
                <w:color w:val="FF0000"/>
                <w:sz w:val="24"/>
                <w:szCs w:val="24"/>
                <w:highlight w:val="none"/>
                <w:u w:val="single"/>
              </w:rPr>
              <w:t>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338239"/>
      <w:bookmarkStart w:id="38" w:name="_Toc82873322"/>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29410"/>
      <w:bookmarkStart w:id="41" w:name="_Toc1514"/>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29661"/>
      <w:bookmarkStart w:id="44" w:name="_Toc96947061"/>
      <w:bookmarkStart w:id="45" w:name="_Toc10168"/>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4"/>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22410"/>
      <w:bookmarkStart w:id="50" w:name="_Toc16263"/>
      <w:r>
        <w:rPr>
          <w:rFonts w:hint="eastAsia" w:ascii="宋体" w:hAnsi="宋体" w:eastAsia="宋体" w:cs="宋体"/>
          <w:b/>
          <w:bCs/>
          <w:color w:val="auto"/>
          <w:sz w:val="28"/>
          <w:szCs w:val="28"/>
          <w:highlight w:val="none"/>
        </w:rPr>
        <w:t>二、采购文件的构成、澄清、修改</w:t>
      </w:r>
      <w:bookmarkEnd w:id="49"/>
      <w:bookmarkEnd w:id="50"/>
    </w:p>
    <w:p w14:paraId="16BCB50F">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338242"/>
      <w:bookmarkStart w:id="52" w:name="_Toc96947064"/>
      <w:bookmarkStart w:id="53" w:name="_Toc82873325"/>
      <w:r>
        <w:rPr>
          <w:rFonts w:hint="eastAsia" w:ascii="宋体" w:hAnsi="宋体" w:eastAsia="宋体" w:cs="宋体"/>
          <w:b/>
          <w:color w:val="auto"/>
          <w:sz w:val="24"/>
          <w:szCs w:val="24"/>
          <w:highlight w:val="none"/>
        </w:rPr>
        <w:t>5．采购文件的构成</w:t>
      </w:r>
    </w:p>
    <w:p w14:paraId="16D762A3">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8351"/>
      <w:bookmarkStart w:id="55" w:name="_Toc23546"/>
      <w:r>
        <w:rPr>
          <w:rFonts w:hint="eastAsia" w:ascii="宋体" w:hAnsi="宋体" w:eastAsia="宋体" w:cs="宋体"/>
          <w:b/>
          <w:bCs/>
          <w:color w:val="auto"/>
          <w:sz w:val="28"/>
          <w:szCs w:val="28"/>
          <w:highlight w:val="none"/>
        </w:rPr>
        <w:t>三、提交响应文件</w:t>
      </w:r>
      <w:bookmarkEnd w:id="54"/>
      <w:bookmarkEnd w:id="55"/>
    </w:p>
    <w:p w14:paraId="2DD6B819">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4"/>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29"/>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29"/>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5741"/>
      <w:bookmarkStart w:id="60" w:name="_Toc28816"/>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2604"/>
      <w:bookmarkStart w:id="64" w:name="_Toc11200"/>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966"/>
      <w:bookmarkStart w:id="67" w:name="_Toc32593"/>
      <w:r>
        <w:rPr>
          <w:rFonts w:hint="eastAsia" w:ascii="宋体" w:hAnsi="宋体" w:eastAsia="宋体" w:cs="宋体"/>
          <w:b/>
          <w:bCs/>
          <w:color w:val="auto"/>
          <w:sz w:val="28"/>
          <w:szCs w:val="28"/>
          <w:highlight w:val="none"/>
        </w:rPr>
        <w:t>七、合同授予</w:t>
      </w:r>
      <w:bookmarkEnd w:id="66"/>
      <w:bookmarkEnd w:id="67"/>
    </w:p>
    <w:p w14:paraId="751F5A3B">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8049"/>
      <w:bookmarkStart w:id="70" w:name="_Toc26794"/>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7107"/>
      <w:bookmarkStart w:id="72" w:name="_Toc3062"/>
      <w:r>
        <w:rPr>
          <w:rFonts w:hint="eastAsia" w:ascii="宋体" w:hAnsi="宋体" w:eastAsia="宋体" w:cs="宋体"/>
          <w:b/>
          <w:bCs/>
          <w:color w:val="auto"/>
          <w:sz w:val="28"/>
          <w:szCs w:val="28"/>
          <w:highlight w:val="none"/>
        </w:rPr>
        <w:t>九、验收</w:t>
      </w:r>
      <w:bookmarkEnd w:id="71"/>
      <w:bookmarkEnd w:id="72"/>
    </w:p>
    <w:p w14:paraId="318BE9C4">
      <w:pPr>
        <w:pStyle w:val="2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06E151A6">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一、工程概况</w:t>
      </w:r>
    </w:p>
    <w:p w14:paraId="39F21769">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1.工程名称：</w:t>
      </w:r>
      <w:r>
        <w:rPr>
          <w:rFonts w:hint="eastAsia" w:ascii="宋体" w:hAnsi="宋体" w:eastAsia="宋体" w:cs="宋体"/>
          <w:b w:val="0"/>
          <w:bCs/>
          <w:color w:val="auto"/>
          <w:sz w:val="24"/>
          <w:szCs w:val="24"/>
          <w:highlight w:val="none"/>
          <w:lang w:eastAsia="zh-CN"/>
        </w:rPr>
        <w:t>山北生活区架空层增加喷淋系统</w:t>
      </w:r>
    </w:p>
    <w:p w14:paraId="2CAD1DBF">
      <w:pPr>
        <w:spacing w:line="360" w:lineRule="auto"/>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2.项目概况：本项目为山北生活区架空层增加喷淋系统等，具体范围见图纸及工程量清单。</w:t>
      </w:r>
    </w:p>
    <w:p w14:paraId="7ABBF0AA">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.现场条件</w:t>
      </w:r>
    </w:p>
    <w:p w14:paraId="240B14C2">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（1）已具备施工条件，但施工不能影响正常的工作。</w:t>
      </w:r>
    </w:p>
    <w:p w14:paraId="155321B8">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940E029">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.工程承包范围</w:t>
      </w:r>
    </w:p>
    <w:p w14:paraId="2C5AA6B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（1）工程量清单等已明确的工程内容（工程量清单另附）。</w:t>
      </w:r>
    </w:p>
    <w:p w14:paraId="0E5B5728">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（2）可能出现的工程量增减以及根据招标人明确指令需在招标范围外增加的工程量及招标范围内减少的工程量。</w:t>
      </w:r>
    </w:p>
    <w:p w14:paraId="29BB7E01">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.工程质量标准</w:t>
      </w:r>
    </w:p>
    <w:p w14:paraId="6F5C9B7E">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工程质量符合（工程施工质量验收规范）合格标准。</w:t>
      </w:r>
    </w:p>
    <w:p w14:paraId="6B896913">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.工期要求</w:t>
      </w:r>
    </w:p>
    <w:p w14:paraId="519BAAF2">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35</w:t>
      </w:r>
      <w:r>
        <w:rPr>
          <w:rFonts w:hint="eastAsia" w:ascii="宋体" w:hAnsi="宋体" w:eastAsia="宋体" w:cs="宋体"/>
          <w:b w:val="0"/>
          <w:bCs/>
          <w:color w:val="auto"/>
          <w:sz w:val="24"/>
          <w:szCs w:val="24"/>
          <w:highlight w:val="none"/>
        </w:rPr>
        <w:t>日历天。</w:t>
      </w:r>
    </w:p>
    <w:p w14:paraId="0C0B9E4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供应商须确保按期完工，并在磋商响应文件中列出详细的工期进度计划。供应商可在响应文件中承诺更短的工期。</w:t>
      </w:r>
    </w:p>
    <w:p w14:paraId="3A22221A">
      <w:pPr>
        <w:spacing w:line="360" w:lineRule="auto"/>
        <w:ind w:firstLine="480" w:firstLineChars="200"/>
        <w:jc w:val="left"/>
        <w:rPr>
          <w:rFonts w:hint="eastAsia" w:ascii="宋体" w:hAnsi="宋体" w:eastAsia="宋体" w:cs="宋体"/>
          <w:b w:val="0"/>
          <w:bCs/>
          <w:color w:val="auto"/>
          <w:sz w:val="24"/>
          <w:szCs w:val="24"/>
          <w:highlight w:val="none"/>
        </w:rPr>
      </w:pPr>
    </w:p>
    <w:p w14:paraId="7A89F49C">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二、工程管理原则</w:t>
      </w:r>
    </w:p>
    <w:p w14:paraId="7D0C2494">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4387E26">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2.严格按照已确认的设计图纸和施工技术方案组织实施，并无条件接受采购人和采购人委托的监理人员的管理；</w:t>
      </w:r>
    </w:p>
    <w:p w14:paraId="1FE3196A">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0CB2DD45">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2B62661B">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在合同履行期间，若上述标准或规范有修改或重新颁布，成交供应商应遵照执行。规范的获得由承包人自行解决。</w:t>
      </w:r>
    </w:p>
    <w:p w14:paraId="472C2DB1">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5.施工要求</w:t>
      </w:r>
    </w:p>
    <w:p w14:paraId="023AD994">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5.1严格按照规范要求进行施工，达到各项拟定的设计指标；</w:t>
      </w:r>
    </w:p>
    <w:p w14:paraId="16DDB380">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5EE7CB1E">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5.3对所承包工程的质量负全部责任，其责任不因其他材料生产商提供的保证书而减轻或更改；</w:t>
      </w:r>
    </w:p>
    <w:p w14:paraId="2AEDFFC5">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19B57C95">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4B74C8F6">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5.6施工现场应做到“落手清”，工程施工中产生的废建筑材料、建筑施工垃圾，不能随意堆放，应及时清运、妥善处理，做到工完料尽场地清；</w:t>
      </w:r>
    </w:p>
    <w:p w14:paraId="5466499C">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6FFF6453">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5.8工程施工全过程中要认真做好成品保护，因失窃或失火造成的损失均由成交供应商负责，凡由此而损及采购人利益时，采购人将向成交供应商索赔。</w:t>
      </w:r>
    </w:p>
    <w:p w14:paraId="2E3E28D1">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6.人员管理要求：拟派项目经理到位率不低于80%。</w:t>
      </w:r>
    </w:p>
    <w:p w14:paraId="6201B97B">
      <w:pPr>
        <w:spacing w:line="360" w:lineRule="auto"/>
        <w:ind w:firstLine="480" w:firstLineChars="200"/>
        <w:jc w:val="left"/>
        <w:rPr>
          <w:rFonts w:hint="eastAsia" w:ascii="宋体" w:hAnsi="宋体" w:eastAsia="宋体" w:cs="宋体"/>
          <w:b w:val="0"/>
          <w:bCs/>
          <w:color w:val="auto"/>
          <w:sz w:val="24"/>
          <w:szCs w:val="24"/>
          <w:highlight w:val="none"/>
        </w:rPr>
      </w:pPr>
    </w:p>
    <w:p w14:paraId="20D0BF51">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三、安全与文明施工管理</w:t>
      </w:r>
    </w:p>
    <w:p w14:paraId="4EFD912B">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1.服从当地政府有关部门在社会治安、综合治理、计划生育、交通管理、环境保护等的管理规定，成交供应商应设专职人员负责本条款的执行，采购人有权对此监督检查；</w:t>
      </w:r>
    </w:p>
    <w:p w14:paraId="0A082003">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2.响应文件中提供详细的施工安全措施和安全管理组织及配备专职负责人的说明和承诺；</w:t>
      </w:r>
    </w:p>
    <w:p w14:paraId="07215E8E">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3.工程施工期间必须配备专职用电管理员全面负责施工用电的管理；</w:t>
      </w:r>
    </w:p>
    <w:p w14:paraId="6C953C69">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4.工程施工过程中因成交供应商原因造成的一切安全事故，成交供应商承担全部经济责任和法律责任；</w:t>
      </w:r>
    </w:p>
    <w:p w14:paraId="010BF19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5.施工现场做好标准化，醒目位置悬挂工程告示牌，施工人员统一着装、统一编号，工作装或马甲上醒目标识单位名称、人员编号；</w:t>
      </w:r>
    </w:p>
    <w:p w14:paraId="2F498197">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6.施工单位在校内须严格遵守国家相关法律法规，严格遵守学校有关疫情防控、意识形态、宗教管理教育工作等相关规定；</w:t>
      </w:r>
    </w:p>
    <w:p w14:paraId="05F12B3D">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7.供应商应充分考虑材料供应的因素，提前做好各类材料的备货工作，成交后不得以此原因提出工期延误及费用调整。</w:t>
      </w:r>
    </w:p>
    <w:p w14:paraId="0A938C86">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8.施工现场边界设置统一样式的施工安全隔栏、安全警示牌，清洁美观和无破损、整齐划一。醒目位置悬挂工程告示牌，注明工程名称、开工日期、竣工日期、建设单位名称、项目负责人联系电话。</w:t>
      </w:r>
    </w:p>
    <w:p w14:paraId="62011356">
      <w:pPr>
        <w:spacing w:line="360" w:lineRule="auto"/>
        <w:ind w:firstLine="480" w:firstLineChars="200"/>
        <w:jc w:val="left"/>
        <w:rPr>
          <w:rFonts w:hint="eastAsia" w:ascii="宋体" w:hAnsi="宋体" w:eastAsia="宋体" w:cs="宋体"/>
          <w:b w:val="0"/>
          <w:bCs/>
          <w:color w:val="auto"/>
          <w:sz w:val="24"/>
          <w:szCs w:val="24"/>
          <w:highlight w:val="none"/>
        </w:rPr>
      </w:pPr>
    </w:p>
    <w:p w14:paraId="0C2FBAC5">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四、材料要求</w:t>
      </w:r>
    </w:p>
    <w:p w14:paraId="5B0D5BD8">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1.材料选择：</w:t>
      </w:r>
    </w:p>
    <w:p w14:paraId="1D5363C9">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241526B0">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2.材料的质量要求：</w:t>
      </w:r>
    </w:p>
    <w:p w14:paraId="22B72B7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3D5CBE5D">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（2）成交供应商必须对所承包的工程的质量负全部责任，其责任不因其他材料生产商提供的保证书而减轻或更改。</w:t>
      </w:r>
    </w:p>
    <w:p w14:paraId="2184701A">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3.材料供应要求：</w:t>
      </w:r>
    </w:p>
    <w:p w14:paraId="757659BC">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（1）本项目涉及的主要材料设备，必须经监理单位、设计单位、业主单位确认后方能采购、进场、加工、安装。否则一律不予承认，不予支付相应款项。</w:t>
      </w:r>
    </w:p>
    <w:p w14:paraId="4532551C">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3CAD98E">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2FEF213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p w14:paraId="438A09F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对材料若推荐了参考品牌或制造商,供应商可提供同档次及以上的材料品牌或制造商参加磋商，若供应商在采购人推荐的参考品牌或制造商之外选择，需在响应文件中提供相关说明或证明资料，表明其所选择的品牌或制造商与采购文件中的参考品牌同档次或更优。</w:t>
      </w:r>
    </w:p>
    <w:tbl>
      <w:tblPr>
        <w:tblStyle w:val="61"/>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645"/>
        <w:gridCol w:w="5147"/>
      </w:tblGrid>
      <w:tr w14:paraId="63A6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2" w:type="dxa"/>
            <w:tcBorders>
              <w:top w:val="single" w:color="auto" w:sz="4" w:space="0"/>
              <w:left w:val="single" w:color="auto" w:sz="4" w:space="0"/>
              <w:bottom w:val="single" w:color="auto" w:sz="4" w:space="0"/>
              <w:right w:val="single" w:color="auto" w:sz="4" w:space="0"/>
            </w:tcBorders>
            <w:noWrap/>
            <w:vAlign w:val="center"/>
          </w:tcPr>
          <w:p w14:paraId="4818D75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45" w:type="dxa"/>
            <w:tcBorders>
              <w:top w:val="single" w:color="auto" w:sz="4" w:space="0"/>
              <w:left w:val="nil"/>
              <w:bottom w:val="single" w:color="auto" w:sz="4" w:space="0"/>
              <w:right w:val="single" w:color="auto" w:sz="4" w:space="0"/>
            </w:tcBorders>
            <w:noWrap/>
            <w:vAlign w:val="center"/>
          </w:tcPr>
          <w:p w14:paraId="1FE589A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5147" w:type="dxa"/>
            <w:tcBorders>
              <w:top w:val="single" w:color="auto" w:sz="4" w:space="0"/>
              <w:left w:val="nil"/>
              <w:bottom w:val="single" w:color="auto" w:sz="4" w:space="0"/>
              <w:right w:val="single" w:color="auto" w:sz="4" w:space="0"/>
            </w:tcBorders>
            <w:noWrap/>
            <w:vAlign w:val="center"/>
          </w:tcPr>
          <w:p w14:paraId="26F425D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参考品牌(参照或相当于)</w:t>
            </w:r>
          </w:p>
        </w:tc>
      </w:tr>
      <w:tr w14:paraId="620F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2" w:type="dxa"/>
            <w:tcBorders>
              <w:top w:val="single" w:color="auto" w:sz="4" w:space="0"/>
              <w:left w:val="single" w:color="auto" w:sz="4" w:space="0"/>
              <w:bottom w:val="single" w:color="auto" w:sz="4" w:space="0"/>
              <w:right w:val="single" w:color="auto" w:sz="4" w:space="0"/>
            </w:tcBorders>
            <w:noWrap/>
            <w:vAlign w:val="center"/>
          </w:tcPr>
          <w:p w14:paraId="365E3C82">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645" w:type="dxa"/>
            <w:tcBorders>
              <w:top w:val="single" w:color="auto" w:sz="4" w:space="0"/>
              <w:left w:val="nil"/>
              <w:bottom w:val="single" w:color="auto" w:sz="4" w:space="0"/>
              <w:right w:val="single" w:color="auto" w:sz="4" w:space="0"/>
            </w:tcBorders>
            <w:noWrap/>
            <w:vAlign w:val="center"/>
          </w:tcPr>
          <w:p w14:paraId="7B8E2EF1">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镀锌钢管</w:t>
            </w:r>
          </w:p>
        </w:tc>
        <w:tc>
          <w:tcPr>
            <w:tcW w:w="5147" w:type="dxa"/>
            <w:tcBorders>
              <w:top w:val="single" w:color="auto" w:sz="4" w:space="0"/>
              <w:left w:val="nil"/>
              <w:bottom w:val="single" w:color="auto" w:sz="4" w:space="0"/>
              <w:right w:val="single" w:color="auto" w:sz="4" w:space="0"/>
            </w:tcBorders>
            <w:noWrap/>
            <w:vAlign w:val="center"/>
          </w:tcPr>
          <w:p w14:paraId="04608675">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湖州金州、天津利达、衡水华岐、杭州欣达</w:t>
            </w:r>
          </w:p>
        </w:tc>
      </w:tr>
      <w:tr w14:paraId="7483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2" w:type="dxa"/>
            <w:tcBorders>
              <w:top w:val="single" w:color="auto" w:sz="4" w:space="0"/>
              <w:left w:val="single" w:color="auto" w:sz="4" w:space="0"/>
              <w:bottom w:val="single" w:color="auto" w:sz="4" w:space="0"/>
              <w:right w:val="single" w:color="auto" w:sz="4" w:space="0"/>
            </w:tcBorders>
            <w:noWrap/>
            <w:vAlign w:val="center"/>
          </w:tcPr>
          <w:p w14:paraId="3200A16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645" w:type="dxa"/>
            <w:tcBorders>
              <w:top w:val="single" w:color="auto" w:sz="4" w:space="0"/>
              <w:left w:val="nil"/>
              <w:bottom w:val="single" w:color="auto" w:sz="4" w:space="0"/>
              <w:right w:val="single" w:color="auto" w:sz="4" w:space="0"/>
            </w:tcBorders>
            <w:noWrap/>
            <w:vAlign w:val="center"/>
          </w:tcPr>
          <w:p w14:paraId="4DA9218E">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PVC-U塑料管</w:t>
            </w:r>
          </w:p>
        </w:tc>
        <w:tc>
          <w:tcPr>
            <w:tcW w:w="5147" w:type="dxa"/>
            <w:tcBorders>
              <w:top w:val="single" w:color="auto" w:sz="4" w:space="0"/>
              <w:left w:val="nil"/>
              <w:bottom w:val="single" w:color="auto" w:sz="4" w:space="0"/>
              <w:right w:val="single" w:color="auto" w:sz="4" w:space="0"/>
            </w:tcBorders>
            <w:noWrap/>
            <w:vAlign w:val="center"/>
          </w:tcPr>
          <w:p w14:paraId="01650323">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中财、伟星、公元、亿通</w:t>
            </w:r>
          </w:p>
        </w:tc>
      </w:tr>
      <w:tr w14:paraId="2691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2" w:type="dxa"/>
            <w:tcBorders>
              <w:top w:val="single" w:color="auto" w:sz="4" w:space="0"/>
              <w:left w:val="single" w:color="auto" w:sz="4" w:space="0"/>
              <w:bottom w:val="single" w:color="auto" w:sz="4" w:space="0"/>
              <w:right w:val="single" w:color="auto" w:sz="4" w:space="0"/>
            </w:tcBorders>
            <w:noWrap/>
            <w:vAlign w:val="center"/>
          </w:tcPr>
          <w:p w14:paraId="290BE805">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645" w:type="dxa"/>
            <w:tcBorders>
              <w:top w:val="single" w:color="auto" w:sz="4" w:space="0"/>
              <w:left w:val="nil"/>
              <w:bottom w:val="single" w:color="auto" w:sz="4" w:space="0"/>
              <w:right w:val="single" w:color="auto" w:sz="4" w:space="0"/>
            </w:tcBorders>
            <w:noWrap/>
            <w:vAlign w:val="center"/>
          </w:tcPr>
          <w:p w14:paraId="32C1A584">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沟槽管件、铸铁管件</w:t>
            </w:r>
          </w:p>
        </w:tc>
        <w:tc>
          <w:tcPr>
            <w:tcW w:w="5147" w:type="dxa"/>
            <w:tcBorders>
              <w:top w:val="single" w:color="auto" w:sz="4" w:space="0"/>
              <w:left w:val="nil"/>
              <w:bottom w:val="single" w:color="auto" w:sz="4" w:space="0"/>
              <w:right w:val="single" w:color="auto" w:sz="4" w:space="0"/>
            </w:tcBorders>
            <w:noWrap/>
            <w:vAlign w:val="center"/>
          </w:tcPr>
          <w:p w14:paraId="2B03EF1A">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lang w:val="en-US" w:eastAsia="zh-CN" w:bidi="ar-SA"/>
              </w:rPr>
              <w:t>上海威逊、上海瑞孚、大连唯特利、唐山建支</w:t>
            </w:r>
          </w:p>
        </w:tc>
      </w:tr>
      <w:tr w14:paraId="5894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2" w:type="dxa"/>
            <w:tcBorders>
              <w:top w:val="single" w:color="auto" w:sz="4" w:space="0"/>
              <w:left w:val="single" w:color="auto" w:sz="4" w:space="0"/>
              <w:bottom w:val="single" w:color="auto" w:sz="4" w:space="0"/>
              <w:right w:val="single" w:color="auto" w:sz="4" w:space="0"/>
            </w:tcBorders>
            <w:noWrap/>
            <w:vAlign w:val="center"/>
          </w:tcPr>
          <w:p w14:paraId="4ADE3359">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2645" w:type="dxa"/>
            <w:tcBorders>
              <w:top w:val="single" w:color="auto" w:sz="4" w:space="0"/>
              <w:left w:val="nil"/>
              <w:bottom w:val="single" w:color="auto" w:sz="4" w:space="0"/>
              <w:right w:val="single" w:color="auto" w:sz="4" w:space="0"/>
            </w:tcBorders>
            <w:noWrap/>
            <w:vAlign w:val="center"/>
          </w:tcPr>
          <w:p w14:paraId="18D5DF73">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阀门</w:t>
            </w:r>
          </w:p>
        </w:tc>
        <w:tc>
          <w:tcPr>
            <w:tcW w:w="5147" w:type="dxa"/>
            <w:tcBorders>
              <w:top w:val="single" w:color="auto" w:sz="4" w:space="0"/>
              <w:left w:val="nil"/>
              <w:bottom w:val="single" w:color="auto" w:sz="4" w:space="0"/>
              <w:right w:val="single" w:color="auto" w:sz="4" w:space="0"/>
            </w:tcBorders>
            <w:noWrap/>
            <w:vAlign w:val="center"/>
          </w:tcPr>
          <w:p w14:paraId="2BA0867B">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杭州春江、浙江桐江、宁波埃美柯、河北远大</w:t>
            </w:r>
          </w:p>
        </w:tc>
      </w:tr>
    </w:tbl>
    <w:p w14:paraId="32522AC1">
      <w:pPr>
        <w:spacing w:line="360" w:lineRule="auto"/>
        <w:ind w:firstLine="480" w:firstLineChars="200"/>
        <w:jc w:val="left"/>
        <w:rPr>
          <w:rFonts w:hint="eastAsia" w:ascii="宋体" w:hAnsi="宋体" w:eastAsia="宋体" w:cs="宋体"/>
          <w:b w:val="0"/>
          <w:bCs/>
          <w:color w:val="auto"/>
          <w:sz w:val="24"/>
          <w:szCs w:val="24"/>
          <w:highlight w:val="none"/>
        </w:rPr>
      </w:pPr>
    </w:p>
    <w:p w14:paraId="7C823F1F">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五、报价说明</w:t>
      </w:r>
    </w:p>
    <w:p w14:paraId="75A6DEBB">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4CAB3314">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2.磋商供应商的投标报价，应是完成本项目工程范围的全部内容，不得以任何理由予以重复作为磋商供应商计算单价或总价的依据。</w:t>
      </w:r>
    </w:p>
    <w:p w14:paraId="23E7C2E4">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3.磋商供应商应按采购人提供的工程量清单中列出的工程内容、数量，填报单价和合价。每一项目只允许有一个报价。任何有选择的报价将不予接受。</w:t>
      </w:r>
    </w:p>
    <w:p w14:paraId="79AA477C">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4.施工用水、用电费用由承包人承担，费用包含在合同价款中，施工水电费按工程竣工结算</w:t>
      </w:r>
      <w:r>
        <w:rPr>
          <w:rFonts w:hint="eastAsia" w:ascii="宋体" w:hAnsi="宋体" w:eastAsia="宋体" w:cs="宋体"/>
          <w:b w:val="0"/>
          <w:bCs/>
          <w:color w:val="auto"/>
          <w:sz w:val="24"/>
          <w:szCs w:val="24"/>
          <w:highlight w:val="none"/>
        </w:rPr>
        <w:t>审定价的0.7％计</w:t>
      </w:r>
      <w:r>
        <w:rPr>
          <w:rFonts w:hint="eastAsia" w:ascii="宋体" w:hAnsi="宋体" w:eastAsia="宋体" w:cs="宋体"/>
          <w:b w:val="0"/>
          <w:bCs/>
          <w:color w:val="auto"/>
          <w:sz w:val="24"/>
          <w:szCs w:val="24"/>
          <w:highlight w:val="none"/>
        </w:rPr>
        <w:t>算，在结算</w:t>
      </w:r>
      <w:r>
        <w:rPr>
          <w:rFonts w:hint="eastAsia" w:ascii="宋体" w:hAnsi="宋体" w:eastAsia="宋体" w:cs="宋体"/>
          <w:b w:val="0"/>
          <w:bCs/>
          <w:color w:val="auto"/>
          <w:sz w:val="24"/>
          <w:szCs w:val="24"/>
          <w:highlight w:val="none"/>
          <w:lang w:val="en-US" w:eastAsia="zh-CN"/>
        </w:rPr>
        <w:t>审计时</w:t>
      </w:r>
      <w:r>
        <w:rPr>
          <w:rFonts w:hint="eastAsia" w:ascii="宋体" w:hAnsi="宋体" w:eastAsia="宋体" w:cs="宋体"/>
          <w:b w:val="0"/>
          <w:bCs/>
          <w:color w:val="auto"/>
          <w:sz w:val="24"/>
          <w:szCs w:val="24"/>
          <w:highlight w:val="none"/>
        </w:rPr>
        <w:t>直接扣除。</w:t>
      </w:r>
    </w:p>
    <w:p w14:paraId="4CF6C962">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5.如有材料检验检测，则检验检测单位由建设单位指定，磋商供应商承担相应材料检验检测费用，相关费用在投标报价中综合考虑，今后不得调整。</w:t>
      </w:r>
    </w:p>
    <w:p w14:paraId="4E0CA173">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6.工程施工造成的其它设施、设备等的破损须修复原状，费用自行考虑报价。</w:t>
      </w:r>
    </w:p>
    <w:p w14:paraId="30C3C654">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8E0D9C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4D0AF942">
      <w:pPr>
        <w:spacing w:line="360" w:lineRule="auto"/>
        <w:ind w:firstLine="480" w:firstLineChars="200"/>
        <w:jc w:val="left"/>
        <w:rPr>
          <w:rFonts w:hint="eastAsia" w:ascii="宋体" w:hAnsi="宋体" w:eastAsia="宋体" w:cs="宋体"/>
          <w:b w:val="0"/>
          <w:bCs/>
          <w:color w:val="auto"/>
          <w:sz w:val="24"/>
          <w:szCs w:val="24"/>
          <w:highlight w:val="none"/>
        </w:rPr>
      </w:pPr>
    </w:p>
    <w:p w14:paraId="7A8C6F4A">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六、质保期要求</w:t>
      </w:r>
    </w:p>
    <w:p w14:paraId="41FC9FC8">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质保期：2年</w:t>
      </w:r>
    </w:p>
    <w:p w14:paraId="32905A4B">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质保金退还：质保金在质保期满2年经验收无质量问题后扣除承包人应承担的全部费用（包括但不限于违约金、损害赔偿金等）后7天内结清（不计利息）。</w:t>
      </w:r>
    </w:p>
    <w:p w14:paraId="65EE569E">
      <w:pPr>
        <w:spacing w:line="360" w:lineRule="auto"/>
        <w:ind w:firstLine="480" w:firstLineChars="200"/>
        <w:jc w:val="left"/>
        <w:rPr>
          <w:rFonts w:hint="eastAsia" w:ascii="宋体" w:hAnsi="宋体" w:eastAsia="宋体" w:cs="宋体"/>
          <w:b w:val="0"/>
          <w:bCs/>
          <w:color w:val="auto"/>
          <w:sz w:val="24"/>
          <w:szCs w:val="24"/>
          <w:highlight w:val="none"/>
        </w:rPr>
      </w:pPr>
    </w:p>
    <w:p w14:paraId="676FCF35">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七、针对本项目的其他要求</w:t>
      </w:r>
    </w:p>
    <w:p w14:paraId="60594789">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1.供应商在施工时需针对高校特点合理安排施工时间及噪音控制，保障学校正常教学生活秩序；</w:t>
      </w:r>
    </w:p>
    <w:p w14:paraId="15311AA9">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2.供应商在施工时需严格做好施工现场管理的安全管理，如防火、防盗等；</w:t>
      </w:r>
    </w:p>
    <w:p w14:paraId="536C632E">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3.供应商需在竣工后及时供给水、电，做好卫生保洁工作。</w:t>
      </w:r>
    </w:p>
    <w:p w14:paraId="74087351">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4.供应商在校内须严格遵守国家相关法律法规、严格遵守学校有关意识形态、宗教管理教育工作等相关规定。</w:t>
      </w:r>
    </w:p>
    <w:p w14:paraId="15789642">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5.工程移交前，供应商需编制修缮工程使用说明书，明确改造情况、使用注意事项、主要设施设备品牌、工程质量保修期限及范围等内容。</w:t>
      </w:r>
    </w:p>
    <w:p w14:paraId="7185DCA7">
      <w:pPr>
        <w:spacing w:line="360" w:lineRule="auto"/>
        <w:ind w:firstLine="482" w:firstLineChars="2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6.</w:t>
      </w:r>
      <w:r>
        <w:rPr>
          <w:rFonts w:hint="eastAsia" w:ascii="宋体" w:hAnsi="宋体" w:eastAsia="宋体" w:cs="宋体"/>
          <w:b/>
          <w:bCs w:val="0"/>
          <w:color w:val="auto"/>
          <w:sz w:val="24"/>
          <w:szCs w:val="24"/>
          <w:highlight w:val="none"/>
          <w:lang w:val="en-US" w:eastAsia="zh-CN"/>
        </w:rPr>
        <w:t>人员要求（提供相关证书）</w:t>
      </w:r>
    </w:p>
    <w:p w14:paraId="0F9698FE">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 xml:space="preserve">6.1 </w:t>
      </w:r>
      <w:r>
        <w:rPr>
          <w:rFonts w:hint="eastAsia" w:ascii="宋体" w:hAnsi="宋体" w:eastAsia="宋体" w:cs="宋体"/>
          <w:b/>
          <w:bCs w:val="0"/>
          <w:color w:val="auto"/>
          <w:sz w:val="24"/>
          <w:szCs w:val="24"/>
          <w:highlight w:val="none"/>
        </w:rPr>
        <w:t>企业主要负责人（法定代表人、企业经理、企业分管安全生产的副经理、企业技术负责人）具有“三类人员”A类证书；</w:t>
      </w:r>
    </w:p>
    <w:p w14:paraId="14DC9C6B">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 xml:space="preserve">6.2 </w:t>
      </w:r>
      <w:r>
        <w:rPr>
          <w:rFonts w:hint="eastAsia" w:ascii="宋体" w:hAnsi="宋体" w:eastAsia="宋体" w:cs="宋体"/>
          <w:b/>
          <w:bCs w:val="0"/>
          <w:color w:val="auto"/>
          <w:sz w:val="24"/>
          <w:szCs w:val="24"/>
          <w:highlight w:val="none"/>
        </w:rPr>
        <w:t>拟派项目负责人具有注册在投标人单位的</w:t>
      </w:r>
      <w:r>
        <w:rPr>
          <w:rFonts w:hint="eastAsia" w:ascii="宋体" w:hAnsi="宋体" w:eastAsia="宋体" w:cs="宋体"/>
          <w:b/>
          <w:bCs w:val="0"/>
          <w:color w:val="auto"/>
          <w:sz w:val="24"/>
          <w:szCs w:val="24"/>
          <w:highlight w:val="none"/>
          <w:lang w:eastAsia="zh-CN"/>
        </w:rPr>
        <w:t>建筑工程</w:t>
      </w:r>
      <w:r>
        <w:rPr>
          <w:rFonts w:hint="eastAsia" w:ascii="宋体" w:hAnsi="宋体" w:eastAsia="宋体" w:cs="宋体"/>
          <w:b/>
          <w:bCs w:val="0"/>
          <w:color w:val="auto"/>
          <w:sz w:val="24"/>
          <w:szCs w:val="24"/>
          <w:highlight w:val="none"/>
        </w:rPr>
        <w:t>专业</w:t>
      </w:r>
      <w:r>
        <w:rPr>
          <w:rFonts w:hint="eastAsia" w:ascii="宋体" w:hAnsi="宋体" w:eastAsia="宋体" w:cs="宋体"/>
          <w:b/>
          <w:bCs w:val="0"/>
          <w:color w:val="auto"/>
          <w:sz w:val="24"/>
          <w:szCs w:val="24"/>
          <w:highlight w:val="none"/>
        </w:rPr>
        <w:t>二级建造师执业资格；具有“三类人员”B类证书；</w:t>
      </w:r>
    </w:p>
    <w:p w14:paraId="4F891BDB">
      <w:pPr>
        <w:spacing w:line="360" w:lineRule="auto"/>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 xml:space="preserve">6.3 </w:t>
      </w:r>
      <w:r>
        <w:rPr>
          <w:rFonts w:hint="eastAsia" w:ascii="宋体" w:hAnsi="宋体" w:eastAsia="宋体" w:cs="宋体"/>
          <w:b/>
          <w:bCs w:val="0"/>
          <w:color w:val="auto"/>
          <w:sz w:val="24"/>
          <w:szCs w:val="24"/>
          <w:highlight w:val="none"/>
        </w:rPr>
        <w:t>拟派施工现场专职安全生产管理人员，具有“三类人员”C类证书</w:t>
      </w:r>
      <w:r>
        <w:rPr>
          <w:rFonts w:hint="eastAsia" w:ascii="宋体" w:hAnsi="宋体" w:eastAsia="宋体" w:cs="宋体"/>
          <w:b/>
          <w:bCs w:val="0"/>
          <w:color w:val="auto"/>
          <w:sz w:val="24"/>
          <w:szCs w:val="24"/>
          <w:highlight w:val="none"/>
          <w:lang w:eastAsia="zh-CN"/>
        </w:rPr>
        <w:t>。</w:t>
      </w:r>
    </w:p>
    <w:p w14:paraId="7DB5F63C">
      <w:pPr>
        <w:spacing w:line="360" w:lineRule="auto"/>
        <w:ind w:firstLine="482" w:firstLineChars="200"/>
        <w:jc w:val="left"/>
        <w:rPr>
          <w:rFonts w:hint="eastAsia" w:ascii="宋体" w:hAnsi="宋体" w:eastAsia="宋体" w:cs="宋体"/>
          <w:b/>
          <w:bCs w:val="0"/>
          <w:color w:val="auto"/>
          <w:sz w:val="24"/>
          <w:szCs w:val="24"/>
          <w:highlight w:val="none"/>
        </w:rPr>
      </w:pPr>
    </w:p>
    <w:p w14:paraId="797697E1">
      <w:pPr>
        <w:numPr>
          <w:ilvl w:val="0"/>
          <w:numId w:val="8"/>
        </w:num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本章未尽内容按“第五章 合同主要条款”。</w:t>
      </w:r>
    </w:p>
    <w:p w14:paraId="16838268">
      <w:pPr>
        <w:numPr>
          <w:ilvl w:val="0"/>
          <w:numId w:val="0"/>
        </w:numPr>
        <w:spacing w:line="360" w:lineRule="auto"/>
        <w:jc w:val="left"/>
        <w:rPr>
          <w:rFonts w:hint="eastAsia" w:ascii="宋体" w:hAnsi="宋体" w:eastAsia="宋体" w:cs="宋体"/>
          <w:b/>
          <w:bCs w:val="0"/>
          <w:color w:val="auto"/>
          <w:sz w:val="24"/>
          <w:szCs w:val="24"/>
          <w:highlight w:val="none"/>
        </w:rPr>
      </w:pPr>
    </w:p>
    <w:p w14:paraId="384235C6">
      <w:pPr>
        <w:numPr>
          <w:ilvl w:val="0"/>
          <w:numId w:val="0"/>
        </w:numPr>
        <w:spacing w:line="360" w:lineRule="auto"/>
        <w:ind w:firstLine="482" w:firstLineChars="200"/>
        <w:jc w:val="left"/>
        <w:rPr>
          <w:rFonts w:hint="eastAsia" w:ascii="宋体" w:hAnsi="宋体" w:eastAsia="宋体" w:cs="宋体"/>
          <w:b/>
          <w:bCs w:val="0"/>
          <w:color w:val="FF0000"/>
          <w:sz w:val="24"/>
          <w:szCs w:val="24"/>
          <w:highlight w:val="none"/>
        </w:rPr>
      </w:pPr>
      <w:r>
        <w:rPr>
          <w:rFonts w:hint="eastAsia" w:ascii="宋体" w:hAnsi="宋体" w:eastAsia="宋体" w:cs="宋体"/>
          <w:b/>
          <w:bCs/>
          <w:color w:val="FF0000"/>
          <w:sz w:val="24"/>
          <w:szCs w:val="24"/>
          <w:highlight w:val="none"/>
          <w:u w:val="single"/>
          <w:lang w:val="en-US" w:eastAsia="zh-CN"/>
        </w:rPr>
        <w:t>九、本项目</w:t>
      </w:r>
      <w:r>
        <w:rPr>
          <w:rFonts w:hint="eastAsia" w:ascii="宋体" w:hAnsi="宋体" w:eastAsia="宋体" w:cs="宋体"/>
          <w:b/>
          <w:bCs/>
          <w:color w:val="FF0000"/>
          <w:sz w:val="24"/>
          <w:szCs w:val="24"/>
          <w:highlight w:val="none"/>
          <w:u w:val="single"/>
        </w:rPr>
        <w:t>成交供应商需提供“《浙江省财政厅关于进一步规范政府采购秩序促进公平竞争的通知》浙财采监〔2025〕2号政策解读”中需采购人或采购代理机构复核的证明材料原件（可事先在公开官网查询、核对的除外）给采购代理机构。</w:t>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0FE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0" w:type="dxa"/>
            <w:vAlign w:val="center"/>
          </w:tcPr>
          <w:p w14:paraId="25B8049D">
            <w:pPr>
              <w:snapToGrid w:val="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5897" w:type="dxa"/>
            <w:vAlign w:val="center"/>
          </w:tcPr>
          <w:p w14:paraId="226B8342">
            <w:pPr>
              <w:snapToGrid w:val="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c>
          <w:tcPr>
            <w:tcW w:w="793" w:type="dxa"/>
            <w:vAlign w:val="center"/>
          </w:tcPr>
          <w:p w14:paraId="2D0A7C5F">
            <w:pPr>
              <w:snapToGrid w:val="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2133" w:type="dxa"/>
          </w:tcPr>
          <w:p w14:paraId="44606B7A">
            <w:pPr>
              <w:snapToGrid w:val="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响应文件中评审标准相应的商务技术资料目录</w:t>
            </w:r>
            <w:r>
              <w:rPr>
                <w:rFonts w:hint="eastAsia" w:ascii="宋体" w:hAnsi="宋体" w:eastAsia="宋体" w:cs="宋体"/>
                <w:color w:val="auto"/>
                <w:sz w:val="21"/>
                <w:szCs w:val="21"/>
                <w:highlight w:val="none"/>
                <w:shd w:val="clear" w:color="auto" w:fill="FFFFFF"/>
              </w:rPr>
              <w:t> *</w:t>
            </w:r>
          </w:p>
        </w:tc>
      </w:tr>
      <w:tr w14:paraId="656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10" w:type="dxa"/>
            <w:vAlign w:val="center"/>
          </w:tcPr>
          <w:p w14:paraId="7D577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97" w:type="dxa"/>
            <w:vAlign w:val="center"/>
          </w:tcPr>
          <w:p w14:paraId="4228F4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供应商同类项目业绩：磋商供应商自2022年1月1日（以合同签订时间为准）以来完成过类似项目业绩的，每个得0.5分，最高得1.5分。</w:t>
            </w:r>
          </w:p>
          <w:p w14:paraId="30711E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证明材料：须同时提供施工合同及甲方盖章的验收证明材料(包括并不限于对应分部分项竣工验收报告/竣工验收报告等)；要求证明材料能反映评审要素，提供的证明材料不完整或不能反映评审要素的将不予认可。</w:t>
            </w:r>
          </w:p>
        </w:tc>
        <w:tc>
          <w:tcPr>
            <w:tcW w:w="793" w:type="dxa"/>
            <w:vAlign w:val="center"/>
          </w:tcPr>
          <w:p w14:paraId="313017AA">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w:t>
            </w:r>
          </w:p>
        </w:tc>
        <w:tc>
          <w:tcPr>
            <w:tcW w:w="2133" w:type="dxa"/>
            <w:vAlign w:val="center"/>
          </w:tcPr>
          <w:p w14:paraId="0B936BE8">
            <w:pPr>
              <w:snapToGrid w:val="0"/>
              <w:jc w:val="center"/>
              <w:outlineLvl w:val="0"/>
              <w:rPr>
                <w:rFonts w:hint="eastAsia" w:ascii="宋体" w:hAnsi="宋体" w:eastAsia="宋体" w:cs="宋体"/>
                <w:color w:val="auto"/>
                <w:sz w:val="21"/>
                <w:szCs w:val="21"/>
                <w:highlight w:val="none"/>
              </w:rPr>
            </w:pPr>
          </w:p>
        </w:tc>
      </w:tr>
      <w:tr w14:paraId="3FC0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10" w:type="dxa"/>
            <w:vAlign w:val="center"/>
          </w:tcPr>
          <w:p w14:paraId="59F48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97" w:type="dxa"/>
            <w:vAlign w:val="center"/>
          </w:tcPr>
          <w:p w14:paraId="424140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供应商具有质量管理体系认证证书、环境认证体系认证证书和职业健康管理体系认证证书且在有效期内的，每提供一个证书得0.5分，最高得1.5分。</w:t>
            </w:r>
          </w:p>
          <w:p w14:paraId="24BC24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证明材料：出具有效的证书复印件或扫描件。</w:t>
            </w:r>
          </w:p>
        </w:tc>
        <w:tc>
          <w:tcPr>
            <w:tcW w:w="793" w:type="dxa"/>
            <w:vAlign w:val="center"/>
          </w:tcPr>
          <w:p w14:paraId="5CBCD5F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w:t>
            </w:r>
          </w:p>
        </w:tc>
        <w:tc>
          <w:tcPr>
            <w:tcW w:w="2133" w:type="dxa"/>
            <w:vAlign w:val="center"/>
          </w:tcPr>
          <w:p w14:paraId="6FEAD3EB">
            <w:pPr>
              <w:snapToGrid w:val="0"/>
              <w:jc w:val="center"/>
              <w:outlineLvl w:val="0"/>
              <w:rPr>
                <w:rFonts w:hint="eastAsia" w:ascii="宋体" w:hAnsi="宋体" w:eastAsia="宋体" w:cs="宋体"/>
                <w:color w:val="auto"/>
                <w:sz w:val="21"/>
                <w:szCs w:val="21"/>
                <w:highlight w:val="none"/>
              </w:rPr>
            </w:pPr>
          </w:p>
        </w:tc>
      </w:tr>
      <w:tr w14:paraId="31FE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10" w:type="dxa"/>
            <w:vAlign w:val="center"/>
          </w:tcPr>
          <w:p w14:paraId="15B9D6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97" w:type="dxa"/>
            <w:vAlign w:val="center"/>
          </w:tcPr>
          <w:p w14:paraId="6E8D8F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拟派项目负责人具有中级工程师技术职称的得1分，具有高级工程师技术职称的得2分，没有不得分。</w:t>
            </w:r>
          </w:p>
          <w:p w14:paraId="66AD64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证明材料：提供职称证书扫描件及近三个月来任意时间的社保证明材料。</w:t>
            </w:r>
          </w:p>
        </w:tc>
        <w:tc>
          <w:tcPr>
            <w:tcW w:w="793" w:type="dxa"/>
            <w:vAlign w:val="center"/>
          </w:tcPr>
          <w:p w14:paraId="08BE818D">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7A53462B">
            <w:pPr>
              <w:snapToGrid w:val="0"/>
              <w:jc w:val="center"/>
              <w:outlineLvl w:val="0"/>
              <w:rPr>
                <w:rFonts w:hint="eastAsia" w:ascii="宋体" w:hAnsi="宋体" w:eastAsia="宋体" w:cs="宋体"/>
                <w:color w:val="auto"/>
                <w:sz w:val="21"/>
                <w:szCs w:val="21"/>
                <w:highlight w:val="none"/>
              </w:rPr>
            </w:pPr>
          </w:p>
        </w:tc>
      </w:tr>
      <w:tr w14:paraId="6AE1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910" w:type="dxa"/>
            <w:vAlign w:val="center"/>
          </w:tcPr>
          <w:p w14:paraId="031B17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97" w:type="dxa"/>
            <w:vAlign w:val="center"/>
          </w:tcPr>
          <w:p w14:paraId="357907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针对本工程项目总体情况把握进行分析，根据对工程目标、总体施工部署分析到位情况进行评审。（评审分值：5分或4分或3分或2分或1分或0分）</w:t>
            </w:r>
          </w:p>
        </w:tc>
        <w:tc>
          <w:tcPr>
            <w:tcW w:w="793" w:type="dxa"/>
            <w:vAlign w:val="center"/>
          </w:tcPr>
          <w:p w14:paraId="3001D1C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1E86B318">
            <w:pPr>
              <w:snapToGrid w:val="0"/>
              <w:jc w:val="center"/>
              <w:outlineLvl w:val="0"/>
              <w:rPr>
                <w:rFonts w:hint="eastAsia" w:ascii="宋体" w:hAnsi="宋体" w:eastAsia="宋体" w:cs="宋体"/>
                <w:color w:val="auto"/>
                <w:sz w:val="21"/>
                <w:szCs w:val="21"/>
                <w:highlight w:val="none"/>
              </w:rPr>
            </w:pPr>
          </w:p>
        </w:tc>
      </w:tr>
      <w:tr w14:paraId="7C8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10" w:type="dxa"/>
            <w:vAlign w:val="center"/>
          </w:tcPr>
          <w:p w14:paraId="32D21A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897" w:type="dxa"/>
            <w:vAlign w:val="center"/>
          </w:tcPr>
          <w:p w14:paraId="307B42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工程施工技术方案、措施、施工组织设计：根据方案内容的全面性、合理性以及针对性、可操作性进行评审。（评审分值：5分或4分或3分或2分或1分或0分）</w:t>
            </w:r>
          </w:p>
        </w:tc>
        <w:tc>
          <w:tcPr>
            <w:tcW w:w="793" w:type="dxa"/>
            <w:vAlign w:val="center"/>
          </w:tcPr>
          <w:p w14:paraId="60731EB0">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25BA1337">
            <w:pPr>
              <w:snapToGrid w:val="0"/>
              <w:jc w:val="center"/>
              <w:outlineLvl w:val="0"/>
              <w:rPr>
                <w:rFonts w:hint="eastAsia" w:ascii="宋体" w:hAnsi="宋体" w:eastAsia="宋体" w:cs="宋体"/>
                <w:color w:val="auto"/>
                <w:sz w:val="21"/>
                <w:szCs w:val="21"/>
                <w:highlight w:val="none"/>
              </w:rPr>
            </w:pPr>
          </w:p>
        </w:tc>
      </w:tr>
      <w:tr w14:paraId="25A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10" w:type="dxa"/>
            <w:vAlign w:val="center"/>
          </w:tcPr>
          <w:p w14:paraId="46714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897" w:type="dxa"/>
            <w:vAlign w:val="center"/>
          </w:tcPr>
          <w:p w14:paraId="6242F7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针对满足工期要求的进度计划及控制措施进行评审。（评审分值：5分或4分或3分或2分或1分或0分）</w:t>
            </w:r>
          </w:p>
        </w:tc>
        <w:tc>
          <w:tcPr>
            <w:tcW w:w="793" w:type="dxa"/>
            <w:vAlign w:val="center"/>
          </w:tcPr>
          <w:p w14:paraId="6C61435E">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2A1B8A0D">
            <w:pPr>
              <w:snapToGrid w:val="0"/>
              <w:jc w:val="center"/>
              <w:outlineLvl w:val="0"/>
              <w:rPr>
                <w:rFonts w:hint="eastAsia" w:ascii="宋体" w:hAnsi="宋体" w:eastAsia="宋体" w:cs="宋体"/>
                <w:color w:val="auto"/>
                <w:sz w:val="21"/>
                <w:szCs w:val="21"/>
                <w:highlight w:val="none"/>
              </w:rPr>
            </w:pPr>
          </w:p>
        </w:tc>
      </w:tr>
      <w:tr w14:paraId="01DC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0" w:type="dxa"/>
            <w:vAlign w:val="center"/>
          </w:tcPr>
          <w:p w14:paraId="4959DD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897" w:type="dxa"/>
            <w:vAlign w:val="center"/>
          </w:tcPr>
          <w:p w14:paraId="503949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对供应商和采购人配合实施的方案：根据方案的完整度及可实施性情况进行评审。（评审分值：2分或1分或0分）</w:t>
            </w:r>
          </w:p>
        </w:tc>
        <w:tc>
          <w:tcPr>
            <w:tcW w:w="793" w:type="dxa"/>
            <w:vAlign w:val="center"/>
          </w:tcPr>
          <w:p w14:paraId="583F96BC">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3412DBD3">
            <w:pPr>
              <w:snapToGrid w:val="0"/>
              <w:jc w:val="center"/>
              <w:outlineLvl w:val="0"/>
              <w:rPr>
                <w:rFonts w:hint="eastAsia" w:ascii="宋体" w:hAnsi="宋体" w:eastAsia="宋体" w:cs="宋体"/>
                <w:color w:val="auto"/>
                <w:sz w:val="21"/>
                <w:szCs w:val="21"/>
                <w:highlight w:val="none"/>
              </w:rPr>
            </w:pPr>
          </w:p>
        </w:tc>
      </w:tr>
      <w:tr w14:paraId="3C8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10" w:type="dxa"/>
            <w:vAlign w:val="center"/>
          </w:tcPr>
          <w:p w14:paraId="44891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897" w:type="dxa"/>
            <w:vAlign w:val="center"/>
          </w:tcPr>
          <w:p w14:paraId="563B24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建筑垃圾处置方案，运输方式、总量、计划及时间等具体内容：根据方案的完整度及可实施性情况进行评审。（评审分值：2分或1分或0分）</w:t>
            </w:r>
          </w:p>
        </w:tc>
        <w:tc>
          <w:tcPr>
            <w:tcW w:w="793" w:type="dxa"/>
            <w:vAlign w:val="center"/>
          </w:tcPr>
          <w:p w14:paraId="10DA819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30BEC388">
            <w:pPr>
              <w:snapToGrid w:val="0"/>
              <w:jc w:val="center"/>
              <w:outlineLvl w:val="0"/>
              <w:rPr>
                <w:rFonts w:hint="eastAsia" w:ascii="宋体" w:hAnsi="宋体" w:eastAsia="宋体" w:cs="宋体"/>
                <w:color w:val="auto"/>
                <w:sz w:val="21"/>
                <w:szCs w:val="21"/>
                <w:highlight w:val="none"/>
              </w:rPr>
            </w:pPr>
          </w:p>
        </w:tc>
      </w:tr>
      <w:tr w14:paraId="6C9F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10" w:type="dxa"/>
            <w:vAlign w:val="center"/>
          </w:tcPr>
          <w:p w14:paraId="391D69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897" w:type="dxa"/>
            <w:vAlign w:val="center"/>
          </w:tcPr>
          <w:p w14:paraId="7D8D66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本项目施工难点、施工重点的描述及解决措施：根据对本项目施工难点、施工重点描述的清晰度、解决措施的完整性、可行性进行评审。（评审分值：5分或4分或3分或2分或1分或0分）</w:t>
            </w:r>
          </w:p>
        </w:tc>
        <w:tc>
          <w:tcPr>
            <w:tcW w:w="793" w:type="dxa"/>
            <w:vAlign w:val="center"/>
          </w:tcPr>
          <w:p w14:paraId="3F89D5C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2AA30CA9">
            <w:pPr>
              <w:snapToGrid w:val="0"/>
              <w:jc w:val="center"/>
              <w:outlineLvl w:val="0"/>
              <w:rPr>
                <w:rFonts w:hint="eastAsia" w:ascii="宋体" w:hAnsi="宋体" w:eastAsia="宋体" w:cs="宋体"/>
                <w:color w:val="auto"/>
                <w:sz w:val="21"/>
                <w:szCs w:val="21"/>
                <w:highlight w:val="none"/>
              </w:rPr>
            </w:pPr>
          </w:p>
        </w:tc>
      </w:tr>
      <w:tr w14:paraId="1E21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10" w:type="dxa"/>
            <w:vAlign w:val="center"/>
          </w:tcPr>
          <w:p w14:paraId="5FA6CD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897" w:type="dxa"/>
            <w:vAlign w:val="center"/>
          </w:tcPr>
          <w:p w14:paraId="28CDFC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拟派驻现场的工程技术管理人员的专业配置：根据人员配置的科学合理性、职责明确情况，以及人员经验、执行力情况进行评审。（评审分值：5分或4分或3分或2分或1分或0分）</w:t>
            </w:r>
          </w:p>
        </w:tc>
        <w:tc>
          <w:tcPr>
            <w:tcW w:w="793" w:type="dxa"/>
            <w:vAlign w:val="center"/>
          </w:tcPr>
          <w:p w14:paraId="35E33B2D">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5268CC74">
            <w:pPr>
              <w:snapToGrid w:val="0"/>
              <w:jc w:val="center"/>
              <w:outlineLvl w:val="0"/>
              <w:rPr>
                <w:rFonts w:hint="eastAsia" w:ascii="宋体" w:hAnsi="宋体" w:eastAsia="宋体" w:cs="宋体"/>
                <w:color w:val="auto"/>
                <w:sz w:val="21"/>
                <w:szCs w:val="21"/>
                <w:highlight w:val="none"/>
              </w:rPr>
            </w:pPr>
          </w:p>
        </w:tc>
      </w:tr>
      <w:tr w14:paraId="5339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0" w:type="dxa"/>
            <w:vAlign w:val="center"/>
          </w:tcPr>
          <w:p w14:paraId="377568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897" w:type="dxa"/>
            <w:vAlign w:val="center"/>
          </w:tcPr>
          <w:p w14:paraId="776467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施工质量控制措施：根据措施的全面性、科学性、可行性以及对本项目的针对性进行评审。（评审分值：5分或4分或3分或2分或1分或0分）</w:t>
            </w:r>
          </w:p>
        </w:tc>
        <w:tc>
          <w:tcPr>
            <w:tcW w:w="793" w:type="dxa"/>
            <w:vAlign w:val="center"/>
          </w:tcPr>
          <w:p w14:paraId="79B6E939">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571F859E">
            <w:pPr>
              <w:snapToGrid w:val="0"/>
              <w:jc w:val="center"/>
              <w:outlineLvl w:val="0"/>
              <w:rPr>
                <w:rFonts w:hint="eastAsia" w:ascii="宋体" w:hAnsi="宋体" w:eastAsia="宋体" w:cs="宋体"/>
                <w:color w:val="auto"/>
                <w:sz w:val="21"/>
                <w:szCs w:val="21"/>
                <w:highlight w:val="none"/>
              </w:rPr>
            </w:pPr>
          </w:p>
        </w:tc>
      </w:tr>
      <w:tr w14:paraId="32DB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0" w:type="dxa"/>
            <w:vAlign w:val="center"/>
          </w:tcPr>
          <w:p w14:paraId="558FC4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897" w:type="dxa"/>
            <w:vAlign w:val="center"/>
          </w:tcPr>
          <w:p w14:paraId="5DBC9DF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安全、文明施工及环保、消防等的保障措施：根据措施的全面性、科学性、可行性以及对本项目的针对性进行评审。（评审分值：5分或4分或3分或2分或1分或0分）</w:t>
            </w:r>
          </w:p>
        </w:tc>
        <w:tc>
          <w:tcPr>
            <w:tcW w:w="793" w:type="dxa"/>
            <w:vAlign w:val="center"/>
          </w:tcPr>
          <w:p w14:paraId="215F361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1D4D48A8">
            <w:pPr>
              <w:snapToGrid w:val="0"/>
              <w:jc w:val="center"/>
              <w:outlineLvl w:val="0"/>
              <w:rPr>
                <w:rFonts w:hint="eastAsia" w:ascii="宋体" w:hAnsi="宋体" w:eastAsia="宋体" w:cs="宋体"/>
                <w:color w:val="auto"/>
                <w:sz w:val="21"/>
                <w:szCs w:val="21"/>
                <w:highlight w:val="none"/>
              </w:rPr>
            </w:pPr>
          </w:p>
        </w:tc>
      </w:tr>
      <w:tr w14:paraId="405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10" w:type="dxa"/>
            <w:vAlign w:val="center"/>
          </w:tcPr>
          <w:p w14:paraId="0ECD89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897" w:type="dxa"/>
            <w:vAlign w:val="center"/>
          </w:tcPr>
          <w:p w14:paraId="3463AE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施工机具、检验仪器的投入满足工程质量和进度要求的程度：根据配置的科学性、合理性进行评审。（评审分值：5分或4分或3分或2分或1分或0分）</w:t>
            </w:r>
          </w:p>
        </w:tc>
        <w:tc>
          <w:tcPr>
            <w:tcW w:w="793" w:type="dxa"/>
            <w:vAlign w:val="center"/>
          </w:tcPr>
          <w:p w14:paraId="275B958B">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088E7815">
            <w:pPr>
              <w:snapToGrid w:val="0"/>
              <w:jc w:val="center"/>
              <w:outlineLvl w:val="0"/>
              <w:rPr>
                <w:rFonts w:hint="eastAsia" w:ascii="宋体" w:hAnsi="宋体" w:eastAsia="宋体" w:cs="宋体"/>
                <w:color w:val="auto"/>
                <w:sz w:val="21"/>
                <w:szCs w:val="21"/>
                <w:highlight w:val="none"/>
              </w:rPr>
            </w:pPr>
          </w:p>
        </w:tc>
      </w:tr>
      <w:tr w14:paraId="10DB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0" w:type="dxa"/>
            <w:vAlign w:val="center"/>
          </w:tcPr>
          <w:p w14:paraId="2B51BF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897" w:type="dxa"/>
            <w:vAlign w:val="center"/>
          </w:tcPr>
          <w:p w14:paraId="0DA05A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原材料、半成品、外购件外购设备等设备材料的质量保证措施：根据方案的全面性、科学性、可行性以及对本项目的针对性进行评审。（评审分值：5分或4分或3分或2分或1分或0分）</w:t>
            </w:r>
          </w:p>
        </w:tc>
        <w:tc>
          <w:tcPr>
            <w:tcW w:w="793" w:type="dxa"/>
            <w:vAlign w:val="center"/>
          </w:tcPr>
          <w:p w14:paraId="78B1EDFA">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412EE62B">
            <w:pPr>
              <w:snapToGrid w:val="0"/>
              <w:jc w:val="center"/>
              <w:outlineLvl w:val="0"/>
              <w:rPr>
                <w:rFonts w:hint="eastAsia" w:ascii="宋体" w:hAnsi="宋体" w:eastAsia="宋体" w:cs="宋体"/>
                <w:color w:val="auto"/>
                <w:sz w:val="21"/>
                <w:szCs w:val="21"/>
                <w:highlight w:val="none"/>
              </w:rPr>
            </w:pPr>
          </w:p>
        </w:tc>
      </w:tr>
      <w:tr w14:paraId="2ACD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10" w:type="dxa"/>
            <w:vAlign w:val="center"/>
          </w:tcPr>
          <w:p w14:paraId="405108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897" w:type="dxa"/>
            <w:vAlign w:val="center"/>
          </w:tcPr>
          <w:p w14:paraId="2CC024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项目实施过程中针对成品保护的各项措施：根据措施的全面性、科学性、可行性以及对本项目的针对性进行评审。（评审分值：5分或4分或3分或2分或1分或0分）</w:t>
            </w:r>
          </w:p>
        </w:tc>
        <w:tc>
          <w:tcPr>
            <w:tcW w:w="793" w:type="dxa"/>
            <w:vAlign w:val="center"/>
          </w:tcPr>
          <w:p w14:paraId="44D21DD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5915BC7E">
            <w:pPr>
              <w:snapToGrid w:val="0"/>
              <w:jc w:val="center"/>
              <w:outlineLvl w:val="0"/>
              <w:rPr>
                <w:rFonts w:hint="eastAsia" w:ascii="宋体" w:hAnsi="宋体" w:eastAsia="宋体" w:cs="宋体"/>
                <w:color w:val="auto"/>
                <w:sz w:val="21"/>
                <w:szCs w:val="21"/>
                <w:highlight w:val="none"/>
              </w:rPr>
            </w:pPr>
          </w:p>
        </w:tc>
      </w:tr>
      <w:tr w14:paraId="05A8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10" w:type="dxa"/>
            <w:vAlign w:val="center"/>
          </w:tcPr>
          <w:p w14:paraId="4FCB8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5897" w:type="dxa"/>
            <w:vAlign w:val="center"/>
          </w:tcPr>
          <w:p w14:paraId="66B563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验收、维修及保修期内、外后续服务方案保障措施；根据措施的全面性、科学性、可行性以及对本项目的针对性进行评审。（评审分值：5分或4分或3分或2分或1分或0分）</w:t>
            </w:r>
          </w:p>
        </w:tc>
        <w:tc>
          <w:tcPr>
            <w:tcW w:w="793" w:type="dxa"/>
            <w:vAlign w:val="center"/>
          </w:tcPr>
          <w:p w14:paraId="6DAEB6E8">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133" w:type="dxa"/>
            <w:vAlign w:val="center"/>
          </w:tcPr>
          <w:p w14:paraId="3FCDAED7">
            <w:pPr>
              <w:snapToGrid w:val="0"/>
              <w:jc w:val="center"/>
              <w:outlineLvl w:val="0"/>
              <w:rPr>
                <w:rFonts w:hint="eastAsia" w:ascii="宋体" w:hAnsi="宋体" w:eastAsia="宋体" w:cs="宋体"/>
                <w:color w:val="auto"/>
                <w:sz w:val="21"/>
                <w:szCs w:val="21"/>
                <w:highlight w:val="none"/>
              </w:rPr>
            </w:pPr>
          </w:p>
        </w:tc>
      </w:tr>
      <w:tr w14:paraId="4DB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0" w:type="dxa"/>
            <w:vAlign w:val="center"/>
          </w:tcPr>
          <w:p w14:paraId="434C3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5897" w:type="dxa"/>
            <w:vAlign w:val="center"/>
          </w:tcPr>
          <w:p w14:paraId="6B4CDAE8">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应急预案：根据供应商提供针对安全事故、恶劣天气以及突发等情况的应急预案的合理性和适用性进行评审。（评审分值：4分或3分或2分或1分或0分）</w:t>
            </w:r>
          </w:p>
        </w:tc>
        <w:tc>
          <w:tcPr>
            <w:tcW w:w="793" w:type="dxa"/>
            <w:vAlign w:val="center"/>
          </w:tcPr>
          <w:p w14:paraId="2EF68187">
            <w:pPr>
              <w:jc w:val="center"/>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w:t>
            </w:r>
          </w:p>
        </w:tc>
        <w:tc>
          <w:tcPr>
            <w:tcW w:w="2133" w:type="dxa"/>
            <w:vAlign w:val="center"/>
          </w:tcPr>
          <w:p w14:paraId="0D6DE155">
            <w:pPr>
              <w:snapToGrid w:val="0"/>
              <w:jc w:val="center"/>
              <w:outlineLvl w:val="0"/>
              <w:rPr>
                <w:rFonts w:hint="eastAsia" w:ascii="宋体" w:hAnsi="宋体" w:eastAsia="宋体" w:cs="宋体"/>
                <w:color w:val="auto"/>
                <w:sz w:val="21"/>
                <w:szCs w:val="21"/>
                <w:highlight w:val="none"/>
              </w:rPr>
            </w:pPr>
          </w:p>
        </w:tc>
      </w:tr>
      <w:tr w14:paraId="5E5A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910" w:type="dxa"/>
            <w:vAlign w:val="center"/>
          </w:tcPr>
          <w:p w14:paraId="6A0A0A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897" w:type="dxa"/>
            <w:vAlign w:val="center"/>
          </w:tcPr>
          <w:p w14:paraId="3262E249">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所投材料列入政府采购节能产品（已列入强制要求的除外）、环境标志产品品目清单范围的，节能产品1分，环境标志产品1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4B47A8D1">
            <w:pPr>
              <w:jc w:val="center"/>
              <w:outlineLvl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2133" w:type="dxa"/>
            <w:vAlign w:val="center"/>
          </w:tcPr>
          <w:p w14:paraId="0EEE594C">
            <w:pPr>
              <w:snapToGrid w:val="0"/>
              <w:jc w:val="center"/>
              <w:outlineLvl w:val="0"/>
              <w:rPr>
                <w:rFonts w:hint="eastAsia" w:ascii="宋体" w:hAnsi="宋体" w:eastAsia="宋体" w:cs="宋体"/>
                <w:color w:val="auto"/>
                <w:sz w:val="21"/>
                <w:szCs w:val="21"/>
                <w:highlight w:val="none"/>
              </w:rPr>
            </w:pPr>
          </w:p>
        </w:tc>
      </w:tr>
      <w:tr w14:paraId="7823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9EC87F4">
            <w:pPr>
              <w:snapToGrid w:val="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5897" w:type="dxa"/>
          </w:tcPr>
          <w:p w14:paraId="442C493B">
            <w:pPr>
              <w:snapToGrid w:val="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0］的计算公式计算。</w:t>
            </w:r>
          </w:p>
          <w:p w14:paraId="6EA66BB4">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68E7703D">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因落实政府采购政策需要进行价格调整的，以调整后的价格计算评审基准价和最后报价。</w:t>
            </w:r>
          </w:p>
          <w:p w14:paraId="40AEA49E">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val="zh-CN"/>
              </w:rPr>
              <w:t>本项目面向</w:t>
            </w:r>
            <w:r>
              <w:rPr>
                <w:rFonts w:hint="eastAsia" w:ascii="宋体" w:hAnsi="宋体" w:eastAsia="宋体" w:cs="宋体"/>
                <w:b/>
                <w:bCs/>
                <w:color w:val="auto"/>
                <w:sz w:val="21"/>
                <w:szCs w:val="21"/>
                <w:highlight w:val="none"/>
                <w:u w:val="single"/>
              </w:rPr>
              <w:t>中小</w:t>
            </w:r>
            <w:r>
              <w:rPr>
                <w:rFonts w:hint="eastAsia" w:ascii="宋体" w:hAnsi="宋体" w:eastAsia="宋体" w:cs="宋体"/>
                <w:b/>
                <w:bCs/>
                <w:color w:val="auto"/>
                <w:sz w:val="21"/>
                <w:szCs w:val="21"/>
                <w:highlight w:val="none"/>
                <w:u w:val="single"/>
                <w:lang w:val="zh-CN"/>
              </w:rPr>
              <w:t>企业采购，不进行价格扣除或价格分加分。</w:t>
            </w:r>
          </w:p>
        </w:tc>
        <w:tc>
          <w:tcPr>
            <w:tcW w:w="793" w:type="dxa"/>
            <w:vAlign w:val="center"/>
          </w:tcPr>
          <w:p w14:paraId="71A2D1D9">
            <w:pPr>
              <w:snapToGrid w:val="0"/>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c>
          <w:tcPr>
            <w:tcW w:w="2133" w:type="dxa"/>
            <w:vAlign w:val="center"/>
          </w:tcPr>
          <w:p w14:paraId="1198662E">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049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E08CFAE">
            <w:pPr>
              <w:snapToGrid w:val="0"/>
              <w:ind w:firstLine="210" w:firstLineChars="100"/>
              <w:outlineLvl w:val="0"/>
              <w:rPr>
                <w:rFonts w:hint="eastAsia" w:ascii="宋体" w:hAnsi="宋体" w:eastAsia="宋体" w:cs="宋体"/>
                <w:color w:val="auto"/>
                <w:sz w:val="21"/>
                <w:szCs w:val="21"/>
                <w:highlight w:val="none"/>
              </w:rPr>
            </w:pPr>
          </w:p>
        </w:tc>
        <w:tc>
          <w:tcPr>
            <w:tcW w:w="5897" w:type="dxa"/>
          </w:tcPr>
          <w:p w14:paraId="6DB7C16F">
            <w:pPr>
              <w:widowControl/>
              <w:shd w:val="clear" w:color="auto" w:fill="FFFFFF"/>
              <w:adjustRightInd/>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75B864E6">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748D2F4D">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77" w:name="_Toc3891"/>
      <w:bookmarkStart w:id="78"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77"/>
    </w:p>
    <w:bookmarkEnd w:id="76"/>
    <w:bookmarkEnd w:id="78"/>
    <w:p w14:paraId="06A02C94">
      <w:pPr>
        <w:adjustRightInd w:val="0"/>
        <w:snapToGrid w:val="0"/>
        <w:spacing w:before="156" w:beforeLines="50" w:line="360" w:lineRule="auto"/>
        <w:jc w:val="center"/>
        <w:rPr>
          <w:rFonts w:hint="eastAsia" w:ascii="宋体" w:hAnsi="宋体" w:eastAsia="宋体" w:cs="宋体"/>
          <w:b/>
          <w:color w:val="auto"/>
          <w:sz w:val="36"/>
          <w:szCs w:val="36"/>
          <w:highlight w:val="none"/>
        </w:rPr>
      </w:pPr>
      <w:bookmarkStart w:id="79" w:name="_Toc351203642"/>
      <w:bookmarkEnd w:id="79"/>
    </w:p>
    <w:p w14:paraId="10771B3D">
      <w:pPr>
        <w:adjustRightInd w:val="0"/>
        <w:snapToGrid w:val="0"/>
        <w:spacing w:before="156" w:beforeLines="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w:t>
      </w:r>
      <w:r>
        <w:rPr>
          <w:rFonts w:hint="eastAsia" w:ascii="宋体" w:hAnsi="宋体" w:eastAsia="宋体" w:cs="宋体"/>
          <w:b/>
          <w:color w:val="auto"/>
          <w:sz w:val="44"/>
          <w:szCs w:val="44"/>
          <w:highlight w:val="none"/>
          <w:lang w:val="en-US" w:eastAsia="zh-CN"/>
        </w:rPr>
        <w:t>山北生活区架空层增加喷淋系统</w:t>
      </w:r>
      <w:r>
        <w:rPr>
          <w:rFonts w:hint="eastAsia" w:ascii="宋体" w:hAnsi="宋体" w:eastAsia="宋体" w:cs="宋体"/>
          <w:b/>
          <w:color w:val="auto"/>
          <w:sz w:val="44"/>
          <w:szCs w:val="44"/>
          <w:highlight w:val="none"/>
        </w:rPr>
        <w:t>】项目</w:t>
      </w:r>
    </w:p>
    <w:p w14:paraId="6AB69DD7">
      <w:pPr>
        <w:adjustRightInd w:val="0"/>
        <w:snapToGrid w:val="0"/>
        <w:spacing w:before="156" w:beforeLines="50" w:line="360" w:lineRule="auto"/>
        <w:rPr>
          <w:rFonts w:hint="eastAsia" w:ascii="宋体" w:hAnsi="宋体" w:eastAsia="宋体" w:cs="宋体"/>
          <w:b/>
          <w:color w:val="auto"/>
          <w:sz w:val="28"/>
          <w:szCs w:val="28"/>
          <w:highlight w:val="none"/>
        </w:rPr>
      </w:pPr>
    </w:p>
    <w:p w14:paraId="33DD8171">
      <w:pPr>
        <w:tabs>
          <w:tab w:val="left" w:pos="0"/>
        </w:tabs>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施</w:t>
      </w:r>
    </w:p>
    <w:p w14:paraId="344F63FA">
      <w:pPr>
        <w:tabs>
          <w:tab w:val="left" w:pos="0"/>
        </w:tabs>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工</w:t>
      </w:r>
    </w:p>
    <w:p w14:paraId="2B49D543">
      <w:pPr>
        <w:tabs>
          <w:tab w:val="left" w:pos="0"/>
        </w:tabs>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合</w:t>
      </w:r>
    </w:p>
    <w:p w14:paraId="0AAAC76C">
      <w:pPr>
        <w:tabs>
          <w:tab w:val="left" w:pos="0"/>
        </w:tabs>
        <w:adjustRightInd w:val="0"/>
        <w:snapToGrid w:val="0"/>
        <w:spacing w:line="360" w:lineRule="auto"/>
        <w:jc w:val="center"/>
        <w:rPr>
          <w:rFonts w:hint="eastAsia" w:ascii="宋体" w:hAnsi="宋体" w:eastAsia="宋体" w:cs="宋体"/>
          <w:b/>
          <w:bCs/>
          <w:color w:val="auto"/>
          <w:sz w:val="96"/>
          <w:szCs w:val="96"/>
          <w:highlight w:val="none"/>
        </w:rPr>
      </w:pPr>
      <w:r>
        <w:rPr>
          <w:rFonts w:hint="eastAsia" w:ascii="宋体" w:hAnsi="宋体" w:eastAsia="宋体" w:cs="宋体"/>
          <w:b/>
          <w:color w:val="auto"/>
          <w:sz w:val="72"/>
          <w:szCs w:val="72"/>
          <w:highlight w:val="none"/>
        </w:rPr>
        <w:t>同</w:t>
      </w:r>
    </w:p>
    <w:p w14:paraId="3D329A56">
      <w:pPr>
        <w:adjustRightInd w:val="0"/>
        <w:snapToGrid w:val="0"/>
        <w:spacing w:line="360" w:lineRule="auto"/>
        <w:rPr>
          <w:rFonts w:hint="eastAsia" w:ascii="宋体" w:hAnsi="宋体" w:eastAsia="宋体" w:cs="宋体"/>
          <w:b/>
          <w:color w:val="auto"/>
          <w:sz w:val="32"/>
          <w:szCs w:val="32"/>
          <w:highlight w:val="none"/>
        </w:rPr>
      </w:pPr>
    </w:p>
    <w:p w14:paraId="6A0509E8">
      <w:pPr>
        <w:adjustRightInd w:val="0"/>
        <w:snapToGrid w:val="0"/>
        <w:spacing w:line="360" w:lineRule="auto"/>
        <w:rPr>
          <w:rFonts w:hint="eastAsia" w:ascii="宋体" w:hAnsi="宋体" w:eastAsia="宋体" w:cs="宋体"/>
          <w:b/>
          <w:color w:val="auto"/>
          <w:sz w:val="32"/>
          <w:szCs w:val="32"/>
          <w:highlight w:val="none"/>
        </w:rPr>
      </w:pPr>
    </w:p>
    <w:p w14:paraId="1278C2C7">
      <w:pPr>
        <w:adjustRightInd w:val="0"/>
        <w:snapToGrid w:val="0"/>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发包人：中国美术学院</w:t>
      </w:r>
    </w:p>
    <w:p w14:paraId="72556CF9">
      <w:pPr>
        <w:adjustRightInd w:val="0"/>
        <w:snapToGrid w:val="0"/>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承包人：</w:t>
      </w:r>
    </w:p>
    <w:p w14:paraId="05BCA77F">
      <w:pPr>
        <w:adjustRightInd w:val="0"/>
        <w:snapToGrid w:val="0"/>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日  期： 年  月  日</w:t>
      </w:r>
    </w:p>
    <w:p w14:paraId="0C1F553E">
      <w:pPr>
        <w:tabs>
          <w:tab w:val="left" w:pos="300"/>
        </w:tabs>
        <w:spacing w:line="366" w:lineRule="exact"/>
        <w:jc w:val="center"/>
        <w:rPr>
          <w:rFonts w:hint="eastAsia" w:ascii="宋体" w:hAnsi="宋体" w:eastAsia="宋体" w:cs="宋体"/>
          <w:b/>
          <w:bCs/>
          <w:color w:val="auto"/>
          <w:sz w:val="32"/>
          <w:szCs w:val="32"/>
          <w:highlight w:val="none"/>
        </w:rPr>
      </w:pPr>
    </w:p>
    <w:p w14:paraId="46D86E83">
      <w:pPr>
        <w:tabs>
          <w:tab w:val="left" w:pos="300"/>
        </w:tabs>
        <w:spacing w:line="366" w:lineRule="exact"/>
        <w:jc w:val="center"/>
        <w:rPr>
          <w:rFonts w:hint="eastAsia" w:ascii="宋体" w:hAnsi="宋体" w:eastAsia="宋体" w:cs="宋体"/>
          <w:b/>
          <w:bCs/>
          <w:color w:val="auto"/>
          <w:sz w:val="32"/>
          <w:szCs w:val="32"/>
          <w:highlight w:val="none"/>
        </w:rPr>
      </w:pPr>
    </w:p>
    <w:p w14:paraId="0585CC56">
      <w:pPr>
        <w:pStyle w:val="2"/>
        <w:rPr>
          <w:rFonts w:hint="eastAsia" w:ascii="宋体" w:hAnsi="宋体" w:eastAsia="宋体" w:cs="宋体"/>
          <w:b w:val="0"/>
          <w:color w:val="auto"/>
          <w:sz w:val="32"/>
          <w:szCs w:val="32"/>
          <w:highlight w:val="none"/>
        </w:rPr>
        <w:sectPr>
          <w:headerReference r:id="rId7" w:type="first"/>
          <w:footerReference r:id="rId8" w:type="first"/>
          <w:pgSz w:w="11906" w:h="16838"/>
          <w:pgMar w:top="1418" w:right="1555" w:bottom="1418" w:left="1531" w:header="567" w:footer="567" w:gutter="0"/>
          <w:cols w:space="720" w:num="1"/>
          <w:docGrid w:type="lines" w:linePitch="312" w:charSpace="0"/>
        </w:sectPr>
      </w:pPr>
    </w:p>
    <w:p w14:paraId="427CEB0F">
      <w:pPr>
        <w:rPr>
          <w:rFonts w:hint="eastAsia" w:ascii="宋体" w:hAnsi="宋体" w:eastAsia="宋体" w:cs="宋体"/>
          <w:color w:val="auto"/>
          <w:highlight w:val="none"/>
        </w:rPr>
      </w:pPr>
    </w:p>
    <w:p w14:paraId="384D451A">
      <w:pPr>
        <w:tabs>
          <w:tab w:val="left" w:pos="300"/>
        </w:tabs>
        <w:spacing w:line="366" w:lineRule="exact"/>
        <w:jc w:val="center"/>
        <w:rPr>
          <w:rFonts w:hint="eastAsia" w:ascii="宋体" w:hAnsi="宋体" w:eastAsia="宋体" w:cs="宋体"/>
          <w:color w:val="auto"/>
          <w:sz w:val="20"/>
          <w:szCs w:val="20"/>
          <w:highlight w:val="none"/>
        </w:rPr>
      </w:pPr>
      <w:r>
        <w:rPr>
          <w:rFonts w:hint="eastAsia" w:ascii="宋体" w:hAnsi="宋体" w:eastAsia="宋体" w:cs="宋体"/>
          <w:b/>
          <w:bCs/>
          <w:color w:val="auto"/>
          <w:sz w:val="32"/>
          <w:szCs w:val="32"/>
          <w:highlight w:val="none"/>
        </w:rPr>
        <w:t>合同条款</w:t>
      </w:r>
    </w:p>
    <w:p w14:paraId="537F8337">
      <w:pPr>
        <w:spacing w:line="254" w:lineRule="exact"/>
        <w:rPr>
          <w:rFonts w:hint="eastAsia" w:ascii="宋体" w:hAnsi="宋体" w:eastAsia="宋体" w:cs="宋体"/>
          <w:color w:val="auto"/>
          <w:sz w:val="20"/>
          <w:szCs w:val="20"/>
          <w:highlight w:val="none"/>
        </w:rPr>
      </w:pPr>
    </w:p>
    <w:p w14:paraId="1D65DA05">
      <w:pPr>
        <w:spacing w:line="20" w:lineRule="exact"/>
        <w:rPr>
          <w:rFonts w:hint="eastAsia" w:ascii="宋体" w:hAnsi="宋体" w:eastAsia="宋体" w:cs="宋体"/>
          <w:color w:val="auto"/>
          <w:sz w:val="20"/>
          <w:szCs w:val="20"/>
          <w:highlight w:val="none"/>
        </w:rPr>
      </w:pPr>
    </w:p>
    <w:p w14:paraId="376CDA4E">
      <w:pPr>
        <w:pStyle w:val="635"/>
        <w:spacing w:line="360" w:lineRule="auto"/>
        <w:ind w:firstLine="420" w:firstLineChars="200"/>
        <w:jc w:val="center"/>
        <w:rPr>
          <w:rFonts w:hint="eastAsia" w:ascii="宋体" w:hAnsi="宋体" w:eastAsia="宋体" w:cs="宋体"/>
          <w:color w:val="auto"/>
          <w:szCs w:val="21"/>
          <w:highlight w:val="none"/>
        </w:rPr>
      </w:pPr>
      <w:bookmarkStart w:id="80" w:name="page48"/>
      <w:bookmarkEnd w:id="80"/>
      <w:bookmarkStart w:id="81" w:name="_Toc296890982"/>
      <w:bookmarkStart w:id="82" w:name="_Toc351203480"/>
      <w:bookmarkStart w:id="83" w:name="_Toc296503025"/>
      <w:bookmarkStart w:id="84" w:name="_Toc237694779"/>
      <w:bookmarkStart w:id="85" w:name="_Toc237695004"/>
      <w:bookmarkStart w:id="86" w:name="_Toc163484941"/>
      <w:bookmarkStart w:id="87" w:name="_Toc163484939"/>
      <w:r>
        <w:rPr>
          <w:rFonts w:hint="eastAsia" w:ascii="宋体" w:hAnsi="宋体" w:eastAsia="宋体" w:cs="宋体"/>
          <w:color w:val="auto"/>
          <w:szCs w:val="21"/>
          <w:highlight w:val="none"/>
        </w:rPr>
        <w:t>第一部分 合同协议书</w:t>
      </w:r>
      <w:bookmarkEnd w:id="81"/>
      <w:bookmarkEnd w:id="82"/>
      <w:bookmarkEnd w:id="83"/>
    </w:p>
    <w:p w14:paraId="3CF3D0AB">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rPr>
        <w:t>中国美术学院</w:t>
      </w:r>
    </w:p>
    <w:p w14:paraId="60A3E63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b/>
          <w:color w:val="auto"/>
          <w:szCs w:val="21"/>
          <w:highlight w:val="none"/>
          <w:u w:val="single"/>
        </w:rPr>
        <w:t xml:space="preserve">            </w:t>
      </w:r>
    </w:p>
    <w:p w14:paraId="78603FD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b/>
          <w:color w:val="auto"/>
          <w:sz w:val="21"/>
          <w:szCs w:val="21"/>
          <w:highlight w:val="none"/>
          <w:lang w:val="en-US" w:eastAsia="zh-CN"/>
        </w:rPr>
        <w:t>山北生活区架空层增加喷淋系统</w:t>
      </w:r>
      <w:r>
        <w:rPr>
          <w:rFonts w:hint="eastAsia" w:ascii="宋体" w:hAnsi="宋体" w:eastAsia="宋体" w:cs="宋体"/>
          <w:color w:val="auto"/>
          <w:szCs w:val="21"/>
          <w:highlight w:val="none"/>
        </w:rPr>
        <w:t>施工及有关事项协商一致，共同达成如下协议：</w:t>
      </w:r>
    </w:p>
    <w:p w14:paraId="04DAEC4B">
      <w:pPr>
        <w:spacing w:line="360" w:lineRule="auto"/>
        <w:rPr>
          <w:rFonts w:hint="eastAsia" w:ascii="宋体" w:hAnsi="宋体" w:eastAsia="宋体" w:cs="宋体"/>
          <w:color w:val="auto"/>
          <w:highlight w:val="none"/>
        </w:rPr>
      </w:pPr>
      <w:bookmarkStart w:id="88" w:name="_Toc351203481"/>
      <w:r>
        <w:rPr>
          <w:rFonts w:hint="eastAsia" w:ascii="宋体" w:hAnsi="宋体" w:eastAsia="宋体" w:cs="宋体"/>
          <w:color w:val="auto"/>
          <w:highlight w:val="none"/>
        </w:rPr>
        <w:t>一、工程概况</w:t>
      </w:r>
      <w:bookmarkEnd w:id="88"/>
    </w:p>
    <w:p w14:paraId="1B39F2B8">
      <w:pPr>
        <w:rPr>
          <w:color w:val="auto"/>
          <w:highlight w:val="non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r>
        <w:rPr>
          <w:rFonts w:hint="eastAsia" w:ascii="宋体" w:hAnsi="宋体" w:eastAsia="宋体" w:cs="宋体"/>
          <w:b/>
          <w:color w:val="auto"/>
          <w:sz w:val="21"/>
          <w:szCs w:val="21"/>
          <w:highlight w:val="none"/>
          <w:lang w:val="en-US" w:eastAsia="zh-CN"/>
        </w:rPr>
        <w:t>山北生活区架空层增加喷淋系统</w:t>
      </w:r>
    </w:p>
    <w:p w14:paraId="57E539D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p>
    <w:p w14:paraId="198C479A">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2.工程地点：</w:t>
      </w:r>
      <w:r>
        <w:rPr>
          <w:rFonts w:hint="eastAsia" w:ascii="宋体" w:hAnsi="宋体" w:eastAsia="宋体" w:cs="宋体"/>
          <w:b/>
          <w:color w:val="auto"/>
          <w:szCs w:val="21"/>
          <w:highlight w:val="none"/>
          <w:u w:val="single"/>
          <w:lang w:val="en-US" w:eastAsia="zh-CN"/>
        </w:rPr>
        <w:t xml:space="preserve">中国美术学院象山校区山北生活区  </w:t>
      </w:r>
      <w:r>
        <w:rPr>
          <w:rFonts w:hint="eastAsia" w:ascii="宋体" w:hAnsi="宋体" w:eastAsia="宋体" w:cs="宋体"/>
          <w:color w:val="auto"/>
          <w:szCs w:val="21"/>
          <w:highlight w:val="none"/>
        </w:rPr>
        <w:t>。</w:t>
      </w:r>
    </w:p>
    <w:p w14:paraId="78186A40">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3.工程立项批准文号： </w:t>
      </w:r>
    </w:p>
    <w:p w14:paraId="00AC810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4.资金来源：</w:t>
      </w:r>
      <w:r>
        <w:rPr>
          <w:rFonts w:hint="eastAsia" w:ascii="宋体" w:hAnsi="宋体" w:eastAsia="宋体" w:cs="宋体"/>
          <w:b/>
          <w:color w:val="auto"/>
          <w:szCs w:val="21"/>
          <w:highlight w:val="none"/>
          <w:u w:val="single"/>
        </w:rPr>
        <w:t>国有资金</w:t>
      </w:r>
      <w:r>
        <w:rPr>
          <w:rFonts w:hint="eastAsia" w:ascii="宋体" w:hAnsi="宋体" w:eastAsia="宋体" w:cs="宋体"/>
          <w:bCs/>
          <w:color w:val="auto"/>
          <w:szCs w:val="21"/>
          <w:highlight w:val="none"/>
        </w:rPr>
        <w:t>。</w:t>
      </w:r>
    </w:p>
    <w:p w14:paraId="517DD74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5.工程内容：</w:t>
      </w:r>
      <w:r>
        <w:rPr>
          <w:rFonts w:hint="eastAsia" w:ascii="宋体" w:hAnsi="宋体" w:eastAsia="宋体" w:cs="宋体"/>
          <w:b/>
          <w:color w:val="auto"/>
          <w:szCs w:val="21"/>
          <w:highlight w:val="none"/>
          <w:u w:val="single"/>
        </w:rPr>
        <w:t>具体内容见采购文件和工程量清单</w:t>
      </w:r>
      <w:r>
        <w:rPr>
          <w:rFonts w:hint="eastAsia" w:ascii="宋体" w:hAnsi="宋体" w:eastAsia="宋体" w:cs="宋体"/>
          <w:bCs/>
          <w:color w:val="auto"/>
          <w:szCs w:val="21"/>
          <w:highlight w:val="none"/>
        </w:rPr>
        <w:t>。</w:t>
      </w:r>
    </w:p>
    <w:p w14:paraId="43BF9A7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群体工程应附《承包人承揽工程项目一览表》（附件1）。</w:t>
      </w:r>
    </w:p>
    <w:p w14:paraId="46B06CD2">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6.工程承包范围：</w:t>
      </w:r>
    </w:p>
    <w:p w14:paraId="71B64441">
      <w:pPr>
        <w:adjustRightInd w:val="0"/>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1.包工、包料（</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是□否）、包工期、包质量、包安全文明施工、包检测验收合格至交付使用等</w:t>
      </w:r>
      <w:r>
        <w:rPr>
          <w:rFonts w:hint="eastAsia" w:ascii="宋体" w:hAnsi="宋体" w:eastAsia="宋体" w:cs="宋体"/>
          <w:color w:val="auto"/>
          <w:szCs w:val="21"/>
          <w:highlight w:val="none"/>
          <w:u w:val="single"/>
        </w:rPr>
        <w:t>。</w:t>
      </w:r>
    </w:p>
    <w:p w14:paraId="65EA7541">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2.本项目施工图范围内的所有内容，工程量清单。(当施工图纸与工程量清单不一致时，以施工图纸为准）</w:t>
      </w:r>
    </w:p>
    <w:p w14:paraId="033778D1">
      <w:pPr>
        <w:spacing w:line="360" w:lineRule="auto"/>
        <w:rPr>
          <w:rFonts w:hint="eastAsia" w:ascii="宋体" w:hAnsi="宋体" w:eastAsia="宋体" w:cs="宋体"/>
          <w:color w:val="auto"/>
          <w:highlight w:val="none"/>
        </w:rPr>
      </w:pPr>
      <w:bookmarkStart w:id="89" w:name="_Toc351203482"/>
      <w:r>
        <w:rPr>
          <w:rFonts w:hint="eastAsia" w:ascii="宋体" w:hAnsi="宋体" w:eastAsia="宋体" w:cs="宋体"/>
          <w:color w:val="auto"/>
          <w:highlight w:val="none"/>
        </w:rPr>
        <w:t>二、合同工期</w:t>
      </w:r>
      <w:bookmarkEnd w:id="89"/>
    </w:p>
    <w:p w14:paraId="6F95B05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567D19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E1A34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35日历</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14:paraId="1BE94ECC">
      <w:pPr>
        <w:spacing w:line="360" w:lineRule="auto"/>
        <w:rPr>
          <w:rFonts w:hint="eastAsia" w:ascii="宋体" w:hAnsi="宋体" w:eastAsia="宋体" w:cs="宋体"/>
          <w:color w:val="auto"/>
          <w:szCs w:val="21"/>
          <w:highlight w:val="none"/>
        </w:rPr>
      </w:pPr>
      <w:bookmarkStart w:id="90" w:name="_Toc351203483"/>
      <w:r>
        <w:rPr>
          <w:rFonts w:hint="eastAsia" w:ascii="宋体" w:hAnsi="宋体" w:eastAsia="宋体" w:cs="宋体"/>
          <w:color w:val="auto"/>
          <w:szCs w:val="21"/>
          <w:highlight w:val="none"/>
        </w:rPr>
        <w:t>三、质量标准</w:t>
      </w:r>
      <w:bookmarkEnd w:id="90"/>
    </w:p>
    <w:p w14:paraId="38E9CFB4">
      <w:pPr>
        <w:adjustRightInd w:val="0"/>
        <w:snapToGrid w:val="0"/>
        <w:spacing w:line="360" w:lineRule="auto"/>
        <w:ind w:left="149" w:leftChars="7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b/>
          <w:color w:val="auto"/>
          <w:szCs w:val="21"/>
          <w:highlight w:val="none"/>
          <w:u w:val="single"/>
        </w:rPr>
        <w:t xml:space="preserve">  国家规定的验收合格标准，一次性验收合格</w:t>
      </w:r>
      <w:r>
        <w:rPr>
          <w:rFonts w:hint="eastAsia" w:ascii="宋体" w:hAnsi="宋体" w:eastAsia="宋体" w:cs="宋体"/>
          <w:color w:val="auto"/>
          <w:szCs w:val="21"/>
          <w:highlight w:val="none"/>
        </w:rPr>
        <w:t>标准。</w:t>
      </w:r>
    </w:p>
    <w:p w14:paraId="1345D81F">
      <w:pPr>
        <w:spacing w:line="360" w:lineRule="auto"/>
        <w:rPr>
          <w:rFonts w:hint="eastAsia" w:ascii="宋体" w:hAnsi="宋体" w:eastAsia="宋体" w:cs="宋体"/>
          <w:color w:val="auto"/>
          <w:szCs w:val="21"/>
          <w:highlight w:val="none"/>
        </w:rPr>
      </w:pPr>
      <w:bookmarkStart w:id="91" w:name="_Toc351203484"/>
      <w:r>
        <w:rPr>
          <w:rFonts w:hint="eastAsia" w:ascii="宋体" w:hAnsi="宋体" w:eastAsia="宋体" w:cs="宋体"/>
          <w:color w:val="auto"/>
          <w:szCs w:val="21"/>
          <w:highlight w:val="none"/>
        </w:rPr>
        <w:t>四、签约合同价与合同价格形式</w:t>
      </w:r>
      <w:bookmarkEnd w:id="91"/>
      <w:r>
        <w:rPr>
          <w:rFonts w:hint="eastAsia" w:ascii="宋体" w:hAnsi="宋体" w:eastAsia="宋体" w:cs="宋体"/>
          <w:color w:val="auto"/>
          <w:szCs w:val="21"/>
          <w:highlight w:val="none"/>
        </w:rPr>
        <w:tab/>
      </w:r>
    </w:p>
    <w:p w14:paraId="26BCD19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4247F22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3064E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56CA932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A7E868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2E18F28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515EA1E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7214038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2FAA1A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747E04E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11D4CDB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81AC9D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综合单价合同 □总价合同 </w:t>
      </w:r>
      <w:r>
        <w:rPr>
          <w:rFonts w:hint="eastAsia" w:ascii="宋体" w:hAnsi="宋体" w:eastAsia="宋体" w:cs="宋体"/>
          <w:color w:val="auto"/>
          <w:szCs w:val="21"/>
          <w:highlight w:val="none"/>
        </w:rPr>
        <w:t>。</w:t>
      </w:r>
    </w:p>
    <w:p w14:paraId="18AA8820">
      <w:pPr>
        <w:spacing w:line="360" w:lineRule="auto"/>
        <w:rPr>
          <w:rFonts w:hint="eastAsia" w:ascii="宋体" w:hAnsi="宋体" w:eastAsia="宋体" w:cs="宋体"/>
          <w:color w:val="auto"/>
          <w:szCs w:val="21"/>
          <w:highlight w:val="none"/>
        </w:rPr>
      </w:pPr>
      <w:bookmarkStart w:id="92" w:name="_Toc351203485"/>
      <w:r>
        <w:rPr>
          <w:rFonts w:hint="eastAsia" w:ascii="宋体" w:hAnsi="宋体" w:eastAsia="宋体" w:cs="宋体"/>
          <w:color w:val="auto"/>
          <w:szCs w:val="21"/>
          <w:highlight w:val="none"/>
        </w:rPr>
        <w:t>五、</w:t>
      </w:r>
      <w:bookmarkEnd w:id="92"/>
      <w:r>
        <w:rPr>
          <w:rFonts w:hint="eastAsia" w:ascii="宋体" w:hAnsi="宋体" w:eastAsia="宋体" w:cs="宋体"/>
          <w:color w:val="auto"/>
          <w:szCs w:val="21"/>
          <w:highlight w:val="none"/>
        </w:rPr>
        <w:t>项目经理</w:t>
      </w:r>
    </w:p>
    <w:p w14:paraId="357E89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643D9C3">
      <w:pPr>
        <w:spacing w:line="360" w:lineRule="auto"/>
        <w:rPr>
          <w:rFonts w:hint="eastAsia" w:ascii="宋体" w:hAnsi="宋体" w:eastAsia="宋体" w:cs="宋体"/>
          <w:color w:val="auto"/>
          <w:szCs w:val="21"/>
          <w:highlight w:val="none"/>
        </w:rPr>
      </w:pPr>
      <w:bookmarkStart w:id="93" w:name="_Toc351203486"/>
      <w:r>
        <w:rPr>
          <w:rFonts w:hint="eastAsia" w:ascii="宋体" w:hAnsi="宋体" w:eastAsia="宋体" w:cs="宋体"/>
          <w:color w:val="auto"/>
          <w:szCs w:val="21"/>
          <w:highlight w:val="none"/>
        </w:rPr>
        <w:t>六、合同文件构成</w:t>
      </w:r>
      <w:bookmarkEnd w:id="93"/>
    </w:p>
    <w:p w14:paraId="183CCC1F">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14:paraId="4EE87177">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1、成交通知书；</w:t>
      </w:r>
    </w:p>
    <w:p w14:paraId="6E24FC56">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2、本合同专用条款；</w:t>
      </w:r>
    </w:p>
    <w:p w14:paraId="523AEBC4">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3、询标纪要；</w:t>
      </w:r>
    </w:p>
    <w:p w14:paraId="7A215632">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4、磋商文件及磋商补充文件；</w:t>
      </w:r>
    </w:p>
    <w:p w14:paraId="36D02127">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5、响应文件及其附件（含已标价工程量清单）；</w:t>
      </w:r>
    </w:p>
    <w:p w14:paraId="46D981F2">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6、图纸；</w:t>
      </w:r>
    </w:p>
    <w:p w14:paraId="72C11625">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7、本合同通用条款；</w:t>
      </w:r>
    </w:p>
    <w:p w14:paraId="162403D1">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8、标准、规范及有关技术文件；</w:t>
      </w:r>
    </w:p>
    <w:p w14:paraId="1B63F172">
      <w:pPr>
        <w:autoSpaceDE w:val="0"/>
        <w:autoSpaceDN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9、其他合同文件</w:t>
      </w:r>
      <w:r>
        <w:rPr>
          <w:rFonts w:hint="eastAsia" w:ascii="宋体" w:hAnsi="宋体" w:eastAsia="宋体" w:cs="宋体"/>
          <w:color w:val="auto"/>
          <w:szCs w:val="21"/>
          <w:highlight w:val="none"/>
        </w:rPr>
        <w:t>。</w:t>
      </w:r>
    </w:p>
    <w:p w14:paraId="014933FA">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37C60779">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57F593">
      <w:pPr>
        <w:spacing w:line="360" w:lineRule="auto"/>
        <w:rPr>
          <w:rFonts w:hint="eastAsia" w:ascii="宋体" w:hAnsi="宋体" w:eastAsia="宋体" w:cs="宋体"/>
          <w:color w:val="auto"/>
          <w:szCs w:val="21"/>
          <w:highlight w:val="none"/>
        </w:rPr>
      </w:pPr>
      <w:bookmarkStart w:id="94" w:name="_Toc351203487"/>
      <w:r>
        <w:rPr>
          <w:rFonts w:hint="eastAsia" w:ascii="宋体" w:hAnsi="宋体" w:eastAsia="宋体" w:cs="宋体"/>
          <w:color w:val="auto"/>
          <w:szCs w:val="21"/>
          <w:highlight w:val="none"/>
        </w:rPr>
        <w:t>七、承诺</w:t>
      </w:r>
      <w:bookmarkEnd w:id="94"/>
    </w:p>
    <w:p w14:paraId="033AF7D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14:paraId="37438F6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1395EC7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3.发包人和承包人通过招投标形式签订合同的，双方理解并承诺不再就同一工程另行签订与合同实质性内容相背离的协议。</w:t>
      </w:r>
    </w:p>
    <w:p w14:paraId="4244DFB0">
      <w:pPr>
        <w:spacing w:line="360" w:lineRule="auto"/>
        <w:rPr>
          <w:rFonts w:hint="eastAsia" w:ascii="宋体" w:hAnsi="宋体" w:eastAsia="宋体" w:cs="宋体"/>
          <w:color w:val="auto"/>
          <w:szCs w:val="21"/>
          <w:highlight w:val="none"/>
        </w:rPr>
      </w:pPr>
      <w:bookmarkStart w:id="95" w:name="_Toc351203488"/>
      <w:r>
        <w:rPr>
          <w:rFonts w:hint="eastAsia" w:ascii="宋体" w:hAnsi="宋体" w:eastAsia="宋体" w:cs="宋体"/>
          <w:color w:val="auto"/>
          <w:szCs w:val="21"/>
          <w:highlight w:val="none"/>
        </w:rPr>
        <w:t>八、词语含义</w:t>
      </w:r>
      <w:bookmarkEnd w:id="95"/>
    </w:p>
    <w:p w14:paraId="68710F2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14:paraId="60C51D98">
      <w:pPr>
        <w:spacing w:line="360" w:lineRule="auto"/>
        <w:rPr>
          <w:rFonts w:hint="eastAsia" w:ascii="宋体" w:hAnsi="宋体" w:eastAsia="宋体" w:cs="宋体"/>
          <w:color w:val="auto"/>
          <w:szCs w:val="21"/>
          <w:highlight w:val="none"/>
        </w:rPr>
      </w:pPr>
      <w:bookmarkStart w:id="96" w:name="_Toc351203489"/>
      <w:r>
        <w:rPr>
          <w:rFonts w:hint="eastAsia" w:ascii="宋体" w:hAnsi="宋体" w:eastAsia="宋体" w:cs="宋体"/>
          <w:color w:val="auto"/>
          <w:szCs w:val="21"/>
          <w:highlight w:val="none"/>
        </w:rPr>
        <w:t>九、签订时间</w:t>
      </w:r>
      <w:bookmarkEnd w:id="96"/>
    </w:p>
    <w:p w14:paraId="3E3C0B12">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日签订。</w:t>
      </w:r>
    </w:p>
    <w:p w14:paraId="157F3399">
      <w:pPr>
        <w:spacing w:line="360" w:lineRule="auto"/>
        <w:rPr>
          <w:rFonts w:hint="eastAsia" w:ascii="宋体" w:hAnsi="宋体" w:eastAsia="宋体" w:cs="宋体"/>
          <w:color w:val="auto"/>
          <w:szCs w:val="21"/>
          <w:highlight w:val="none"/>
        </w:rPr>
      </w:pPr>
      <w:bookmarkStart w:id="97" w:name="_Toc351203490"/>
      <w:r>
        <w:rPr>
          <w:rFonts w:hint="eastAsia" w:ascii="宋体" w:hAnsi="宋体" w:eastAsia="宋体" w:cs="宋体"/>
          <w:color w:val="auto"/>
          <w:szCs w:val="21"/>
          <w:highlight w:val="none"/>
        </w:rPr>
        <w:t>十、签订地点</w:t>
      </w:r>
      <w:bookmarkEnd w:id="97"/>
    </w:p>
    <w:p w14:paraId="772FB23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lang w:val="en-US" w:eastAsia="zh-CN"/>
        </w:rPr>
        <w:t xml:space="preserve">杭州市           </w:t>
      </w:r>
      <w:r>
        <w:rPr>
          <w:rFonts w:hint="eastAsia" w:ascii="宋体" w:hAnsi="宋体" w:eastAsia="宋体" w:cs="宋体"/>
          <w:bCs/>
          <w:color w:val="auto"/>
          <w:szCs w:val="21"/>
          <w:highlight w:val="none"/>
        </w:rPr>
        <w:t>签订。</w:t>
      </w:r>
    </w:p>
    <w:p w14:paraId="136F50CA">
      <w:pPr>
        <w:spacing w:line="360" w:lineRule="auto"/>
        <w:rPr>
          <w:rFonts w:hint="eastAsia" w:ascii="宋体" w:hAnsi="宋体" w:eastAsia="宋体" w:cs="宋体"/>
          <w:color w:val="auto"/>
          <w:szCs w:val="21"/>
          <w:highlight w:val="none"/>
        </w:rPr>
      </w:pPr>
      <w:bookmarkStart w:id="98" w:name="_Toc351203491"/>
      <w:r>
        <w:rPr>
          <w:rFonts w:hint="eastAsia" w:ascii="宋体" w:hAnsi="宋体" w:eastAsia="宋体" w:cs="宋体"/>
          <w:color w:val="auto"/>
          <w:szCs w:val="21"/>
          <w:highlight w:val="none"/>
        </w:rPr>
        <w:t>十一、补充协议</w:t>
      </w:r>
      <w:bookmarkEnd w:id="98"/>
    </w:p>
    <w:p w14:paraId="33917EBB">
      <w:pPr>
        <w:adjustRightInd w:val="0"/>
        <w:snapToGrid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14:paraId="71AEB041">
      <w:pPr>
        <w:spacing w:line="360" w:lineRule="auto"/>
        <w:rPr>
          <w:rFonts w:hint="eastAsia" w:ascii="宋体" w:hAnsi="宋体" w:eastAsia="宋体" w:cs="宋体"/>
          <w:color w:val="auto"/>
          <w:szCs w:val="21"/>
          <w:highlight w:val="none"/>
        </w:rPr>
      </w:pPr>
      <w:bookmarkStart w:id="99" w:name="_Toc351203492"/>
      <w:r>
        <w:rPr>
          <w:rFonts w:hint="eastAsia" w:ascii="宋体" w:hAnsi="宋体" w:eastAsia="宋体" w:cs="宋体"/>
          <w:color w:val="auto"/>
          <w:szCs w:val="21"/>
          <w:highlight w:val="none"/>
        </w:rPr>
        <w:t>十二、合同生效</w:t>
      </w:r>
      <w:bookmarkEnd w:id="99"/>
    </w:p>
    <w:p w14:paraId="186A156C">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
          <w:color w:val="auto"/>
          <w:szCs w:val="21"/>
          <w:highlight w:val="none"/>
          <w:u w:val="single"/>
        </w:rPr>
        <w:t>双方签字盖章后且承包人提交足额的履约担保后</w:t>
      </w:r>
      <w:r>
        <w:rPr>
          <w:rFonts w:hint="eastAsia" w:ascii="宋体" w:hAnsi="宋体" w:eastAsia="宋体" w:cs="宋体"/>
          <w:bCs/>
          <w:color w:val="auto"/>
          <w:szCs w:val="21"/>
          <w:highlight w:val="none"/>
        </w:rPr>
        <w:t>生效。</w:t>
      </w:r>
    </w:p>
    <w:p w14:paraId="52AB60C3">
      <w:pPr>
        <w:spacing w:line="360" w:lineRule="auto"/>
        <w:rPr>
          <w:rFonts w:hint="eastAsia" w:ascii="宋体" w:hAnsi="宋体" w:eastAsia="宋体" w:cs="宋体"/>
          <w:color w:val="auto"/>
          <w:szCs w:val="21"/>
          <w:highlight w:val="none"/>
        </w:rPr>
      </w:pPr>
      <w:bookmarkStart w:id="100" w:name="_Toc351203493"/>
      <w:r>
        <w:rPr>
          <w:rFonts w:hint="eastAsia" w:ascii="宋体" w:hAnsi="宋体" w:eastAsia="宋体" w:cs="宋体"/>
          <w:color w:val="auto"/>
          <w:szCs w:val="21"/>
          <w:highlight w:val="none"/>
        </w:rPr>
        <w:t>十三、合同份数</w:t>
      </w:r>
      <w:bookmarkEnd w:id="100"/>
    </w:p>
    <w:p w14:paraId="3DBA5BA8">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柒</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叁</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叁</w:t>
      </w:r>
      <w:r>
        <w:rPr>
          <w:rFonts w:hint="eastAsia" w:ascii="宋体" w:hAnsi="宋体" w:eastAsia="宋体" w:cs="宋体"/>
          <w:bCs/>
          <w:color w:val="auto"/>
          <w:szCs w:val="21"/>
          <w:highlight w:val="none"/>
        </w:rPr>
        <w:t>份，招标代理机构</w:t>
      </w:r>
      <w:r>
        <w:rPr>
          <w:rFonts w:hint="eastAsia" w:ascii="宋体" w:hAnsi="宋体" w:eastAsia="宋体" w:cs="宋体"/>
          <w:bCs/>
          <w:color w:val="auto"/>
          <w:szCs w:val="21"/>
          <w:highlight w:val="none"/>
          <w:u w:val="single"/>
        </w:rPr>
        <w:t>壹</w:t>
      </w:r>
      <w:r>
        <w:rPr>
          <w:rFonts w:hint="eastAsia" w:ascii="宋体" w:hAnsi="宋体" w:eastAsia="宋体" w:cs="宋体"/>
          <w:bCs/>
          <w:color w:val="auto"/>
          <w:szCs w:val="21"/>
          <w:highlight w:val="none"/>
        </w:rPr>
        <w:t>份。</w:t>
      </w:r>
    </w:p>
    <w:p w14:paraId="3BFE2AEC">
      <w:pPr>
        <w:adjustRightInd w:val="0"/>
        <w:snapToGrid w:val="0"/>
        <w:spacing w:line="360" w:lineRule="auto"/>
        <w:ind w:firstLine="420" w:firstLineChars="200"/>
        <w:rPr>
          <w:rFonts w:hint="eastAsia" w:ascii="宋体" w:hAnsi="宋体" w:eastAsia="宋体" w:cs="宋体"/>
          <w:color w:val="auto"/>
          <w:szCs w:val="21"/>
          <w:highlight w:val="none"/>
        </w:rPr>
      </w:pPr>
    </w:p>
    <w:p w14:paraId="48B4E9AB">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w:t>
      </w:r>
    </w:p>
    <w:p w14:paraId="702C262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3DBAD1C9">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（签字）                              （签字）</w:t>
      </w:r>
    </w:p>
    <w:p w14:paraId="0FA7A41A">
      <w:pPr>
        <w:tabs>
          <w:tab w:val="left" w:pos="4410"/>
        </w:tabs>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组织机构代码：                          组织机构代码：</w:t>
      </w:r>
      <w:r>
        <w:rPr>
          <w:rFonts w:hint="eastAsia" w:ascii="宋体" w:hAnsi="宋体" w:eastAsia="宋体" w:cs="宋体"/>
          <w:color w:val="auto"/>
          <w:szCs w:val="21"/>
          <w:highlight w:val="none"/>
          <w:u w:val="single"/>
        </w:rPr>
        <w:t xml:space="preserve">        </w:t>
      </w:r>
    </w:p>
    <w:p w14:paraId="2CBC3CBD">
      <w:pPr>
        <w:spacing w:line="400" w:lineRule="exact"/>
        <w:ind w:left="5040" w:hanging="5040" w:hangingChars="2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                                地  址：</w:t>
      </w:r>
      <w:r>
        <w:rPr>
          <w:rFonts w:hint="eastAsia" w:ascii="宋体" w:hAnsi="宋体" w:eastAsia="宋体" w:cs="宋体"/>
          <w:color w:val="auto"/>
          <w:szCs w:val="21"/>
          <w:highlight w:val="none"/>
          <w:u w:val="single"/>
        </w:rPr>
        <w:t xml:space="preserve">                                 </w:t>
      </w:r>
    </w:p>
    <w:p w14:paraId="701D63D9">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                              邮政编码：</w:t>
      </w:r>
      <w:r>
        <w:rPr>
          <w:rFonts w:hint="eastAsia" w:ascii="宋体" w:hAnsi="宋体" w:eastAsia="宋体" w:cs="宋体"/>
          <w:color w:val="auto"/>
          <w:szCs w:val="21"/>
          <w:highlight w:val="none"/>
          <w:u w:val="single"/>
        </w:rPr>
        <w:t xml:space="preserve"> </w:t>
      </w:r>
    </w:p>
    <w:p w14:paraId="49F96A2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r>
        <w:rPr>
          <w:rFonts w:hint="eastAsia" w:ascii="宋体" w:hAnsi="宋体" w:eastAsia="宋体" w:cs="宋体"/>
          <w:color w:val="auto"/>
          <w:szCs w:val="21"/>
          <w:highlight w:val="none"/>
          <w:u w:val="single"/>
        </w:rPr>
        <w:t xml:space="preserve"> </w:t>
      </w:r>
    </w:p>
    <w:p w14:paraId="762F0E1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r>
        <w:rPr>
          <w:rFonts w:hint="eastAsia" w:ascii="宋体" w:hAnsi="宋体" w:eastAsia="宋体" w:cs="宋体"/>
          <w:color w:val="auto"/>
          <w:szCs w:val="21"/>
          <w:highlight w:val="none"/>
          <w:u w:val="single"/>
        </w:rPr>
        <w:t xml:space="preserve">               </w:t>
      </w:r>
    </w:p>
    <w:p w14:paraId="5B96448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r>
        <w:rPr>
          <w:rFonts w:hint="eastAsia" w:ascii="宋体" w:hAnsi="宋体" w:eastAsia="宋体" w:cs="宋体"/>
          <w:color w:val="auto"/>
          <w:szCs w:val="21"/>
          <w:highlight w:val="none"/>
          <w:u w:val="single"/>
        </w:rPr>
        <w:t xml:space="preserve">        </w:t>
      </w:r>
    </w:p>
    <w:p w14:paraId="1F05F00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r>
        <w:rPr>
          <w:rFonts w:hint="eastAsia" w:ascii="宋体" w:hAnsi="宋体" w:eastAsia="宋体" w:cs="宋体"/>
          <w:color w:val="auto"/>
          <w:szCs w:val="21"/>
          <w:highlight w:val="none"/>
          <w:u w:val="single"/>
        </w:rPr>
        <w:t xml:space="preserve">           </w:t>
      </w:r>
    </w:p>
    <w:p w14:paraId="39D6A22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r>
        <w:rPr>
          <w:rFonts w:hint="eastAsia" w:ascii="宋体" w:hAnsi="宋体" w:eastAsia="宋体" w:cs="宋体"/>
          <w:color w:val="auto"/>
          <w:szCs w:val="21"/>
          <w:highlight w:val="none"/>
          <w:u w:val="single"/>
        </w:rPr>
        <w:t xml:space="preserve">      </w:t>
      </w:r>
    </w:p>
    <w:p w14:paraId="4EAEC16C">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r>
        <w:rPr>
          <w:rFonts w:hint="eastAsia" w:ascii="宋体" w:hAnsi="宋体" w:eastAsia="宋体" w:cs="宋体"/>
          <w:color w:val="auto"/>
          <w:szCs w:val="21"/>
          <w:highlight w:val="none"/>
          <w:u w:val="single"/>
        </w:rPr>
        <w:t xml:space="preserve">   </w:t>
      </w:r>
    </w:p>
    <w:p w14:paraId="5C309BE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r>
        <w:rPr>
          <w:rFonts w:hint="eastAsia" w:ascii="宋体" w:hAnsi="宋体" w:eastAsia="宋体" w:cs="宋体"/>
          <w:color w:val="auto"/>
          <w:szCs w:val="21"/>
          <w:highlight w:val="none"/>
          <w:u w:val="single"/>
        </w:rPr>
        <w:t xml:space="preserve"> </w:t>
      </w:r>
    </w:p>
    <w:p w14:paraId="5BBA9CC8">
      <w:pPr>
        <w:adjustRightInd w:val="0"/>
        <w:snapToGrid w:val="0"/>
        <w:spacing w:line="360" w:lineRule="auto"/>
        <w:ind w:firstLine="420" w:firstLineChars="200"/>
        <w:rPr>
          <w:rFonts w:hint="eastAsia" w:ascii="宋体" w:hAnsi="宋体" w:eastAsia="宋体" w:cs="宋体"/>
          <w:color w:val="auto"/>
          <w:szCs w:val="21"/>
          <w:highlight w:val="none"/>
        </w:rPr>
      </w:pPr>
    </w:p>
    <w:p w14:paraId="7F21CE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采购代理机构： </w:t>
      </w:r>
      <w:r>
        <w:rPr>
          <w:rFonts w:hint="eastAsia" w:ascii="宋体" w:hAnsi="宋体" w:eastAsia="宋体" w:cs="宋体"/>
          <w:color w:val="auto"/>
          <w:spacing w:val="-6"/>
          <w:szCs w:val="21"/>
          <w:highlight w:val="none"/>
        </w:rPr>
        <w:t>（公章/合同专用章）</w:t>
      </w:r>
    </w:p>
    <w:p w14:paraId="7EBDBEB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采购代理机构代表：（签字）</w:t>
      </w:r>
    </w:p>
    <w:p w14:paraId="67B242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B18472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4325AA5">
      <w:pPr>
        <w:adjustRightInd w:val="0"/>
        <w:snapToGrid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鉴证时间：    年   月   日</w:t>
      </w:r>
      <w:r>
        <w:rPr>
          <w:rFonts w:hint="eastAsia" w:ascii="宋体" w:hAnsi="宋体" w:eastAsia="宋体" w:cs="宋体"/>
          <w:color w:val="auto"/>
          <w:szCs w:val="21"/>
          <w:highlight w:val="none"/>
          <w:u w:val="single"/>
        </w:rPr>
        <w:br w:type="page"/>
      </w:r>
      <w:bookmarkStart w:id="101" w:name="_Toc337558727"/>
      <w:r>
        <w:rPr>
          <w:rFonts w:hint="eastAsia" w:ascii="宋体" w:hAnsi="宋体" w:eastAsia="宋体" w:cs="宋体"/>
          <w:b/>
          <w:bCs/>
          <w:color w:val="auto"/>
          <w:szCs w:val="21"/>
          <w:highlight w:val="none"/>
        </w:rPr>
        <w:t>第二部分 通用合同条款</w:t>
      </w:r>
    </w:p>
    <w:p w14:paraId="5A55C8AA">
      <w:pPr>
        <w:adjustRightInd w:val="0"/>
        <w:snapToGrid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略，见（GF—2017—0201）《建设工程施工合同》（示范文本）</w:t>
      </w:r>
    </w:p>
    <w:bookmarkEnd w:id="101"/>
    <w:p w14:paraId="49F92288">
      <w:pPr>
        <w:adjustRightInd w:val="0"/>
        <w:snapToGrid w:val="0"/>
        <w:spacing w:line="360" w:lineRule="auto"/>
        <w:ind w:firstLine="422" w:firstLineChars="200"/>
        <w:jc w:val="center"/>
        <w:rPr>
          <w:rFonts w:hint="eastAsia" w:ascii="宋体" w:hAnsi="宋体" w:eastAsia="宋体" w:cs="宋体"/>
          <w:b/>
          <w:bCs/>
          <w:color w:val="auto"/>
          <w:szCs w:val="21"/>
          <w:highlight w:val="none"/>
        </w:rPr>
      </w:pPr>
      <w:bookmarkStart w:id="102" w:name="_Toc351203632"/>
      <w:r>
        <w:rPr>
          <w:rFonts w:hint="eastAsia" w:ascii="宋体" w:hAnsi="宋体" w:eastAsia="宋体" w:cs="宋体"/>
          <w:b/>
          <w:bCs/>
          <w:color w:val="auto"/>
          <w:szCs w:val="21"/>
          <w:highlight w:val="none"/>
        </w:rPr>
        <w:t>第三部分 专用合同条款</w:t>
      </w:r>
      <w:bookmarkEnd w:id="102"/>
    </w:p>
    <w:p w14:paraId="2A56FA4E">
      <w:pPr>
        <w:pStyle w:val="5"/>
        <w:spacing w:line="360" w:lineRule="auto"/>
        <w:ind w:firstLine="420" w:firstLineChars="200"/>
        <w:rPr>
          <w:rFonts w:hint="eastAsia" w:ascii="宋体" w:hAnsi="宋体" w:eastAsia="宋体" w:cs="宋体"/>
          <w:b w:val="0"/>
          <w:color w:val="auto"/>
          <w:sz w:val="21"/>
          <w:szCs w:val="21"/>
          <w:highlight w:val="none"/>
        </w:rPr>
      </w:pPr>
      <w:bookmarkStart w:id="103" w:name="_Toc351203633"/>
      <w:r>
        <w:rPr>
          <w:rFonts w:hint="eastAsia" w:ascii="宋体" w:hAnsi="宋体" w:eastAsia="宋体" w:cs="宋体"/>
          <w:b w:val="0"/>
          <w:color w:val="auto"/>
          <w:sz w:val="21"/>
          <w:szCs w:val="21"/>
          <w:highlight w:val="none"/>
        </w:rPr>
        <w:t>1</w:t>
      </w:r>
      <w:bookmarkStart w:id="104" w:name="_Toc297120456"/>
      <w:bookmarkStart w:id="105" w:name="_Toc292559361"/>
      <w:bookmarkStart w:id="106" w:name="_Toc296891196"/>
      <w:bookmarkStart w:id="107" w:name="_Toc296503156"/>
      <w:bookmarkStart w:id="108" w:name="_Toc296944495"/>
      <w:bookmarkStart w:id="109" w:name="_Toc292559866"/>
      <w:bookmarkStart w:id="110" w:name="_Toc296890984"/>
      <w:bookmarkStart w:id="111" w:name="_Toc296347155"/>
      <w:bookmarkStart w:id="112" w:name="_Toc296346657"/>
      <w:bookmarkStart w:id="113" w:name="_Toc297048342"/>
      <w:r>
        <w:rPr>
          <w:rFonts w:hint="eastAsia" w:ascii="宋体" w:hAnsi="宋体" w:eastAsia="宋体" w:cs="宋体"/>
          <w:b w:val="0"/>
          <w:color w:val="auto"/>
          <w:sz w:val="21"/>
          <w:szCs w:val="21"/>
          <w:highlight w:val="none"/>
        </w:rPr>
        <w:t>. 一般约定</w:t>
      </w:r>
      <w:bookmarkEnd w:id="103"/>
    </w:p>
    <w:bookmarkEnd w:id="104"/>
    <w:bookmarkEnd w:id="105"/>
    <w:bookmarkEnd w:id="106"/>
    <w:bookmarkEnd w:id="107"/>
    <w:bookmarkEnd w:id="108"/>
    <w:bookmarkEnd w:id="109"/>
    <w:bookmarkEnd w:id="110"/>
    <w:bookmarkEnd w:id="111"/>
    <w:bookmarkEnd w:id="112"/>
    <w:bookmarkEnd w:id="113"/>
    <w:p w14:paraId="07FB509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4" w:name="_Toc6282"/>
      <w:r>
        <w:rPr>
          <w:rFonts w:hint="eastAsia" w:ascii="宋体" w:hAnsi="宋体" w:eastAsia="宋体" w:cs="宋体"/>
          <w:color w:val="auto"/>
          <w:szCs w:val="21"/>
          <w:highlight w:val="none"/>
        </w:rPr>
        <w:t>1.1 词语定义</w:t>
      </w:r>
      <w:bookmarkEnd w:id="114"/>
    </w:p>
    <w:p w14:paraId="5282743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5DAB277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2B5FC6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14:paraId="131748D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1B4F44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7A6FB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3E6E9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BAE02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8BF52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65795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14:paraId="3D9DC4F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6048B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5BC57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4360E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2FC07D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2056C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5A9806E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   </w:t>
      </w:r>
    </w:p>
    <w:p w14:paraId="6C8BA0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 永久占地包括：</w:t>
      </w:r>
      <w:r>
        <w:rPr>
          <w:rFonts w:hint="eastAsia" w:ascii="宋体" w:hAnsi="宋体" w:eastAsia="宋体" w:cs="宋体"/>
          <w:color w:val="auto"/>
          <w:szCs w:val="21"/>
          <w:highlight w:val="none"/>
          <w:u w:val="single"/>
        </w:rPr>
        <w:t xml:space="preserve">       /    </w:t>
      </w:r>
    </w:p>
    <w:p w14:paraId="0D88F43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 临时占地包括：</w:t>
      </w:r>
      <w:r>
        <w:rPr>
          <w:rFonts w:hint="eastAsia" w:ascii="宋体" w:hAnsi="宋体" w:eastAsia="宋体" w:cs="宋体"/>
          <w:color w:val="auto"/>
          <w:szCs w:val="21"/>
          <w:highlight w:val="none"/>
          <w:u w:val="single"/>
        </w:rPr>
        <w:t xml:space="preserve">     /    </w:t>
      </w:r>
    </w:p>
    <w:p w14:paraId="1E8A1A2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1.3法律 </w:t>
      </w:r>
    </w:p>
    <w:p w14:paraId="70FE65C6">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b/>
          <w:color w:val="auto"/>
          <w:szCs w:val="21"/>
          <w:highlight w:val="none"/>
          <w:u w:val="single"/>
        </w:rPr>
        <w:t>《中华人民共和国建筑法》、《中华人民共和国民法典》、《中华人民共和国政府采购法》及国家、浙江省、杭州市现行的其它法律、行政法规、地方性法规</w:t>
      </w:r>
      <w:r>
        <w:rPr>
          <w:rFonts w:hint="eastAsia" w:ascii="宋体" w:hAnsi="宋体" w:eastAsia="宋体" w:cs="宋体"/>
          <w:color w:val="auto"/>
          <w:szCs w:val="21"/>
          <w:highlight w:val="none"/>
        </w:rPr>
        <w:t>。</w:t>
      </w:r>
    </w:p>
    <w:p w14:paraId="16C0FC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标准和规范</w:t>
      </w:r>
    </w:p>
    <w:p w14:paraId="4292AC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b/>
          <w:color w:val="auto"/>
          <w:szCs w:val="21"/>
          <w:highlight w:val="none"/>
          <w:u w:val="single"/>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eastAsia="宋体" w:cs="宋体"/>
          <w:color w:val="auto"/>
          <w:szCs w:val="21"/>
          <w:highlight w:val="none"/>
        </w:rPr>
        <w:t>。</w:t>
      </w:r>
    </w:p>
    <w:p w14:paraId="1EC16B2E">
      <w:pPr>
        <w:adjustRightInd w:val="0"/>
        <w:snapToGrid w:val="0"/>
        <w:spacing w:line="360" w:lineRule="auto"/>
        <w:ind w:firstLine="420" w:firstLineChars="200"/>
        <w:outlineLvl w:val="0"/>
        <w:rPr>
          <w:rFonts w:hint="eastAsia" w:ascii="宋体" w:hAnsi="宋体" w:eastAsia="宋体" w:cs="宋体"/>
          <w:color w:val="auto"/>
          <w:szCs w:val="21"/>
          <w:highlight w:val="none"/>
          <w:u w:val="single"/>
        </w:rPr>
      </w:pPr>
      <w:bookmarkStart w:id="115" w:name="_Toc26202"/>
      <w:r>
        <w:rPr>
          <w:rFonts w:hint="eastAsia" w:ascii="宋体" w:hAnsi="宋体" w:eastAsia="宋体" w:cs="宋体"/>
          <w:color w:val="auto"/>
          <w:szCs w:val="21"/>
          <w:highlight w:val="none"/>
        </w:rPr>
        <w:t>1.4.2 发包人提供国外标准、规范的名称：</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115"/>
    </w:p>
    <w:p w14:paraId="6C604C7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EEA6A9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B491DF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b/>
          <w:color w:val="auto"/>
          <w:szCs w:val="21"/>
          <w:highlight w:val="none"/>
          <w:u w:val="single"/>
        </w:rPr>
        <w:t xml:space="preserve">按磋商文件相关条款的约定   </w:t>
      </w:r>
      <w:r>
        <w:rPr>
          <w:rFonts w:hint="eastAsia" w:ascii="宋体" w:hAnsi="宋体" w:eastAsia="宋体" w:cs="宋体"/>
          <w:color w:val="auto"/>
          <w:szCs w:val="21"/>
          <w:highlight w:val="none"/>
        </w:rPr>
        <w:t>。</w:t>
      </w:r>
    </w:p>
    <w:p w14:paraId="35E9DFCC">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6" w:name="_Toc5222"/>
      <w:r>
        <w:rPr>
          <w:rFonts w:hint="eastAsia" w:ascii="宋体" w:hAnsi="宋体" w:eastAsia="宋体" w:cs="宋体"/>
          <w:color w:val="auto"/>
          <w:szCs w:val="21"/>
          <w:highlight w:val="none"/>
        </w:rPr>
        <w:t>1.5 合同文件的优先顺序</w:t>
      </w:r>
      <w:bookmarkEnd w:id="116"/>
    </w:p>
    <w:p w14:paraId="090A5BB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446425DC">
      <w:pPr>
        <w:autoSpaceDE w:val="0"/>
        <w:autoSpaceDN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eastAsia="宋体" w:cs="宋体"/>
          <w:color w:val="auto"/>
          <w:szCs w:val="21"/>
          <w:highlight w:val="none"/>
        </w:rPr>
        <w:t>。</w:t>
      </w:r>
    </w:p>
    <w:p w14:paraId="608CBB4F">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eastAsia="宋体" w:cs="宋体"/>
          <w:color w:val="auto"/>
          <w:szCs w:val="21"/>
          <w:highlight w:val="none"/>
        </w:rPr>
        <w:t>。</w:t>
      </w:r>
    </w:p>
    <w:p w14:paraId="20E1034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7" w:name="_Toc3257"/>
      <w:r>
        <w:rPr>
          <w:rFonts w:hint="eastAsia" w:ascii="宋体" w:hAnsi="宋体" w:eastAsia="宋体" w:cs="宋体"/>
          <w:color w:val="auto"/>
          <w:szCs w:val="21"/>
          <w:highlight w:val="none"/>
        </w:rPr>
        <w:t>1.6 图纸和承包人文件</w:t>
      </w:r>
      <w:bookmarkEnd w:id="117"/>
    </w:p>
    <w:p w14:paraId="05E88C4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4431561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b/>
          <w:color w:val="auto"/>
          <w:szCs w:val="21"/>
          <w:highlight w:val="none"/>
          <w:u w:val="single"/>
        </w:rPr>
        <w:t>合同签定后【3】天内</w:t>
      </w:r>
      <w:r>
        <w:rPr>
          <w:rFonts w:hint="eastAsia" w:ascii="宋体" w:hAnsi="宋体" w:eastAsia="宋体" w:cs="宋体"/>
          <w:color w:val="auto"/>
          <w:szCs w:val="21"/>
          <w:highlight w:val="none"/>
        </w:rPr>
        <w:t>；</w:t>
      </w:r>
    </w:p>
    <w:p w14:paraId="0B94ACE1">
      <w:pPr>
        <w:adjustRightInd w:val="0"/>
        <w:snapToGrid w:val="0"/>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b/>
          <w:color w:val="auto"/>
          <w:szCs w:val="21"/>
          <w:highlight w:val="none"/>
          <w:u w:val="single"/>
        </w:rPr>
        <w:t>提供施工图纸【</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】套，如承包人额外需要增加施工图纸套数的，所需费由承包人承担</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所有的技术标准、行业标准、技术规范、标准图均由承包人自备。</w:t>
      </w:r>
    </w:p>
    <w:p w14:paraId="4ABEF16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项目所涉及范围</w:t>
      </w:r>
      <w:r>
        <w:rPr>
          <w:rFonts w:hint="eastAsia" w:ascii="宋体" w:hAnsi="宋体" w:eastAsia="宋体" w:cs="宋体"/>
          <w:b/>
          <w:color w:val="auto"/>
          <w:szCs w:val="21"/>
          <w:highlight w:val="none"/>
          <w:u w:val="single"/>
        </w:rPr>
        <w:t>】，承包人在施工前应充分、仔细审阅图纸，如有问题，应在收到之日起【5】日内一次性提出，并与发包人、设计人进行设计交底。逾期未提出导致的窝工、返工等任何不利后果，由承包人自行解决。</w:t>
      </w:r>
    </w:p>
    <w:p w14:paraId="2CDD05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57C8DADB">
      <w:pPr>
        <w:adjustRightInd w:val="0"/>
        <w:snapToGrid w:val="0"/>
        <w:spacing w:line="360" w:lineRule="auto"/>
        <w:ind w:left="596" w:leftChars="28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需要由承包人提供的文件，包括但不限于：</w:t>
      </w:r>
      <w:r>
        <w:rPr>
          <w:rFonts w:hint="eastAsia" w:ascii="宋体" w:hAnsi="宋体" w:eastAsia="宋体" w:cs="宋体"/>
          <w:b/>
          <w:color w:val="auto"/>
          <w:szCs w:val="21"/>
          <w:highlight w:val="none"/>
          <w:u w:val="single"/>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eastAsia="宋体" w:cs="宋体"/>
          <w:color w:val="auto"/>
          <w:szCs w:val="21"/>
          <w:highlight w:val="none"/>
        </w:rPr>
        <w:t>；</w:t>
      </w:r>
    </w:p>
    <w:p w14:paraId="28FDFA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b/>
          <w:color w:val="auto"/>
          <w:szCs w:val="21"/>
          <w:highlight w:val="none"/>
          <w:u w:val="single"/>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eastAsia="宋体" w:cs="宋体"/>
          <w:color w:val="auto"/>
          <w:szCs w:val="21"/>
          <w:highlight w:val="none"/>
        </w:rPr>
        <w:t>；</w:t>
      </w:r>
    </w:p>
    <w:p w14:paraId="54908E8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b/>
          <w:bCs/>
          <w:color w:val="auto"/>
          <w:szCs w:val="21"/>
          <w:highlight w:val="none"/>
          <w:u w:val="single"/>
        </w:rPr>
        <w:t>一式【4】份并满足工程需要</w:t>
      </w:r>
      <w:r>
        <w:rPr>
          <w:rFonts w:hint="eastAsia" w:ascii="宋体" w:hAnsi="宋体" w:eastAsia="宋体" w:cs="宋体"/>
          <w:color w:val="auto"/>
          <w:szCs w:val="21"/>
          <w:highlight w:val="none"/>
          <w:u w:val="single"/>
        </w:rPr>
        <w:t>；</w:t>
      </w:r>
    </w:p>
    <w:p w14:paraId="5C22562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b/>
          <w:bCs/>
          <w:color w:val="auto"/>
          <w:szCs w:val="21"/>
          <w:highlight w:val="none"/>
          <w:u w:val="single"/>
        </w:rPr>
        <w:t>盖有公章纸质文件和文件的电子稿（包括扫描件）</w:t>
      </w:r>
      <w:r>
        <w:rPr>
          <w:rFonts w:hint="eastAsia" w:ascii="宋体" w:hAnsi="宋体" w:eastAsia="宋体" w:cs="宋体"/>
          <w:color w:val="auto"/>
          <w:szCs w:val="21"/>
          <w:highlight w:val="none"/>
          <w:u w:val="single"/>
        </w:rPr>
        <w:t xml:space="preserve"> ；</w:t>
      </w:r>
    </w:p>
    <w:p w14:paraId="46EDB68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b/>
          <w:color w:val="auto"/>
          <w:szCs w:val="21"/>
          <w:highlight w:val="none"/>
          <w:u w:val="single"/>
        </w:rPr>
        <w:t>收到报告后【7】天内</w:t>
      </w:r>
      <w:r>
        <w:rPr>
          <w:rFonts w:hint="eastAsia" w:ascii="宋体" w:hAnsi="宋体" w:eastAsia="宋体" w:cs="宋体"/>
          <w:color w:val="auto"/>
          <w:szCs w:val="21"/>
          <w:highlight w:val="none"/>
        </w:rPr>
        <w:t>。</w:t>
      </w:r>
    </w:p>
    <w:p w14:paraId="44A24B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0136AD6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b/>
          <w:color w:val="auto"/>
          <w:szCs w:val="21"/>
          <w:highlight w:val="none"/>
          <w:u w:val="single"/>
        </w:rPr>
        <w:t>按通用合同条款第1.6.5条规定执行</w:t>
      </w:r>
      <w:r>
        <w:rPr>
          <w:rFonts w:hint="eastAsia" w:ascii="宋体" w:hAnsi="宋体" w:eastAsia="宋体" w:cs="宋体"/>
          <w:color w:val="auto"/>
          <w:szCs w:val="21"/>
          <w:highlight w:val="none"/>
        </w:rPr>
        <w:t>。</w:t>
      </w:r>
    </w:p>
    <w:p w14:paraId="7882BE5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8" w:name="_Toc394"/>
      <w:r>
        <w:rPr>
          <w:rFonts w:hint="eastAsia" w:ascii="宋体" w:hAnsi="宋体" w:eastAsia="宋体" w:cs="宋体"/>
          <w:color w:val="auto"/>
          <w:szCs w:val="21"/>
          <w:highlight w:val="none"/>
        </w:rPr>
        <w:t>1.7 联络</w:t>
      </w:r>
      <w:bookmarkEnd w:id="118"/>
    </w:p>
    <w:p w14:paraId="0E3566D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1.7.1承包人应当在</w:t>
      </w:r>
      <w:r>
        <w:rPr>
          <w:rFonts w:hint="eastAsia" w:ascii="宋体" w:hAnsi="宋体" w:eastAsia="宋体" w:cs="宋体"/>
          <w:color w:val="auto"/>
          <w:szCs w:val="21"/>
          <w:highlight w:val="none"/>
          <w:u w:val="single"/>
        </w:rPr>
        <w:t>七</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14:paraId="35C9FB6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施工现场</w:t>
      </w:r>
      <w:r>
        <w:rPr>
          <w:rFonts w:hint="eastAsia" w:ascii="宋体" w:hAnsi="宋体" w:eastAsia="宋体" w:cs="宋体"/>
          <w:color w:val="auto"/>
          <w:szCs w:val="21"/>
          <w:highlight w:val="none"/>
        </w:rPr>
        <w:t>；</w:t>
      </w:r>
    </w:p>
    <w:p w14:paraId="2887829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800BCA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施工现场</w:t>
      </w:r>
      <w:r>
        <w:rPr>
          <w:rFonts w:hint="eastAsia" w:ascii="宋体" w:hAnsi="宋体" w:eastAsia="宋体" w:cs="宋体"/>
          <w:color w:val="auto"/>
          <w:szCs w:val="21"/>
          <w:highlight w:val="none"/>
        </w:rPr>
        <w:t>；</w:t>
      </w:r>
    </w:p>
    <w:p w14:paraId="321977E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CA6FA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施工现场</w:t>
      </w:r>
      <w:r>
        <w:rPr>
          <w:rFonts w:hint="eastAsia" w:ascii="宋体" w:hAnsi="宋体" w:eastAsia="宋体" w:cs="宋体"/>
          <w:color w:val="auto"/>
          <w:szCs w:val="21"/>
          <w:highlight w:val="none"/>
        </w:rPr>
        <w:t>；</w:t>
      </w:r>
    </w:p>
    <w:p w14:paraId="635985D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D60C5F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19" w:name="_Toc6699"/>
      <w:r>
        <w:rPr>
          <w:rFonts w:hint="eastAsia" w:ascii="宋体" w:hAnsi="宋体" w:eastAsia="宋体" w:cs="宋体"/>
          <w:color w:val="auto"/>
          <w:szCs w:val="21"/>
          <w:highlight w:val="none"/>
        </w:rPr>
        <w:t>1.10 交通运输</w:t>
      </w:r>
      <w:bookmarkEnd w:id="119"/>
    </w:p>
    <w:p w14:paraId="07F4AA9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20" w:name="_Toc31164"/>
      <w:r>
        <w:rPr>
          <w:rFonts w:hint="eastAsia" w:ascii="宋体" w:hAnsi="宋体" w:eastAsia="宋体" w:cs="宋体"/>
          <w:color w:val="auto"/>
          <w:szCs w:val="21"/>
          <w:highlight w:val="none"/>
        </w:rPr>
        <w:t>1</w:t>
      </w:r>
      <w:bookmarkStart w:id="121" w:name="_Toc303539100"/>
      <w:bookmarkStart w:id="122" w:name="_Toc304295521"/>
      <w:bookmarkStart w:id="123" w:name="_Toc300934943"/>
      <w:bookmarkStart w:id="124" w:name="_Toc312677986"/>
      <w:bookmarkStart w:id="125" w:name="_Toc318581155"/>
      <w:r>
        <w:rPr>
          <w:rFonts w:hint="eastAsia" w:ascii="宋体" w:hAnsi="宋体" w:eastAsia="宋体" w:cs="宋体"/>
          <w:color w:val="auto"/>
          <w:szCs w:val="21"/>
          <w:highlight w:val="none"/>
        </w:rPr>
        <w:t>.10.1 出入现场的权利</w:t>
      </w:r>
      <w:bookmarkEnd w:id="120"/>
    </w:p>
    <w:p w14:paraId="389155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按通用合同条款第1.10.1条规定执行</w:t>
      </w:r>
      <w:r>
        <w:rPr>
          <w:rFonts w:hint="eastAsia" w:ascii="宋体" w:hAnsi="宋体" w:eastAsia="宋体" w:cs="宋体"/>
          <w:color w:val="auto"/>
          <w:szCs w:val="21"/>
          <w:highlight w:val="none"/>
        </w:rPr>
        <w:t>。</w:t>
      </w:r>
    </w:p>
    <w:bookmarkEnd w:id="121"/>
    <w:bookmarkEnd w:id="122"/>
    <w:bookmarkEnd w:id="123"/>
    <w:bookmarkEnd w:id="124"/>
    <w:bookmarkEnd w:id="125"/>
    <w:p w14:paraId="36268460">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26" w:name="_Toc29340"/>
      <w:r>
        <w:rPr>
          <w:rFonts w:hint="eastAsia" w:ascii="宋体" w:hAnsi="宋体" w:eastAsia="宋体" w:cs="宋体"/>
          <w:color w:val="auto"/>
          <w:szCs w:val="21"/>
          <w:highlight w:val="none"/>
        </w:rPr>
        <w:t>1</w:t>
      </w:r>
      <w:bookmarkStart w:id="127" w:name="_Toc300934944"/>
      <w:bookmarkStart w:id="128" w:name="_Toc303539101"/>
      <w:bookmarkStart w:id="129" w:name="_Toc304295522"/>
      <w:bookmarkStart w:id="130" w:name="_Toc318581156"/>
      <w:bookmarkStart w:id="131" w:name="_Toc312677987"/>
      <w:r>
        <w:rPr>
          <w:rFonts w:hint="eastAsia" w:ascii="宋体" w:hAnsi="宋体" w:eastAsia="宋体" w:cs="宋体"/>
          <w:color w:val="auto"/>
          <w:szCs w:val="21"/>
          <w:highlight w:val="none"/>
        </w:rPr>
        <w:t>.10.3 场内交通</w:t>
      </w:r>
      <w:bookmarkEnd w:id="126"/>
    </w:p>
    <w:p w14:paraId="48C9EB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7B1976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利用现有的场内道路和交通设施，如需新建，承包人需在征得发包人同意后自行建设，并承担费用。  </w:t>
      </w:r>
      <w:bookmarkEnd w:id="127"/>
      <w:bookmarkEnd w:id="128"/>
      <w:bookmarkEnd w:id="129"/>
      <w:bookmarkEnd w:id="130"/>
      <w:bookmarkEnd w:id="131"/>
      <w:bookmarkStart w:id="132" w:name="_Toc318581157"/>
    </w:p>
    <w:p w14:paraId="6260D4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4294F73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b/>
          <w:color w:val="auto"/>
          <w:szCs w:val="21"/>
          <w:highlight w:val="none"/>
          <w:u w:val="single"/>
        </w:rPr>
        <w:t>承包人</w:t>
      </w:r>
      <w:r>
        <w:rPr>
          <w:rFonts w:hint="eastAsia" w:ascii="宋体" w:hAnsi="宋体" w:eastAsia="宋体" w:cs="宋体"/>
          <w:color w:val="auto"/>
          <w:szCs w:val="21"/>
          <w:highlight w:val="none"/>
        </w:rPr>
        <w:t>承担。</w:t>
      </w:r>
    </w:p>
    <w:bookmarkEnd w:id="132"/>
    <w:p w14:paraId="0CB0629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33" w:name="_Toc17780"/>
      <w:r>
        <w:rPr>
          <w:rFonts w:hint="eastAsia" w:ascii="宋体" w:hAnsi="宋体" w:eastAsia="宋体" w:cs="宋体"/>
          <w:color w:val="auto"/>
          <w:szCs w:val="21"/>
          <w:highlight w:val="none"/>
        </w:rPr>
        <w:t>1.11 知识产权</w:t>
      </w:r>
      <w:bookmarkEnd w:id="133"/>
    </w:p>
    <w:p w14:paraId="4BA893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Cs w:val="21"/>
          <w:highlight w:val="none"/>
          <w:u w:val="single"/>
        </w:rPr>
        <w:t>著作权属于发包人</w:t>
      </w:r>
      <w:r>
        <w:rPr>
          <w:rFonts w:hint="eastAsia" w:ascii="宋体" w:hAnsi="宋体" w:eastAsia="宋体" w:cs="宋体"/>
          <w:color w:val="auto"/>
          <w:szCs w:val="21"/>
          <w:highlight w:val="none"/>
        </w:rPr>
        <w:t>。</w:t>
      </w:r>
    </w:p>
    <w:p w14:paraId="2E3972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eastAsia="宋体" w:cs="宋体"/>
          <w:color w:val="auto"/>
          <w:szCs w:val="21"/>
          <w:highlight w:val="none"/>
        </w:rPr>
        <w:t>。</w:t>
      </w:r>
    </w:p>
    <w:p w14:paraId="4110032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34" w:name="_Toc18425"/>
      <w:r>
        <w:rPr>
          <w:rFonts w:hint="eastAsia" w:ascii="宋体" w:hAnsi="宋体" w:eastAsia="宋体" w:cs="宋体"/>
          <w:color w:val="auto"/>
          <w:szCs w:val="21"/>
          <w:highlight w:val="none"/>
        </w:rPr>
        <w:t xml:space="preserve">1.11.2 关于承包人为实施工程所编制文件的著作权的归属：  </w:t>
      </w:r>
      <w:r>
        <w:rPr>
          <w:rFonts w:hint="eastAsia" w:ascii="宋体" w:hAnsi="宋体" w:eastAsia="宋体" w:cs="宋体"/>
          <w:color w:val="auto"/>
          <w:szCs w:val="21"/>
          <w:highlight w:val="none"/>
          <w:u w:val="single"/>
        </w:rPr>
        <w:t>归发包人享有</w:t>
      </w:r>
      <w:r>
        <w:rPr>
          <w:rFonts w:hint="eastAsia" w:ascii="宋体" w:hAnsi="宋体" w:eastAsia="宋体" w:cs="宋体"/>
          <w:color w:val="auto"/>
          <w:szCs w:val="21"/>
          <w:highlight w:val="none"/>
        </w:rPr>
        <w:t>。</w:t>
      </w:r>
      <w:bookmarkEnd w:id="134"/>
    </w:p>
    <w:p w14:paraId="2E88B6C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经发包人事前书面同意，在不泄露发包人商业秘密或技术信息的情况下使用</w:t>
      </w:r>
      <w:r>
        <w:rPr>
          <w:rFonts w:hint="eastAsia" w:ascii="宋体" w:hAnsi="宋体" w:eastAsia="宋体" w:cs="宋体"/>
          <w:color w:val="auto"/>
          <w:szCs w:val="21"/>
          <w:highlight w:val="none"/>
        </w:rPr>
        <w:t>。</w:t>
      </w:r>
    </w:p>
    <w:p w14:paraId="028888E2">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35" w:name="_Toc29936"/>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承包人自行承担；（除合同明确约定外）承包人在施工过程中所采用的专利、专有技术、技术秘密的使用费用均已包含在本合同价款内，发包人不再另行支付</w:t>
      </w:r>
      <w:r>
        <w:rPr>
          <w:rFonts w:hint="eastAsia" w:ascii="宋体" w:hAnsi="宋体" w:eastAsia="宋体" w:cs="宋体"/>
          <w:color w:val="auto"/>
          <w:szCs w:val="21"/>
          <w:highlight w:val="none"/>
        </w:rPr>
        <w:t>。</w:t>
      </w:r>
      <w:bookmarkEnd w:id="135"/>
    </w:p>
    <w:p w14:paraId="02897E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49EC1EA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出现工程量清单错误时，是否调整合同价格：</w:t>
      </w:r>
      <w:r>
        <w:rPr>
          <w:rFonts w:hint="eastAsia" w:ascii="宋体" w:hAnsi="宋体" w:eastAsia="宋体" w:cs="宋体"/>
          <w:color w:val="auto"/>
          <w:szCs w:val="21"/>
          <w:highlight w:val="none"/>
          <w:u w:val="single"/>
        </w:rPr>
        <w:t>参照本合同专用条款12.1执行</w:t>
      </w:r>
      <w:r>
        <w:rPr>
          <w:rFonts w:hint="eastAsia" w:ascii="宋体" w:hAnsi="宋体" w:eastAsia="宋体" w:cs="宋体"/>
          <w:color w:val="auto"/>
          <w:szCs w:val="21"/>
          <w:highlight w:val="none"/>
        </w:rPr>
        <w:t>。</w:t>
      </w:r>
    </w:p>
    <w:p w14:paraId="7AAA47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13D4E8A">
      <w:pPr>
        <w:spacing w:line="360" w:lineRule="auto"/>
        <w:rPr>
          <w:rFonts w:hint="eastAsia" w:ascii="宋体" w:hAnsi="宋体" w:eastAsia="宋体" w:cs="宋体"/>
          <w:color w:val="auto"/>
          <w:szCs w:val="21"/>
          <w:highlight w:val="none"/>
        </w:rPr>
      </w:pPr>
      <w:bookmarkStart w:id="136" w:name="_Toc351203634"/>
      <w:r>
        <w:rPr>
          <w:rFonts w:hint="eastAsia" w:ascii="宋体" w:hAnsi="宋体" w:eastAsia="宋体" w:cs="宋体"/>
          <w:color w:val="auto"/>
          <w:szCs w:val="21"/>
          <w:highlight w:val="none"/>
        </w:rPr>
        <w:t>2</w:t>
      </w:r>
      <w:bookmarkStart w:id="137" w:name="_Toc292559867"/>
      <w:bookmarkStart w:id="138" w:name="_Toc297048343"/>
      <w:bookmarkStart w:id="139" w:name="_Toc296347156"/>
      <w:bookmarkStart w:id="140" w:name="_Toc296891197"/>
      <w:bookmarkStart w:id="141" w:name="_Toc297120457"/>
      <w:bookmarkStart w:id="142" w:name="_Toc296890985"/>
      <w:bookmarkStart w:id="143" w:name="_Toc296944496"/>
      <w:bookmarkStart w:id="144" w:name="_Toc296503157"/>
      <w:bookmarkStart w:id="145" w:name="_Toc292559362"/>
      <w:bookmarkStart w:id="146" w:name="_Toc296346658"/>
      <w:r>
        <w:rPr>
          <w:rFonts w:hint="eastAsia" w:ascii="宋体" w:hAnsi="宋体" w:eastAsia="宋体" w:cs="宋体"/>
          <w:color w:val="auto"/>
          <w:szCs w:val="21"/>
          <w:highlight w:val="none"/>
        </w:rPr>
        <w:t>. 发包人</w:t>
      </w:r>
      <w:bookmarkEnd w:id="136"/>
    </w:p>
    <w:bookmarkEnd w:id="137"/>
    <w:bookmarkEnd w:id="138"/>
    <w:bookmarkEnd w:id="139"/>
    <w:bookmarkEnd w:id="140"/>
    <w:bookmarkEnd w:id="141"/>
    <w:bookmarkEnd w:id="142"/>
    <w:bookmarkEnd w:id="143"/>
    <w:bookmarkEnd w:id="144"/>
    <w:bookmarkEnd w:id="145"/>
    <w:bookmarkEnd w:id="146"/>
    <w:p w14:paraId="72CD79B1">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47" w:name="_Toc8037"/>
      <w:r>
        <w:rPr>
          <w:rFonts w:hint="eastAsia" w:ascii="宋体" w:hAnsi="宋体" w:eastAsia="宋体" w:cs="宋体"/>
          <w:color w:val="auto"/>
          <w:szCs w:val="21"/>
          <w:highlight w:val="none"/>
        </w:rPr>
        <w:t>2.2 发包人代表</w:t>
      </w:r>
      <w:bookmarkEnd w:id="147"/>
    </w:p>
    <w:p w14:paraId="4E46694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r>
        <w:rPr>
          <w:rFonts w:hint="eastAsia" w:ascii="宋体" w:hAnsi="宋体" w:eastAsia="宋体" w:cs="宋体"/>
          <w:color w:val="auto"/>
          <w:szCs w:val="21"/>
          <w:highlight w:val="none"/>
          <w:u w:val="single"/>
        </w:rPr>
        <w:t xml:space="preserve">                </w:t>
      </w:r>
    </w:p>
    <w:p w14:paraId="513F8A0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                      ；</w:t>
      </w:r>
    </w:p>
    <w:p w14:paraId="51D7CC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                      ；</w:t>
      </w:r>
    </w:p>
    <w:p w14:paraId="6332C0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                      ；</w:t>
      </w:r>
    </w:p>
    <w:p w14:paraId="13331A8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w:t>
      </w:r>
    </w:p>
    <w:p w14:paraId="2E11BFB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w:t>
      </w:r>
    </w:p>
    <w:p w14:paraId="6E40CCB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                      。</w:t>
      </w:r>
    </w:p>
    <w:p w14:paraId="64B90823">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b/>
          <w:bCs/>
          <w:color w:val="auto"/>
          <w:szCs w:val="21"/>
          <w:highlight w:val="none"/>
          <w:u w:val="single"/>
        </w:rPr>
        <w:t>对质量、成本、安全、进度进行全面管理，但发包人代表签字，不能直接认定为发包人的意思表示，必须经发包人盖章方可生效。</w:t>
      </w:r>
    </w:p>
    <w:p w14:paraId="015D7EB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48" w:name="_Toc24359"/>
      <w:r>
        <w:rPr>
          <w:rFonts w:hint="eastAsia" w:ascii="宋体" w:hAnsi="宋体" w:eastAsia="宋体" w:cs="宋体"/>
          <w:color w:val="auto"/>
          <w:szCs w:val="21"/>
          <w:highlight w:val="none"/>
        </w:rPr>
        <w:t>2.4 施工现场、施工条件和基础资料的提供</w:t>
      </w:r>
      <w:bookmarkEnd w:id="148"/>
    </w:p>
    <w:p w14:paraId="1048E6A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14:paraId="746240A4">
      <w:pPr>
        <w:adjustRightInd w:val="0"/>
        <w:snapToGrid w:val="0"/>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年   月   日前。</w:t>
      </w:r>
    </w:p>
    <w:p w14:paraId="4904D64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14:paraId="4CAE70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关于发包人应负责提供施工所需要的条件，包括：</w:t>
      </w:r>
    </w:p>
    <w:p w14:paraId="3A3F19E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u w:val="single"/>
        </w:rPr>
        <w:t>施工所需的水、电、电讯线路接至施工场地的时间、地点和供应要求：</w:t>
      </w:r>
    </w:p>
    <w:p w14:paraId="74168E36">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①所需正常施工的电源、水源已由发包方安装至施工现场边缘。</w:t>
      </w:r>
    </w:p>
    <w:p w14:paraId="12DFD404">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 xml:space="preserve">②施工用电：施工场内临时低压接电及线缆铺设由承包人自理且费用包括在合同价款内。 </w:t>
      </w:r>
    </w:p>
    <w:p w14:paraId="44218CE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③施工用水：施工场内临时用水接水管铺设由承包人自理且费用包括在合同价款内。</w:t>
      </w:r>
    </w:p>
    <w:p w14:paraId="2F1334A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④施工用水、用电费用由承包人承担，费用包含在合同价款中，施工水电费按工程竣工结算审定价的0.7％计算，在结算</w:t>
      </w:r>
      <w:r>
        <w:rPr>
          <w:rFonts w:hint="eastAsia" w:ascii="宋体" w:hAnsi="宋体" w:eastAsia="宋体" w:cs="宋体"/>
          <w:b/>
          <w:color w:val="auto"/>
          <w:szCs w:val="21"/>
          <w:highlight w:val="none"/>
          <w:u w:val="single"/>
          <w:lang w:val="en-US" w:eastAsia="zh-CN"/>
        </w:rPr>
        <w:t>审计时</w:t>
      </w:r>
      <w:r>
        <w:rPr>
          <w:rFonts w:hint="eastAsia" w:ascii="宋体" w:hAnsi="宋体" w:eastAsia="宋体" w:cs="宋体"/>
          <w:b/>
          <w:color w:val="auto"/>
          <w:szCs w:val="21"/>
          <w:highlight w:val="none"/>
          <w:u w:val="single"/>
        </w:rPr>
        <w:t>直接扣除。</w:t>
      </w:r>
    </w:p>
    <w:p w14:paraId="2AFCE81A">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⑤用电与用水高峰期时供应不足由承包人自行设法解决，费用已包含在合同价中，发包人不另支付相关费用。</w:t>
      </w:r>
    </w:p>
    <w:p w14:paraId="711B1C99">
      <w:pPr>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⑥施工现场无搭设临时用房场地，承包人自行考虑，费用包含在合同价款中。</w:t>
      </w:r>
    </w:p>
    <w:p w14:paraId="53123A25">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4995637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149" w:name="_Toc10483"/>
      <w:r>
        <w:rPr>
          <w:rFonts w:hint="eastAsia" w:ascii="宋体" w:hAnsi="宋体" w:eastAsia="宋体" w:cs="宋体"/>
          <w:color w:val="auto"/>
          <w:szCs w:val="21"/>
          <w:highlight w:val="none"/>
        </w:rPr>
        <w:t>2.5 资金来源证明及支付担保</w:t>
      </w:r>
      <w:bookmarkEnd w:id="149"/>
    </w:p>
    <w:p w14:paraId="2BA42EE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E10E4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1E2A10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0D030C2">
      <w:pPr>
        <w:spacing w:line="360" w:lineRule="auto"/>
        <w:rPr>
          <w:rFonts w:hint="eastAsia" w:ascii="宋体" w:hAnsi="宋体" w:eastAsia="宋体" w:cs="宋体"/>
          <w:color w:val="auto"/>
          <w:szCs w:val="21"/>
          <w:highlight w:val="none"/>
        </w:rPr>
      </w:pPr>
      <w:bookmarkStart w:id="150" w:name="_Toc351203635"/>
      <w:r>
        <w:rPr>
          <w:rFonts w:hint="eastAsia" w:ascii="宋体" w:hAnsi="宋体" w:eastAsia="宋体" w:cs="宋体"/>
          <w:color w:val="auto"/>
          <w:szCs w:val="21"/>
          <w:highlight w:val="none"/>
        </w:rPr>
        <w:t>3</w:t>
      </w:r>
      <w:bookmarkStart w:id="151" w:name="_Toc296503158"/>
      <w:bookmarkStart w:id="152" w:name="_Toc296890986"/>
      <w:bookmarkStart w:id="153" w:name="_Toc296891198"/>
      <w:bookmarkStart w:id="154" w:name="_Toc296944497"/>
      <w:bookmarkStart w:id="155" w:name="_Toc292559363"/>
      <w:bookmarkStart w:id="156" w:name="_Toc297048344"/>
      <w:bookmarkStart w:id="157" w:name="_Toc296346659"/>
      <w:bookmarkStart w:id="158" w:name="_Toc296347157"/>
      <w:bookmarkStart w:id="159" w:name="_Toc292559868"/>
      <w:bookmarkStart w:id="160" w:name="_Toc297120458"/>
      <w:r>
        <w:rPr>
          <w:rFonts w:hint="eastAsia" w:ascii="宋体" w:hAnsi="宋体" w:eastAsia="宋体" w:cs="宋体"/>
          <w:color w:val="auto"/>
          <w:szCs w:val="21"/>
          <w:highlight w:val="none"/>
        </w:rPr>
        <w:t>. 承包人</w:t>
      </w:r>
      <w:bookmarkEnd w:id="150"/>
    </w:p>
    <w:bookmarkEnd w:id="151"/>
    <w:bookmarkEnd w:id="152"/>
    <w:bookmarkEnd w:id="153"/>
    <w:bookmarkEnd w:id="154"/>
    <w:bookmarkEnd w:id="155"/>
    <w:bookmarkEnd w:id="156"/>
    <w:bookmarkEnd w:id="157"/>
    <w:bookmarkEnd w:id="158"/>
    <w:bookmarkEnd w:id="159"/>
    <w:bookmarkEnd w:id="160"/>
    <w:p w14:paraId="14F899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14:paraId="6058BD3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（1）应提供计划、报表的名称及完成时间：</w:t>
      </w:r>
      <w:r>
        <w:rPr>
          <w:rFonts w:hint="eastAsia" w:ascii="宋体" w:hAnsi="宋体" w:eastAsia="宋体" w:cs="宋体"/>
          <w:color w:val="auto"/>
          <w:szCs w:val="21"/>
          <w:highlight w:val="none"/>
          <w:u w:val="single"/>
        </w:rPr>
        <w:t>本工程供应商须制定充分、完整、详细的施工组织方案和计划，报监理、学院相关职能部门审核后开工，并编制应急预案一套。每月【</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65FBD7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（2）承担施工安全保卫工作及非夜间施工照明的责任和要求：</w:t>
      </w:r>
      <w:r>
        <w:rPr>
          <w:rFonts w:hint="eastAsia" w:ascii="宋体" w:hAnsi="宋体" w:eastAsia="宋体" w:cs="宋体"/>
          <w:color w:val="auto"/>
          <w:szCs w:val="21"/>
          <w:highlight w:val="none"/>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3E5A2A8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（3）需承包人办理的有关施工场地交通、环卫和施工噪音管理等手续：</w:t>
      </w:r>
      <w:r>
        <w:rPr>
          <w:rFonts w:hint="eastAsia" w:ascii="宋体" w:hAnsi="宋体" w:eastAsia="宋体" w:cs="宋体"/>
          <w:color w:val="auto"/>
          <w:szCs w:val="21"/>
          <w:highlight w:val="none"/>
          <w:u w:val="single"/>
        </w:rPr>
        <w:t>遵照政府有关部门对施工场地交通、环卫和施工噪音的管理规定，按规定办理相关手续，费用由承包人负责，发包人给予配合。如承包人未及时办理有关手续而造成的罚款由承包人承担。</w:t>
      </w:r>
    </w:p>
    <w:p w14:paraId="001A374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（4）完工工程成品保护的特殊要求及费用承担：</w:t>
      </w:r>
      <w:r>
        <w:rPr>
          <w:rFonts w:hint="eastAsia" w:ascii="宋体" w:hAnsi="宋体" w:eastAsia="宋体" w:cs="宋体"/>
          <w:color w:val="auto"/>
          <w:szCs w:val="21"/>
          <w:highlight w:val="none"/>
          <w:u w:val="single"/>
        </w:rPr>
        <w:t>按发包人的要求进行保护，费用由承包人承担。</w:t>
      </w:r>
    </w:p>
    <w:p w14:paraId="1EED562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（5）施工现场清洁卫生的要求：</w:t>
      </w:r>
      <w:r>
        <w:rPr>
          <w:rFonts w:hint="eastAsia" w:ascii="宋体" w:hAnsi="宋体" w:eastAsia="宋体" w:cs="宋体"/>
          <w:color w:val="auto"/>
          <w:szCs w:val="21"/>
          <w:highlight w:val="none"/>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3E55AE58">
      <w:pPr>
        <w:pStyle w:val="29"/>
        <w:adjustRightInd w:val="0"/>
        <w:snapToGrid w:val="0"/>
        <w:spacing w:before="156" w:after="156"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（6）承包人提交的竣工资料的内容：</w:t>
      </w:r>
      <w:r>
        <w:rPr>
          <w:rFonts w:hint="eastAsia" w:ascii="宋体" w:hAnsi="宋体" w:eastAsia="宋体" w:cs="宋体"/>
          <w:b/>
          <w:bCs/>
          <w:color w:val="auto"/>
          <w:sz w:val="21"/>
          <w:szCs w:val="21"/>
          <w:highlight w:val="none"/>
          <w:u w:val="single"/>
        </w:rPr>
        <w:t>向发包方提供竣工图（【3】套）、竣工资料及竣工验收报告，并附光盘（含影像资料、图片等）及发包人要求提供的其他材料</w:t>
      </w:r>
      <w:r>
        <w:rPr>
          <w:rFonts w:hint="eastAsia" w:ascii="宋体" w:hAnsi="宋体" w:eastAsia="宋体" w:cs="宋体"/>
          <w:color w:val="auto"/>
          <w:sz w:val="21"/>
          <w:szCs w:val="21"/>
          <w:highlight w:val="none"/>
        </w:rPr>
        <w:t>。</w:t>
      </w:r>
    </w:p>
    <w:p w14:paraId="289CB4E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b/>
          <w:bCs/>
          <w:color w:val="auto"/>
          <w:szCs w:val="21"/>
          <w:highlight w:val="none"/>
          <w:u w:val="single"/>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eastAsia="宋体" w:cs="宋体"/>
          <w:color w:val="auto"/>
          <w:szCs w:val="21"/>
          <w:highlight w:val="none"/>
        </w:rPr>
        <w:t>。</w:t>
      </w:r>
    </w:p>
    <w:p w14:paraId="3F291B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b/>
          <w:bCs/>
          <w:color w:val="auto"/>
          <w:szCs w:val="21"/>
          <w:highlight w:val="none"/>
          <w:u w:val="single"/>
        </w:rPr>
        <w:t>承包人承担</w:t>
      </w:r>
      <w:r>
        <w:rPr>
          <w:rFonts w:hint="eastAsia" w:ascii="宋体" w:hAnsi="宋体" w:eastAsia="宋体" w:cs="宋体"/>
          <w:color w:val="auto"/>
          <w:szCs w:val="21"/>
          <w:highlight w:val="none"/>
        </w:rPr>
        <w:t>。</w:t>
      </w:r>
    </w:p>
    <w:p w14:paraId="543CFB1F">
      <w:pPr>
        <w:adjustRightInd w:val="0"/>
        <w:snapToGrid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b/>
          <w:bCs/>
          <w:color w:val="auto"/>
          <w:szCs w:val="21"/>
          <w:highlight w:val="none"/>
          <w:u w:val="single"/>
        </w:rPr>
        <w:t>竣工验收前【</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w:t>
      </w:r>
      <w:r>
        <w:rPr>
          <w:rFonts w:hint="eastAsia" w:ascii="宋体" w:hAnsi="宋体" w:eastAsia="宋体" w:cs="宋体"/>
          <w:b/>
          <w:bCs/>
          <w:color w:val="auto"/>
          <w:szCs w:val="21"/>
          <w:highlight w:val="none"/>
        </w:rPr>
        <w:t>。</w:t>
      </w:r>
    </w:p>
    <w:p w14:paraId="69511F96">
      <w:pPr>
        <w:adjustRightInd w:val="0"/>
        <w:snapToGrid w:val="0"/>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b/>
          <w:bCs/>
          <w:color w:val="auto"/>
          <w:szCs w:val="21"/>
          <w:highlight w:val="none"/>
          <w:u w:val="single"/>
        </w:rPr>
        <w:t>纸质文件和电子文件。</w:t>
      </w:r>
    </w:p>
    <w:p w14:paraId="77E4E0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（7）承包人应履行的其他义务：</w:t>
      </w:r>
    </w:p>
    <w:p w14:paraId="762D8D2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14:paraId="7AD442C0">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4778E62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c、承包人在施工中，有责任配合发包人或发包人委托的科研单位进行本工程有关的科研监测、测试和检测工作，并不得提出任何费用要求。</w:t>
      </w:r>
    </w:p>
    <w:p w14:paraId="75629D84">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24CBB8B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31CE532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f、承包人的项目部、临时加工场地、项目参与人员的临时宿舍等临时设施的借地由承包人负责，并承担一切费用。因条件有限，发包人概不负责相关场地宿舍等。</w:t>
      </w:r>
    </w:p>
    <w:p w14:paraId="7CB0C2D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g、承包人有责任维护发包人形象，若由于承包人的安全、文明施工问题而造成发包人被他人索赔，发包人保留向承包人索赔的权利。</w:t>
      </w:r>
    </w:p>
    <w:p w14:paraId="3A845DB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h、接受发包人委托，负责办理施工期间的掘路执照、临时占路证、交通施工许可证、管线监护卡、质监和安监的报监手续。</w:t>
      </w:r>
    </w:p>
    <w:p w14:paraId="361B7A27">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I、作为一名有经验的承包人，对于图纸设计中不满足现行验收规范要求的部分及时提出合理化的建议，若未及时发现并提出不利于今后施工及验收的问题，应承担相应的责任。</w:t>
      </w:r>
    </w:p>
    <w:p w14:paraId="6951CC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项目经理</w:t>
      </w:r>
    </w:p>
    <w:p w14:paraId="141248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项目经理：</w:t>
      </w:r>
    </w:p>
    <w:p w14:paraId="2A5DFDBB">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3.2.1 项目经理：</w:t>
      </w:r>
    </w:p>
    <w:p w14:paraId="5E332645">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58CFDF0">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399178F">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0195701">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A636CCC">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7E476129">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B1F648E">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1FF0228">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24AAC8CF">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3026F47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承包人对项目经理的授权范围如下： 承包人项目经理在施工期间的一切行为均视为发包人的意思表示，对发包人有约束力  </w:t>
      </w:r>
      <w:r>
        <w:rPr>
          <w:rFonts w:hint="eastAsia" w:ascii="宋体" w:hAnsi="宋体" w:eastAsia="宋体" w:cs="宋体"/>
          <w:color w:val="auto"/>
          <w:szCs w:val="21"/>
          <w:highlight w:val="none"/>
          <w:u w:val="single"/>
        </w:rPr>
        <w:t>。</w:t>
      </w:r>
    </w:p>
    <w:p w14:paraId="5FA8655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关于项目经理每月在施工现场的时间要求：开工之日起到工程竣工验收合格，</w:t>
      </w:r>
      <w:r>
        <w:rPr>
          <w:rFonts w:hint="eastAsia" w:ascii="宋体" w:hAnsi="宋体" w:eastAsia="宋体" w:cs="宋体"/>
          <w:color w:val="auto"/>
          <w:szCs w:val="21"/>
          <w:highlight w:val="none"/>
          <w:u w:val="single"/>
        </w:rPr>
        <w:t>出勤率按照为每月【</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】天，每日工作时间【</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】小时考勤。重要施工工序或环节时项目经理、技术负责人等必须到场</w:t>
      </w:r>
      <w:r>
        <w:rPr>
          <w:rFonts w:hint="eastAsia" w:ascii="宋体" w:hAnsi="宋体" w:eastAsia="宋体" w:cs="宋体"/>
          <w:color w:val="auto"/>
          <w:szCs w:val="21"/>
          <w:highlight w:val="none"/>
        </w:rPr>
        <w:t>。</w:t>
      </w:r>
    </w:p>
    <w:p w14:paraId="518EC41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承包人未提交劳动合同，以及没有为项目经理缴纳社会保险证明的违约责任：向发包人支付【5000】元违约金，并在收到发包人通知后【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】日内提交劳动合同并补缴社会保险，否则发包人有权解除合同。</w:t>
      </w:r>
    </w:p>
    <w:p w14:paraId="5C1FCFD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项目经理未经批准，擅自离开施工现场的违约责任每发生一次，承包人向发包人支付【10000】元违约金，累计发生【3】次以上的，发包人有权要求更换项目经理或解除合同。</w:t>
      </w:r>
    </w:p>
    <w:p w14:paraId="663FB39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b/>
          <w:color w:val="auto"/>
          <w:szCs w:val="21"/>
          <w:highlight w:val="none"/>
          <w:u w:val="single"/>
        </w:rPr>
        <w:t xml:space="preserve">在施工期间不准更换，特殊情况要求更换的项目经理的，须经发包人书面同意，同时发包人有权从工程款中按以下标准扣除承包人应承担的违约金：更换项目经理，违约金【5000】万元人民币/次；未经发包人同意擅自更换项目经理的，承包人应向发包人支付【10000】元违约金，同时发包人有权解除合同  </w:t>
      </w:r>
      <w:r>
        <w:rPr>
          <w:rFonts w:hint="eastAsia" w:ascii="宋体" w:hAnsi="宋体" w:eastAsia="宋体" w:cs="宋体"/>
          <w:color w:val="auto"/>
          <w:szCs w:val="21"/>
          <w:highlight w:val="none"/>
        </w:rPr>
        <w:t>。</w:t>
      </w:r>
    </w:p>
    <w:p w14:paraId="2BC66284">
      <w:pPr>
        <w:adjustRightInd w:val="0"/>
        <w:snapToGrid w:val="0"/>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61" w:name="_Toc7429"/>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承包人在接到发包人更换项目经理的通知后【5】天内仍未更换的，承包人应支付违约金【20000】元，并承担由此增加的费用和延误的工期；在【15】天内仍未更换项目经理的，发包人有权解除合同</w:t>
      </w:r>
      <w:r>
        <w:rPr>
          <w:rFonts w:hint="eastAsia" w:ascii="宋体" w:hAnsi="宋体" w:eastAsia="宋体" w:cs="宋体"/>
          <w:color w:val="auto"/>
          <w:szCs w:val="21"/>
          <w:highlight w:val="none"/>
        </w:rPr>
        <w:t>。</w:t>
      </w:r>
      <w:bookmarkEnd w:id="161"/>
    </w:p>
    <w:p w14:paraId="6F06F77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14:paraId="7200B9C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：【】年【】月【】日前。承包人逾期提供的，每逾期一天，应向发包人支付【</w:t>
      </w:r>
      <w:r>
        <w:rPr>
          <w:rFonts w:hint="eastAsia" w:ascii="宋体" w:hAnsi="宋体" w:eastAsia="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】元违约金，逾期超过【</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】天的，发包人有权解除合同  。</w:t>
      </w:r>
    </w:p>
    <w:p w14:paraId="3060CFF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b/>
          <w:color w:val="auto"/>
          <w:szCs w:val="21"/>
          <w:highlight w:val="none"/>
          <w:u w:val="single"/>
        </w:rPr>
        <w:t>技术负责人、施工员，处以违约金【5000】元人民币/次/人；安全员、质检员、材料员，处以违约金【2000】元人民币/次/人</w:t>
      </w:r>
      <w:r>
        <w:rPr>
          <w:rFonts w:hint="eastAsia" w:ascii="宋体" w:hAnsi="宋体" w:eastAsia="宋体" w:cs="宋体"/>
          <w:color w:val="auto"/>
          <w:szCs w:val="21"/>
          <w:highlight w:val="none"/>
        </w:rPr>
        <w:t>。</w:t>
      </w:r>
    </w:p>
    <w:p w14:paraId="6FDCA80C">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按通用合同条款第3.3.4条规定执行</w:t>
      </w:r>
      <w:r>
        <w:rPr>
          <w:rFonts w:hint="eastAsia" w:ascii="宋体" w:hAnsi="宋体" w:eastAsia="宋体" w:cs="宋体"/>
          <w:color w:val="auto"/>
          <w:szCs w:val="21"/>
          <w:highlight w:val="none"/>
        </w:rPr>
        <w:t>。</w:t>
      </w:r>
    </w:p>
    <w:p w14:paraId="6A4439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b/>
          <w:color w:val="auto"/>
          <w:szCs w:val="21"/>
          <w:highlight w:val="none"/>
          <w:u w:val="single"/>
        </w:rPr>
        <w:t>若更换技术负责人、施工员，处以违约金1万元人民币/次/人；若更换安全员、质检员、材料员，处以违约金伍仟元人民币/次/人</w:t>
      </w:r>
      <w:r>
        <w:rPr>
          <w:rFonts w:hint="eastAsia" w:ascii="宋体" w:hAnsi="宋体" w:eastAsia="宋体" w:cs="宋体"/>
          <w:color w:val="auto"/>
          <w:szCs w:val="21"/>
          <w:highlight w:val="none"/>
        </w:rPr>
        <w:t>。除上述违约责任外，同时扣除履约担保中的项目班子到位保证金。</w:t>
      </w:r>
    </w:p>
    <w:p w14:paraId="6F446F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b/>
          <w:bCs/>
          <w:color w:val="auto"/>
          <w:szCs w:val="21"/>
          <w:highlight w:val="none"/>
          <w:u w:val="single"/>
        </w:rPr>
        <w:t>发包人有权要求更换管理人员，承包人应支付【5000】元违约金，累计发生【3】次以上的，发包人有权解除合同</w:t>
      </w:r>
      <w:r>
        <w:rPr>
          <w:rFonts w:hint="eastAsia" w:ascii="宋体" w:hAnsi="宋体" w:eastAsia="宋体" w:cs="宋体"/>
          <w:color w:val="auto"/>
          <w:szCs w:val="21"/>
          <w:highlight w:val="none"/>
        </w:rPr>
        <w:t>。</w:t>
      </w:r>
    </w:p>
    <w:p w14:paraId="1D31E9A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62" w:name="_Toc304295523"/>
      <w:bookmarkStart w:id="163" w:name="_Toc303539102"/>
      <w:bookmarkStart w:id="164" w:name="_Toc296503159"/>
      <w:bookmarkStart w:id="165" w:name="_Toc297120459"/>
      <w:bookmarkStart w:id="166" w:name="_Toc296891199"/>
      <w:bookmarkStart w:id="167" w:name="_Toc296347158"/>
      <w:bookmarkStart w:id="168" w:name="_Toc300934945"/>
      <w:bookmarkStart w:id="169" w:name="_Toc292559869"/>
      <w:bookmarkStart w:id="170" w:name="_Toc312677988"/>
      <w:bookmarkStart w:id="171" w:name="_Toc297123492"/>
      <w:bookmarkStart w:id="172" w:name="_Toc296346660"/>
      <w:bookmarkStart w:id="173" w:name="_Toc292559364"/>
      <w:bookmarkStart w:id="174" w:name="_Toc296890987"/>
      <w:bookmarkStart w:id="175" w:name="_Toc296944498"/>
      <w:bookmarkStart w:id="176" w:name="_Toc297216151"/>
      <w:bookmarkStart w:id="177" w:name="_Toc297048345"/>
      <w:r>
        <w:rPr>
          <w:rFonts w:hint="eastAsia" w:ascii="宋体" w:hAnsi="宋体" w:eastAsia="宋体" w:cs="宋体"/>
          <w:color w:val="auto"/>
          <w:szCs w:val="21"/>
          <w:highlight w:val="none"/>
        </w:rPr>
        <w:t>.5 分包</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54BD842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78" w:name="_Toc297216152"/>
      <w:bookmarkStart w:id="179" w:name="_Toc297120460"/>
      <w:bookmarkStart w:id="180" w:name="_Toc296347159"/>
      <w:bookmarkStart w:id="181" w:name="_Toc297123493"/>
      <w:bookmarkStart w:id="182" w:name="_Toc296503160"/>
      <w:bookmarkStart w:id="183" w:name="_Toc292559870"/>
      <w:bookmarkStart w:id="184" w:name="_Toc300934946"/>
      <w:bookmarkStart w:id="185" w:name="_Toc297048346"/>
      <w:bookmarkStart w:id="186" w:name="_Toc296890988"/>
      <w:bookmarkStart w:id="187" w:name="_Toc296944499"/>
      <w:bookmarkStart w:id="188" w:name="_Toc304295524"/>
      <w:bookmarkStart w:id="189" w:name="_Toc296346661"/>
      <w:bookmarkStart w:id="190" w:name="_Toc292559365"/>
      <w:bookmarkStart w:id="191" w:name="_Toc303539103"/>
      <w:bookmarkStart w:id="192" w:name="_Toc296891200"/>
      <w:bookmarkStart w:id="193" w:name="_Toc312677989"/>
      <w:bookmarkStart w:id="194" w:name="_Toc318581158"/>
      <w:r>
        <w:rPr>
          <w:rFonts w:hint="eastAsia" w:ascii="宋体" w:hAnsi="宋体" w:eastAsia="宋体" w:cs="宋体"/>
          <w:color w:val="auto"/>
          <w:szCs w:val="21"/>
          <w:highlight w:val="none"/>
        </w:rPr>
        <w:t>.5.1 分包的一般约定</w:t>
      </w:r>
    </w:p>
    <w:p w14:paraId="0ADBDC4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b/>
          <w:bCs/>
          <w:color w:val="auto"/>
          <w:szCs w:val="21"/>
          <w:highlight w:val="none"/>
          <w:u w:val="single"/>
        </w:rPr>
        <w:t>未经发包人同意一律不得分包</w:t>
      </w:r>
      <w:r>
        <w:rPr>
          <w:rFonts w:hint="eastAsia" w:ascii="宋体" w:hAnsi="宋体" w:eastAsia="宋体" w:cs="宋体"/>
          <w:color w:val="auto"/>
          <w:szCs w:val="21"/>
          <w:highlight w:val="none"/>
        </w:rPr>
        <w:t>。</w:t>
      </w:r>
    </w:p>
    <w:p w14:paraId="596D9C6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Start w:id="195" w:name="_Toc296944500"/>
      <w:bookmarkStart w:id="196" w:name="_Toc297216153"/>
      <w:bookmarkStart w:id="197" w:name="_Toc296890989"/>
      <w:bookmarkStart w:id="198" w:name="_Toc304295525"/>
      <w:bookmarkStart w:id="199" w:name="_Toc300934947"/>
      <w:bookmarkStart w:id="200" w:name="_Toc296346662"/>
      <w:bookmarkStart w:id="201" w:name="_Toc296347160"/>
      <w:bookmarkStart w:id="202" w:name="_Toc296891201"/>
      <w:bookmarkStart w:id="203" w:name="_Toc303539104"/>
      <w:bookmarkStart w:id="204" w:name="_Toc296503161"/>
      <w:bookmarkStart w:id="205" w:name="_Toc297120461"/>
      <w:bookmarkStart w:id="206" w:name="_Toc297123494"/>
      <w:bookmarkStart w:id="207" w:name="_Toc297048347"/>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7002B6B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208" w:name="_Toc312677990"/>
      <w:bookmarkStart w:id="209" w:name="_Toc318581159"/>
      <w:r>
        <w:rPr>
          <w:rFonts w:hint="eastAsia" w:ascii="宋体" w:hAnsi="宋体" w:eastAsia="宋体" w:cs="宋体"/>
          <w:color w:val="auto"/>
          <w:szCs w:val="21"/>
          <w:highlight w:val="none"/>
        </w:rPr>
        <w:t>.5.2分包的确定</w:t>
      </w:r>
    </w:p>
    <w:p w14:paraId="0094988B">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b/>
          <w:bCs/>
          <w:color w:val="auto"/>
          <w:szCs w:val="21"/>
          <w:highlight w:val="none"/>
          <w:u w:val="single"/>
        </w:rPr>
        <w:t>不允许分包</w:t>
      </w:r>
      <w:r>
        <w:rPr>
          <w:rFonts w:hint="eastAsia" w:ascii="宋体" w:hAnsi="宋体" w:eastAsia="宋体" w:cs="宋体"/>
          <w:color w:val="auto"/>
          <w:szCs w:val="21"/>
          <w:highlight w:val="none"/>
        </w:rPr>
        <w:t>。</w:t>
      </w:r>
    </w:p>
    <w:p w14:paraId="667D4C1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71B15B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14:paraId="77827B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p>
    <w:bookmarkEnd w:id="208"/>
    <w:bookmarkEnd w:id="209"/>
    <w:p w14:paraId="5FEA456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14:paraId="23807EB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承包人负责照管工程及工程相关的材料、工程设备的起始时间：合同签订之日起至颁发工程接收证书之日止。</w:t>
      </w:r>
    </w:p>
    <w:p w14:paraId="4042574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履约担保</w:t>
      </w:r>
    </w:p>
    <w:p w14:paraId="5299E8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2E54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eastAsia="宋体" w:cs="宋体"/>
          <w:bCs/>
          <w:color w:val="auto"/>
          <w:szCs w:val="21"/>
          <w:highlight w:val="none"/>
          <w:u w:val="single"/>
        </w:rPr>
        <w:t>履约担保的最晚递交时间：合同签订后【7】日内。</w:t>
      </w:r>
      <w:r>
        <w:rPr>
          <w:rFonts w:hint="eastAsia" w:ascii="宋体" w:hAnsi="宋体" w:eastAsia="宋体" w:cs="宋体"/>
          <w:color w:val="auto"/>
          <w:szCs w:val="21"/>
          <w:highlight w:val="none"/>
          <w:u w:val="single"/>
        </w:rPr>
        <w:t>履约担保有效期自履约担保交纳之日起至竣工验收合格后【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】天内补足履约保证金，否则发包人有权在停止支付工程进度款或从工程进度款中扣除</w:t>
      </w:r>
      <w:r>
        <w:rPr>
          <w:rFonts w:hint="eastAsia" w:ascii="宋体" w:hAnsi="宋体" w:eastAsia="宋体" w:cs="宋体"/>
          <w:color w:val="auto"/>
          <w:szCs w:val="21"/>
          <w:highlight w:val="none"/>
        </w:rPr>
        <w:t>。</w:t>
      </w:r>
    </w:p>
    <w:p w14:paraId="33089CFD">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a)质量保证金占履约保证金的【</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】%，视发生质量事故的严重程度处罚。若验收不合格或未达到合同约定质量目标，罚没全部保证金。</w:t>
      </w:r>
    </w:p>
    <w:p w14:paraId="19A8975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b)工期保证金占履约保证金的【</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】%，工期以合同工期和经批准的顺延工期为准，若不能按期竣工，全罚没全部保证金。</w:t>
      </w:r>
    </w:p>
    <w:p w14:paraId="6E1F6889">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c)项目经理及项目班子到位率保证金占履约保证金的【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】%。项目经理或项目班子若不能按要求到位，罚没全部保证金。</w:t>
      </w:r>
    </w:p>
    <w:p w14:paraId="569F05E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d)文明安全生产保证金占履约保证金的【</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】%，发生重大人身安全事故，罚没全部保证金。</w:t>
      </w:r>
    </w:p>
    <w:p w14:paraId="174B1B3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eastAsia="宋体" w:cs="宋体"/>
          <w:color w:val="auto"/>
          <w:szCs w:val="21"/>
          <w:highlight w:val="none"/>
        </w:rPr>
        <w:t>。</w:t>
      </w:r>
    </w:p>
    <w:p w14:paraId="07B6E5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履约保证金的补足：发包人根据本合同约定行使处分履约保证金权利后应当及时书面通知承包人，承包人应当接到通知后【</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】个工作日补足，以使整个合同期内的履约保证金始终维持在成交金额【2】%的数额。逾期未能补足的，每日按应补而未补金额的万分之五支付逾期补交违约金。</w:t>
      </w:r>
    </w:p>
    <w:p w14:paraId="73503870">
      <w:pPr>
        <w:adjustRightInd w:val="0"/>
        <w:snapToGrid w:val="0"/>
        <w:spacing w:line="360" w:lineRule="auto"/>
        <w:ind w:firstLine="420" w:firstLineChars="200"/>
        <w:rPr>
          <w:rFonts w:hint="eastAsia" w:ascii="宋体" w:hAnsi="宋体" w:eastAsia="宋体" w:cs="宋体"/>
          <w:color w:val="auto"/>
          <w:szCs w:val="21"/>
          <w:highlight w:val="none"/>
        </w:rPr>
      </w:pPr>
      <w:bookmarkStart w:id="210" w:name="_Toc351203636"/>
      <w:r>
        <w:rPr>
          <w:rFonts w:hint="eastAsia" w:ascii="宋体" w:hAnsi="宋体" w:eastAsia="宋体" w:cs="宋体"/>
          <w:color w:val="auto"/>
          <w:szCs w:val="21"/>
          <w:highlight w:val="none"/>
        </w:rPr>
        <w:t>4</w:t>
      </w:r>
      <w:bookmarkStart w:id="211" w:name="_Toc296346663"/>
      <w:bookmarkStart w:id="212" w:name="_Toc296347161"/>
      <w:bookmarkStart w:id="213" w:name="_Toc267251413"/>
      <w:bookmarkStart w:id="214" w:name="_Toc296944501"/>
      <w:bookmarkStart w:id="215" w:name="_Toc296891202"/>
      <w:bookmarkStart w:id="216" w:name="_Toc297120462"/>
      <w:bookmarkStart w:id="217" w:name="_Toc296503162"/>
      <w:bookmarkStart w:id="218" w:name="_Toc296890990"/>
      <w:bookmarkStart w:id="219" w:name="_Toc292559871"/>
      <w:bookmarkStart w:id="220" w:name="_Toc297048348"/>
      <w:bookmarkStart w:id="221" w:name="_Toc292559366"/>
      <w:r>
        <w:rPr>
          <w:rFonts w:hint="eastAsia" w:ascii="宋体" w:hAnsi="宋体" w:eastAsia="宋体" w:cs="宋体"/>
          <w:color w:val="auto"/>
          <w:szCs w:val="21"/>
          <w:highlight w:val="none"/>
        </w:rPr>
        <w:t>. 监</w:t>
      </w:r>
      <w:bookmarkEnd w:id="211"/>
      <w:bookmarkEnd w:id="212"/>
      <w:bookmarkEnd w:id="213"/>
      <w:bookmarkEnd w:id="214"/>
      <w:bookmarkEnd w:id="215"/>
      <w:bookmarkEnd w:id="216"/>
      <w:bookmarkEnd w:id="217"/>
      <w:bookmarkEnd w:id="218"/>
      <w:bookmarkEnd w:id="219"/>
      <w:bookmarkEnd w:id="220"/>
      <w:bookmarkEnd w:id="221"/>
      <w:r>
        <w:rPr>
          <w:rFonts w:hint="eastAsia" w:ascii="宋体" w:hAnsi="宋体" w:eastAsia="宋体" w:cs="宋体"/>
          <w:color w:val="auto"/>
          <w:szCs w:val="21"/>
          <w:highlight w:val="none"/>
        </w:rPr>
        <w:t>理人</w:t>
      </w:r>
      <w:bookmarkEnd w:id="210"/>
    </w:p>
    <w:p w14:paraId="19A714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4.1监理人的一般规定</w:t>
      </w:r>
    </w:p>
    <w:p w14:paraId="60C77E5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b/>
          <w:color w:val="auto"/>
          <w:szCs w:val="21"/>
          <w:highlight w:val="none"/>
          <w:u w:val="single"/>
        </w:rPr>
        <w:t>现场全过程协调，负责质量、安全、进度监督，签证及技术服务</w:t>
      </w:r>
      <w:r>
        <w:rPr>
          <w:rFonts w:hint="eastAsia" w:ascii="宋体" w:hAnsi="宋体" w:eastAsia="宋体" w:cs="宋体"/>
          <w:color w:val="auto"/>
          <w:szCs w:val="21"/>
          <w:highlight w:val="none"/>
        </w:rPr>
        <w:t>。</w:t>
      </w:r>
    </w:p>
    <w:p w14:paraId="2B2E6FA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b/>
          <w:bCs/>
          <w:color w:val="auto"/>
          <w:szCs w:val="21"/>
          <w:highlight w:val="none"/>
          <w:u w:val="single"/>
        </w:rPr>
        <w:t>按监理合同约定实行</w:t>
      </w:r>
      <w:r>
        <w:rPr>
          <w:rFonts w:hint="eastAsia" w:ascii="宋体" w:hAnsi="宋体" w:eastAsia="宋体" w:cs="宋体"/>
          <w:color w:val="auto"/>
          <w:szCs w:val="21"/>
          <w:highlight w:val="none"/>
        </w:rPr>
        <w:t xml:space="preserve">。 </w:t>
      </w:r>
    </w:p>
    <w:p w14:paraId="0D3DF17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00C5F4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14:paraId="45F525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021710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p w14:paraId="524CA85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p w14:paraId="083D967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p>
    <w:p w14:paraId="0BB435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730B1F4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p w14:paraId="339636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p w14:paraId="2DE7C6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p>
    <w:p w14:paraId="0F2B59A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14:paraId="1FBF829D">
      <w:pPr>
        <w:adjustRightInd w:val="0"/>
        <w:snapToGrid w:val="0"/>
        <w:spacing w:line="360" w:lineRule="auto"/>
        <w:ind w:firstLine="420" w:firstLineChars="200"/>
        <w:rPr>
          <w:rFonts w:hint="eastAsia" w:ascii="宋体" w:hAnsi="宋体" w:eastAsia="宋体" w:cs="宋体"/>
          <w:color w:val="auto"/>
          <w:szCs w:val="21"/>
          <w:highlight w:val="none"/>
        </w:rPr>
      </w:pPr>
      <w:bookmarkStart w:id="222"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14:paraId="4159DE5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747596C9">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E95EF2E">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312AD299">
      <w:pPr>
        <w:adjustRightInd w:val="0"/>
        <w:snapToGrid w:val="0"/>
        <w:spacing w:line="360" w:lineRule="auto"/>
        <w:ind w:firstLine="420" w:firstLineChars="200"/>
        <w:rPr>
          <w:rFonts w:hint="eastAsia" w:ascii="宋体" w:hAnsi="宋体" w:eastAsia="宋体" w:cs="宋体"/>
          <w:color w:val="auto"/>
          <w:szCs w:val="21"/>
          <w:highlight w:val="none"/>
        </w:rPr>
      </w:pPr>
      <w:bookmarkStart w:id="223" w:name="_Toc351203637"/>
      <w:r>
        <w:rPr>
          <w:rFonts w:hint="eastAsia" w:ascii="宋体" w:hAnsi="宋体" w:eastAsia="宋体" w:cs="宋体"/>
          <w:color w:val="auto"/>
          <w:szCs w:val="21"/>
          <w:highlight w:val="none"/>
        </w:rPr>
        <w:t>5</w:t>
      </w:r>
      <w:bookmarkEnd w:id="222"/>
      <w:bookmarkStart w:id="224" w:name="_Toc292559367"/>
      <w:bookmarkStart w:id="225" w:name="_Toc296347162"/>
      <w:bookmarkStart w:id="226" w:name="_Toc296944502"/>
      <w:bookmarkStart w:id="227" w:name="_Toc296890991"/>
      <w:bookmarkStart w:id="228" w:name="_Toc296503163"/>
      <w:bookmarkStart w:id="229" w:name="_Toc297120463"/>
      <w:bookmarkStart w:id="230" w:name="_Toc296346664"/>
      <w:bookmarkStart w:id="231" w:name="_Toc297048349"/>
      <w:bookmarkStart w:id="232" w:name="_Toc296891203"/>
      <w:bookmarkStart w:id="233" w:name="_Toc292559872"/>
      <w:r>
        <w:rPr>
          <w:rFonts w:hint="eastAsia" w:ascii="宋体" w:hAnsi="宋体" w:eastAsia="宋体" w:cs="宋体"/>
          <w:color w:val="auto"/>
          <w:szCs w:val="21"/>
          <w:highlight w:val="none"/>
        </w:rPr>
        <w:t>. 工程质量</w:t>
      </w:r>
      <w:bookmarkEnd w:id="223"/>
    </w:p>
    <w:p w14:paraId="179C39C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234" w:name="_Toc18015"/>
      <w:r>
        <w:rPr>
          <w:rFonts w:hint="eastAsia" w:ascii="宋体" w:hAnsi="宋体" w:eastAsia="宋体" w:cs="宋体"/>
          <w:color w:val="auto"/>
          <w:szCs w:val="21"/>
          <w:highlight w:val="none"/>
        </w:rPr>
        <w:t>5.1 质量要求</w:t>
      </w:r>
      <w:bookmarkEnd w:id="234"/>
    </w:p>
    <w:p w14:paraId="4A45A3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235" w:name="_Toc312677997"/>
      <w:bookmarkStart w:id="236" w:name="_Toc318581164"/>
      <w:bookmarkStart w:id="237" w:name="_Toc303539106"/>
      <w:bookmarkStart w:id="238" w:name="_Toc304295527"/>
      <w:bookmarkStart w:id="239" w:name="_Toc297216155"/>
      <w:bookmarkStart w:id="240" w:name="_Toc297123496"/>
      <w:bookmarkStart w:id="241" w:name="_Toc300934949"/>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w:t>
      </w:r>
    </w:p>
    <w:p w14:paraId="3794852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854F552">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242" w:name="_Toc3028"/>
      <w:r>
        <w:rPr>
          <w:rFonts w:hint="eastAsia" w:ascii="宋体" w:hAnsi="宋体" w:eastAsia="宋体" w:cs="宋体"/>
          <w:color w:val="auto"/>
          <w:szCs w:val="21"/>
          <w:highlight w:val="none"/>
        </w:rPr>
        <w:t>5.3 隐蔽工程检查</w:t>
      </w:r>
      <w:bookmarkEnd w:id="242"/>
    </w:p>
    <w:p w14:paraId="69A3C4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承包人应在共同检查前【48】小时书面通知监理人检查，通知中应载明隐蔽检查的内容、时间和地点，并应附有自检记录和必要的检查资料</w:t>
      </w:r>
      <w:r>
        <w:rPr>
          <w:rFonts w:hint="eastAsia" w:ascii="宋体" w:hAnsi="宋体" w:eastAsia="宋体" w:cs="宋体"/>
          <w:color w:val="auto"/>
          <w:szCs w:val="21"/>
          <w:highlight w:val="none"/>
        </w:rPr>
        <w:t>。</w:t>
      </w:r>
    </w:p>
    <w:p w14:paraId="5BF90C5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监理人不能按时进行检查时，应提前【24】小时提交书面延期要求。</w:t>
      </w:r>
    </w:p>
    <w:p w14:paraId="179D8E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关于延期最长不得超过：【48】小时。</w:t>
      </w:r>
    </w:p>
    <w:p w14:paraId="2171DF8E">
      <w:pPr>
        <w:adjustRightInd w:val="0"/>
        <w:snapToGrid w:val="0"/>
        <w:spacing w:line="360" w:lineRule="auto"/>
        <w:ind w:firstLine="420" w:firstLineChars="200"/>
        <w:rPr>
          <w:rFonts w:hint="eastAsia" w:ascii="宋体" w:hAnsi="宋体" w:eastAsia="宋体" w:cs="宋体"/>
          <w:color w:val="auto"/>
          <w:szCs w:val="21"/>
          <w:highlight w:val="none"/>
        </w:rPr>
      </w:pPr>
      <w:bookmarkStart w:id="243" w:name="_Toc351203638"/>
      <w:r>
        <w:rPr>
          <w:rFonts w:hint="eastAsia" w:ascii="宋体" w:hAnsi="宋体" w:eastAsia="宋体" w:cs="宋体"/>
          <w:color w:val="auto"/>
          <w:szCs w:val="21"/>
          <w:highlight w:val="none"/>
        </w:rPr>
        <w:t>6. 安全文明施工与环境保护</w:t>
      </w:r>
      <w:bookmarkEnd w:id="243"/>
    </w:p>
    <w:p w14:paraId="212A884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6.1安全文明施工</w:t>
      </w:r>
    </w:p>
    <w:p w14:paraId="46F167C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30D6A5D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b/>
          <w:bCs/>
          <w:color w:val="auto"/>
          <w:szCs w:val="21"/>
          <w:highlight w:val="none"/>
          <w:u w:val="single"/>
        </w:rPr>
        <w:t>按通用合同条款第6.1.4条规定执行</w:t>
      </w:r>
      <w:r>
        <w:rPr>
          <w:rFonts w:hint="eastAsia" w:ascii="宋体" w:hAnsi="宋体" w:eastAsia="宋体" w:cs="宋体"/>
          <w:color w:val="auto"/>
          <w:szCs w:val="21"/>
          <w:highlight w:val="none"/>
        </w:rPr>
        <w:t>。</w:t>
      </w:r>
    </w:p>
    <w:p w14:paraId="2BD1467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b/>
          <w:bCs/>
          <w:color w:val="auto"/>
          <w:szCs w:val="21"/>
          <w:highlight w:val="none"/>
          <w:u w:val="single"/>
        </w:rPr>
        <w:t>按通用合同条款第6.1.4条规定执行</w:t>
      </w:r>
      <w:r>
        <w:rPr>
          <w:rFonts w:hint="eastAsia" w:ascii="宋体" w:hAnsi="宋体" w:eastAsia="宋体" w:cs="宋体"/>
          <w:color w:val="auto"/>
          <w:szCs w:val="21"/>
          <w:highlight w:val="none"/>
        </w:rPr>
        <w:t>。</w:t>
      </w:r>
    </w:p>
    <w:p w14:paraId="29036EA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14:paraId="3303A7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p>
    <w:p w14:paraId="771948C5">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10000】元人民币的违约金。被上级主管部门通报批评，承包人按人民币【</w:t>
      </w:r>
      <w:r>
        <w:rPr>
          <w:rFonts w:hint="eastAsia" w:ascii="宋体" w:hAnsi="宋体" w:eastAsia="宋体" w:cs="宋体"/>
          <w:b/>
          <w:bCs/>
          <w:color w:val="auto"/>
          <w:szCs w:val="21"/>
          <w:highlight w:val="none"/>
          <w:u w:val="single"/>
          <w:lang w:val="en-US" w:eastAsia="zh-CN"/>
        </w:rPr>
        <w:t>30000</w:t>
      </w:r>
      <w:r>
        <w:rPr>
          <w:rFonts w:hint="eastAsia" w:ascii="宋体" w:hAnsi="宋体" w:eastAsia="宋体" w:cs="宋体"/>
          <w:b/>
          <w:bCs/>
          <w:color w:val="auto"/>
          <w:szCs w:val="21"/>
          <w:highlight w:val="none"/>
          <w:u w:val="single"/>
        </w:rPr>
        <w:t>】元/次向发包人支付违约金，同时发包人有权解除合同；被媒体曝光，向发包人支付人民币【</w:t>
      </w:r>
      <w:r>
        <w:rPr>
          <w:rFonts w:hint="eastAsia" w:ascii="宋体" w:hAnsi="宋体" w:eastAsia="宋体" w:cs="宋体"/>
          <w:b/>
          <w:bCs/>
          <w:color w:val="auto"/>
          <w:szCs w:val="21"/>
          <w:highlight w:val="none"/>
          <w:u w:val="single"/>
          <w:lang w:val="en-US" w:eastAsia="zh-CN"/>
        </w:rPr>
        <w:t>50000</w:t>
      </w:r>
      <w:r>
        <w:rPr>
          <w:rFonts w:hint="eastAsia" w:ascii="宋体" w:hAnsi="宋体" w:eastAsia="宋体" w:cs="宋体"/>
          <w:b/>
          <w:bCs/>
          <w:color w:val="auto"/>
          <w:szCs w:val="21"/>
          <w:highlight w:val="none"/>
          <w:u w:val="single"/>
        </w:rPr>
        <w:t>】元违约金，同时发包人有权解除合同。</w:t>
      </w:r>
    </w:p>
    <w:p w14:paraId="71664F64">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（2）承包人应对进度施工现场的施工人员进行安全文明施工教育，持证上岗，配备必要的劳动保护用具，保证工程的施工安全和人身安全。</w:t>
      </w:r>
    </w:p>
    <w:p w14:paraId="7A241675">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31FE4170">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74A4150D">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78808B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关于安全文明施工费支付比例和支付期限的约定：视相关措施的落实情况与合同款同期支付。</w:t>
      </w:r>
    </w:p>
    <w:bookmarkEnd w:id="235"/>
    <w:bookmarkEnd w:id="236"/>
    <w:bookmarkEnd w:id="237"/>
    <w:bookmarkEnd w:id="238"/>
    <w:bookmarkEnd w:id="239"/>
    <w:bookmarkEnd w:id="240"/>
    <w:bookmarkEnd w:id="241"/>
    <w:p w14:paraId="27166A9F">
      <w:pPr>
        <w:adjustRightInd w:val="0"/>
        <w:snapToGrid w:val="0"/>
        <w:spacing w:line="360" w:lineRule="auto"/>
        <w:ind w:firstLine="420" w:firstLineChars="200"/>
        <w:rPr>
          <w:rFonts w:hint="eastAsia" w:ascii="宋体" w:hAnsi="宋体" w:eastAsia="宋体" w:cs="宋体"/>
          <w:color w:val="auto"/>
          <w:szCs w:val="21"/>
          <w:highlight w:val="none"/>
        </w:rPr>
      </w:pPr>
      <w:bookmarkStart w:id="244" w:name="_Toc351203639"/>
      <w:r>
        <w:rPr>
          <w:rFonts w:hint="eastAsia" w:ascii="宋体" w:hAnsi="宋体" w:eastAsia="宋体" w:cs="宋体"/>
          <w:color w:val="auto"/>
          <w:szCs w:val="21"/>
          <w:highlight w:val="none"/>
        </w:rPr>
        <w:t>7. 工期和进度</w:t>
      </w:r>
      <w:bookmarkEnd w:id="244"/>
    </w:p>
    <w:p w14:paraId="3309A01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14:paraId="5D3FC03C">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 合同当事人约定的施工组织设计应包括的其他内容：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CE107B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施工组织设计的提交和修改</w:t>
      </w:r>
    </w:p>
    <w:p w14:paraId="4BEB5774">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b/>
          <w:bCs/>
          <w:color w:val="auto"/>
          <w:szCs w:val="21"/>
          <w:highlight w:val="none"/>
          <w:u w:val="single"/>
        </w:rPr>
        <w:t>合同签订后【7】天提供，逾期提供的，每逾期一天，应向发包人支付【</w:t>
      </w:r>
      <w:r>
        <w:rPr>
          <w:rFonts w:hint="eastAsia" w:ascii="宋体" w:hAnsi="宋体" w:eastAsia="宋体" w:cs="宋体"/>
          <w:b/>
          <w:bCs/>
          <w:color w:val="auto"/>
          <w:szCs w:val="21"/>
          <w:highlight w:val="none"/>
          <w:u w:val="single"/>
          <w:lang w:val="en-US" w:eastAsia="zh-CN"/>
        </w:rPr>
        <w:t>5000</w:t>
      </w:r>
      <w:r>
        <w:rPr>
          <w:rFonts w:hint="eastAsia" w:ascii="宋体" w:hAnsi="宋体" w:eastAsia="宋体" w:cs="宋体"/>
          <w:b/>
          <w:bCs/>
          <w:color w:val="auto"/>
          <w:szCs w:val="21"/>
          <w:highlight w:val="none"/>
          <w:u w:val="single"/>
        </w:rPr>
        <w:t>】元违约金，逾期超过【</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】天的，发包人有权解除合同</w:t>
      </w:r>
      <w:r>
        <w:rPr>
          <w:rFonts w:hint="eastAsia" w:ascii="宋体" w:hAnsi="宋体" w:eastAsia="宋体" w:cs="宋体"/>
          <w:color w:val="auto"/>
          <w:szCs w:val="21"/>
          <w:highlight w:val="none"/>
        </w:rPr>
        <w:t>。</w:t>
      </w:r>
    </w:p>
    <w:p w14:paraId="6D2C51B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b/>
          <w:bCs/>
          <w:color w:val="auto"/>
          <w:szCs w:val="21"/>
          <w:highlight w:val="none"/>
          <w:u w:val="single"/>
        </w:rPr>
        <w:t>接到报告后【</w:t>
      </w:r>
      <w:r>
        <w:rPr>
          <w:rFonts w:hint="eastAsia" w:ascii="宋体" w:hAnsi="宋体" w:eastAsia="宋体" w:cs="宋体"/>
          <w:b/>
          <w:bCs/>
          <w:color w:val="auto"/>
          <w:szCs w:val="21"/>
          <w:highlight w:val="none"/>
          <w:u w:val="single"/>
          <w:lang w:val="en-US" w:eastAsia="zh-CN"/>
        </w:rPr>
        <w:t>14</w:t>
      </w:r>
      <w:r>
        <w:rPr>
          <w:rFonts w:hint="eastAsia" w:ascii="宋体" w:hAnsi="宋体" w:eastAsia="宋体" w:cs="宋体"/>
          <w:b/>
          <w:bCs/>
          <w:color w:val="auto"/>
          <w:szCs w:val="21"/>
          <w:highlight w:val="none"/>
          <w:u w:val="single"/>
        </w:rPr>
        <w:t>】天内予以批复。（发包人、监理单位对施工组织设计方案的确认只是对施工组织设计方案可行性的确认，并不是对所涉费用的确认，也不免除承包人对施工组织设计方案应承担的全部责任）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szCs w:val="21"/>
          <w:highlight w:val="none"/>
        </w:rPr>
        <w:t>。</w:t>
      </w:r>
    </w:p>
    <w:p w14:paraId="3BD1183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45" w:name="_Toc297123514"/>
      <w:bookmarkStart w:id="246" w:name="_Toc303539123"/>
      <w:bookmarkStart w:id="247" w:name="_Toc304295541"/>
      <w:bookmarkStart w:id="248" w:name="_Toc297216173"/>
      <w:bookmarkStart w:id="249" w:name="_Toc300934966"/>
      <w:bookmarkStart w:id="250" w:name="_Toc312678005"/>
      <w:bookmarkStart w:id="251" w:name="_Toc312677479"/>
      <w:r>
        <w:rPr>
          <w:rFonts w:hint="eastAsia" w:ascii="宋体" w:hAnsi="宋体" w:eastAsia="宋体" w:cs="宋体"/>
          <w:color w:val="auto"/>
          <w:szCs w:val="21"/>
          <w:highlight w:val="none"/>
        </w:rPr>
        <w:t>.2 施工进度计划</w:t>
      </w:r>
    </w:p>
    <w:p w14:paraId="0A421A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14:paraId="076279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b/>
          <w:bCs/>
          <w:color w:val="auto"/>
          <w:szCs w:val="21"/>
          <w:highlight w:val="none"/>
          <w:u w:val="single"/>
        </w:rPr>
        <w:t>接到报告后【</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】天内予以批复</w:t>
      </w:r>
      <w:r>
        <w:rPr>
          <w:rFonts w:hint="eastAsia" w:ascii="宋体" w:hAnsi="宋体" w:eastAsia="宋体" w:cs="宋体"/>
          <w:color w:val="auto"/>
          <w:szCs w:val="21"/>
          <w:highlight w:val="none"/>
        </w:rPr>
        <w:t>。</w:t>
      </w:r>
    </w:p>
    <w:p w14:paraId="5CE0797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14:paraId="39D17C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14:paraId="2A15098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关于承包人提交工程开工报审表的期限：【】年【】月【】日前，</w:t>
      </w:r>
      <w:r>
        <w:rPr>
          <w:rFonts w:hint="eastAsia" w:ascii="宋体" w:hAnsi="宋体" w:eastAsia="宋体" w:cs="宋体"/>
          <w:color w:val="auto"/>
          <w:szCs w:val="21"/>
          <w:highlight w:val="none"/>
          <w:u w:val="single"/>
        </w:rPr>
        <w:t>逾期提供的，每逾期一天，应向发包人支付【</w:t>
      </w:r>
      <w:r>
        <w:rPr>
          <w:rFonts w:hint="eastAsia" w:ascii="宋体" w:hAnsi="宋体" w:eastAsia="宋体" w:cs="宋体"/>
          <w:color w:val="auto"/>
          <w:szCs w:val="21"/>
          <w:highlight w:val="none"/>
          <w:u w:val="single"/>
          <w:lang w:val="en-US" w:eastAsia="zh-CN"/>
        </w:rPr>
        <w:t>5000</w:t>
      </w:r>
      <w:r>
        <w:rPr>
          <w:rFonts w:hint="eastAsia" w:ascii="宋体" w:hAnsi="宋体" w:eastAsia="宋体" w:cs="宋体"/>
          <w:color w:val="auto"/>
          <w:szCs w:val="21"/>
          <w:highlight w:val="none"/>
          <w:u w:val="single"/>
        </w:rPr>
        <w:t xml:space="preserve">】元违约金 </w:t>
      </w:r>
      <w:r>
        <w:rPr>
          <w:rFonts w:hint="eastAsia" w:ascii="宋体" w:hAnsi="宋体" w:eastAsia="宋体" w:cs="宋体"/>
          <w:color w:val="auto"/>
          <w:szCs w:val="21"/>
          <w:highlight w:val="none"/>
        </w:rPr>
        <w:t>。</w:t>
      </w:r>
    </w:p>
    <w:p w14:paraId="283FD1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b/>
          <w:bCs/>
          <w:color w:val="auto"/>
          <w:szCs w:val="21"/>
          <w:highlight w:val="none"/>
          <w:u w:val="single"/>
        </w:rPr>
        <w:t>开工前【7】天</w:t>
      </w:r>
      <w:r>
        <w:rPr>
          <w:rFonts w:hint="eastAsia" w:ascii="宋体" w:hAnsi="宋体" w:eastAsia="宋体" w:cs="宋体"/>
          <w:color w:val="auto"/>
          <w:szCs w:val="21"/>
          <w:highlight w:val="none"/>
        </w:rPr>
        <w:t>。</w:t>
      </w:r>
    </w:p>
    <w:p w14:paraId="3BEB56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关于承包人应完成的其他开工准备工作及期限：【】年【】月【】日前，逾期完成的，每逾期一天，应向发包人支付【2000】元违约金。</w:t>
      </w:r>
    </w:p>
    <w:p w14:paraId="5EFB0DD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3444463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天内发出开工通知的，承包人有权提出价格调整要求，或者解除合同。</w:t>
      </w:r>
    </w:p>
    <w:bookmarkEnd w:id="245"/>
    <w:bookmarkEnd w:id="246"/>
    <w:bookmarkEnd w:id="247"/>
    <w:bookmarkEnd w:id="248"/>
    <w:bookmarkEnd w:id="249"/>
    <w:bookmarkEnd w:id="250"/>
    <w:bookmarkEnd w:id="251"/>
    <w:p w14:paraId="61B8AED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14:paraId="10B5840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b/>
          <w:bCs/>
          <w:color w:val="auto"/>
          <w:szCs w:val="21"/>
          <w:highlight w:val="none"/>
          <w:u w:val="single"/>
        </w:rPr>
        <w:t>开工前七天</w:t>
      </w:r>
      <w:r>
        <w:rPr>
          <w:rFonts w:hint="eastAsia" w:ascii="宋体" w:hAnsi="宋体" w:eastAsia="宋体" w:cs="宋体"/>
          <w:color w:val="auto"/>
          <w:szCs w:val="21"/>
          <w:highlight w:val="none"/>
        </w:rPr>
        <w:t>。</w:t>
      </w:r>
    </w:p>
    <w:p w14:paraId="39E7385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52" w:name="_Toc312677484"/>
      <w:bookmarkStart w:id="253" w:name="_Toc297123516"/>
      <w:bookmarkStart w:id="254" w:name="_Toc300934968"/>
      <w:bookmarkStart w:id="255" w:name="_Toc297216175"/>
      <w:bookmarkStart w:id="256" w:name="_Toc312678010"/>
      <w:bookmarkStart w:id="257" w:name="_Toc304295546"/>
      <w:bookmarkStart w:id="258" w:name="_Toc303539125"/>
      <w:r>
        <w:rPr>
          <w:rFonts w:hint="eastAsia" w:ascii="宋体" w:hAnsi="宋体" w:eastAsia="宋体" w:cs="宋体"/>
          <w:color w:val="auto"/>
          <w:szCs w:val="21"/>
          <w:highlight w:val="none"/>
        </w:rPr>
        <w:t>.5 工期延误</w:t>
      </w:r>
    </w:p>
    <w:bookmarkEnd w:id="252"/>
    <w:bookmarkEnd w:id="253"/>
    <w:bookmarkEnd w:id="254"/>
    <w:bookmarkEnd w:id="255"/>
    <w:bookmarkEnd w:id="256"/>
    <w:bookmarkEnd w:id="257"/>
    <w:bookmarkEnd w:id="258"/>
    <w:p w14:paraId="5F4309A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14:paraId="09A6EC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FD3DE1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（8）双方约定工期顺延的其他情况：</w:t>
      </w:r>
      <w:r>
        <w:rPr>
          <w:rFonts w:hint="eastAsia" w:ascii="宋体" w:hAnsi="宋体" w:eastAsia="宋体" w:cs="宋体"/>
          <w:color w:val="auto"/>
          <w:szCs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eastAsia="宋体" w:cs="宋体"/>
          <w:bCs/>
          <w:color w:val="auto"/>
          <w:szCs w:val="21"/>
          <w:highlight w:val="none"/>
          <w:u w:val="single"/>
        </w:rPr>
        <w:t>因非承包人原因导致的工期延误，经发包人确认的，工期相应顺延，但费用不予补偿。</w:t>
      </w:r>
    </w:p>
    <w:p w14:paraId="09BA79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（9）工程延期的审批：</w:t>
      </w:r>
      <w:r>
        <w:rPr>
          <w:rFonts w:hint="eastAsia" w:ascii="宋体" w:hAnsi="宋体" w:eastAsia="宋体" w:cs="宋体"/>
          <w:color w:val="auto"/>
          <w:szCs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24863D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59" w:name="_Toc312678012"/>
      <w:bookmarkStart w:id="260" w:name="_Toc312677486"/>
      <w:bookmarkStart w:id="261" w:name="_Toc318581169"/>
      <w:bookmarkStart w:id="262" w:name="_Toc297216177"/>
      <w:bookmarkStart w:id="263" w:name="_Toc297123518"/>
      <w:bookmarkStart w:id="264" w:name="_Toc303539127"/>
      <w:bookmarkStart w:id="265" w:name="_Toc300934970"/>
      <w:bookmarkStart w:id="266" w:name="_Toc304295548"/>
      <w:r>
        <w:rPr>
          <w:rFonts w:hint="eastAsia" w:ascii="宋体" w:hAnsi="宋体" w:eastAsia="宋体" w:cs="宋体"/>
          <w:color w:val="auto"/>
          <w:szCs w:val="21"/>
          <w:highlight w:val="none"/>
        </w:rPr>
        <w:t>.5.2 因承包人原因导致工期延误</w:t>
      </w:r>
    </w:p>
    <w:bookmarkEnd w:id="259"/>
    <w:bookmarkEnd w:id="260"/>
    <w:bookmarkEnd w:id="261"/>
    <w:p w14:paraId="61665EA4">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w:t>
      </w:r>
      <w:bookmarkStart w:id="267" w:name="_Toc312678013"/>
      <w:bookmarkStart w:id="268" w:name="_Toc312677487"/>
      <w:bookmarkStart w:id="269" w:name="_Toc318581170"/>
      <w:r>
        <w:rPr>
          <w:rFonts w:hint="eastAsia" w:ascii="宋体" w:hAnsi="宋体" w:eastAsia="宋体" w:cs="宋体"/>
          <w:color w:val="auto"/>
          <w:szCs w:val="21"/>
          <w:highlight w:val="none"/>
        </w:rPr>
        <w:t>承包人原因造成工期延误，逾期竣工违约金的计算方法为：</w:t>
      </w:r>
    </w:p>
    <w:p w14:paraId="3630607F">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50000】元违约金。</w:t>
      </w:r>
    </w:p>
    <w:p w14:paraId="3976FE56">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w:t>
      </w:r>
      <w:r>
        <w:rPr>
          <w:rFonts w:hint="eastAsia" w:ascii="宋体" w:hAnsi="宋体" w:eastAsia="宋体" w:cs="宋体"/>
          <w:b/>
          <w:bCs/>
          <w:color w:val="auto"/>
          <w:szCs w:val="21"/>
          <w:highlight w:val="none"/>
          <w:u w:val="single"/>
          <w:lang w:val="en-US" w:eastAsia="zh-CN"/>
        </w:rPr>
        <w:t>10000</w:t>
      </w:r>
      <w:r>
        <w:rPr>
          <w:rFonts w:hint="eastAsia" w:ascii="宋体" w:hAnsi="宋体" w:eastAsia="宋体" w:cs="宋体"/>
          <w:b/>
          <w:bCs/>
          <w:color w:val="auto"/>
          <w:szCs w:val="21"/>
          <w:highlight w:val="none"/>
          <w:u w:val="single"/>
        </w:rPr>
        <w:t>】元向发包人支付违约金。</w:t>
      </w:r>
      <w:bookmarkEnd w:id="262"/>
      <w:bookmarkEnd w:id="263"/>
      <w:bookmarkEnd w:id="264"/>
      <w:bookmarkEnd w:id="265"/>
      <w:bookmarkEnd w:id="266"/>
      <w:bookmarkEnd w:id="267"/>
      <w:bookmarkEnd w:id="268"/>
    </w:p>
    <w:bookmarkEnd w:id="269"/>
    <w:p w14:paraId="27B234D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w:t>
      </w:r>
      <w:bookmarkStart w:id="270" w:name="_Toc318581171"/>
      <w:bookmarkStart w:id="271" w:name="_Toc312678014"/>
      <w:r>
        <w:rPr>
          <w:rFonts w:hint="eastAsia" w:ascii="宋体" w:hAnsi="宋体" w:eastAsia="宋体" w:cs="宋体"/>
          <w:color w:val="auto"/>
          <w:szCs w:val="21"/>
          <w:highlight w:val="none"/>
        </w:rPr>
        <w:t>期竣工违约金的上限：</w:t>
      </w:r>
      <w:r>
        <w:rPr>
          <w:rFonts w:hint="eastAsia" w:ascii="宋体" w:hAnsi="宋体" w:eastAsia="宋体" w:cs="宋体"/>
          <w:b/>
          <w:bCs/>
          <w:color w:val="auto"/>
          <w:szCs w:val="21"/>
          <w:highlight w:val="none"/>
          <w:u w:val="single"/>
        </w:rPr>
        <w:t>累计最高不超过合同总价的百分之二十，但因工期延误给发包人造成的损失不受该违约金上限的限制</w:t>
      </w:r>
      <w:r>
        <w:rPr>
          <w:rFonts w:hint="eastAsia" w:ascii="宋体" w:hAnsi="宋体" w:eastAsia="宋体" w:cs="宋体"/>
          <w:color w:val="auto"/>
          <w:szCs w:val="21"/>
          <w:highlight w:val="none"/>
        </w:rPr>
        <w:t>。</w:t>
      </w:r>
    </w:p>
    <w:bookmarkEnd w:id="270"/>
    <w:bookmarkEnd w:id="271"/>
    <w:p w14:paraId="7320E25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72" w:name="_Toc304295549"/>
      <w:bookmarkStart w:id="273" w:name="_Toc297123519"/>
      <w:bookmarkStart w:id="274" w:name="_Toc303539128"/>
      <w:bookmarkStart w:id="275" w:name="_Toc300934971"/>
      <w:bookmarkStart w:id="276" w:name="_Toc312678015"/>
      <w:bookmarkStart w:id="277" w:name="_Toc297216178"/>
      <w:r>
        <w:rPr>
          <w:rFonts w:hint="eastAsia" w:ascii="宋体" w:hAnsi="宋体" w:eastAsia="宋体" w:cs="宋体"/>
          <w:color w:val="auto"/>
          <w:szCs w:val="21"/>
          <w:highlight w:val="none"/>
        </w:rPr>
        <w:t>.6 不</w:t>
      </w:r>
      <w:bookmarkEnd w:id="272"/>
      <w:bookmarkEnd w:id="273"/>
      <w:bookmarkEnd w:id="274"/>
      <w:bookmarkEnd w:id="275"/>
      <w:bookmarkEnd w:id="276"/>
      <w:bookmarkEnd w:id="277"/>
      <w:r>
        <w:rPr>
          <w:rFonts w:hint="eastAsia" w:ascii="宋体" w:hAnsi="宋体" w:eastAsia="宋体" w:cs="宋体"/>
          <w:color w:val="auto"/>
          <w:szCs w:val="21"/>
          <w:highlight w:val="none"/>
        </w:rPr>
        <w:t>利物质条件</w:t>
      </w:r>
    </w:p>
    <w:p w14:paraId="2E603247">
      <w:pPr>
        <w:adjustRightInd w:val="0"/>
        <w:snapToGrid w:val="0"/>
        <w:spacing w:line="360" w:lineRule="auto"/>
        <w:ind w:firstLine="420" w:firstLineChars="200"/>
        <w:rPr>
          <w:rFonts w:hint="eastAsia" w:ascii="宋体" w:hAnsi="宋体" w:eastAsia="宋体" w:cs="宋体"/>
          <w:color w:val="auto"/>
          <w:szCs w:val="21"/>
          <w:highlight w:val="none"/>
        </w:rPr>
      </w:pPr>
      <w:bookmarkStart w:id="278" w:name="_Toc300934972"/>
      <w:bookmarkStart w:id="279" w:name="_Toc303539129"/>
      <w:bookmarkStart w:id="280" w:name="_Toc318581172"/>
      <w:bookmarkStart w:id="281" w:name="_Toc304295550"/>
      <w:bookmarkStart w:id="282" w:name="_Toc297216179"/>
      <w:bookmarkStart w:id="283" w:name="_Toc297123520"/>
      <w:bookmarkStart w:id="284" w:name="_Toc312678016"/>
      <w:r>
        <w:rPr>
          <w:rFonts w:hint="eastAsia" w:ascii="宋体" w:hAnsi="宋体" w:eastAsia="宋体" w:cs="宋体"/>
          <w:color w:val="auto"/>
          <w:szCs w:val="21"/>
          <w:highlight w:val="none"/>
        </w:rPr>
        <w:t>不利物质条件的其他情形和有关约定：</w:t>
      </w:r>
      <w:r>
        <w:rPr>
          <w:rFonts w:hint="eastAsia" w:ascii="宋体" w:hAnsi="宋体" w:eastAsia="宋体" w:cs="宋体"/>
          <w:b/>
          <w:bCs/>
          <w:color w:val="auto"/>
          <w:szCs w:val="21"/>
          <w:highlight w:val="none"/>
          <w:u w:val="single"/>
        </w:rPr>
        <w:t>按通用合同条款第7.6条规定执行</w:t>
      </w:r>
      <w:r>
        <w:rPr>
          <w:rFonts w:hint="eastAsia" w:ascii="宋体" w:hAnsi="宋体" w:eastAsia="宋体" w:cs="宋体"/>
          <w:color w:val="auto"/>
          <w:szCs w:val="21"/>
          <w:highlight w:val="none"/>
        </w:rPr>
        <w:t>。</w:t>
      </w:r>
    </w:p>
    <w:bookmarkEnd w:id="278"/>
    <w:bookmarkEnd w:id="279"/>
    <w:bookmarkEnd w:id="280"/>
    <w:bookmarkEnd w:id="281"/>
    <w:bookmarkEnd w:id="282"/>
    <w:bookmarkEnd w:id="283"/>
    <w:bookmarkEnd w:id="284"/>
    <w:p w14:paraId="24BF63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85" w:name="_Toc303539130"/>
      <w:bookmarkStart w:id="286" w:name="_Toc300934973"/>
      <w:bookmarkStart w:id="287" w:name="_Toc304295551"/>
      <w:bookmarkStart w:id="288" w:name="_Toc297216180"/>
      <w:bookmarkStart w:id="289" w:name="_Toc312678017"/>
      <w:bookmarkStart w:id="290" w:name="_Toc297123521"/>
      <w:r>
        <w:rPr>
          <w:rFonts w:hint="eastAsia" w:ascii="宋体" w:hAnsi="宋体" w:eastAsia="宋体" w:cs="宋体"/>
          <w:color w:val="auto"/>
          <w:szCs w:val="21"/>
          <w:highlight w:val="none"/>
        </w:rPr>
        <w:t>.7异常恶劣的气候条件</w:t>
      </w:r>
    </w:p>
    <w:bookmarkEnd w:id="285"/>
    <w:bookmarkEnd w:id="286"/>
    <w:bookmarkEnd w:id="287"/>
    <w:bookmarkEnd w:id="288"/>
    <w:bookmarkEnd w:id="289"/>
    <w:bookmarkEnd w:id="290"/>
    <w:p w14:paraId="458F6D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4BF8152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B066A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E50DAA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B5266FB">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291" w:name="_Toc16472"/>
      <w:r>
        <w:rPr>
          <w:rFonts w:hint="eastAsia" w:ascii="宋体" w:hAnsi="宋体" w:eastAsia="宋体" w:cs="宋体"/>
          <w:color w:val="auto"/>
          <w:szCs w:val="21"/>
          <w:highlight w:val="none"/>
        </w:rPr>
        <w:t>7.9 提前竣工的奖励</w:t>
      </w:r>
      <w:bookmarkEnd w:id="291"/>
    </w:p>
    <w:p w14:paraId="4B7CD1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7.9.2提前竣工的奖励：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1E6C613">
      <w:pPr>
        <w:adjustRightInd w:val="0"/>
        <w:snapToGrid w:val="0"/>
        <w:spacing w:line="360" w:lineRule="auto"/>
        <w:ind w:firstLine="420" w:firstLineChars="200"/>
        <w:rPr>
          <w:rFonts w:hint="eastAsia" w:ascii="宋体" w:hAnsi="宋体" w:eastAsia="宋体" w:cs="宋体"/>
          <w:color w:val="auto"/>
          <w:szCs w:val="21"/>
          <w:highlight w:val="none"/>
        </w:rPr>
      </w:pPr>
      <w:bookmarkStart w:id="292" w:name="_Toc351203640"/>
      <w:r>
        <w:rPr>
          <w:rFonts w:hint="eastAsia" w:ascii="宋体" w:hAnsi="宋体" w:eastAsia="宋体" w:cs="宋体"/>
          <w:color w:val="auto"/>
          <w:szCs w:val="21"/>
          <w:highlight w:val="none"/>
        </w:rPr>
        <w:t>8. 材料与设备</w:t>
      </w:r>
      <w:bookmarkEnd w:id="292"/>
    </w:p>
    <w:bookmarkEnd w:id="224"/>
    <w:bookmarkEnd w:id="225"/>
    <w:bookmarkEnd w:id="226"/>
    <w:bookmarkEnd w:id="227"/>
    <w:bookmarkEnd w:id="228"/>
    <w:bookmarkEnd w:id="229"/>
    <w:bookmarkEnd w:id="230"/>
    <w:bookmarkEnd w:id="231"/>
    <w:bookmarkEnd w:id="232"/>
    <w:bookmarkEnd w:id="233"/>
    <w:p w14:paraId="0E9DA6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293" w:name="_Toc297120467"/>
      <w:bookmarkStart w:id="294" w:name="_Toc296944506"/>
      <w:bookmarkStart w:id="295" w:name="_Toc297048353"/>
      <w:bookmarkStart w:id="296" w:name="_Toc280868654"/>
      <w:bookmarkStart w:id="297" w:name="_Toc297216186"/>
      <w:bookmarkStart w:id="298" w:name="_Toc296347166"/>
      <w:bookmarkStart w:id="299" w:name="_Toc296346668"/>
      <w:bookmarkStart w:id="300" w:name="_Toc292559372"/>
      <w:bookmarkStart w:id="301" w:name="_Toc297123527"/>
      <w:bookmarkStart w:id="302" w:name="_Toc304295556"/>
      <w:bookmarkStart w:id="303" w:name="_Toc292559877"/>
      <w:bookmarkStart w:id="304" w:name="_Toc296890995"/>
      <w:bookmarkStart w:id="305" w:name="_Toc312678019"/>
      <w:bookmarkStart w:id="306" w:name="_Toc300934979"/>
      <w:bookmarkStart w:id="307" w:name="_Toc296891207"/>
      <w:bookmarkStart w:id="308" w:name="_Toc296503167"/>
      <w:bookmarkStart w:id="309" w:name="_Toc312677493"/>
      <w:bookmarkStart w:id="310" w:name="_Toc303539136"/>
      <w:bookmarkStart w:id="311" w:name="_Toc267251424"/>
      <w:bookmarkStart w:id="312" w:name="_Toc280868656"/>
      <w:bookmarkStart w:id="313" w:name="_Toc280868655"/>
      <w:r>
        <w:rPr>
          <w:rFonts w:hint="eastAsia" w:ascii="宋体" w:hAnsi="宋体" w:eastAsia="宋体" w:cs="宋体"/>
          <w:color w:val="auto"/>
          <w:szCs w:val="21"/>
          <w:highlight w:val="none"/>
        </w:rPr>
        <w:t>.4材料与工程设备的保管与使用</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6B817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314" w:name="_Toc292559878"/>
      <w:bookmarkStart w:id="315" w:name="_Toc292559373"/>
      <w:bookmarkStart w:id="316" w:name="_Toc297216187"/>
      <w:bookmarkStart w:id="317" w:name="_Toc312678020"/>
      <w:bookmarkStart w:id="318" w:name="_Toc296347167"/>
      <w:bookmarkStart w:id="319" w:name="_Toc303539137"/>
      <w:bookmarkStart w:id="320" w:name="_Toc304295557"/>
      <w:bookmarkStart w:id="321" w:name="_Toc296944507"/>
      <w:bookmarkStart w:id="322" w:name="_Toc296503168"/>
      <w:bookmarkStart w:id="323" w:name="_Toc296891208"/>
      <w:bookmarkStart w:id="324" w:name="_Toc297120468"/>
      <w:bookmarkStart w:id="325" w:name="_Toc296346669"/>
      <w:bookmarkStart w:id="326" w:name="_Toc318581173"/>
      <w:bookmarkStart w:id="327" w:name="_Toc297048354"/>
      <w:bookmarkStart w:id="328" w:name="_Toc300934980"/>
      <w:bookmarkStart w:id="329" w:name="_Toc296890996"/>
      <w:bookmarkStart w:id="330" w:name="_Toc297123528"/>
      <w:bookmarkStart w:id="331" w:name="_Toc312677494"/>
      <w:r>
        <w:rPr>
          <w:rFonts w:hint="eastAsia" w:ascii="宋体" w:hAnsi="宋体" w:eastAsia="宋体" w:cs="宋体"/>
          <w:color w:val="auto"/>
          <w:szCs w:val="21"/>
          <w:highlight w:val="none"/>
        </w:rPr>
        <w:t>.4.1发包人供应的材料设备的保管费用的承担：</w:t>
      </w:r>
    </w:p>
    <w:p w14:paraId="3C999026">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发包人供应的材料设备保管费用、安装过程中的二次搬运费用和设备就位费、检验试验费由承包人承担；因承包人原因发生材料丢失损坏，由承包人负责赔偿。</w:t>
      </w:r>
      <w:bookmarkEnd w:id="314"/>
      <w:bookmarkEnd w:id="315"/>
    </w:p>
    <w:p w14:paraId="0D795417">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32" w:name="_Toc30669"/>
      <w:r>
        <w:rPr>
          <w:rFonts w:hint="eastAsia" w:ascii="宋体" w:hAnsi="宋体" w:eastAsia="宋体" w:cs="宋体"/>
          <w:color w:val="auto"/>
          <w:szCs w:val="21"/>
          <w:highlight w:val="none"/>
        </w:rPr>
        <w:t>8.6 样品</w:t>
      </w:r>
      <w:bookmarkEnd w:id="332"/>
    </w:p>
    <w:p w14:paraId="6572A365">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 样品的报送与封存</w:t>
      </w:r>
    </w:p>
    <w:p w14:paraId="56B04B57">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b/>
          <w:bCs/>
          <w:color w:val="auto"/>
          <w:szCs w:val="21"/>
          <w:highlight w:val="none"/>
          <w:u w:val="single"/>
        </w:rPr>
        <w:t>按通用合同条款第8.6.1条规定执行</w:t>
      </w:r>
      <w:r>
        <w:rPr>
          <w:rFonts w:hint="eastAsia" w:ascii="宋体" w:hAnsi="宋体" w:eastAsia="宋体" w:cs="宋体"/>
          <w:color w:val="auto"/>
          <w:szCs w:val="21"/>
          <w:highlight w:val="none"/>
        </w:rPr>
        <w:t>。</w:t>
      </w:r>
    </w:p>
    <w:p w14:paraId="1455AA0B">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33" w:name="_Toc26462"/>
      <w:r>
        <w:rPr>
          <w:rFonts w:hint="eastAsia" w:ascii="宋体" w:hAnsi="宋体" w:eastAsia="宋体" w:cs="宋体"/>
          <w:color w:val="auto"/>
          <w:szCs w:val="21"/>
          <w:highlight w:val="none"/>
        </w:rPr>
        <w:t>8.8 施工设备和临时设施</w:t>
      </w:r>
      <w:bookmarkEnd w:id="333"/>
    </w:p>
    <w:p w14:paraId="51D10097">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14:paraId="42832558">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由承包人承担 。</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5617839E">
      <w:pPr>
        <w:adjustRightInd w:val="0"/>
        <w:snapToGrid w:val="0"/>
        <w:spacing w:line="360" w:lineRule="auto"/>
        <w:ind w:firstLine="420" w:firstLineChars="200"/>
        <w:rPr>
          <w:rFonts w:hint="eastAsia" w:ascii="宋体" w:hAnsi="宋体" w:eastAsia="宋体" w:cs="宋体"/>
          <w:color w:val="auto"/>
          <w:szCs w:val="21"/>
          <w:highlight w:val="none"/>
        </w:rPr>
      </w:pPr>
      <w:bookmarkStart w:id="334" w:name="_Toc351203641"/>
      <w:r>
        <w:rPr>
          <w:rFonts w:hint="eastAsia" w:ascii="宋体" w:hAnsi="宋体" w:eastAsia="宋体" w:cs="宋体"/>
          <w:color w:val="auto"/>
          <w:szCs w:val="21"/>
          <w:highlight w:val="none"/>
        </w:rPr>
        <w:t>9</w:t>
      </w:r>
      <w:bookmarkEnd w:id="311"/>
      <w:bookmarkEnd w:id="312"/>
      <w:bookmarkEnd w:id="313"/>
      <w:bookmarkStart w:id="335" w:name="_Toc303539139"/>
      <w:bookmarkStart w:id="336" w:name="_Toc312678021"/>
      <w:bookmarkStart w:id="337" w:name="_Toc297216192"/>
      <w:bookmarkStart w:id="338" w:name="_Toc297123533"/>
      <w:bookmarkStart w:id="339" w:name="_Toc300934982"/>
      <w:bookmarkStart w:id="340" w:name="_Toc312677495"/>
      <w:bookmarkStart w:id="341" w:name="_Toc304295559"/>
      <w:bookmarkStart w:id="342" w:name="_Toc267251427"/>
      <w:bookmarkStart w:id="343" w:name="_Toc292559883"/>
      <w:bookmarkStart w:id="344" w:name="_Toc292559378"/>
      <w:bookmarkStart w:id="345" w:name="_Toc267251428"/>
      <w:bookmarkStart w:id="346" w:name="_Toc296503173"/>
      <w:bookmarkStart w:id="347" w:name="_Toc296891213"/>
      <w:bookmarkStart w:id="348" w:name="_Toc296944512"/>
      <w:bookmarkStart w:id="349" w:name="_Toc297048359"/>
      <w:bookmarkStart w:id="350" w:name="_Toc296891001"/>
      <w:bookmarkStart w:id="351" w:name="_Toc296347172"/>
      <w:bookmarkStart w:id="352" w:name="_Toc297120473"/>
      <w:bookmarkStart w:id="353" w:name="_Toc296346674"/>
      <w:r>
        <w:rPr>
          <w:rFonts w:hint="eastAsia" w:ascii="宋体" w:hAnsi="宋体" w:eastAsia="宋体" w:cs="宋体"/>
          <w:color w:val="auto"/>
          <w:szCs w:val="21"/>
          <w:highlight w:val="none"/>
        </w:rPr>
        <w:t>. 试验与检验</w:t>
      </w:r>
      <w:bookmarkEnd w:id="334"/>
    </w:p>
    <w:bookmarkEnd w:id="335"/>
    <w:bookmarkEnd w:id="336"/>
    <w:bookmarkEnd w:id="337"/>
    <w:bookmarkEnd w:id="338"/>
    <w:bookmarkEnd w:id="339"/>
    <w:bookmarkEnd w:id="340"/>
    <w:bookmarkEnd w:id="341"/>
    <w:p w14:paraId="7DCC67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354" w:name="_Toc297123534"/>
      <w:bookmarkStart w:id="355" w:name="_Toc312678022"/>
      <w:bookmarkStart w:id="356" w:name="_Toc303539140"/>
      <w:bookmarkStart w:id="357" w:name="_Toc300934983"/>
      <w:bookmarkStart w:id="358" w:name="_Toc312677496"/>
      <w:bookmarkStart w:id="359" w:name="_Toc297216193"/>
      <w:bookmarkStart w:id="360" w:name="_Toc304295560"/>
      <w:r>
        <w:rPr>
          <w:rFonts w:hint="eastAsia" w:ascii="宋体" w:hAnsi="宋体" w:eastAsia="宋体" w:cs="宋体"/>
          <w:color w:val="auto"/>
          <w:szCs w:val="21"/>
          <w:highlight w:val="none"/>
        </w:rPr>
        <w:t>.1试验设备与试验人员</w:t>
      </w:r>
    </w:p>
    <w:bookmarkEnd w:id="354"/>
    <w:bookmarkEnd w:id="355"/>
    <w:bookmarkEnd w:id="356"/>
    <w:bookmarkEnd w:id="357"/>
    <w:bookmarkEnd w:id="358"/>
    <w:bookmarkEnd w:id="359"/>
    <w:bookmarkEnd w:id="360"/>
    <w:p w14:paraId="3258A6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361" w:name="_Toc297123535"/>
      <w:bookmarkStart w:id="362" w:name="_Toc304295561"/>
      <w:bookmarkStart w:id="363" w:name="_Toc312678023"/>
      <w:bookmarkStart w:id="364" w:name="_Toc297216194"/>
      <w:bookmarkStart w:id="365" w:name="_Toc303539141"/>
      <w:bookmarkStart w:id="366" w:name="_Toc300934984"/>
      <w:bookmarkStart w:id="367" w:name="_Toc312677497"/>
      <w:bookmarkStart w:id="368" w:name="_Toc318581174"/>
      <w:r>
        <w:rPr>
          <w:rFonts w:hint="eastAsia" w:ascii="宋体" w:hAnsi="宋体" w:eastAsia="宋体" w:cs="宋体"/>
          <w:color w:val="auto"/>
          <w:szCs w:val="21"/>
          <w:highlight w:val="none"/>
        </w:rPr>
        <w:t>.1.2 试验设备</w:t>
      </w:r>
    </w:p>
    <w:p w14:paraId="1368660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361"/>
      <w:bookmarkEnd w:id="362"/>
      <w:bookmarkEnd w:id="363"/>
      <w:bookmarkEnd w:id="364"/>
      <w:bookmarkEnd w:id="365"/>
      <w:bookmarkEnd w:id="366"/>
      <w:bookmarkEnd w:id="367"/>
      <w:bookmarkStart w:id="369" w:name="_Toc312678024"/>
      <w:bookmarkStart w:id="370" w:name="_Toc297216195"/>
      <w:bookmarkStart w:id="371" w:name="_Toc300934985"/>
      <w:bookmarkStart w:id="372" w:name="_Toc303539142"/>
      <w:bookmarkStart w:id="373" w:name="_Toc304295562"/>
      <w:bookmarkStart w:id="374" w:name="_Toc297123536"/>
      <w:bookmarkStart w:id="375" w:name="_Toc312677498"/>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0AF96AD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56EC65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施工现场需要具备的其他试验条件：满足工程需要，由承包人提供 。</w:t>
      </w:r>
    </w:p>
    <w:p w14:paraId="7B0EB8E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76" w:name="_Toc22545"/>
      <w:r>
        <w:rPr>
          <w:rFonts w:hint="eastAsia" w:ascii="宋体" w:hAnsi="宋体" w:eastAsia="宋体" w:cs="宋体"/>
          <w:color w:val="auto"/>
          <w:szCs w:val="21"/>
          <w:highlight w:val="none"/>
        </w:rPr>
        <w:t>9.4 现场工艺试验</w:t>
      </w:r>
      <w:bookmarkEnd w:id="376"/>
      <w:r>
        <w:rPr>
          <w:rFonts w:hint="eastAsia" w:ascii="宋体" w:hAnsi="宋体" w:eastAsia="宋体" w:cs="宋体"/>
          <w:color w:val="auto"/>
          <w:szCs w:val="21"/>
          <w:highlight w:val="none"/>
        </w:rPr>
        <w:t xml:space="preserve"> </w:t>
      </w:r>
    </w:p>
    <w:p w14:paraId="1D5044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现场工艺试验的有关约定：承包人应当根据国家或行业的规程、规范进行试验，费用已包含在合同价款中，不得另行计取。</w:t>
      </w:r>
    </w:p>
    <w:bookmarkEnd w:id="368"/>
    <w:bookmarkEnd w:id="369"/>
    <w:bookmarkEnd w:id="370"/>
    <w:bookmarkEnd w:id="371"/>
    <w:bookmarkEnd w:id="372"/>
    <w:bookmarkEnd w:id="373"/>
    <w:bookmarkEnd w:id="374"/>
    <w:bookmarkEnd w:id="375"/>
    <w:p w14:paraId="61EA84E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342"/>
      <w:bookmarkEnd w:id="343"/>
      <w:bookmarkEnd w:id="344"/>
      <w:bookmarkEnd w:id="345"/>
      <w:bookmarkEnd w:id="346"/>
      <w:bookmarkEnd w:id="347"/>
      <w:bookmarkEnd w:id="348"/>
      <w:bookmarkEnd w:id="349"/>
      <w:bookmarkEnd w:id="350"/>
      <w:bookmarkEnd w:id="351"/>
      <w:bookmarkEnd w:id="352"/>
      <w:bookmarkEnd w:id="353"/>
      <w:bookmarkStart w:id="377" w:name="_Toc296346694"/>
      <w:bookmarkStart w:id="378" w:name="_Toc297123540"/>
      <w:bookmarkStart w:id="379" w:name="_Toc304295566"/>
      <w:bookmarkStart w:id="380" w:name="_Toc292559903"/>
      <w:bookmarkStart w:id="381" w:name="_Toc292559398"/>
      <w:bookmarkStart w:id="382" w:name="_Toc296503193"/>
      <w:bookmarkStart w:id="383" w:name="_Toc300934989"/>
      <w:bookmarkStart w:id="384" w:name="_Toc297120493"/>
      <w:bookmarkStart w:id="385" w:name="_Toc303539146"/>
      <w:bookmarkStart w:id="386" w:name="_Toc296944532"/>
      <w:bookmarkStart w:id="387" w:name="_Toc297216199"/>
      <w:bookmarkStart w:id="388" w:name="_Toc297048379"/>
      <w:bookmarkStart w:id="389" w:name="_Toc296891021"/>
      <w:bookmarkStart w:id="390" w:name="_Toc296891233"/>
      <w:bookmarkStart w:id="391" w:name="_Toc296347192"/>
      <w:bookmarkStart w:id="392" w:name="_Toc312678025"/>
      <w:bookmarkStart w:id="393" w:name="_Toc312677499"/>
      <w:bookmarkStart w:id="394" w:name="_Toc267251435"/>
      <w:bookmarkStart w:id="395" w:name="_Toc267251437"/>
      <w:bookmarkStart w:id="396" w:name="_Toc267251433"/>
      <w:bookmarkStart w:id="397" w:name="_Toc267251440"/>
      <w:bookmarkStart w:id="398" w:name="_Toc267251441"/>
      <w:bookmarkStart w:id="399" w:name="_Toc267251439"/>
      <w:bookmarkStart w:id="400" w:name="_Toc267251442"/>
      <w:r>
        <w:rPr>
          <w:rFonts w:hint="eastAsia" w:ascii="宋体" w:hAnsi="宋体" w:eastAsia="宋体" w:cs="宋体"/>
          <w:color w:val="auto"/>
          <w:szCs w:val="21"/>
          <w:highlight w:val="none"/>
        </w:rPr>
        <w:t>0. 变更</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bookmarkEnd w:id="392"/>
    <w:bookmarkEnd w:id="393"/>
    <w:p w14:paraId="779A5B0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01" w:name="_Toc296944533"/>
      <w:bookmarkStart w:id="402" w:name="_Toc296347193"/>
      <w:bookmarkStart w:id="403" w:name="_Toc304295567"/>
      <w:bookmarkStart w:id="404" w:name="_Toc300934990"/>
      <w:bookmarkStart w:id="405" w:name="_Toc296891022"/>
      <w:bookmarkStart w:id="406" w:name="_Toc297216200"/>
      <w:bookmarkStart w:id="407" w:name="_Toc297048380"/>
      <w:bookmarkStart w:id="408" w:name="_Toc297123541"/>
      <w:bookmarkStart w:id="409" w:name="_Toc292559904"/>
      <w:bookmarkStart w:id="410" w:name="_Toc312677500"/>
      <w:bookmarkStart w:id="411" w:name="_Toc296503194"/>
      <w:bookmarkStart w:id="412" w:name="_Toc312678026"/>
      <w:bookmarkStart w:id="413" w:name="_Toc296891234"/>
      <w:bookmarkStart w:id="414" w:name="_Toc296346695"/>
      <w:bookmarkStart w:id="415" w:name="_Toc292559399"/>
      <w:bookmarkStart w:id="416" w:name="_Toc297120494"/>
      <w:bookmarkStart w:id="417" w:name="_Toc303539147"/>
      <w:r>
        <w:rPr>
          <w:rFonts w:hint="eastAsia" w:ascii="宋体" w:hAnsi="宋体" w:eastAsia="宋体" w:cs="宋体"/>
          <w:color w:val="auto"/>
          <w:szCs w:val="21"/>
          <w:highlight w:val="none"/>
        </w:rPr>
        <w:t>0.1变更的范围</w:t>
      </w:r>
    </w:p>
    <w:p w14:paraId="159C7AB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关于变更的范围的约定：</w:t>
      </w:r>
    </w:p>
    <w:p w14:paraId="1666C008">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（1）</w:t>
      </w:r>
      <w:r>
        <w:rPr>
          <w:rFonts w:hint="eastAsia" w:ascii="宋体" w:hAnsi="宋体" w:eastAsia="宋体" w:cs="宋体"/>
          <w:b/>
          <w:bCs/>
          <w:color w:val="auto"/>
          <w:szCs w:val="21"/>
          <w:highlight w:val="none"/>
          <w:u w:val="single"/>
        </w:rPr>
        <w:t>施工中发包人需对原工程设计变更，应提前【</w:t>
      </w:r>
      <w:r>
        <w:rPr>
          <w:rFonts w:hint="eastAsia" w:ascii="宋体" w:hAnsi="宋体" w:eastAsia="宋体" w:cs="宋体"/>
          <w:b/>
          <w:bCs/>
          <w:color w:val="auto"/>
          <w:szCs w:val="21"/>
          <w:highlight w:val="none"/>
          <w:u w:val="single"/>
          <w:lang w:val="en-US" w:eastAsia="zh-CN"/>
        </w:rPr>
        <w:t>14</w:t>
      </w:r>
      <w:r>
        <w:rPr>
          <w:rFonts w:hint="eastAsia" w:ascii="宋体" w:hAnsi="宋体" w:eastAsia="宋体" w:cs="宋体"/>
          <w:b/>
          <w:bCs/>
          <w:color w:val="auto"/>
          <w:szCs w:val="21"/>
          <w:highlight w:val="none"/>
          <w:u w:val="single"/>
        </w:rPr>
        <w:t>】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1FB850D4">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（2）施工中承包人不得对原工程设计进行变更。因承包人擅自变更设计发生的费用和由此导致发包人损失，由承包人承担，延误的工期不予顺延，同时发包人有权解除合同。</w:t>
      </w:r>
    </w:p>
    <w:p w14:paraId="1BF3383D">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eastAsia="宋体" w:cs="宋体"/>
          <w:color w:val="auto"/>
          <w:szCs w:val="21"/>
          <w:highlight w:val="none"/>
        </w:rPr>
        <w:t>。</w:t>
      </w:r>
    </w:p>
    <w:p w14:paraId="41F7E12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418" w:name="_Toc1082"/>
      <w:r>
        <w:rPr>
          <w:rFonts w:hint="eastAsia" w:ascii="宋体" w:hAnsi="宋体" w:eastAsia="宋体" w:cs="宋体"/>
          <w:color w:val="auto"/>
          <w:szCs w:val="21"/>
          <w:highlight w:val="none"/>
        </w:rPr>
        <w:t>10.4 变更估价</w:t>
      </w:r>
      <w:bookmarkEnd w:id="418"/>
    </w:p>
    <w:p w14:paraId="47C9C5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14:paraId="563AAF2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关于变更估价的约定: </w:t>
      </w:r>
      <w:r>
        <w:rPr>
          <w:rFonts w:hint="eastAsia" w:ascii="宋体" w:hAnsi="宋体" w:eastAsia="宋体" w:cs="宋体"/>
          <w:b/>
          <w:bCs/>
          <w:color w:val="auto"/>
          <w:szCs w:val="21"/>
          <w:highlight w:val="none"/>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eastAsia="宋体" w:cs="宋体"/>
          <w:color w:val="auto"/>
          <w:szCs w:val="21"/>
          <w:highlight w:val="none"/>
        </w:rPr>
        <w:t>。</w:t>
      </w:r>
    </w:p>
    <w:p w14:paraId="705594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Start w:id="419" w:name="_Toc292559402"/>
      <w:bookmarkStart w:id="420" w:name="_Toc296346698"/>
      <w:bookmarkStart w:id="421" w:name="_Toc297120497"/>
      <w:bookmarkStart w:id="422" w:name="_Toc297216203"/>
      <w:bookmarkStart w:id="423" w:name="_Toc300934993"/>
      <w:bookmarkStart w:id="424" w:name="_Toc296944536"/>
      <w:bookmarkStart w:id="425" w:name="_Toc292559907"/>
      <w:bookmarkStart w:id="426" w:name="_Toc296891237"/>
      <w:bookmarkStart w:id="427" w:name="_Toc296347196"/>
      <w:bookmarkStart w:id="428" w:name="_Toc296503197"/>
      <w:bookmarkStart w:id="429" w:name="_Toc296891025"/>
      <w:bookmarkStart w:id="430" w:name="_Toc297123544"/>
      <w:bookmarkStart w:id="431" w:name="_Toc297048383"/>
      <w:bookmarkStart w:id="432" w:name="_Toc303539150"/>
      <w:bookmarkStart w:id="433" w:name="_Toc304295570"/>
      <w:bookmarkStart w:id="434" w:name="_Toc312677503"/>
      <w:bookmarkStart w:id="435" w:name="_Toc312678029"/>
      <w:r>
        <w:rPr>
          <w:rFonts w:hint="eastAsia" w:ascii="宋体" w:hAnsi="宋体" w:eastAsia="宋体" w:cs="宋体"/>
          <w:color w:val="auto"/>
          <w:szCs w:val="21"/>
          <w:highlight w:val="none"/>
        </w:rPr>
        <w:t>0.5承</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Start w:id="436" w:name="_Toc297216204"/>
      <w:bookmarkStart w:id="437" w:name="_Toc296891243"/>
      <w:bookmarkStart w:id="438" w:name="_Toc297048389"/>
      <w:bookmarkStart w:id="439" w:name="_Toc303539151"/>
      <w:bookmarkStart w:id="440" w:name="_Toc292559913"/>
      <w:bookmarkStart w:id="441" w:name="_Toc300934994"/>
      <w:bookmarkStart w:id="442" w:name="_Toc296503203"/>
      <w:bookmarkStart w:id="443" w:name="_Toc297123545"/>
      <w:bookmarkStart w:id="444" w:name="_Toc296346704"/>
      <w:bookmarkStart w:id="445" w:name="_Toc296944542"/>
      <w:bookmarkStart w:id="446" w:name="_Toc297120503"/>
      <w:bookmarkStart w:id="447" w:name="_Toc296347202"/>
      <w:bookmarkStart w:id="448" w:name="_Toc292559408"/>
      <w:bookmarkStart w:id="449" w:name="_Toc296891031"/>
      <w:r>
        <w:rPr>
          <w:rFonts w:hint="eastAsia" w:ascii="宋体" w:hAnsi="宋体" w:eastAsia="宋体" w:cs="宋体"/>
          <w:color w:val="auto"/>
          <w:szCs w:val="21"/>
          <w:highlight w:val="none"/>
        </w:rPr>
        <w:t>包人的合理化建议</w:t>
      </w:r>
    </w:p>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87CBC0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b/>
          <w:bCs/>
          <w:color w:val="auto"/>
          <w:szCs w:val="21"/>
          <w:highlight w:val="none"/>
          <w:u w:val="single"/>
        </w:rPr>
        <w:t>按通用合同条款第10.5条规定执行</w:t>
      </w:r>
      <w:r>
        <w:rPr>
          <w:rFonts w:hint="eastAsia" w:ascii="宋体" w:hAnsi="宋体" w:eastAsia="宋体" w:cs="宋体"/>
          <w:color w:val="auto"/>
          <w:szCs w:val="21"/>
          <w:highlight w:val="none"/>
        </w:rPr>
        <w:t>。</w:t>
      </w:r>
    </w:p>
    <w:p w14:paraId="75A4427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b/>
          <w:bCs/>
          <w:color w:val="auto"/>
          <w:szCs w:val="21"/>
          <w:highlight w:val="none"/>
          <w:u w:val="single"/>
        </w:rPr>
        <w:t>按通用合同条款第10.5条规定执行</w:t>
      </w:r>
      <w:r>
        <w:rPr>
          <w:rFonts w:hint="eastAsia" w:ascii="宋体" w:hAnsi="宋体" w:eastAsia="宋体" w:cs="宋体"/>
          <w:color w:val="auto"/>
          <w:szCs w:val="21"/>
          <w:highlight w:val="none"/>
        </w:rPr>
        <w:t>。</w:t>
      </w:r>
    </w:p>
    <w:p w14:paraId="7003214C">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450" w:name="_Toc296891244"/>
      <w:bookmarkStart w:id="451" w:name="_Toc292559409"/>
      <w:bookmarkStart w:id="452" w:name="_Toc296346705"/>
      <w:bookmarkStart w:id="453" w:name="_Toc303539152"/>
      <w:bookmarkStart w:id="454" w:name="_Toc296944543"/>
      <w:bookmarkStart w:id="455" w:name="_Toc296347203"/>
      <w:bookmarkStart w:id="456" w:name="_Toc297120504"/>
      <w:bookmarkStart w:id="457" w:name="_Toc300934995"/>
      <w:bookmarkStart w:id="458" w:name="_Toc297048390"/>
      <w:bookmarkStart w:id="459" w:name="_Toc296503204"/>
      <w:bookmarkStart w:id="460" w:name="_Toc312678030"/>
      <w:bookmarkStart w:id="461" w:name="_Toc318581175"/>
      <w:bookmarkStart w:id="462" w:name="_Toc297216205"/>
      <w:bookmarkStart w:id="463" w:name="_Toc292559914"/>
      <w:bookmarkStart w:id="464" w:name="_Toc312677504"/>
      <w:bookmarkStart w:id="465" w:name="_Toc304295571"/>
      <w:bookmarkStart w:id="466" w:name="_Toc297123546"/>
      <w:bookmarkStart w:id="467" w:name="_Toc296891032"/>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36A93D8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468" w:name="_Toc4004"/>
      <w:r>
        <w:rPr>
          <w:rFonts w:hint="eastAsia" w:ascii="宋体" w:hAnsi="宋体" w:eastAsia="宋体" w:cs="宋体"/>
          <w:color w:val="auto"/>
          <w:szCs w:val="21"/>
          <w:highlight w:val="none"/>
        </w:rPr>
        <w:t>1</w:t>
      </w:r>
      <w:bookmarkStart w:id="469" w:name="_Toc303539154"/>
      <w:bookmarkStart w:id="470" w:name="_Toc297123548"/>
      <w:bookmarkStart w:id="471" w:name="_Toc296503199"/>
      <w:bookmarkStart w:id="472" w:name="_Toc296944538"/>
      <w:bookmarkStart w:id="473" w:name="_Toc297048385"/>
      <w:bookmarkStart w:id="474" w:name="_Toc296891239"/>
      <w:bookmarkStart w:id="475" w:name="_Toc292559404"/>
      <w:bookmarkStart w:id="476" w:name="_Toc300934997"/>
      <w:bookmarkStart w:id="477" w:name="_Toc296347198"/>
      <w:bookmarkStart w:id="478" w:name="_Toc297120499"/>
      <w:bookmarkStart w:id="479" w:name="_Toc296891027"/>
      <w:bookmarkStart w:id="480" w:name="_Toc304295574"/>
      <w:bookmarkStart w:id="481" w:name="_Toc312678033"/>
      <w:bookmarkStart w:id="482" w:name="_Toc292559909"/>
      <w:bookmarkStart w:id="483" w:name="_Toc297216207"/>
      <w:bookmarkStart w:id="484" w:name="_Toc312677507"/>
      <w:bookmarkStart w:id="485" w:name="_Toc296346700"/>
      <w:r>
        <w:rPr>
          <w:rFonts w:hint="eastAsia" w:ascii="宋体" w:hAnsi="宋体" w:eastAsia="宋体" w:cs="宋体"/>
          <w:color w:val="auto"/>
          <w:szCs w:val="21"/>
          <w:highlight w:val="none"/>
        </w:rPr>
        <w:t>0.7 暂估价</w:t>
      </w:r>
      <w:bookmarkEnd w:id="468"/>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5A474D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86" w:name="_Toc318581177"/>
      <w:bookmarkStart w:id="487" w:name="_Toc312677509"/>
      <w:bookmarkStart w:id="488" w:name="_Toc312678035"/>
      <w:r>
        <w:rPr>
          <w:rFonts w:hint="eastAsia" w:ascii="宋体" w:hAnsi="宋体" w:eastAsia="宋体" w:cs="宋体"/>
          <w:color w:val="auto"/>
          <w:szCs w:val="21"/>
          <w:highlight w:val="none"/>
        </w:rPr>
        <w:t>0.7.1 依法必须招标的暂估价项目</w:t>
      </w:r>
    </w:p>
    <w:bookmarkEnd w:id="486"/>
    <w:bookmarkEnd w:id="487"/>
    <w:bookmarkEnd w:id="488"/>
    <w:p w14:paraId="18B87F3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种方式确定。</w:t>
      </w:r>
    </w:p>
    <w:p w14:paraId="66F9C7A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p>
    <w:p w14:paraId="403A2F0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种方式确定。</w:t>
      </w:r>
    </w:p>
    <w:p w14:paraId="2C6F8EF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第3种方式：承包人直接实施的暂估价项目</w:t>
      </w:r>
    </w:p>
    <w:p w14:paraId="3DD5209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FC9B27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14:paraId="1F860FD4">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2C20BBF">
      <w:pPr>
        <w:adjustRightInd w:val="0"/>
        <w:snapToGrid w:val="0"/>
        <w:spacing w:line="360" w:lineRule="auto"/>
        <w:ind w:firstLine="420" w:firstLineChars="200"/>
        <w:rPr>
          <w:rFonts w:hint="eastAsia" w:ascii="宋体" w:hAnsi="宋体" w:eastAsia="宋体" w:cs="宋体"/>
          <w:color w:val="auto"/>
          <w:szCs w:val="21"/>
          <w:highlight w:val="none"/>
        </w:rPr>
      </w:pPr>
      <w:bookmarkStart w:id="489" w:name="_Toc351203643"/>
      <w:r>
        <w:rPr>
          <w:rFonts w:hint="eastAsia" w:ascii="宋体" w:hAnsi="宋体" w:eastAsia="宋体" w:cs="宋体"/>
          <w:color w:val="auto"/>
          <w:szCs w:val="21"/>
          <w:highlight w:val="none"/>
        </w:rPr>
        <w:t>11. 价格调整</w:t>
      </w:r>
      <w:bookmarkEnd w:id="489"/>
    </w:p>
    <w:p w14:paraId="2FFCE0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394"/>
    <w:bookmarkEnd w:id="395"/>
    <w:bookmarkEnd w:id="396"/>
    <w:bookmarkEnd w:id="397"/>
    <w:bookmarkEnd w:id="398"/>
    <w:bookmarkEnd w:id="399"/>
    <w:p w14:paraId="3A2FF04D">
      <w:pPr>
        <w:adjustRightInd w:val="0"/>
        <w:snapToGrid w:val="0"/>
        <w:spacing w:line="360" w:lineRule="auto"/>
        <w:ind w:firstLine="420" w:firstLineChars="200"/>
        <w:rPr>
          <w:rFonts w:hint="eastAsia" w:ascii="宋体" w:hAnsi="宋体" w:eastAsia="宋体" w:cs="宋体"/>
          <w:color w:val="auto"/>
          <w:szCs w:val="21"/>
          <w:highlight w:val="none"/>
        </w:rPr>
      </w:pPr>
      <w:bookmarkStart w:id="490" w:name="_Toc296944544"/>
      <w:bookmarkStart w:id="491" w:name="_Toc296891245"/>
      <w:bookmarkStart w:id="492" w:name="_Toc296503205"/>
      <w:bookmarkStart w:id="493" w:name="_Toc296346706"/>
      <w:bookmarkStart w:id="494" w:name="_Toc292559915"/>
      <w:bookmarkStart w:id="495" w:name="_Toc296347204"/>
      <w:bookmarkStart w:id="496" w:name="_Toc292559410"/>
      <w:bookmarkStart w:id="497" w:name="_Toc296891033"/>
      <w:bookmarkStart w:id="498" w:name="_Toc297048391"/>
      <w:bookmarkStart w:id="499" w:name="_Toc297120505"/>
      <w:bookmarkStart w:id="500" w:name="_Toc351203644"/>
      <w:bookmarkStart w:id="501" w:name="_Toc303539159"/>
      <w:bookmarkStart w:id="502" w:name="_Toc312678040"/>
      <w:bookmarkStart w:id="503" w:name="_Toc300935002"/>
      <w:bookmarkStart w:id="504" w:name="_Toc304295579"/>
      <w:bookmarkStart w:id="505" w:name="_Toc297216211"/>
      <w:bookmarkStart w:id="506" w:name="_Toc297123552"/>
      <w:r>
        <w:rPr>
          <w:rFonts w:hint="eastAsia" w:ascii="宋体" w:hAnsi="宋体" w:eastAsia="宋体" w:cs="宋体"/>
          <w:color w:val="auto"/>
          <w:szCs w:val="21"/>
          <w:highlight w:val="none"/>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color w:val="auto"/>
          <w:szCs w:val="21"/>
          <w:highlight w:val="none"/>
        </w:rPr>
        <w:t>合同价格、计量与支付</w:t>
      </w:r>
      <w:bookmarkEnd w:id="500"/>
    </w:p>
    <w:bookmarkEnd w:id="501"/>
    <w:bookmarkEnd w:id="502"/>
    <w:bookmarkEnd w:id="503"/>
    <w:bookmarkEnd w:id="504"/>
    <w:bookmarkEnd w:id="505"/>
    <w:bookmarkEnd w:id="506"/>
    <w:p w14:paraId="092DBDA9">
      <w:pPr>
        <w:adjustRightInd w:val="0"/>
        <w:snapToGrid w:val="0"/>
        <w:spacing w:line="360" w:lineRule="auto"/>
        <w:ind w:firstLine="420" w:firstLineChars="200"/>
        <w:rPr>
          <w:rFonts w:hint="eastAsia" w:ascii="宋体" w:hAnsi="宋体" w:eastAsia="宋体" w:cs="宋体"/>
          <w:color w:val="auto"/>
          <w:szCs w:val="21"/>
          <w:highlight w:val="none"/>
        </w:rPr>
      </w:pPr>
      <w:bookmarkStart w:id="507" w:name="_Toc292559411"/>
      <w:bookmarkStart w:id="508" w:name="_Toc292559916"/>
      <w:bookmarkStart w:id="509" w:name="_Toc267251461"/>
      <w:bookmarkStart w:id="510" w:name="_Toc296944545"/>
      <w:bookmarkStart w:id="511" w:name="_Toc297048392"/>
      <w:bookmarkStart w:id="512" w:name="_Toc296891034"/>
      <w:bookmarkStart w:id="513" w:name="_Toc296346707"/>
      <w:bookmarkStart w:id="514" w:name="_Toc296891246"/>
      <w:bookmarkStart w:id="515" w:name="_Toc297120506"/>
      <w:bookmarkStart w:id="516" w:name="_Toc296347205"/>
      <w:bookmarkStart w:id="517" w:name="_Toc296503206"/>
      <w:bookmarkStart w:id="518" w:name="_Toc297123553"/>
      <w:bookmarkStart w:id="519" w:name="_Toc303539160"/>
      <w:bookmarkStart w:id="520" w:name="_Toc304295580"/>
      <w:bookmarkStart w:id="521" w:name="_Toc297216212"/>
      <w:bookmarkStart w:id="522" w:name="_Toc300935003"/>
      <w:bookmarkStart w:id="523" w:name="_Toc312678041"/>
      <w:r>
        <w:rPr>
          <w:rFonts w:hint="eastAsia" w:ascii="宋体" w:hAnsi="宋体" w:eastAsia="宋体" w:cs="宋体"/>
          <w:color w:val="auto"/>
          <w:szCs w:val="21"/>
          <w:highlight w:val="none"/>
        </w:rPr>
        <w:t>12.1 合</w:t>
      </w:r>
      <w:bookmarkEnd w:id="507"/>
      <w:bookmarkEnd w:id="508"/>
      <w:bookmarkEnd w:id="509"/>
      <w:r>
        <w:rPr>
          <w:rFonts w:hint="eastAsia" w:ascii="宋体" w:hAnsi="宋体" w:eastAsia="宋体" w:cs="宋体"/>
          <w:color w:val="auto"/>
          <w:szCs w:val="21"/>
          <w:highlight w:val="none"/>
        </w:rPr>
        <w:t>同价</w:t>
      </w:r>
      <w:bookmarkEnd w:id="510"/>
      <w:bookmarkEnd w:id="511"/>
      <w:bookmarkEnd w:id="512"/>
      <w:bookmarkEnd w:id="513"/>
      <w:bookmarkEnd w:id="514"/>
      <w:bookmarkEnd w:id="515"/>
      <w:bookmarkEnd w:id="516"/>
      <w:bookmarkEnd w:id="517"/>
      <w:r>
        <w:rPr>
          <w:rFonts w:hint="eastAsia" w:ascii="宋体" w:hAnsi="宋体" w:eastAsia="宋体" w:cs="宋体"/>
          <w:color w:val="auto"/>
          <w:szCs w:val="21"/>
          <w:highlight w:val="none"/>
        </w:rPr>
        <w:t>格形式</w:t>
      </w:r>
    </w:p>
    <w:bookmarkEnd w:id="518"/>
    <w:bookmarkEnd w:id="519"/>
    <w:bookmarkEnd w:id="520"/>
    <w:bookmarkEnd w:id="521"/>
    <w:bookmarkEnd w:id="522"/>
    <w:bookmarkEnd w:id="523"/>
    <w:p w14:paraId="18924EC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1、本合同为□单价合同 □总价合同 。</w:t>
      </w:r>
    </w:p>
    <w:p w14:paraId="278EDFF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单价包含的风险范围：</w:t>
      </w:r>
    </w:p>
    <w:p w14:paraId="6D83D6AC">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a、除不可抗力外的各种自然灾害；</w:t>
      </w:r>
    </w:p>
    <w:p w14:paraId="5440D59F">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b、安全生产文明施工不当引起的责任；</w:t>
      </w:r>
    </w:p>
    <w:p w14:paraId="3867F01A">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c、所有磋商文件或工程量清单明示要求报价的内容而承包人未予报价的，将被认为包含在合同总价中，结算时合同价款不再增加；</w:t>
      </w:r>
    </w:p>
    <w:p w14:paraId="0D362018">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d、工程要素（含人工、材料（设备）、机械台班）价格的涨跌风险；</w:t>
      </w:r>
    </w:p>
    <w:p w14:paraId="6D7A481F">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e、承包人对工程现场环境以及发包人提供的磋商文件、图纸等资料作出错误的推论、理解而导致的报价失误；</w:t>
      </w:r>
    </w:p>
    <w:p w14:paraId="52606153">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f、磋商文件约定的工程量清单数量误差引起的综合单价成本差异（风险范围及范围外调整方法见本条款第2）条的规定）；</w:t>
      </w:r>
    </w:p>
    <w:p w14:paraId="689D4300">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g、施工组织措施费和技术措施费在成交以后，在合同施工范围内，无论现场施工条件如何变化、设计如何变更、也无论工程量增减的幅度如何，均不再调整；</w:t>
      </w:r>
    </w:p>
    <w:p w14:paraId="39B76A13">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h、施工期间停水、停电引起的费用增加；</w:t>
      </w:r>
    </w:p>
    <w:p w14:paraId="5D0431CB">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i、清单描述中有按图集或规范施工的，综合单价必须满足规范和图集要求，综合单价不作调整；</w:t>
      </w:r>
    </w:p>
    <w:p w14:paraId="33F9221C">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j、本工程垃圾外运费用一次性包干，包括所有垃圾清理、搬运、外运与消纳所产生的费用，施工过程及结算时不予增加。</w:t>
      </w:r>
    </w:p>
    <w:p w14:paraId="570D3AF6">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k、所有磋商文件或工程量清单明示要求报价包干或费率包干（指规费、税金、意外伤害保险费、总承包服务费）的内容；</w:t>
      </w:r>
    </w:p>
    <w:p w14:paraId="0EDBECD0">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l、除本条明确允许调整内容以外的其他风险因素；</w:t>
      </w:r>
    </w:p>
    <w:p w14:paraId="4981416F">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m、若同一工程中出现清单项目相同而报价或取费不一致者，按最低者执行。</w:t>
      </w:r>
    </w:p>
    <w:p w14:paraId="14AA71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b/>
          <w:color w:val="auto"/>
          <w:szCs w:val="21"/>
          <w:highlight w:val="none"/>
          <w:u w:val="single"/>
        </w:rPr>
        <w:t>风险因素范围内的费用由承包人自行考虑计列，不再另行计列、调整</w:t>
      </w:r>
      <w:r>
        <w:rPr>
          <w:rFonts w:hint="eastAsia" w:ascii="宋体" w:hAnsi="宋体" w:eastAsia="宋体" w:cs="宋体"/>
          <w:color w:val="auto"/>
          <w:szCs w:val="21"/>
          <w:highlight w:val="none"/>
        </w:rPr>
        <w:t>。</w:t>
      </w:r>
    </w:p>
    <w:p w14:paraId="12C229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14:paraId="05168CEA">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5FE70176">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1）综合单价确定方式：</w:t>
      </w:r>
    </w:p>
    <w:p w14:paraId="02765BA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①合同中已有适用的综合单价的，按合同中已有的综合单价确定；</w:t>
      </w:r>
    </w:p>
    <w:p w14:paraId="1CE1E2C6">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②合同中有类似工程项目单价的，可以参照合同中类似项目的单价计算确定；</w:t>
      </w:r>
    </w:p>
    <w:p w14:paraId="318CD98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42B0EE74">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eastAsia="宋体" w:cs="宋体"/>
          <w:color w:val="auto"/>
          <w:szCs w:val="21"/>
          <w:highlight w:val="none"/>
        </w:rPr>
        <w:t>。</w:t>
      </w:r>
    </w:p>
    <w:p w14:paraId="6C5CFBA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67944E8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包括但不限于本合同专用条款中所列明的全部风险 </w:t>
      </w:r>
      <w:r>
        <w:rPr>
          <w:rFonts w:hint="eastAsia" w:ascii="宋体" w:hAnsi="宋体" w:eastAsia="宋体" w:cs="宋体"/>
          <w:color w:val="auto"/>
          <w:szCs w:val="21"/>
          <w:highlight w:val="none"/>
        </w:rPr>
        <w:t>。</w:t>
      </w:r>
    </w:p>
    <w:p w14:paraId="2BAD8DA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风险因素范围内的费用由承包人自行考虑计列，如费用减少，以减少后的费用计列；如费用增加，不再另行计列、调整。  </w:t>
      </w:r>
    </w:p>
    <w:p w14:paraId="47D8487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DC899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A22B1B4">
      <w:pPr>
        <w:adjustRightInd w:val="0"/>
        <w:snapToGrid w:val="0"/>
        <w:spacing w:line="360" w:lineRule="auto"/>
        <w:ind w:firstLine="420" w:firstLineChars="200"/>
        <w:rPr>
          <w:rFonts w:hint="eastAsia" w:ascii="宋体" w:hAnsi="宋体" w:eastAsia="宋体" w:cs="宋体"/>
          <w:color w:val="auto"/>
          <w:szCs w:val="21"/>
          <w:highlight w:val="none"/>
        </w:rPr>
      </w:pPr>
      <w:bookmarkStart w:id="524" w:name="_Toc297123554"/>
      <w:bookmarkStart w:id="525" w:name="_Toc303539161"/>
      <w:bookmarkStart w:id="526" w:name="_Toc312678042"/>
      <w:bookmarkStart w:id="527" w:name="_Toc297216213"/>
      <w:bookmarkStart w:id="528" w:name="_Toc300935004"/>
      <w:bookmarkStart w:id="529" w:name="_Toc304295581"/>
      <w:bookmarkStart w:id="530" w:name="_Toc296944546"/>
      <w:bookmarkStart w:id="531" w:name="_Toc296503207"/>
      <w:bookmarkStart w:id="532" w:name="_Toc296891247"/>
      <w:bookmarkStart w:id="533" w:name="_Toc297048393"/>
      <w:bookmarkStart w:id="534" w:name="_Toc292559917"/>
      <w:bookmarkStart w:id="535" w:name="_Toc296891035"/>
      <w:bookmarkStart w:id="536" w:name="_Toc296347206"/>
      <w:bookmarkStart w:id="537" w:name="_Toc292559412"/>
      <w:bookmarkStart w:id="538" w:name="_Toc296346708"/>
      <w:bookmarkStart w:id="539" w:name="_Toc297120507"/>
      <w:r>
        <w:rPr>
          <w:rFonts w:hint="eastAsia" w:ascii="宋体" w:hAnsi="宋体" w:eastAsia="宋体" w:cs="宋体"/>
          <w:color w:val="auto"/>
          <w:szCs w:val="21"/>
          <w:highlight w:val="none"/>
        </w:rPr>
        <w:t>12.2 预付款</w:t>
      </w:r>
    </w:p>
    <w:bookmarkEnd w:id="524"/>
    <w:bookmarkEnd w:id="525"/>
    <w:bookmarkEnd w:id="526"/>
    <w:bookmarkEnd w:id="527"/>
    <w:bookmarkEnd w:id="528"/>
    <w:bookmarkEnd w:id="529"/>
    <w:p w14:paraId="6E49E31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14:paraId="5C2F6F6B">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b/>
          <w:color w:val="auto"/>
          <w:szCs w:val="21"/>
          <w:highlight w:val="none"/>
          <w:u w:val="single"/>
        </w:rPr>
        <w:t>合同金额【</w:t>
      </w:r>
      <w:r>
        <w:rPr>
          <w:rFonts w:hint="eastAsia" w:ascii="宋体" w:hAnsi="宋体" w:eastAsia="宋体" w:cs="宋体"/>
          <w:b/>
          <w:color w:val="auto"/>
          <w:szCs w:val="21"/>
          <w:highlight w:val="none"/>
          <w:u w:val="single"/>
          <w:lang w:val="en-US" w:eastAsia="zh-CN"/>
        </w:rPr>
        <w:t>40</w:t>
      </w:r>
      <w:r>
        <w:rPr>
          <w:rFonts w:hint="eastAsia" w:ascii="宋体" w:hAnsi="宋体" w:eastAsia="宋体" w:cs="宋体"/>
          <w:b/>
          <w:color w:val="auto"/>
          <w:szCs w:val="21"/>
          <w:highlight w:val="none"/>
          <w:u w:val="single"/>
        </w:rPr>
        <w:t>】% 。</w:t>
      </w:r>
    </w:p>
    <w:p w14:paraId="715D0ADD">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预付款支付期限：</w:t>
      </w:r>
      <w:r>
        <w:rPr>
          <w:rFonts w:hint="eastAsia" w:ascii="宋体" w:hAnsi="宋体" w:eastAsia="宋体" w:cs="宋体"/>
          <w:b/>
          <w:color w:val="auto"/>
          <w:szCs w:val="21"/>
          <w:highlight w:val="none"/>
          <w:u w:val="single"/>
        </w:rPr>
        <w:t>合同签订、承包人递交履约保证金后，且承包人施工队伍主要管理人员、主要施工机械进场，且发包人收到符合要求的发票后发包人向承包人预付签约合同价的【</w:t>
      </w:r>
      <w:r>
        <w:rPr>
          <w:rFonts w:hint="eastAsia" w:ascii="宋体" w:hAnsi="宋体" w:eastAsia="宋体" w:cs="宋体"/>
          <w:b/>
          <w:color w:val="auto"/>
          <w:szCs w:val="21"/>
          <w:highlight w:val="none"/>
          <w:u w:val="single"/>
          <w:lang w:val="en-US" w:eastAsia="zh-CN"/>
        </w:rPr>
        <w:t>40</w:t>
      </w:r>
      <w:r>
        <w:rPr>
          <w:rFonts w:hint="eastAsia" w:ascii="宋体" w:hAnsi="宋体" w:eastAsia="宋体" w:cs="宋体"/>
          <w:b/>
          <w:color w:val="auto"/>
          <w:szCs w:val="21"/>
          <w:highlight w:val="none"/>
          <w:u w:val="single"/>
        </w:rPr>
        <w:t>】%的工程预付款</w:t>
      </w:r>
      <w:r>
        <w:rPr>
          <w:rFonts w:hint="eastAsia" w:ascii="宋体" w:hAnsi="宋体" w:eastAsia="宋体" w:cs="宋体"/>
          <w:b/>
          <w:color w:val="auto"/>
          <w:szCs w:val="21"/>
          <w:highlight w:val="none"/>
        </w:rPr>
        <w:t>。</w:t>
      </w:r>
    </w:p>
    <w:p w14:paraId="1AD80D1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w:t>
      </w:r>
    </w:p>
    <w:p w14:paraId="4323953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14:paraId="7A93648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A6B1D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30"/>
    <w:bookmarkEnd w:id="531"/>
    <w:bookmarkEnd w:id="532"/>
    <w:bookmarkEnd w:id="533"/>
    <w:bookmarkEnd w:id="534"/>
    <w:bookmarkEnd w:id="535"/>
    <w:bookmarkEnd w:id="536"/>
    <w:bookmarkEnd w:id="537"/>
    <w:bookmarkEnd w:id="538"/>
    <w:bookmarkEnd w:id="539"/>
    <w:p w14:paraId="69EE807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14:paraId="549636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14:paraId="5B61025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p>
    <w:p w14:paraId="7D14F74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实行工程量清单计价的工程项目，其工程量的计算规则应按国家标准工程量计算规范及省级行业主管部门颁布的补充规定执行。</w:t>
      </w:r>
    </w:p>
    <w:p w14:paraId="41CB77F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（2）不实行工程量清单计价的工程项目，工程量的计算规则应按省、市行业主管部门颁布的各专业工程定额的工程量计算规则执行。</w:t>
      </w:r>
    </w:p>
    <w:p w14:paraId="6D10A2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14:paraId="1D448D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b/>
          <w:bCs/>
          <w:color w:val="auto"/>
          <w:szCs w:val="21"/>
          <w:highlight w:val="none"/>
          <w:u w:val="single"/>
        </w:rPr>
        <w:t>工程量的计量按月进行</w:t>
      </w:r>
      <w:r>
        <w:rPr>
          <w:rFonts w:hint="eastAsia" w:ascii="宋体" w:hAnsi="宋体" w:eastAsia="宋体" w:cs="宋体"/>
          <w:color w:val="auto"/>
          <w:szCs w:val="21"/>
          <w:highlight w:val="none"/>
        </w:rPr>
        <w:t>。</w:t>
      </w:r>
    </w:p>
    <w:p w14:paraId="3D5B8A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14:paraId="29DAB9E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b/>
          <w:bCs/>
          <w:color w:val="auto"/>
          <w:szCs w:val="21"/>
          <w:highlight w:val="none"/>
          <w:u w:val="single"/>
        </w:rPr>
        <w:t>按通用合同条款规定执行</w:t>
      </w:r>
      <w:r>
        <w:rPr>
          <w:rFonts w:hint="eastAsia" w:ascii="宋体" w:hAnsi="宋体" w:eastAsia="宋体" w:cs="宋体"/>
          <w:color w:val="auto"/>
          <w:szCs w:val="21"/>
          <w:highlight w:val="none"/>
        </w:rPr>
        <w:t>。</w:t>
      </w:r>
    </w:p>
    <w:p w14:paraId="6FD916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14:paraId="1468DE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14:paraId="4249ECA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12.3.5总价合同采用支付分解表计量支付的，是否适用第12.3.4 项〔总价合同的计量〕约定进行计量：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4C37D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14:paraId="1A3EC6B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D126B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工程进度款支付</w:t>
      </w:r>
    </w:p>
    <w:p w14:paraId="1F8BFCF8">
      <w:pPr>
        <w:adjustRightInd w:val="0"/>
        <w:snapToGrid w:val="0"/>
        <w:spacing w:line="360" w:lineRule="auto"/>
        <w:ind w:firstLine="420" w:firstLineChars="200"/>
        <w:rPr>
          <w:rFonts w:hint="eastAsia" w:ascii="宋体" w:hAnsi="宋体" w:eastAsia="宋体" w:cs="宋体"/>
          <w:color w:val="auto"/>
          <w:szCs w:val="21"/>
          <w:highlight w:val="none"/>
        </w:rPr>
      </w:pPr>
      <w:bookmarkStart w:id="540" w:name="_Toc297123556"/>
      <w:bookmarkStart w:id="541" w:name="_Toc292559921"/>
      <w:bookmarkStart w:id="542" w:name="_Toc296891039"/>
      <w:bookmarkStart w:id="543" w:name="_Toc292559416"/>
      <w:bookmarkStart w:id="544" w:name="_Toc296891251"/>
      <w:bookmarkStart w:id="545" w:name="_Toc297216215"/>
      <w:bookmarkStart w:id="546" w:name="_Toc300935006"/>
      <w:bookmarkStart w:id="547" w:name="_Toc303539163"/>
      <w:bookmarkStart w:id="548" w:name="_Toc296944550"/>
      <w:bookmarkStart w:id="549" w:name="_Toc297048397"/>
      <w:bookmarkStart w:id="550" w:name="_Toc296346712"/>
      <w:bookmarkStart w:id="551" w:name="_Toc296347210"/>
      <w:bookmarkStart w:id="552" w:name="_Toc296503211"/>
      <w:bookmarkStart w:id="553" w:name="_Toc297120511"/>
      <w:r>
        <w:rPr>
          <w:rFonts w:hint="eastAsia" w:ascii="宋体" w:hAnsi="宋体" w:eastAsia="宋体" w:cs="宋体"/>
          <w:color w:val="auto"/>
          <w:szCs w:val="21"/>
          <w:highlight w:val="none"/>
        </w:rPr>
        <w:t>12.4.1 付款周期</w:t>
      </w:r>
    </w:p>
    <w:p w14:paraId="63E7D17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关于付款周期的约定：</w:t>
      </w:r>
    </w:p>
    <w:p w14:paraId="0E9358EC">
      <w:pPr>
        <w:spacing w:line="360" w:lineRule="auto"/>
        <w:ind w:left="378" w:leftChars="18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（1）项目竣工验收合格后，支付至合同价款的【85】%，并扣除承包人应承担的全部费用（包括但不限于违约金、损害赔偿金等）无息退还履约保证金。</w:t>
      </w:r>
    </w:p>
    <w:p w14:paraId="64896E18">
      <w:pPr>
        <w:spacing w:line="360" w:lineRule="auto"/>
        <w:ind w:left="378" w:leftChars="18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（2）本项目最终以财政审计为准，审计完毕后【7】日承包人向发包人缴纳审定价的【1.5】%作为质保金，发包人收到质保金后支付至审计审定总价的100%（含预付款）。</w:t>
      </w:r>
    </w:p>
    <w:p w14:paraId="48F5F230">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（3）新增和经认定变更新增的工程量，在工程结算审计完毕后【7】日一次性支付；施工水电费按工程竣工结算审定价的0.7％计算，在结算审定款中直接扣除。</w:t>
      </w:r>
    </w:p>
    <w:p w14:paraId="3747414E">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（4）质保金在质保期满【2 】年经验收无质量问题后扣除承包人应承担的全部费用（包括但不限于违约金、损害赔偿金等）后【7】天内结清（不计利息）；</w:t>
      </w:r>
    </w:p>
    <w:p w14:paraId="6E5DAAC3">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（5）上述工程进度款（包括质保金、履约保证金）支付时，发包人有权从应支付给承包人的任意一笔款项中扣除承包人应承担的全部费用（包括但不限于代付费用、违约金、损害赔偿金等）；</w:t>
      </w:r>
    </w:p>
    <w:p w14:paraId="5E7B353D">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（6）发包人审核的工程量仅作为进度款支付依据，不作为结算依据；</w:t>
      </w:r>
    </w:p>
    <w:p w14:paraId="1E33E6A0">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（7）发包人拨付的工程款，汇入承包人指定的公司账户，户名：         ，开户银行：         ，账号：          。</w:t>
      </w:r>
    </w:p>
    <w:p w14:paraId="50E68A2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14:paraId="4CD6A7E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b/>
          <w:bCs/>
          <w:color w:val="auto"/>
          <w:szCs w:val="21"/>
          <w:highlight w:val="none"/>
          <w:u w:val="single"/>
        </w:rPr>
        <w:t>按通用合同条款第12.4.2条规定执行</w:t>
      </w:r>
      <w:r>
        <w:rPr>
          <w:rFonts w:hint="eastAsia" w:ascii="宋体" w:hAnsi="宋体" w:eastAsia="宋体" w:cs="宋体"/>
          <w:color w:val="auto"/>
          <w:szCs w:val="21"/>
          <w:highlight w:val="none"/>
        </w:rPr>
        <w:t>。</w:t>
      </w:r>
    </w:p>
    <w:p w14:paraId="4071DE3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hint="eastAsia" w:ascii="宋体" w:hAnsi="宋体" w:eastAsia="宋体" w:cs="宋体"/>
          <w:color w:val="auto"/>
          <w:szCs w:val="21"/>
          <w:highlight w:val="none"/>
        </w:rPr>
        <w:t>2.4.3 进度付款申请单的提交</w:t>
      </w:r>
    </w:p>
    <w:p w14:paraId="0CD399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b/>
          <w:bCs/>
          <w:color w:val="auto"/>
          <w:szCs w:val="21"/>
          <w:highlight w:val="none"/>
          <w:u w:val="single"/>
        </w:rPr>
        <w:t>按通用合同条款第12.4.3条第（1）项规定执行</w:t>
      </w:r>
      <w:r>
        <w:rPr>
          <w:rFonts w:hint="eastAsia" w:ascii="宋体" w:hAnsi="宋体" w:eastAsia="宋体" w:cs="宋体"/>
          <w:color w:val="auto"/>
          <w:szCs w:val="21"/>
          <w:highlight w:val="none"/>
        </w:rPr>
        <w:t>。</w:t>
      </w:r>
    </w:p>
    <w:p w14:paraId="635FCE8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A255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9C4BFF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14:paraId="74EE9E16">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】天内完成审查</w:t>
      </w:r>
      <w:r>
        <w:rPr>
          <w:rFonts w:hint="eastAsia" w:ascii="宋体" w:hAnsi="宋体" w:eastAsia="宋体" w:cs="宋体"/>
          <w:color w:val="auto"/>
          <w:szCs w:val="21"/>
          <w:highlight w:val="none"/>
        </w:rPr>
        <w:t>。</w:t>
      </w:r>
    </w:p>
    <w:p w14:paraId="4DCF84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b/>
          <w:bCs/>
          <w:color w:val="auto"/>
          <w:szCs w:val="21"/>
          <w:highlight w:val="none"/>
          <w:u w:val="single"/>
        </w:rPr>
        <w:t>收到监理人报送的进度付款申请单及相关资料后【</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】天内</w:t>
      </w:r>
      <w:r>
        <w:rPr>
          <w:rFonts w:hint="eastAsia" w:ascii="宋体" w:hAnsi="宋体" w:eastAsia="宋体" w:cs="宋体"/>
          <w:color w:val="auto"/>
          <w:szCs w:val="21"/>
          <w:highlight w:val="none"/>
        </w:rPr>
        <w:t>。</w:t>
      </w:r>
    </w:p>
    <w:p w14:paraId="61459B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b/>
          <w:bCs/>
          <w:color w:val="auto"/>
          <w:szCs w:val="21"/>
          <w:highlight w:val="none"/>
          <w:u w:val="single"/>
        </w:rPr>
        <w:t>在进度款支付证书或临时进度款支付证书签发后【</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】天内完成支付</w:t>
      </w:r>
      <w:r>
        <w:rPr>
          <w:rFonts w:hint="eastAsia" w:ascii="宋体" w:hAnsi="宋体" w:eastAsia="宋体" w:cs="宋体"/>
          <w:color w:val="auto"/>
          <w:szCs w:val="21"/>
          <w:highlight w:val="none"/>
        </w:rPr>
        <w:t>。</w:t>
      </w:r>
    </w:p>
    <w:p w14:paraId="1325C39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b/>
          <w:color w:val="auto"/>
          <w:szCs w:val="21"/>
          <w:highlight w:val="none"/>
          <w:u w:val="single"/>
        </w:rPr>
        <w:t>承担违约责任，经催告后仍未支付的，自催告期满次日起，按当期应付工程进度款金额的一年期存款利率支付违约金</w:t>
      </w:r>
      <w:r>
        <w:rPr>
          <w:rFonts w:hint="eastAsia" w:ascii="宋体" w:hAnsi="宋体" w:eastAsia="宋体" w:cs="宋体"/>
          <w:color w:val="auto"/>
          <w:szCs w:val="21"/>
          <w:highlight w:val="none"/>
        </w:rPr>
        <w:t>。</w:t>
      </w:r>
    </w:p>
    <w:p w14:paraId="09C92A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14:paraId="6390E7E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r>
        <w:rPr>
          <w:rFonts w:hint="eastAsia" w:ascii="宋体" w:hAnsi="宋体" w:eastAsia="宋体" w:cs="宋体"/>
          <w:b/>
          <w:bCs/>
          <w:color w:val="auto"/>
          <w:szCs w:val="21"/>
          <w:highlight w:val="none"/>
          <w:u w:val="single"/>
        </w:rPr>
        <w:t>按通用合同条款第12.4.6条第2项规定执行</w:t>
      </w:r>
      <w:r>
        <w:rPr>
          <w:rFonts w:hint="eastAsia" w:ascii="宋体" w:hAnsi="宋体" w:eastAsia="宋体" w:cs="宋体"/>
          <w:color w:val="auto"/>
          <w:szCs w:val="21"/>
          <w:highlight w:val="none"/>
        </w:rPr>
        <w:t>。</w:t>
      </w:r>
    </w:p>
    <w:p w14:paraId="49A98D7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b/>
          <w:bCs/>
          <w:color w:val="auto"/>
          <w:szCs w:val="21"/>
          <w:highlight w:val="none"/>
          <w:u w:val="single"/>
        </w:rPr>
        <w:t>按通用合同条款第12.4.6条第3项规定执行</w:t>
      </w:r>
      <w:r>
        <w:rPr>
          <w:rFonts w:hint="eastAsia" w:ascii="宋体" w:hAnsi="宋体" w:eastAsia="宋体" w:cs="宋体"/>
          <w:color w:val="auto"/>
          <w:szCs w:val="21"/>
          <w:highlight w:val="none"/>
        </w:rPr>
        <w:t>。</w:t>
      </w:r>
    </w:p>
    <w:bookmarkEnd w:id="400"/>
    <w:p w14:paraId="6A54B8C2">
      <w:pPr>
        <w:adjustRightInd w:val="0"/>
        <w:snapToGrid w:val="0"/>
        <w:spacing w:line="360" w:lineRule="auto"/>
        <w:ind w:firstLine="420" w:firstLineChars="200"/>
        <w:rPr>
          <w:rFonts w:hint="eastAsia" w:ascii="宋体" w:hAnsi="宋体" w:eastAsia="宋体" w:cs="宋体"/>
          <w:color w:val="auto"/>
          <w:szCs w:val="21"/>
          <w:highlight w:val="none"/>
        </w:rPr>
      </w:pPr>
      <w:bookmarkStart w:id="554" w:name="_Toc351203645"/>
      <w:bookmarkStart w:id="555" w:name="_Toc292559424"/>
      <w:bookmarkStart w:id="556" w:name="_Toc297048405"/>
      <w:bookmarkStart w:id="557" w:name="_Toc296347218"/>
      <w:bookmarkStart w:id="558" w:name="_Toc312678053"/>
      <w:bookmarkStart w:id="559" w:name="_Toc303539172"/>
      <w:bookmarkStart w:id="560" w:name="_Toc296346720"/>
      <w:bookmarkStart w:id="561" w:name="_Toc300935015"/>
      <w:bookmarkStart w:id="562" w:name="_Toc296891259"/>
      <w:bookmarkStart w:id="563" w:name="_Toc297216223"/>
      <w:bookmarkStart w:id="564" w:name="_Toc297123564"/>
      <w:bookmarkStart w:id="565" w:name="_Toc297120519"/>
      <w:bookmarkStart w:id="566" w:name="_Toc296944558"/>
      <w:bookmarkStart w:id="567" w:name="_Toc296503219"/>
      <w:bookmarkStart w:id="568" w:name="_Toc296891047"/>
      <w:bookmarkStart w:id="569" w:name="_Toc304295593"/>
      <w:bookmarkStart w:id="570" w:name="_Toc292559929"/>
      <w:r>
        <w:rPr>
          <w:rFonts w:hint="eastAsia" w:ascii="宋体" w:hAnsi="宋体" w:eastAsia="宋体" w:cs="宋体"/>
          <w:color w:val="auto"/>
          <w:szCs w:val="21"/>
          <w:highlight w:val="none"/>
        </w:rPr>
        <w:t>13. 验收和工程试车</w:t>
      </w:r>
      <w:bookmarkEnd w:id="554"/>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14:paraId="3F3EAD7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14:paraId="3B013F7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14:paraId="54BC1E79">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【48】</w:t>
      </w:r>
      <w:r>
        <w:rPr>
          <w:rFonts w:hint="eastAsia" w:ascii="宋体" w:hAnsi="宋体" w:eastAsia="宋体" w:cs="宋体"/>
          <w:color w:val="auto"/>
          <w:szCs w:val="21"/>
          <w:highlight w:val="none"/>
        </w:rPr>
        <w:t>小时。</w:t>
      </w:r>
    </w:p>
    <w:p w14:paraId="062B7EF0">
      <w:pPr>
        <w:adjustRightInd w:val="0"/>
        <w:snapToGrid w:val="0"/>
        <w:spacing w:line="360" w:lineRule="auto"/>
        <w:ind w:firstLine="420" w:firstLineChars="200"/>
        <w:rPr>
          <w:rFonts w:hint="eastAsia" w:ascii="宋体" w:hAnsi="宋体" w:eastAsia="宋体" w:cs="宋体"/>
          <w:color w:val="auto"/>
          <w:szCs w:val="21"/>
          <w:highlight w:val="none"/>
        </w:rPr>
      </w:pPr>
      <w:bookmarkStart w:id="571" w:name="_Toc296891051"/>
      <w:bookmarkStart w:id="572" w:name="_Toc292559933"/>
      <w:bookmarkStart w:id="573" w:name="_Toc312678056"/>
      <w:bookmarkStart w:id="574" w:name="_Toc296503223"/>
      <w:bookmarkStart w:id="575" w:name="_Toc297048409"/>
      <w:bookmarkStart w:id="576" w:name="_Toc297123565"/>
      <w:bookmarkStart w:id="577" w:name="_Toc292559428"/>
      <w:bookmarkStart w:id="578" w:name="_Toc296347222"/>
      <w:bookmarkStart w:id="579" w:name="_Toc304295596"/>
      <w:bookmarkStart w:id="580" w:name="_Toc303539173"/>
      <w:bookmarkStart w:id="581" w:name="_Toc296346724"/>
      <w:bookmarkStart w:id="582" w:name="_Toc300935016"/>
      <w:bookmarkStart w:id="583" w:name="_Toc296891263"/>
      <w:bookmarkStart w:id="584" w:name="_Toc296944562"/>
      <w:bookmarkStart w:id="585" w:name="_Toc297216224"/>
      <w:bookmarkStart w:id="586" w:name="_Toc297120523"/>
      <w:bookmarkStart w:id="587" w:name="_Toc267251475"/>
      <w:bookmarkStart w:id="588" w:name="_Toc267251471"/>
      <w:bookmarkStart w:id="589" w:name="_Toc267251476"/>
      <w:bookmarkStart w:id="590" w:name="_Toc267251470"/>
      <w:bookmarkStart w:id="591" w:name="_Toc267251473"/>
      <w:bookmarkStart w:id="592" w:name="_Toc267251472"/>
      <w:bookmarkStart w:id="593" w:name="_Toc267251474"/>
      <w:r>
        <w:rPr>
          <w:rFonts w:hint="eastAsia" w:ascii="宋体" w:hAnsi="宋体" w:eastAsia="宋体" w:cs="宋体"/>
          <w:color w:val="auto"/>
          <w:szCs w:val="21"/>
          <w:highlight w:val="none"/>
        </w:rPr>
        <w:t>13.2 竣工验收</w:t>
      </w:r>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3DC38A68">
      <w:pPr>
        <w:adjustRightInd w:val="0"/>
        <w:snapToGrid w:val="0"/>
        <w:spacing w:line="360" w:lineRule="auto"/>
        <w:ind w:firstLine="420" w:firstLineChars="200"/>
        <w:rPr>
          <w:rFonts w:hint="eastAsia" w:ascii="宋体" w:hAnsi="宋体" w:eastAsia="宋体" w:cs="宋体"/>
          <w:color w:val="auto"/>
          <w:szCs w:val="21"/>
          <w:highlight w:val="none"/>
        </w:rPr>
      </w:pPr>
      <w:bookmarkStart w:id="594" w:name="_Toc280868704"/>
      <w:bookmarkStart w:id="595" w:name="_Toc280868705"/>
      <w:bookmarkStart w:id="596" w:name="_Toc280868706"/>
      <w:bookmarkStart w:id="597" w:name="_Toc280868707"/>
      <w:bookmarkStart w:id="598" w:name="_Toc280868708"/>
      <w:bookmarkStart w:id="599" w:name="_Toc280868709"/>
      <w:r>
        <w:rPr>
          <w:rFonts w:hint="eastAsia" w:ascii="宋体" w:hAnsi="宋体" w:eastAsia="宋体" w:cs="宋体"/>
          <w:color w:val="auto"/>
          <w:szCs w:val="21"/>
          <w:highlight w:val="none"/>
        </w:rPr>
        <w:t>13.2.2竣工验收程序</w:t>
      </w:r>
    </w:p>
    <w:bookmarkEnd w:id="594"/>
    <w:p w14:paraId="005ECA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w:t>
      </w:r>
      <w:r>
        <w:rPr>
          <w:rFonts w:hint="eastAsia" w:ascii="宋体" w:hAnsi="宋体" w:eastAsia="宋体" w:cs="宋体"/>
          <w:b/>
          <w:bCs/>
          <w:color w:val="auto"/>
          <w:szCs w:val="21"/>
          <w:highlight w:val="none"/>
          <w:u w:val="single"/>
        </w:rPr>
        <w:t>按通用合同条款第13.2.2条规定执行</w:t>
      </w:r>
      <w:r>
        <w:rPr>
          <w:rFonts w:hint="eastAsia" w:ascii="宋体" w:hAnsi="宋体" w:eastAsia="宋体" w:cs="宋体"/>
          <w:color w:val="auto"/>
          <w:szCs w:val="21"/>
          <w:highlight w:val="none"/>
        </w:rPr>
        <w:t>。</w:t>
      </w:r>
    </w:p>
    <w:p w14:paraId="03249BF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 w:val="30"/>
          <w:szCs w:val="32"/>
          <w:highlight w:val="none"/>
          <w:u w:val="single"/>
        </w:rPr>
        <w:t>/</w:t>
      </w:r>
      <w:r>
        <w:rPr>
          <w:rFonts w:hint="eastAsia" w:ascii="宋体" w:hAnsi="宋体" w:eastAsia="宋体" w:cs="宋体"/>
          <w:color w:val="auto"/>
          <w:szCs w:val="21"/>
          <w:highlight w:val="none"/>
        </w:rPr>
        <w:t>。</w:t>
      </w:r>
    </w:p>
    <w:bookmarkEnd w:id="595"/>
    <w:p w14:paraId="543DD9D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596"/>
    <w:p w14:paraId="731321B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b/>
          <w:bCs/>
          <w:color w:val="auto"/>
          <w:szCs w:val="21"/>
          <w:highlight w:val="none"/>
          <w:u w:val="single"/>
        </w:rPr>
        <w:t>颁发工程接收证书后【</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】天内完成工程的移交</w:t>
      </w:r>
      <w:r>
        <w:rPr>
          <w:rFonts w:hint="eastAsia" w:ascii="宋体" w:hAnsi="宋体" w:eastAsia="宋体" w:cs="宋体"/>
          <w:color w:val="auto"/>
          <w:szCs w:val="21"/>
          <w:highlight w:val="none"/>
        </w:rPr>
        <w:t>。</w:t>
      </w:r>
    </w:p>
    <w:p w14:paraId="789C6BB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sz w:val="30"/>
          <w:szCs w:val="32"/>
          <w:highlight w:val="none"/>
          <w:u w:val="single"/>
        </w:rPr>
        <w:t>/</w:t>
      </w:r>
      <w:r>
        <w:rPr>
          <w:rFonts w:hint="eastAsia" w:ascii="宋体" w:hAnsi="宋体" w:eastAsia="宋体" w:cs="宋体"/>
          <w:color w:val="auto"/>
          <w:szCs w:val="21"/>
          <w:highlight w:val="none"/>
        </w:rPr>
        <w:t>。</w:t>
      </w:r>
    </w:p>
    <w:bookmarkEnd w:id="597"/>
    <w:p w14:paraId="4F1D6051">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每逾期一天，应向发包人支付【2000】元违约金，逾期超过【15】天的，发包人有权解除合同 。</w:t>
      </w:r>
    </w:p>
    <w:p w14:paraId="4C290E1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bookmarkEnd w:id="598"/>
    <w:p w14:paraId="731F9A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 试车程序</w:t>
      </w:r>
    </w:p>
    <w:p w14:paraId="3F5643A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b/>
          <w:bCs/>
          <w:color w:val="auto"/>
          <w:szCs w:val="21"/>
          <w:highlight w:val="none"/>
          <w:u w:val="single"/>
        </w:rPr>
        <w:t>试车内容应与承包人承包范围相一致，试车费用由承包人承担</w:t>
      </w:r>
      <w:r>
        <w:rPr>
          <w:rFonts w:hint="eastAsia" w:ascii="宋体" w:hAnsi="宋体" w:eastAsia="宋体" w:cs="宋体"/>
          <w:color w:val="auto"/>
          <w:szCs w:val="21"/>
          <w:highlight w:val="none"/>
        </w:rPr>
        <w:t>。</w:t>
      </w:r>
    </w:p>
    <w:p w14:paraId="4660DF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b/>
          <w:bCs/>
          <w:color w:val="auto"/>
          <w:szCs w:val="21"/>
          <w:highlight w:val="none"/>
          <w:u w:val="single"/>
        </w:rPr>
        <w:t>承包人</w:t>
      </w:r>
      <w:r>
        <w:rPr>
          <w:rFonts w:hint="eastAsia" w:ascii="宋体" w:hAnsi="宋体" w:eastAsia="宋体" w:cs="宋体"/>
          <w:color w:val="auto"/>
          <w:szCs w:val="21"/>
          <w:highlight w:val="none"/>
        </w:rPr>
        <w:t>承担；</w:t>
      </w:r>
    </w:p>
    <w:p w14:paraId="6044A6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b/>
          <w:bCs/>
          <w:color w:val="auto"/>
          <w:szCs w:val="21"/>
          <w:highlight w:val="none"/>
          <w:u w:val="single"/>
        </w:rPr>
        <w:t>承包人</w:t>
      </w:r>
      <w:r>
        <w:rPr>
          <w:rFonts w:hint="eastAsia" w:ascii="宋体" w:hAnsi="宋体" w:eastAsia="宋体" w:cs="宋体"/>
          <w:color w:val="auto"/>
          <w:szCs w:val="21"/>
          <w:highlight w:val="none"/>
        </w:rPr>
        <w:t>承担。</w:t>
      </w:r>
    </w:p>
    <w:p w14:paraId="461F97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 投料试车</w:t>
      </w:r>
    </w:p>
    <w:p w14:paraId="03074DD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关于投料试车相关事项的约定：</w:t>
      </w:r>
      <w:r>
        <w:rPr>
          <w:rFonts w:hint="eastAsia" w:ascii="宋体" w:hAnsi="宋体" w:eastAsia="宋体" w:cs="宋体"/>
          <w:b/>
          <w:bCs/>
          <w:color w:val="auto"/>
          <w:szCs w:val="21"/>
          <w:highlight w:val="none"/>
          <w:u w:val="single"/>
        </w:rPr>
        <w:t>按通用合同条款第13.3.3条规定执行</w:t>
      </w:r>
      <w:r>
        <w:rPr>
          <w:rFonts w:hint="eastAsia" w:ascii="宋体" w:hAnsi="宋体" w:eastAsia="宋体" w:cs="宋体"/>
          <w:color w:val="auto"/>
          <w:szCs w:val="21"/>
          <w:highlight w:val="none"/>
        </w:rPr>
        <w:t>。</w:t>
      </w:r>
    </w:p>
    <w:p w14:paraId="0A9E0397">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00" w:name="_Toc23970"/>
      <w:r>
        <w:rPr>
          <w:rFonts w:hint="eastAsia" w:ascii="宋体" w:hAnsi="宋体" w:eastAsia="宋体" w:cs="宋体"/>
          <w:color w:val="auto"/>
          <w:szCs w:val="21"/>
          <w:highlight w:val="none"/>
        </w:rPr>
        <w:t>13.6 竣工退场</w:t>
      </w:r>
      <w:bookmarkEnd w:id="600"/>
    </w:p>
    <w:p w14:paraId="575229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 竣工退场</w:t>
      </w:r>
    </w:p>
    <w:p w14:paraId="2F0E364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085920">
      <w:pPr>
        <w:adjustRightInd w:val="0"/>
        <w:snapToGrid w:val="0"/>
        <w:spacing w:line="360" w:lineRule="auto"/>
        <w:ind w:firstLine="420" w:firstLineChars="200"/>
        <w:rPr>
          <w:rFonts w:hint="eastAsia" w:ascii="宋体" w:hAnsi="宋体" w:eastAsia="宋体" w:cs="宋体"/>
          <w:color w:val="auto"/>
          <w:szCs w:val="21"/>
          <w:highlight w:val="none"/>
        </w:rPr>
      </w:pPr>
      <w:bookmarkStart w:id="601" w:name="_Toc351203646"/>
      <w:r>
        <w:rPr>
          <w:rFonts w:hint="eastAsia" w:ascii="宋体" w:hAnsi="宋体" w:eastAsia="宋体" w:cs="宋体"/>
          <w:color w:val="auto"/>
          <w:szCs w:val="21"/>
          <w:highlight w:val="none"/>
        </w:rPr>
        <w:t>14. 竣工结算</w:t>
      </w:r>
      <w:bookmarkEnd w:id="601"/>
    </w:p>
    <w:p w14:paraId="7A9D54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竣工结算申请</w:t>
      </w:r>
    </w:p>
    <w:p w14:paraId="7D16E7B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b/>
          <w:bCs/>
          <w:color w:val="auto"/>
          <w:szCs w:val="21"/>
          <w:highlight w:val="none"/>
          <w:u w:val="single"/>
        </w:rPr>
        <w:t>在工程竣工验收合格后【15】天内</w:t>
      </w:r>
      <w:r>
        <w:rPr>
          <w:rFonts w:hint="eastAsia" w:ascii="宋体" w:hAnsi="宋体" w:eastAsia="宋体" w:cs="宋体"/>
          <w:color w:val="auto"/>
          <w:szCs w:val="21"/>
          <w:highlight w:val="none"/>
        </w:rPr>
        <w:t>。</w:t>
      </w:r>
    </w:p>
    <w:p w14:paraId="15AD69A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竣工结算申请单应包括的内容：</w:t>
      </w:r>
    </w:p>
    <w:p w14:paraId="0DE90817">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（1）竣工结算合同价格；</w:t>
      </w:r>
    </w:p>
    <w:p w14:paraId="3723E80C">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（2）发包人已支付承包人的款项；</w:t>
      </w:r>
    </w:p>
    <w:p w14:paraId="61A36A44">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（3）应扣留的质量保证金等； </w:t>
      </w:r>
    </w:p>
    <w:p w14:paraId="0880917E">
      <w:pPr>
        <w:adjustRightInd w:val="0"/>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（4）发包人应支付承包人的合同价款。</w:t>
      </w:r>
    </w:p>
    <w:p w14:paraId="36043E2B">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23796B8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02" w:name="_Toc808"/>
      <w:r>
        <w:rPr>
          <w:rFonts w:hint="eastAsia" w:ascii="宋体" w:hAnsi="宋体" w:eastAsia="宋体" w:cs="宋体"/>
          <w:color w:val="auto"/>
          <w:szCs w:val="21"/>
          <w:highlight w:val="none"/>
        </w:rPr>
        <w:t>14.2 竣工结算审核</w:t>
      </w:r>
      <w:bookmarkEnd w:id="602"/>
    </w:p>
    <w:p w14:paraId="201048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发包人审批竣工付款申请单的期限：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0FA619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E034DC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b/>
          <w:bCs/>
          <w:color w:val="auto"/>
          <w:szCs w:val="21"/>
          <w:highlight w:val="none"/>
          <w:u w:val="single"/>
        </w:rPr>
        <w:t>按通用合同条款第14.2条第（3）项规定执行</w:t>
      </w:r>
      <w:r>
        <w:rPr>
          <w:rFonts w:hint="eastAsia" w:ascii="宋体" w:hAnsi="宋体" w:eastAsia="宋体" w:cs="宋体"/>
          <w:color w:val="auto"/>
          <w:szCs w:val="21"/>
          <w:highlight w:val="none"/>
        </w:rPr>
        <w:t>。</w:t>
      </w:r>
    </w:p>
    <w:p w14:paraId="282DF0B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最终结清</w:t>
      </w:r>
    </w:p>
    <w:p w14:paraId="66DB13F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 最终结清申请单</w:t>
      </w:r>
    </w:p>
    <w:p w14:paraId="16C0928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b/>
          <w:bCs/>
          <w:color w:val="auto"/>
          <w:szCs w:val="21"/>
          <w:highlight w:val="none"/>
          <w:u w:val="single"/>
        </w:rPr>
        <w:t>【5】份</w:t>
      </w:r>
      <w:r>
        <w:rPr>
          <w:rFonts w:hint="eastAsia" w:ascii="宋体" w:hAnsi="宋体" w:eastAsia="宋体" w:cs="宋体"/>
          <w:color w:val="auto"/>
          <w:szCs w:val="21"/>
          <w:highlight w:val="none"/>
        </w:rPr>
        <w:t>。</w:t>
      </w:r>
    </w:p>
    <w:p w14:paraId="6F144DE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b/>
          <w:bCs/>
          <w:color w:val="auto"/>
          <w:szCs w:val="21"/>
          <w:highlight w:val="none"/>
          <w:u w:val="single"/>
        </w:rPr>
        <w:t>在缺陷责任期终止证书颁发后【</w:t>
      </w:r>
      <w:r>
        <w:rPr>
          <w:rFonts w:hint="eastAsia" w:ascii="宋体" w:hAnsi="宋体" w:eastAsia="宋体" w:cs="宋体"/>
          <w:b/>
          <w:bCs/>
          <w:color w:val="auto"/>
          <w:szCs w:val="21"/>
          <w:highlight w:val="none"/>
          <w:u w:val="single"/>
          <w:lang w:val="en-US" w:eastAsia="zh-CN"/>
        </w:rPr>
        <w:t>7</w:t>
      </w:r>
      <w:r>
        <w:rPr>
          <w:rFonts w:hint="eastAsia" w:ascii="宋体" w:hAnsi="宋体" w:eastAsia="宋体" w:cs="宋体"/>
          <w:b/>
          <w:bCs/>
          <w:color w:val="auto"/>
          <w:szCs w:val="21"/>
          <w:highlight w:val="none"/>
          <w:u w:val="single"/>
        </w:rPr>
        <w:t>】天内</w:t>
      </w:r>
      <w:r>
        <w:rPr>
          <w:rFonts w:hint="eastAsia" w:ascii="宋体" w:hAnsi="宋体" w:eastAsia="宋体" w:cs="宋体"/>
          <w:color w:val="auto"/>
          <w:szCs w:val="21"/>
          <w:highlight w:val="none"/>
        </w:rPr>
        <w:t xml:space="preserve">。 </w:t>
      </w:r>
    </w:p>
    <w:p w14:paraId="0721616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14:paraId="3CD197B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b/>
          <w:bCs/>
          <w:color w:val="auto"/>
          <w:szCs w:val="21"/>
          <w:highlight w:val="none"/>
          <w:u w:val="single"/>
        </w:rPr>
        <w:t>在收到承包人提交的最终结清申请单后【</w:t>
      </w:r>
      <w:r>
        <w:rPr>
          <w:rFonts w:hint="eastAsia" w:ascii="宋体" w:hAnsi="宋体" w:eastAsia="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】天内</w:t>
      </w:r>
      <w:r>
        <w:rPr>
          <w:rFonts w:hint="eastAsia" w:ascii="宋体" w:hAnsi="宋体" w:eastAsia="宋体" w:cs="宋体"/>
          <w:color w:val="auto"/>
          <w:szCs w:val="21"/>
          <w:highlight w:val="none"/>
        </w:rPr>
        <w:t>。</w:t>
      </w:r>
    </w:p>
    <w:p w14:paraId="0FE41C9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587"/>
    <w:bookmarkEnd w:id="588"/>
    <w:bookmarkEnd w:id="589"/>
    <w:bookmarkEnd w:id="590"/>
    <w:bookmarkEnd w:id="591"/>
    <w:bookmarkEnd w:id="592"/>
    <w:bookmarkEnd w:id="593"/>
    <w:bookmarkEnd w:id="599"/>
    <w:p w14:paraId="3EA26D84">
      <w:pPr>
        <w:adjustRightInd w:val="0"/>
        <w:snapToGrid w:val="0"/>
        <w:spacing w:line="360" w:lineRule="auto"/>
        <w:ind w:firstLine="420" w:firstLineChars="200"/>
        <w:rPr>
          <w:rFonts w:hint="eastAsia" w:ascii="宋体" w:hAnsi="宋体" w:eastAsia="宋体" w:cs="宋体"/>
          <w:color w:val="auto"/>
          <w:szCs w:val="21"/>
          <w:highlight w:val="none"/>
        </w:rPr>
      </w:pPr>
      <w:bookmarkStart w:id="603" w:name="_Toc351203647"/>
      <w:bookmarkStart w:id="604" w:name="_Toc267251483"/>
      <w:bookmarkStart w:id="605" w:name="_Toc267251484"/>
      <w:bookmarkStart w:id="606" w:name="_Toc267251482"/>
      <w:bookmarkStart w:id="607" w:name="_Toc267251485"/>
      <w:bookmarkStart w:id="608" w:name="_Toc267251486"/>
      <w:bookmarkStart w:id="609" w:name="_Toc267251488"/>
      <w:bookmarkStart w:id="610" w:name="_Toc267251489"/>
      <w:bookmarkStart w:id="611" w:name="_Toc267251490"/>
      <w:bookmarkStart w:id="612" w:name="_Toc267251498"/>
      <w:bookmarkStart w:id="613" w:name="_Toc267251494"/>
      <w:bookmarkStart w:id="614" w:name="_Toc267251501"/>
      <w:bookmarkStart w:id="615" w:name="_Toc267251495"/>
      <w:bookmarkStart w:id="616" w:name="_Toc267251503"/>
      <w:bookmarkStart w:id="617" w:name="_Toc267251502"/>
      <w:bookmarkStart w:id="618" w:name="_Toc267251499"/>
      <w:bookmarkStart w:id="619" w:name="_Toc267251496"/>
      <w:bookmarkStart w:id="620" w:name="_Toc267251491"/>
      <w:bookmarkStart w:id="621" w:name="_Toc267251492"/>
      <w:bookmarkStart w:id="622" w:name="_Toc267251497"/>
      <w:bookmarkStart w:id="623" w:name="_Toc267251493"/>
      <w:bookmarkStart w:id="624" w:name="_Toc267251506"/>
      <w:bookmarkStart w:id="625" w:name="_Toc267251504"/>
      <w:bookmarkStart w:id="626" w:name="_Toc267251507"/>
      <w:bookmarkStart w:id="627" w:name="_Toc267251508"/>
      <w:bookmarkStart w:id="628" w:name="_Toc267251510"/>
      <w:bookmarkStart w:id="629" w:name="_Toc267251514"/>
      <w:bookmarkStart w:id="630" w:name="_Toc267251511"/>
      <w:bookmarkStart w:id="631" w:name="_Toc267251515"/>
      <w:bookmarkStart w:id="632" w:name="_Toc267251513"/>
      <w:bookmarkStart w:id="633" w:name="_Toc267251509"/>
      <w:r>
        <w:rPr>
          <w:rFonts w:hint="eastAsia" w:ascii="宋体" w:hAnsi="宋体" w:eastAsia="宋体" w:cs="宋体"/>
          <w:color w:val="auto"/>
          <w:szCs w:val="21"/>
          <w:highlight w:val="none"/>
        </w:rPr>
        <w:t>15. 缺陷责任期与保修</w:t>
      </w:r>
      <w:bookmarkEnd w:id="603"/>
    </w:p>
    <w:p w14:paraId="4C2338C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15.2缺陷责任期</w:t>
      </w:r>
      <w:bookmarkEnd w:id="604"/>
    </w:p>
    <w:p w14:paraId="1113DD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缺陷责任期的具体期限：【24】</w:t>
      </w:r>
      <w:r>
        <w:rPr>
          <w:rFonts w:hint="eastAsia" w:ascii="宋体" w:hAnsi="宋体" w:eastAsia="宋体" w:cs="宋体"/>
          <w:color w:val="auto"/>
          <w:szCs w:val="21"/>
          <w:highlight w:val="none"/>
          <w:u w:val="single"/>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eastAsia="宋体" w:cs="宋体"/>
          <w:color w:val="auto"/>
          <w:szCs w:val="21"/>
          <w:highlight w:val="none"/>
        </w:rPr>
        <w:t>。</w:t>
      </w:r>
    </w:p>
    <w:p w14:paraId="3815D38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4" w:name="_Toc899"/>
      <w:r>
        <w:rPr>
          <w:rFonts w:hint="eastAsia" w:ascii="宋体" w:hAnsi="宋体" w:eastAsia="宋体" w:cs="宋体"/>
          <w:color w:val="auto"/>
          <w:szCs w:val="21"/>
          <w:highlight w:val="none"/>
        </w:rPr>
        <w:t>15.3 质量保证金</w:t>
      </w:r>
      <w:bookmarkEnd w:id="634"/>
    </w:p>
    <w:p w14:paraId="63E77D2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 xml:space="preserve">   是  </w:t>
      </w: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78F3EE2B">
      <w:pPr>
        <w:adjustRightInd w:val="0"/>
        <w:snapToGrid w:val="0"/>
        <w:spacing w:line="360" w:lineRule="auto"/>
        <w:ind w:firstLine="420" w:firstLineChars="200"/>
        <w:rPr>
          <w:rFonts w:hint="eastAsia" w:ascii="宋体" w:hAnsi="宋体" w:eastAsia="宋体" w:cs="宋体"/>
          <w:color w:val="auto"/>
          <w:szCs w:val="21"/>
          <w:highlight w:val="none"/>
        </w:rPr>
      </w:pPr>
    </w:p>
    <w:p w14:paraId="2F3C0C3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5" w:name="_Toc4446"/>
      <w:r>
        <w:rPr>
          <w:rFonts w:hint="eastAsia" w:ascii="宋体" w:hAnsi="宋体" w:eastAsia="宋体" w:cs="宋体"/>
          <w:color w:val="auto"/>
          <w:szCs w:val="21"/>
          <w:highlight w:val="none"/>
        </w:rPr>
        <w:t>15.3.1 承包人提供质量保证金的方式</w:t>
      </w:r>
      <w:bookmarkEnd w:id="635"/>
    </w:p>
    <w:p w14:paraId="1A8D2A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14:paraId="0C323435">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（1）质量保证金保函，保证金额为：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0338FE6">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审定合同总价的【1.5】%</w:t>
      </w:r>
      <w:r>
        <w:rPr>
          <w:rFonts w:hint="eastAsia" w:ascii="宋体" w:hAnsi="宋体" w:eastAsia="宋体" w:cs="宋体"/>
          <w:color w:val="auto"/>
          <w:szCs w:val="21"/>
          <w:highlight w:val="none"/>
        </w:rPr>
        <w:t>；</w:t>
      </w:r>
    </w:p>
    <w:p w14:paraId="2D27097B">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3E1E73D">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6" w:name="_Toc22015"/>
      <w:r>
        <w:rPr>
          <w:rFonts w:hint="eastAsia" w:ascii="宋体" w:hAnsi="宋体" w:eastAsia="宋体" w:cs="宋体"/>
          <w:color w:val="auto"/>
          <w:szCs w:val="21"/>
          <w:highlight w:val="none"/>
        </w:rPr>
        <w:t>15.3.2 质量保证金的扣留</w:t>
      </w:r>
      <w:bookmarkEnd w:id="636"/>
      <w:r>
        <w:rPr>
          <w:rFonts w:hint="eastAsia" w:ascii="宋体" w:hAnsi="宋体" w:eastAsia="宋体" w:cs="宋体"/>
          <w:color w:val="auto"/>
          <w:szCs w:val="21"/>
          <w:highlight w:val="none"/>
        </w:rPr>
        <w:t xml:space="preserve"> </w:t>
      </w:r>
    </w:p>
    <w:p w14:paraId="0A7713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14:paraId="04BCFC2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2BC55164">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37" w:name="_Toc11445"/>
      <w:r>
        <w:rPr>
          <w:rFonts w:hint="eastAsia" w:ascii="宋体" w:hAnsi="宋体" w:eastAsia="宋体" w:cs="宋体"/>
          <w:color w:val="auto"/>
          <w:szCs w:val="21"/>
          <w:highlight w:val="none"/>
        </w:rPr>
        <w:t>（2）工程竣工结算时一次性扣留质量保证金；</w:t>
      </w:r>
      <w:bookmarkEnd w:id="637"/>
    </w:p>
    <w:p w14:paraId="69789D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（3）其他扣留方式:</w:t>
      </w:r>
    </w:p>
    <w:p w14:paraId="1118966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关于质量保证金的补充约定</w:t>
      </w:r>
      <w:r>
        <w:rPr>
          <w:rFonts w:hint="eastAsia" w:ascii="宋体" w:hAnsi="宋体" w:eastAsia="宋体" w:cs="宋体"/>
          <w:b/>
          <w:color w:val="auto"/>
          <w:szCs w:val="21"/>
          <w:highlight w:val="none"/>
          <w:u w:val="single"/>
        </w:rPr>
        <w:t>：结算金额【1.5】%作为工程质量保证金，质保金在质保期满经验收无质量问题、扣除承包人应承担的全部费用（包括但不限于违约金违约金、损害赔偿金等）后【</w:t>
      </w:r>
      <w:r>
        <w:rPr>
          <w:rFonts w:hint="eastAsia" w:ascii="宋体" w:hAnsi="宋体" w:eastAsia="宋体" w:cs="宋体"/>
          <w:b/>
          <w:color w:val="auto"/>
          <w:szCs w:val="21"/>
          <w:highlight w:val="none"/>
          <w:u w:val="single"/>
          <w:lang w:val="en-US" w:eastAsia="zh-CN"/>
        </w:rPr>
        <w:t>60</w:t>
      </w:r>
      <w:r>
        <w:rPr>
          <w:rFonts w:hint="eastAsia" w:ascii="宋体" w:hAnsi="宋体" w:eastAsia="宋体" w:cs="宋体"/>
          <w:b/>
          <w:color w:val="auto"/>
          <w:szCs w:val="21"/>
          <w:highlight w:val="none"/>
          <w:u w:val="single"/>
        </w:rPr>
        <w:t>】天内全部结清（不计利息）。</w:t>
      </w:r>
    </w:p>
    <w:bookmarkEnd w:id="605"/>
    <w:bookmarkEnd w:id="606"/>
    <w:p w14:paraId="045549C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15.4保修</w:t>
      </w:r>
    </w:p>
    <w:bookmarkEnd w:id="607"/>
    <w:p w14:paraId="7B5BCFE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14:paraId="6FB9DC6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b/>
          <w:bCs/>
          <w:color w:val="auto"/>
          <w:szCs w:val="21"/>
          <w:highlight w:val="none"/>
          <w:u w:val="single"/>
        </w:rPr>
        <w:t>按工程质量保修书规定执行</w:t>
      </w:r>
      <w:r>
        <w:rPr>
          <w:rFonts w:hint="eastAsia" w:ascii="宋体" w:hAnsi="宋体" w:eastAsia="宋体" w:cs="宋体"/>
          <w:color w:val="auto"/>
          <w:szCs w:val="21"/>
          <w:highlight w:val="none"/>
        </w:rPr>
        <w:t>。</w:t>
      </w:r>
    </w:p>
    <w:p w14:paraId="1B9634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14:paraId="18D9DF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3日内，承包人逾期未响应或未完成维修的，发包人有权自行或另行委托第三方负责，相关费用由承包人承担，发包人有权从应支付给承包人的费用中扣除</w:t>
      </w:r>
      <w:r>
        <w:rPr>
          <w:rFonts w:hint="eastAsia" w:ascii="宋体" w:hAnsi="宋体" w:eastAsia="宋体" w:cs="宋体"/>
          <w:color w:val="auto"/>
          <w:szCs w:val="21"/>
          <w:highlight w:val="none"/>
        </w:rPr>
        <w:t>。</w:t>
      </w:r>
    </w:p>
    <w:bookmarkEnd w:id="608"/>
    <w:bookmarkEnd w:id="609"/>
    <w:bookmarkEnd w:id="610"/>
    <w:bookmarkEnd w:id="611"/>
    <w:p w14:paraId="037416BE">
      <w:pPr>
        <w:adjustRightInd w:val="0"/>
        <w:snapToGrid w:val="0"/>
        <w:spacing w:line="360" w:lineRule="auto"/>
        <w:ind w:firstLine="420" w:firstLineChars="200"/>
        <w:rPr>
          <w:rFonts w:hint="eastAsia" w:ascii="宋体" w:hAnsi="宋体" w:eastAsia="宋体" w:cs="宋体"/>
          <w:color w:val="auto"/>
          <w:szCs w:val="21"/>
          <w:highlight w:val="none"/>
        </w:rPr>
      </w:pPr>
      <w:bookmarkStart w:id="638" w:name="_Toc351203648"/>
      <w:bookmarkStart w:id="639" w:name="_Toc280868717"/>
      <w:bookmarkStart w:id="640" w:name="_Toc280868718"/>
      <w:r>
        <w:rPr>
          <w:rFonts w:hint="eastAsia" w:ascii="宋体" w:hAnsi="宋体" w:eastAsia="宋体" w:cs="宋体"/>
          <w:color w:val="auto"/>
          <w:szCs w:val="21"/>
          <w:highlight w:val="none"/>
        </w:rPr>
        <w:t>16. 违约</w:t>
      </w:r>
      <w:bookmarkEnd w:id="638"/>
    </w:p>
    <w:p w14:paraId="1D5E0DD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1" w:name="_Toc11573"/>
      <w:r>
        <w:rPr>
          <w:rFonts w:hint="eastAsia" w:ascii="宋体" w:hAnsi="宋体" w:eastAsia="宋体" w:cs="宋体"/>
          <w:color w:val="auto"/>
          <w:szCs w:val="21"/>
          <w:highlight w:val="none"/>
        </w:rPr>
        <w:t>16.1 发包人违约</w:t>
      </w:r>
      <w:bookmarkEnd w:id="641"/>
    </w:p>
    <w:p w14:paraId="49996D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148212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515E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 发包人违约的责任</w:t>
      </w:r>
    </w:p>
    <w:p w14:paraId="0DD2144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14:paraId="7B62CC1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04BCFF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6F23E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3E9D65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BE6E0B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016C84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AA8363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5DFB6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14:paraId="01DE470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发生16.1.1项〔发包人违约的情形〕后【30】天内发包人仍不纠正其违约行为并致使合同目的不能实现的，承包人有权解除合同。</w:t>
      </w:r>
    </w:p>
    <w:p w14:paraId="36D4F0B4">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2" w:name="_Toc1661"/>
      <w:r>
        <w:rPr>
          <w:rFonts w:hint="eastAsia" w:ascii="宋体" w:hAnsi="宋体" w:eastAsia="宋体" w:cs="宋体"/>
          <w:color w:val="auto"/>
          <w:szCs w:val="21"/>
          <w:highlight w:val="none"/>
        </w:rPr>
        <w:t>16.2 承包人违约</w:t>
      </w:r>
      <w:bookmarkEnd w:id="642"/>
    </w:p>
    <w:p w14:paraId="1C9F857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 承包人违约的情形</w:t>
      </w:r>
    </w:p>
    <w:p w14:paraId="52A75E32">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承包人违约的其他情形：</w:t>
      </w:r>
      <w:r>
        <w:rPr>
          <w:rFonts w:hint="eastAsia" w:ascii="宋体" w:hAnsi="宋体" w:eastAsia="宋体" w:cs="宋体"/>
          <w:color w:val="auto"/>
          <w:szCs w:val="21"/>
          <w:highlight w:val="none"/>
          <w:u w:val="single"/>
        </w:rPr>
        <w:t xml:space="preserve"> </w:t>
      </w:r>
    </w:p>
    <w:p w14:paraId="1CEEAF1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在竣工验收合格后【7】天内必须做到工完场清、料清、障清，如未在合同约定时间内做到工完场清，发包人有权指定其他单位清理，其费用在工程款中扣除，承包人还应承担由此给发包人带来的损失，及按日【</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】元支付违约金。</w:t>
      </w:r>
    </w:p>
    <w:p w14:paraId="0F28BD8F">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20000】元。</w:t>
      </w:r>
    </w:p>
    <w:p w14:paraId="01225D0D">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（3）承包人应及时支付民工工资，如因拖欠民工工资引起纠纷，发包人有权从工程款中扣除直接支付给该工程的民工工资。 承包人如发生此类情况，另需向发包人支付违约金【</w:t>
      </w:r>
      <w:r>
        <w:rPr>
          <w:rFonts w:hint="eastAsia" w:ascii="宋体" w:hAnsi="宋体" w:eastAsia="宋体" w:cs="宋体"/>
          <w:color w:val="auto"/>
          <w:szCs w:val="21"/>
          <w:highlight w:val="none"/>
          <w:u w:val="single"/>
          <w:lang w:val="en-US" w:eastAsia="zh-CN"/>
        </w:rPr>
        <w:t>50000</w:t>
      </w:r>
      <w:r>
        <w:rPr>
          <w:rFonts w:hint="eastAsia" w:ascii="宋体" w:hAnsi="宋体" w:eastAsia="宋体" w:cs="宋体"/>
          <w:color w:val="auto"/>
          <w:szCs w:val="21"/>
          <w:highlight w:val="none"/>
          <w:u w:val="single"/>
        </w:rPr>
        <w:t>】元。（合同价款的【</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w:t>
      </w:r>
    </w:p>
    <w:p w14:paraId="453AFF8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（4）由于承包人原因，导致发包人无法取得城建档案馆签发的《建设工程竣工档案接收证书》的，承包人应在发包人通知后【7】日内补救，并发包人支付【</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】元违约金。</w:t>
      </w:r>
    </w:p>
    <w:p w14:paraId="489532B7">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（5）承包人将本合同工程转包或分包的， 发包人有权解除合同，要求承包人支付【</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】元违约金。</w:t>
      </w:r>
    </w:p>
    <w:p w14:paraId="59E038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（6）承包人有任何违约行为的，发包人均有权暂缓支付工程价款，且不视为发包人违约。      </w:t>
      </w:r>
      <w:r>
        <w:rPr>
          <w:rFonts w:hint="eastAsia" w:ascii="宋体" w:hAnsi="宋体" w:eastAsia="宋体" w:cs="宋体"/>
          <w:color w:val="auto"/>
          <w:szCs w:val="21"/>
          <w:highlight w:val="none"/>
        </w:rPr>
        <w:t>。</w:t>
      </w:r>
    </w:p>
    <w:p w14:paraId="014725B6">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（7）承包人发生安全事故，发包人有权单方解除合同，并要求承包人支付【</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】元违约金。</w:t>
      </w:r>
    </w:p>
    <w:p w14:paraId="7C11C330">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（8）承包人或承包人法定代表人、项目经理、公司高管等涉嫌刑事犯罪或涉及任何行政处罚事项的，发包人有权单方解除合同，并要求承包人支付【</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】元违约金。</w:t>
      </w:r>
    </w:p>
    <w:p w14:paraId="29FE4569">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(9)承包人在其他任何项目中存在安全事故、提供虚假资料投标等行为的（包括发包人相关项目及其他单位的任何项目），发包人均有权单方解除合同，并要求承包人支付【</w:t>
      </w:r>
      <w:r>
        <w:rPr>
          <w:rFonts w:hint="eastAsia" w:ascii="宋体" w:hAnsi="宋体" w:eastAsia="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】元违约金。</w:t>
      </w:r>
    </w:p>
    <w:p w14:paraId="4E2FD921">
      <w:pPr>
        <w:pStyle w:val="647"/>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（10）承包人违反本合同约定的其他在先合同义务的，发包人均有权单方解除合同，并要求承包人支付</w:t>
      </w:r>
      <w:r>
        <w:rPr>
          <w:rFonts w:hint="eastAsia" w:ascii="宋体" w:hAnsi="宋体" w:eastAsia="宋体" w:cs="宋体"/>
          <w:color w:val="auto"/>
          <w:szCs w:val="21"/>
          <w:highlight w:val="none"/>
        </w:rPr>
        <w:t>【50000】</w:t>
      </w:r>
      <w:r>
        <w:rPr>
          <w:rFonts w:hint="eastAsia" w:ascii="宋体" w:hAnsi="宋体" w:eastAsia="宋体" w:cs="宋体"/>
          <w:color w:val="auto"/>
          <w:highlight w:val="none"/>
        </w:rPr>
        <w:t>元违约金，违约金不足以弥补发包人损失的承包人应予补足。</w:t>
      </w:r>
    </w:p>
    <w:p w14:paraId="3DCCBC0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16.2.2承包人违约的责任</w:t>
      </w:r>
    </w:p>
    <w:p w14:paraId="1895A7C0">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承包人违约责任的承担方式和计算方法：</w:t>
      </w:r>
      <w:r>
        <w:rPr>
          <w:rFonts w:hint="eastAsia" w:ascii="宋体" w:hAnsi="宋体" w:eastAsia="宋体" w:cs="宋体"/>
          <w:color w:val="auto"/>
          <w:szCs w:val="21"/>
          <w:highlight w:val="none"/>
          <w:u w:val="single"/>
        </w:rPr>
        <w:t xml:space="preserve">    见本合同相关条款    </w:t>
      </w:r>
      <w:r>
        <w:rPr>
          <w:rFonts w:hint="eastAsia" w:ascii="宋体" w:hAnsi="宋体" w:eastAsia="宋体" w:cs="宋体"/>
          <w:color w:val="auto"/>
          <w:szCs w:val="21"/>
          <w:highlight w:val="none"/>
        </w:rPr>
        <w:t xml:space="preserve">。    </w:t>
      </w:r>
    </w:p>
    <w:p w14:paraId="45F0E68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14:paraId="1CA7679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关于承包人违约解除合同的特别约定：</w:t>
      </w:r>
      <w:r>
        <w:rPr>
          <w:rFonts w:hint="eastAsia" w:ascii="宋体" w:hAnsi="宋体" w:eastAsia="宋体" w:cs="宋体"/>
          <w:color w:val="auto"/>
          <w:szCs w:val="21"/>
          <w:highlight w:val="none"/>
          <w:u w:val="single"/>
        </w:rPr>
        <w:t xml:space="preserve">  发包人选择解除合同的，承包人应在收到发包人通知后在【</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】日内退场、退还已收取的全部费用并支付【50000】元违约金。</w:t>
      </w:r>
    </w:p>
    <w:p w14:paraId="0559EB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eastAsia="宋体" w:cs="宋体"/>
          <w:color w:val="auto"/>
          <w:szCs w:val="21"/>
          <w:highlight w:val="none"/>
        </w:rPr>
        <w:t>。</w:t>
      </w:r>
    </w:p>
    <w:p w14:paraId="1F2C0C4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14:paraId="73DE6D58">
      <w:pPr>
        <w:adjustRightInd w:val="0"/>
        <w:snapToGrid w:val="0"/>
        <w:spacing w:line="360" w:lineRule="auto"/>
        <w:ind w:firstLine="420" w:firstLineChars="200"/>
        <w:rPr>
          <w:rFonts w:hint="eastAsia" w:ascii="宋体" w:hAnsi="宋体" w:eastAsia="宋体" w:cs="宋体"/>
          <w:color w:val="auto"/>
          <w:szCs w:val="21"/>
          <w:highlight w:val="none"/>
        </w:rPr>
      </w:pPr>
      <w:bookmarkStart w:id="643" w:name="_Toc351203649"/>
      <w:r>
        <w:rPr>
          <w:rFonts w:hint="eastAsia" w:ascii="宋体" w:hAnsi="宋体" w:eastAsia="宋体" w:cs="宋体"/>
          <w:color w:val="auto"/>
          <w:szCs w:val="21"/>
          <w:highlight w:val="none"/>
        </w:rPr>
        <w:t>17. 不可抗力</w:t>
      </w:r>
      <w:bookmarkEnd w:id="639"/>
      <w:bookmarkEnd w:id="643"/>
    </w:p>
    <w:p w14:paraId="00F75B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14:paraId="13A7010D">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除通用合同条款约定的不可抗力事件之外，视为不可抗力的其他情形：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BE35F41">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4" w:name="_Toc28731"/>
      <w:r>
        <w:rPr>
          <w:rFonts w:hint="eastAsia" w:ascii="宋体" w:hAnsi="宋体" w:eastAsia="宋体" w:cs="宋体"/>
          <w:color w:val="auto"/>
          <w:szCs w:val="21"/>
          <w:highlight w:val="none"/>
        </w:rPr>
        <w:t>17.4 因不可抗力解除合同</w:t>
      </w:r>
      <w:bookmarkEnd w:id="644"/>
    </w:p>
    <w:p w14:paraId="6C4CCC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合同解除后，发包人应在商定或确定发包人应支付款项后天内完成款项的支付。</w:t>
      </w:r>
    </w:p>
    <w:p w14:paraId="48A396AC">
      <w:pPr>
        <w:adjustRightInd w:val="0"/>
        <w:snapToGrid w:val="0"/>
        <w:spacing w:line="360" w:lineRule="auto"/>
        <w:ind w:firstLine="420" w:firstLineChars="200"/>
        <w:rPr>
          <w:rFonts w:hint="eastAsia" w:ascii="宋体" w:hAnsi="宋体" w:eastAsia="宋体" w:cs="宋体"/>
          <w:color w:val="auto"/>
          <w:szCs w:val="21"/>
          <w:highlight w:val="none"/>
        </w:rPr>
      </w:pPr>
      <w:bookmarkStart w:id="645" w:name="_Toc351203650"/>
      <w:r>
        <w:rPr>
          <w:rFonts w:hint="eastAsia" w:ascii="宋体" w:hAnsi="宋体" w:eastAsia="宋体" w:cs="宋体"/>
          <w:color w:val="auto"/>
          <w:szCs w:val="21"/>
          <w:highlight w:val="none"/>
        </w:rPr>
        <w:t>18. 保险</w:t>
      </w:r>
      <w:bookmarkEnd w:id="645"/>
    </w:p>
    <w:bookmarkEnd w:id="640"/>
    <w:p w14:paraId="2EDB4F4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14:paraId="719E34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eastAsia="宋体" w:cs="宋体"/>
          <w:color w:val="auto"/>
          <w:szCs w:val="21"/>
          <w:highlight w:val="none"/>
        </w:rPr>
        <w:t>。</w:t>
      </w:r>
    </w:p>
    <w:p w14:paraId="340FDA9F">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6" w:name="_Toc112"/>
      <w:r>
        <w:rPr>
          <w:rFonts w:hint="eastAsia" w:ascii="宋体" w:hAnsi="宋体" w:eastAsia="宋体" w:cs="宋体"/>
          <w:color w:val="auto"/>
          <w:szCs w:val="21"/>
          <w:highlight w:val="none"/>
        </w:rPr>
        <w:t>18.3 其他保险</w:t>
      </w:r>
      <w:bookmarkEnd w:id="646"/>
    </w:p>
    <w:p w14:paraId="4DAE29F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b/>
          <w:bCs/>
          <w:color w:val="auto"/>
          <w:szCs w:val="21"/>
          <w:highlight w:val="none"/>
          <w:u w:val="single"/>
        </w:rPr>
        <w:t>承包人投保建筑工</w:t>
      </w:r>
      <w:r>
        <w:rPr>
          <w:rFonts w:hint="eastAsia" w:ascii="宋体" w:hAnsi="宋体" w:eastAsia="宋体" w:cs="宋体"/>
          <w:b/>
          <w:color w:val="auto"/>
          <w:szCs w:val="21"/>
          <w:highlight w:val="none"/>
          <w:u w:val="single"/>
        </w:rPr>
        <w:t>人及管理人员意外伤害保险</w:t>
      </w:r>
      <w:r>
        <w:rPr>
          <w:rFonts w:hint="eastAsia" w:ascii="宋体" w:hAnsi="宋体" w:eastAsia="宋体" w:cs="宋体"/>
          <w:color w:val="auto"/>
          <w:szCs w:val="21"/>
          <w:highlight w:val="none"/>
        </w:rPr>
        <w:t>。</w:t>
      </w:r>
    </w:p>
    <w:p w14:paraId="5C3168C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是</w:t>
      </w:r>
      <w:r>
        <w:rPr>
          <w:rFonts w:hint="eastAsia" w:ascii="宋体" w:hAnsi="宋体" w:eastAsia="宋体" w:cs="宋体"/>
          <w:color w:val="auto"/>
          <w:szCs w:val="21"/>
          <w:highlight w:val="none"/>
        </w:rPr>
        <w:t>。</w:t>
      </w:r>
    </w:p>
    <w:p w14:paraId="1A1D320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14:paraId="3BBF82D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b/>
          <w:bCs/>
          <w:color w:val="auto"/>
          <w:szCs w:val="21"/>
          <w:highlight w:val="none"/>
          <w:u w:val="single"/>
        </w:rPr>
        <w:t>按通用合同条款第18.7条项规定执行</w:t>
      </w:r>
      <w:r>
        <w:rPr>
          <w:rFonts w:hint="eastAsia" w:ascii="宋体" w:hAnsi="宋体" w:eastAsia="宋体" w:cs="宋体"/>
          <w:color w:val="auto"/>
          <w:szCs w:val="21"/>
          <w:highlight w:val="none"/>
        </w:rPr>
        <w:t>。</w:t>
      </w:r>
    </w:p>
    <w:bookmarkEnd w:id="612"/>
    <w:bookmarkEnd w:id="613"/>
    <w:bookmarkEnd w:id="614"/>
    <w:bookmarkEnd w:id="615"/>
    <w:bookmarkEnd w:id="616"/>
    <w:bookmarkEnd w:id="617"/>
    <w:bookmarkEnd w:id="618"/>
    <w:bookmarkEnd w:id="619"/>
    <w:bookmarkEnd w:id="620"/>
    <w:bookmarkEnd w:id="621"/>
    <w:bookmarkEnd w:id="622"/>
    <w:bookmarkEnd w:id="623"/>
    <w:p w14:paraId="3FD07961">
      <w:pPr>
        <w:adjustRightInd w:val="0"/>
        <w:snapToGrid w:val="0"/>
        <w:spacing w:line="360" w:lineRule="auto"/>
        <w:ind w:firstLine="420" w:firstLineChars="200"/>
        <w:rPr>
          <w:rFonts w:hint="eastAsia" w:ascii="宋体" w:hAnsi="宋体" w:eastAsia="宋体" w:cs="宋体"/>
          <w:color w:val="auto"/>
          <w:szCs w:val="21"/>
          <w:highlight w:val="none"/>
        </w:rPr>
      </w:pPr>
      <w:bookmarkStart w:id="647" w:name="_Toc351203651"/>
      <w:r>
        <w:rPr>
          <w:rFonts w:hint="eastAsia" w:ascii="宋体" w:hAnsi="宋体" w:eastAsia="宋体" w:cs="宋体"/>
          <w:color w:val="auto"/>
          <w:szCs w:val="21"/>
          <w:highlight w:val="none"/>
        </w:rPr>
        <w:t>20. 争议解决</w:t>
      </w:r>
      <w:bookmarkEnd w:id="647"/>
    </w:p>
    <w:bookmarkEnd w:id="624"/>
    <w:bookmarkEnd w:id="625"/>
    <w:p w14:paraId="1BC30B05">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8" w:name="_Toc7414"/>
      <w:r>
        <w:rPr>
          <w:rFonts w:hint="eastAsia" w:ascii="宋体" w:hAnsi="宋体" w:eastAsia="宋体" w:cs="宋体"/>
          <w:color w:val="auto"/>
          <w:szCs w:val="21"/>
          <w:highlight w:val="none"/>
        </w:rPr>
        <w:t>20.3 争</w:t>
      </w:r>
      <w:bookmarkEnd w:id="626"/>
      <w:r>
        <w:rPr>
          <w:rFonts w:hint="eastAsia" w:ascii="宋体" w:hAnsi="宋体" w:eastAsia="宋体" w:cs="宋体"/>
          <w:color w:val="auto"/>
          <w:szCs w:val="21"/>
          <w:highlight w:val="none"/>
        </w:rPr>
        <w:t>议评审</w:t>
      </w:r>
      <w:bookmarkEnd w:id="648"/>
    </w:p>
    <w:p w14:paraId="45F95D33">
      <w:pPr>
        <w:adjustRightInd w:val="0"/>
        <w:snapToGrid w:val="0"/>
        <w:spacing w:line="360" w:lineRule="auto"/>
        <w:ind w:left="149" w:leftChars="7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384F2107">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49" w:name="_Toc32679"/>
      <w:r>
        <w:rPr>
          <w:rFonts w:hint="eastAsia" w:ascii="宋体" w:hAnsi="宋体" w:eastAsia="宋体" w:cs="宋体"/>
          <w:color w:val="auto"/>
          <w:szCs w:val="21"/>
          <w:highlight w:val="none"/>
        </w:rPr>
        <w:t>20.3.1 争议评审小组的确定</w:t>
      </w:r>
      <w:bookmarkEnd w:id="649"/>
    </w:p>
    <w:p w14:paraId="01F91C6B">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5AB558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153A7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B52D09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74758D7">
      <w:pPr>
        <w:autoSpaceDE w:val="0"/>
        <w:autoSpaceDN w:val="0"/>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50" w:name="_Toc4024"/>
      <w:r>
        <w:rPr>
          <w:rFonts w:hint="eastAsia" w:ascii="宋体" w:hAnsi="宋体" w:eastAsia="宋体" w:cs="宋体"/>
          <w:color w:val="auto"/>
          <w:szCs w:val="21"/>
          <w:highlight w:val="none"/>
        </w:rPr>
        <w:t>20.3.2 争议评审小组的决定</w:t>
      </w:r>
      <w:bookmarkEnd w:id="650"/>
    </w:p>
    <w:p w14:paraId="4C6D81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CDE0AC8">
      <w:p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651" w:name="_Toc21575"/>
      <w:r>
        <w:rPr>
          <w:rFonts w:hint="eastAsia" w:ascii="宋体" w:hAnsi="宋体" w:eastAsia="宋体" w:cs="宋体"/>
          <w:color w:val="auto"/>
          <w:szCs w:val="21"/>
          <w:highlight w:val="none"/>
        </w:rPr>
        <w:t>20.4仲裁或诉讼</w:t>
      </w:r>
      <w:bookmarkEnd w:id="627"/>
      <w:bookmarkEnd w:id="651"/>
    </w:p>
    <w:p w14:paraId="1919AB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因合同及合同有关事项发生的争议，按下列第种方式解决：</w:t>
      </w:r>
    </w:p>
    <w:p w14:paraId="3B657E1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仲裁委员会申请仲裁；</w:t>
      </w:r>
    </w:p>
    <w:p w14:paraId="7F56114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b/>
          <w:bCs/>
          <w:color w:val="auto"/>
          <w:szCs w:val="21"/>
          <w:highlight w:val="none"/>
          <w:u w:val="single"/>
        </w:rPr>
        <w:t>工程所在地</w:t>
      </w:r>
      <w:r>
        <w:rPr>
          <w:rFonts w:hint="eastAsia" w:ascii="宋体" w:hAnsi="宋体" w:eastAsia="宋体" w:cs="宋体"/>
          <w:color w:val="auto"/>
          <w:szCs w:val="21"/>
          <w:highlight w:val="none"/>
        </w:rPr>
        <w:t>人民法院起诉。</w:t>
      </w:r>
      <w:bookmarkEnd w:id="628"/>
      <w:bookmarkEnd w:id="629"/>
      <w:bookmarkEnd w:id="630"/>
      <w:bookmarkEnd w:id="631"/>
      <w:bookmarkEnd w:id="632"/>
      <w:bookmarkEnd w:id="633"/>
    </w:p>
    <w:p w14:paraId="7475D03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21.补充条款</w:t>
      </w:r>
    </w:p>
    <w:p w14:paraId="46D120C9">
      <w:pPr>
        <w:pStyle w:val="29"/>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21.1工程质量要求的其他约定</w:t>
      </w:r>
    </w:p>
    <w:p w14:paraId="28DA427B">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rPr>
        <w:t>21.1.1</w:t>
      </w:r>
      <w:r>
        <w:rPr>
          <w:rFonts w:hint="eastAsia" w:ascii="宋体" w:hAnsi="宋体" w:eastAsia="宋体" w:cs="宋体"/>
          <w:b/>
          <w:color w:val="auto"/>
          <w:szCs w:val="21"/>
          <w:highlight w:val="none"/>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228BE6AA">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w:t>
      </w:r>
      <w:r>
        <w:rPr>
          <w:rFonts w:hint="eastAsia" w:hAnsi="宋体" w:cs="宋体"/>
          <w:b/>
          <w:color w:val="auto"/>
          <w:sz w:val="21"/>
          <w:szCs w:val="21"/>
          <w:highlight w:val="none"/>
          <w:u w:val="single"/>
          <w:lang w:val="en-US" w:eastAsia="zh-CN"/>
        </w:rPr>
        <w:t>30</w:t>
      </w:r>
      <w:r>
        <w:rPr>
          <w:rFonts w:hint="eastAsia" w:ascii="宋体" w:hAnsi="宋体" w:eastAsia="宋体" w:cs="宋体"/>
          <w:b/>
          <w:color w:val="auto"/>
          <w:sz w:val="21"/>
          <w:szCs w:val="21"/>
          <w:highlight w:val="none"/>
          <w:u w:val="single"/>
        </w:rPr>
        <w:t>】%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6709E4F8">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rPr>
        <w:t>21.1.2</w:t>
      </w:r>
      <w:r>
        <w:rPr>
          <w:rFonts w:hint="eastAsia" w:ascii="宋体" w:hAnsi="宋体" w:eastAsia="宋体" w:cs="宋体"/>
          <w:b/>
          <w:color w:val="auto"/>
          <w:szCs w:val="21"/>
          <w:highlight w:val="none"/>
          <w:u w:val="single"/>
        </w:rPr>
        <w:t>因工程施工交叉进行，承包人应积极配合，并无条件服从发包人或监理工程师的合理安排。</w:t>
      </w:r>
    </w:p>
    <w:p w14:paraId="7328D13E">
      <w:pPr>
        <w:pStyle w:val="29"/>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21.2工期要求的其他约定</w:t>
      </w:r>
    </w:p>
    <w:p w14:paraId="39158335">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21.2.1承包人应详细踏勘、了解现场实际情况，在磋商中应充分考虑现场情况对施工工期的影响，该部分内容在施工工期中包干，成交后不予调整。</w:t>
      </w:r>
    </w:p>
    <w:p w14:paraId="7A2CF2E5">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21.2.2合同工期为进场施工开始至竣工验收时止，承包人必须做好配合协调工作，因协调配合不当引起的工期等所有损失均由承包人承担。</w:t>
      </w:r>
    </w:p>
    <w:p w14:paraId="2B4BC76B">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3E89F9B7">
      <w:pPr>
        <w:pStyle w:val="29"/>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21.3安全文明施工要求的其他约定</w:t>
      </w:r>
    </w:p>
    <w:p w14:paraId="14094FB7">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21.3.1承包人与发包人必须签定《安全生产责任协议书》和《文明施工责任协议书》（见附件），且必须按照浙江省及发包人安全生产、文明施工标准化工地要求，做好安全生产、文明施工。 </w:t>
      </w:r>
    </w:p>
    <w:p w14:paraId="09ECD75D">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安全生产、文明施工相关费用在工程实施过程中必须足额投入，否则发包人有权拒绝支付该项费用。</w:t>
      </w:r>
    </w:p>
    <w:p w14:paraId="27654288">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安全生产、文明施工维护及宣传方案需征得发包人同意方可实施。</w:t>
      </w:r>
    </w:p>
    <w:p w14:paraId="2F57B58C">
      <w:pPr>
        <w:pStyle w:val="29"/>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21.4人员到位要求的其他约定</w:t>
      </w:r>
    </w:p>
    <w:p w14:paraId="515E3922">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21.4.1承包人在响应文件中承诺的管理人员（项目经理、技术负责人、施工员、安全员、质检员、材料员）配备数量应满足本工程管理的需要和相应规范、文件要求。</w:t>
      </w:r>
    </w:p>
    <w:p w14:paraId="27607F51">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本项目</w:t>
      </w:r>
      <w:r>
        <w:rPr>
          <w:rFonts w:hint="eastAsia" w:ascii="宋体" w:hAnsi="宋体" w:eastAsia="宋体" w:cs="宋体"/>
          <w:b/>
          <w:color w:val="auto"/>
          <w:sz w:val="21"/>
          <w:szCs w:val="21"/>
          <w:highlight w:val="none"/>
          <w:u w:val="single"/>
          <w:lang w:val="en-US" w:eastAsia="zh-CN"/>
        </w:rPr>
        <w:t>须进行</w:t>
      </w:r>
      <w:r>
        <w:rPr>
          <w:rFonts w:hint="eastAsia" w:ascii="宋体" w:hAnsi="宋体" w:eastAsia="宋体" w:cs="宋体"/>
          <w:b/>
          <w:color w:val="auto"/>
          <w:sz w:val="21"/>
          <w:szCs w:val="21"/>
          <w:highlight w:val="none"/>
          <w:u w:val="single"/>
        </w:rPr>
        <w:t>考勤，在响应文件中需对管理人员的出勤率作出承诺。若项目经理、技术负责人出勤率不足磋商响应承诺，处罚【</w:t>
      </w:r>
      <w:r>
        <w:rPr>
          <w:rFonts w:hint="eastAsia" w:hAnsi="宋体"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rPr>
        <w:t>】元人民币/天；施工员、安全员、质检员、材料员出勤率不足磋商响应承诺，处罚【</w:t>
      </w:r>
      <w:r>
        <w:rPr>
          <w:rFonts w:hint="eastAsia" w:hAnsi="宋体" w:cs="宋体"/>
          <w:b/>
          <w:color w:val="auto"/>
          <w:sz w:val="21"/>
          <w:szCs w:val="21"/>
          <w:highlight w:val="none"/>
          <w:u w:val="single"/>
          <w:lang w:val="en-US" w:eastAsia="zh-CN"/>
        </w:rPr>
        <w:t>500</w:t>
      </w:r>
      <w:r>
        <w:rPr>
          <w:rFonts w:hint="eastAsia" w:ascii="宋体" w:hAnsi="宋体" w:eastAsia="宋体" w:cs="宋体"/>
          <w:b/>
          <w:color w:val="auto"/>
          <w:sz w:val="21"/>
          <w:szCs w:val="21"/>
          <w:highlight w:val="none"/>
          <w:u w:val="single"/>
        </w:rPr>
        <w:t>】元人民币/天/人（出勤率按照为每月【</w:t>
      </w:r>
      <w:r>
        <w:rPr>
          <w:rFonts w:hint="eastAsia" w:hAnsi="宋体" w:cs="宋体"/>
          <w:b/>
          <w:color w:val="auto"/>
          <w:sz w:val="21"/>
          <w:szCs w:val="21"/>
          <w:highlight w:val="none"/>
          <w:u w:val="single"/>
          <w:lang w:val="en-US" w:eastAsia="zh-CN"/>
        </w:rPr>
        <w:t>30</w:t>
      </w:r>
      <w:r>
        <w:rPr>
          <w:rFonts w:hint="eastAsia" w:ascii="宋体" w:hAnsi="宋体" w:eastAsia="宋体" w:cs="宋体"/>
          <w:b/>
          <w:color w:val="auto"/>
          <w:sz w:val="21"/>
          <w:szCs w:val="21"/>
          <w:highlight w:val="none"/>
          <w:u w:val="single"/>
        </w:rPr>
        <w:t>】天，每日工作时间【</w:t>
      </w:r>
      <w:r>
        <w:rPr>
          <w:rFonts w:hint="eastAsia" w:hAnsi="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】小时考勤）。重要施工工序或环节时项目经理、技术负责人等必须到场，否则处罚【</w:t>
      </w:r>
      <w:r>
        <w:rPr>
          <w:rFonts w:hint="eastAsia" w:hAnsi="宋体" w:cs="宋体"/>
          <w:b/>
          <w:color w:val="auto"/>
          <w:sz w:val="21"/>
          <w:szCs w:val="21"/>
          <w:highlight w:val="none"/>
          <w:u w:val="single"/>
          <w:lang w:val="en-US" w:eastAsia="zh-CN"/>
        </w:rPr>
        <w:t>5000</w:t>
      </w:r>
      <w:r>
        <w:rPr>
          <w:rFonts w:hint="eastAsia" w:ascii="宋体" w:hAnsi="宋体" w:eastAsia="宋体" w:cs="宋体"/>
          <w:b/>
          <w:color w:val="auto"/>
          <w:sz w:val="21"/>
          <w:szCs w:val="21"/>
          <w:highlight w:val="none"/>
          <w:u w:val="single"/>
        </w:rPr>
        <w:t>】元人民币/每次。</w:t>
      </w:r>
    </w:p>
    <w:p w14:paraId="71E3622C">
      <w:pPr>
        <w:pStyle w:val="29"/>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21.5合同价款的其他约定</w:t>
      </w:r>
    </w:p>
    <w:p w14:paraId="7E4441C3">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21.5.1在工程通过竣工验收前，对已完成工程成品的保护工作由承包人负责，费用在磋商响应报价中包干。</w:t>
      </w:r>
    </w:p>
    <w:p w14:paraId="1BB23B87">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21.5.2本工程工期较紧，相应赶工措施费用包含在磋商响应报价中。</w:t>
      </w:r>
    </w:p>
    <w:p w14:paraId="04E0D7ED">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21.5.3承包人所报的费用中必须包含危险作业意外伤害保险费用，否则所产生的一切后果由承包人承担。</w:t>
      </w:r>
    </w:p>
    <w:p w14:paraId="0CE995A9">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21.5.4施工组织措施费和技术措施费在成交以后，在合同施工范围内，无论现场施工条件如何变化、设计如何变更、也无论工程量增减的幅度如何，均不再调整；</w:t>
      </w:r>
    </w:p>
    <w:p w14:paraId="108E44EC">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0F55E1DB">
      <w:pPr>
        <w:pStyle w:val="29"/>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21.6其他方面的约定</w:t>
      </w:r>
    </w:p>
    <w:p w14:paraId="3623A54F">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7BDB767E">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eastAsia="宋体" w:cs="宋体"/>
          <w:b/>
          <w:bCs/>
          <w:color w:val="auto"/>
          <w:szCs w:val="21"/>
          <w:highlight w:val="none"/>
          <w:u w:val="single"/>
        </w:rPr>
        <w:t>或社会上相关产品进行指定</w:t>
      </w:r>
      <w:r>
        <w:rPr>
          <w:rFonts w:hint="eastAsia" w:ascii="宋体" w:hAnsi="宋体" w:eastAsia="宋体" w:cs="宋体"/>
          <w:b/>
          <w:color w:val="auto"/>
          <w:szCs w:val="21"/>
          <w:highlight w:val="none"/>
          <w:u w:val="single"/>
        </w:rPr>
        <w:t>，且价格不予调整。</w:t>
      </w:r>
    </w:p>
    <w:p w14:paraId="1EFE13FE">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21.6.3承包人应充分响应杭州市委、市政府及当地政府关于工程运输车安全整治有关问题的相关意见，落实好工程安全运输责任制。</w:t>
      </w:r>
    </w:p>
    <w:p w14:paraId="4C46CF9C">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B620308">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69A8227E">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21.6.6承包人需加强维修服务意识，信守维修服务承诺书中的各项承诺，维修服务承诺书作为合同附件。</w:t>
      </w:r>
    </w:p>
    <w:p w14:paraId="69D4F8A3">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21.6.7工程实施期间，承包人必须确保本工程项目进度款专款专用，发包人（或发包人委托的中介机构）随时有权到承包人处核查工程进度款使用情况，承包人须全力配合不得以任何理由拒绝。</w:t>
      </w:r>
    </w:p>
    <w:p w14:paraId="55A8C8C1">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263E9088">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21.6.9承包人应在响应文件中列出所有承包人认为需提供的工日、材料（设备）、机械台班价格，若承包人未列出，在施工期间可由发包人根据响应文件及其它的合同文件确定价格。</w:t>
      </w:r>
    </w:p>
    <w:p w14:paraId="56FC65AC">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0AD7FC01">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21.6.11如果承包人提供的工日、材料（设备）、机械台班价格及综合单价分析表和工料机分析表与综合单价有矛盾，结算时应以综合单价为准。如是综合总价合同，则已包含在合同价款中。</w:t>
      </w:r>
    </w:p>
    <w:p w14:paraId="749969CF">
      <w:pPr>
        <w:pStyle w:val="29"/>
        <w:adjustRightInd w:val="0"/>
        <w:snapToGrid w:val="0"/>
        <w:spacing w:beforeLines="0" w:afterLines="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21.6.12承包人应服从发包人的协调组织安排，不得因交叉交错施工影响本工程总体进度。</w:t>
      </w:r>
    </w:p>
    <w:p w14:paraId="4BDA0578">
      <w:pPr>
        <w:tabs>
          <w:tab w:val="left" w:pos="8080"/>
        </w:tabs>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414DAB5B">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w:t>
      </w:r>
      <w:r>
        <w:rPr>
          <w:rFonts w:hint="eastAsia" w:ascii="宋体" w:hAnsi="宋体" w:eastAsia="宋体" w:cs="宋体"/>
          <w:b/>
          <w:color w:val="auto"/>
          <w:szCs w:val="21"/>
          <w:highlight w:val="none"/>
          <w:u w:val="single"/>
          <w:lang w:val="en-US" w:eastAsia="zh-CN"/>
        </w:rPr>
        <w:t>10000</w:t>
      </w:r>
      <w:r>
        <w:rPr>
          <w:rFonts w:hint="eastAsia" w:ascii="宋体" w:hAnsi="宋体" w:eastAsia="宋体" w:cs="宋体"/>
          <w:b/>
          <w:color w:val="auto"/>
          <w:szCs w:val="21"/>
          <w:highlight w:val="none"/>
          <w:u w:val="single"/>
        </w:rPr>
        <w:t xml:space="preserve">】元向发包人支付违约金。        </w:t>
      </w:r>
    </w:p>
    <w:p w14:paraId="28E3BFE9">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21.6.15本合同所涉及的所有处罚违约金将以现金形式缴纳，月罚月交，如未按时递交违约金，本月工程款暂停支付。</w:t>
      </w:r>
    </w:p>
    <w:p w14:paraId="225DF817">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21.6.16本项目涉及到的检测、监测、质检费用由承包人在磋商响应报价中综合考虑，已包含在报价中，不再另行支付。</w:t>
      </w:r>
    </w:p>
    <w:p w14:paraId="01BDE811">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auto"/>
          <w:szCs w:val="21"/>
          <w:highlight w:val="none"/>
          <w:u w:val="single"/>
        </w:rPr>
        <w:t>。</w:t>
      </w:r>
    </w:p>
    <w:p w14:paraId="3C56270A">
      <w:pPr>
        <w:adjustRightInd w:val="0"/>
        <w:snapToGrid w:val="0"/>
        <w:spacing w:line="360" w:lineRule="auto"/>
        <w:ind w:firstLine="420" w:firstLineChars="200"/>
        <w:rPr>
          <w:rFonts w:hint="eastAsia" w:ascii="宋体" w:hAnsi="宋体" w:eastAsia="宋体" w:cs="宋体"/>
          <w:color w:val="auto"/>
          <w:szCs w:val="21"/>
          <w:highlight w:val="none"/>
        </w:rPr>
      </w:pPr>
    </w:p>
    <w:p w14:paraId="68BF8126">
      <w:pPr>
        <w:adjustRightInd w:val="0"/>
        <w:snapToGrid w:val="0"/>
        <w:spacing w:line="360" w:lineRule="auto"/>
        <w:ind w:firstLine="420" w:firstLineChars="200"/>
        <w:rPr>
          <w:rFonts w:hint="eastAsia" w:ascii="宋体" w:hAnsi="宋体" w:eastAsia="宋体" w:cs="宋体"/>
          <w:color w:val="auto"/>
          <w:szCs w:val="21"/>
          <w:highlight w:val="none"/>
        </w:rPr>
        <w:sectPr>
          <w:footerReference r:id="rId9" w:type="default"/>
          <w:pgSz w:w="11906" w:h="16838"/>
          <w:pgMar w:top="1418" w:right="1555" w:bottom="1418" w:left="1531" w:header="567" w:footer="567" w:gutter="0"/>
          <w:cols w:space="720" w:num="1"/>
          <w:docGrid w:type="lines" w:linePitch="312" w:charSpace="0"/>
        </w:sectPr>
      </w:pPr>
    </w:p>
    <w:p w14:paraId="677A269F">
      <w:pPr>
        <w:spacing w:before="120" w:beforeLines="50" w:after="120" w:after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附件一：工程质量保修书格式</w:t>
      </w:r>
    </w:p>
    <w:p w14:paraId="62672F4E">
      <w:pPr>
        <w:spacing w:before="120" w:beforeLines="50" w:after="120" w:afterLines="50"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工程质量保修书</w:t>
      </w:r>
    </w:p>
    <w:p w14:paraId="4148E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b/>
          <w:color w:val="auto"/>
          <w:szCs w:val="21"/>
          <w:highlight w:val="none"/>
          <w:u w:val="single"/>
        </w:rPr>
        <w:t>中国美术学院</w:t>
      </w:r>
    </w:p>
    <w:p w14:paraId="01518E48">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承包人（全称）：</w:t>
      </w:r>
    </w:p>
    <w:p w14:paraId="7A1A60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发包人和承包人根据《中华人民共和国建筑法》和《建设工程质量管理条例》，经协商一致就</w:t>
      </w:r>
      <w:r>
        <w:rPr>
          <w:rFonts w:hint="eastAsia" w:ascii="宋体" w:hAnsi="宋体" w:eastAsia="宋体" w:cs="宋体"/>
          <w:b/>
          <w:color w:val="auto"/>
          <w:sz w:val="21"/>
          <w:szCs w:val="21"/>
          <w:highlight w:val="none"/>
          <w:lang w:val="en-US" w:eastAsia="zh-CN"/>
        </w:rPr>
        <w:t>山北生活区架空层增加喷淋系统</w:t>
      </w:r>
      <w:r>
        <w:rPr>
          <w:rFonts w:hint="eastAsia" w:ascii="宋体" w:hAnsi="宋体" w:eastAsia="宋体" w:cs="宋体"/>
          <w:color w:val="auto"/>
          <w:szCs w:val="21"/>
          <w:highlight w:val="none"/>
        </w:rPr>
        <w:t>签订工程质量保修书。</w:t>
      </w:r>
    </w:p>
    <w:p w14:paraId="1E3AFA1A">
      <w:pPr>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bookmarkStart w:id="652" w:name="_Toc4299"/>
      <w:r>
        <w:rPr>
          <w:rFonts w:hint="eastAsia" w:ascii="宋体" w:hAnsi="宋体" w:eastAsia="宋体" w:cs="宋体"/>
          <w:color w:val="auto"/>
          <w:szCs w:val="21"/>
          <w:highlight w:val="none"/>
        </w:rPr>
        <w:t>一、工程质量保修范围和内容</w:t>
      </w:r>
      <w:bookmarkEnd w:id="652"/>
    </w:p>
    <w:p w14:paraId="0862B1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承包人在质量保修期内，按照有关法律规定和合同约定，承担工程质量保修责任。</w:t>
      </w:r>
    </w:p>
    <w:p w14:paraId="6AC7BF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3285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本合同承包范围内的全部工程内容</w:t>
      </w:r>
      <w:r>
        <w:rPr>
          <w:rFonts w:hint="eastAsia" w:ascii="宋体" w:hAnsi="宋体" w:eastAsia="宋体" w:cs="宋体"/>
          <w:color w:val="auto"/>
          <w:szCs w:val="21"/>
          <w:highlight w:val="none"/>
        </w:rPr>
        <w:t>。</w:t>
      </w:r>
    </w:p>
    <w:p w14:paraId="6CE3DE4A">
      <w:pPr>
        <w:spacing w:line="360" w:lineRule="auto"/>
        <w:ind w:firstLine="422" w:firstLineChars="200"/>
        <w:outlineLvl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w:t>
      </w:r>
      <w:bookmarkStart w:id="653" w:name="_Toc17240"/>
      <w:r>
        <w:rPr>
          <w:rFonts w:hint="eastAsia" w:ascii="宋体" w:hAnsi="宋体" w:eastAsia="宋体" w:cs="宋体"/>
          <w:color w:val="auto"/>
          <w:szCs w:val="21"/>
          <w:highlight w:val="none"/>
        </w:rPr>
        <w:t>二、质量保修期</w:t>
      </w:r>
      <w:bookmarkEnd w:id="653"/>
    </w:p>
    <w:p w14:paraId="0CC711E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质量保修期从工程实际竣工验收合格之日算起。</w:t>
      </w:r>
    </w:p>
    <w:p w14:paraId="12FEA7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双方根据《建设工程质量管理条例》及国家有关规定，结合具体工程情况约定质量保修期如下：</w:t>
      </w:r>
    </w:p>
    <w:p w14:paraId="768E58C1">
      <w:pPr>
        <w:spacing w:line="360" w:lineRule="auto"/>
        <w:ind w:left="420" w:left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1、地基基础工程和主体结构工程为设计文件规定的该工程合理使用年限；</w:t>
      </w:r>
    </w:p>
    <w:p w14:paraId="4B5A59B5">
      <w:pPr>
        <w:spacing w:line="360" w:lineRule="auto"/>
        <w:ind w:left="420" w:left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2、屋面防水工程、有防水要求的墙面、地面的防渗漏为捌年；</w:t>
      </w:r>
    </w:p>
    <w:p w14:paraId="770E978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3、装修工程为贰年；</w:t>
      </w:r>
    </w:p>
    <w:p w14:paraId="063E21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4、电气管线、给排水管道、设备安装工程为贰年；</w:t>
      </w:r>
    </w:p>
    <w:p w14:paraId="453899A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5、供热与供冷系统为贰个采暖期、供冷期；</w:t>
      </w:r>
    </w:p>
    <w:p w14:paraId="2BE4B3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6、其他约定：</w:t>
      </w:r>
    </w:p>
    <w:p w14:paraId="52D621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质量保修期自工程竣工验收合格之日起计算。</w:t>
      </w:r>
    </w:p>
    <w:p w14:paraId="25AF0151">
      <w:pPr>
        <w:spacing w:line="360" w:lineRule="auto"/>
        <w:ind w:firstLine="420" w:firstLineChars="200"/>
        <w:outlineLvl w:val="0"/>
        <w:rPr>
          <w:rFonts w:hint="eastAsia" w:ascii="宋体" w:hAnsi="宋体" w:eastAsia="宋体" w:cs="宋体"/>
          <w:color w:val="auto"/>
          <w:szCs w:val="21"/>
          <w:highlight w:val="none"/>
        </w:rPr>
      </w:pPr>
      <w:bookmarkStart w:id="654" w:name="_Toc8018"/>
      <w:r>
        <w:rPr>
          <w:rFonts w:hint="eastAsia" w:ascii="宋体" w:hAnsi="宋体" w:eastAsia="宋体" w:cs="宋体"/>
          <w:color w:val="auto"/>
          <w:szCs w:val="21"/>
          <w:highlight w:val="none"/>
        </w:rPr>
        <w:t>三、缺陷责任期</w:t>
      </w:r>
      <w:bookmarkEnd w:id="654"/>
    </w:p>
    <w:p w14:paraId="3FF594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工程缺陷责任期及设备质保期为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DF9F2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缺陷责任期终止后，发包人在扣除承包人应承担的违约金、损害赔偿金、维修费等费用后无息退还剩余的质量保证金。</w:t>
      </w:r>
    </w:p>
    <w:p w14:paraId="34FD51F1">
      <w:pPr>
        <w:spacing w:line="360" w:lineRule="auto"/>
        <w:ind w:firstLine="420" w:firstLineChars="200"/>
        <w:outlineLvl w:val="0"/>
        <w:rPr>
          <w:rFonts w:hint="eastAsia" w:ascii="宋体" w:hAnsi="宋体" w:eastAsia="宋体" w:cs="宋体"/>
          <w:color w:val="auto"/>
          <w:szCs w:val="21"/>
          <w:highlight w:val="none"/>
        </w:rPr>
      </w:pPr>
      <w:bookmarkStart w:id="655" w:name="_Toc27824"/>
      <w:r>
        <w:rPr>
          <w:rFonts w:hint="eastAsia" w:ascii="宋体" w:hAnsi="宋体" w:eastAsia="宋体" w:cs="宋体"/>
          <w:color w:val="auto"/>
          <w:szCs w:val="21"/>
          <w:highlight w:val="none"/>
        </w:rPr>
        <w:t>四、质量保修责任</w:t>
      </w:r>
      <w:bookmarkEnd w:id="655"/>
    </w:p>
    <w:p w14:paraId="58D543F0">
      <w:pPr>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1．属于保修范围、内容的项目，承包人应当在接到保修通知之日起7天内派人保修。承包人不在约定期限内派人保修或未完成维修的，发包人可以委托他人修理，相关费用由承包人承担。</w:t>
      </w:r>
    </w:p>
    <w:p w14:paraId="49A62252">
      <w:pPr>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2．发生紧急事故需抢修的，承包人在接到事故通知后，应当立即到达事故现场抢修，否则承包人有限自行或另行委托第三方维修，相关费用由承包人承担。</w:t>
      </w:r>
    </w:p>
    <w:p w14:paraId="6FE15139">
      <w:pPr>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73C3F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2D559035">
      <w:pPr>
        <w:spacing w:line="360" w:lineRule="auto"/>
        <w:ind w:firstLine="420" w:firstLineChars="200"/>
        <w:outlineLvl w:val="0"/>
        <w:rPr>
          <w:rFonts w:hint="eastAsia" w:ascii="宋体" w:hAnsi="宋体" w:eastAsia="宋体" w:cs="宋体"/>
          <w:color w:val="auto"/>
          <w:szCs w:val="21"/>
          <w:highlight w:val="none"/>
        </w:rPr>
      </w:pPr>
      <w:bookmarkStart w:id="656" w:name="_Toc27684"/>
      <w:r>
        <w:rPr>
          <w:rFonts w:hint="eastAsia" w:ascii="宋体" w:hAnsi="宋体" w:eastAsia="宋体" w:cs="宋体"/>
          <w:color w:val="auto"/>
          <w:szCs w:val="21"/>
          <w:highlight w:val="none"/>
        </w:rPr>
        <w:t>五、保修费用</w:t>
      </w:r>
      <w:bookmarkEnd w:id="656"/>
    </w:p>
    <w:p w14:paraId="37A4C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保修费用由造成质量缺陷的责任方承担。</w:t>
      </w:r>
    </w:p>
    <w:p w14:paraId="27199BB3">
      <w:pPr>
        <w:spacing w:line="360" w:lineRule="auto"/>
        <w:ind w:firstLine="422" w:firstLineChars="200"/>
        <w:outlineLvl w:val="0"/>
        <w:rPr>
          <w:rFonts w:hint="eastAsia" w:ascii="宋体" w:hAnsi="宋体" w:eastAsia="宋体" w:cs="宋体"/>
          <w:color w:val="auto"/>
          <w:szCs w:val="21"/>
          <w:highlight w:val="none"/>
        </w:rPr>
      </w:pPr>
      <w:bookmarkStart w:id="657" w:name="_Toc21717"/>
      <w:r>
        <w:rPr>
          <w:rFonts w:hint="eastAsia" w:ascii="宋体" w:hAnsi="宋体" w:eastAsia="宋体" w:cs="宋体"/>
          <w:b/>
          <w:color w:val="auto"/>
          <w:szCs w:val="21"/>
          <w:highlight w:val="none"/>
        </w:rPr>
        <w:t>六</w:t>
      </w:r>
      <w:r>
        <w:rPr>
          <w:rFonts w:hint="eastAsia" w:ascii="宋体" w:hAnsi="宋体" w:eastAsia="宋体" w:cs="宋体"/>
          <w:color w:val="auto"/>
          <w:szCs w:val="21"/>
          <w:highlight w:val="none"/>
        </w:rPr>
        <w:t>、双方约定的其他工程质量保修事项：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657"/>
    </w:p>
    <w:p w14:paraId="4BE8D6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314FA07E">
      <w:pPr>
        <w:spacing w:line="360" w:lineRule="auto"/>
        <w:ind w:firstLine="420" w:firstLineChars="200"/>
        <w:rPr>
          <w:rFonts w:hint="eastAsia" w:ascii="宋体" w:hAnsi="宋体" w:eastAsia="宋体" w:cs="宋体"/>
          <w:color w:val="auto"/>
          <w:szCs w:val="21"/>
          <w:highlight w:val="none"/>
        </w:rPr>
      </w:pPr>
    </w:p>
    <w:p w14:paraId="222E81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59A74224">
      <w:pPr>
        <w:spacing w:line="400" w:lineRule="exact"/>
        <w:ind w:firstLine="4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                             地  址：</w:t>
      </w:r>
    </w:p>
    <w:p w14:paraId="6C6E940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615E0">
      <w:pPr>
        <w:spacing w:line="360" w:lineRule="auto"/>
        <w:ind w:firstLine="420" w:firstLineChars="200"/>
        <w:rPr>
          <w:rFonts w:hint="eastAsia" w:ascii="宋体" w:hAnsi="宋体" w:eastAsia="宋体" w:cs="宋体"/>
          <w:color w:val="auto"/>
          <w:szCs w:val="21"/>
          <w:highlight w:val="none"/>
        </w:rPr>
      </w:pPr>
    </w:p>
    <w:p w14:paraId="53013F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                   法定代表人(签字)：</w:t>
      </w:r>
    </w:p>
    <w:p w14:paraId="6D0125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                   委托代理人(签字)：</w:t>
      </w:r>
    </w:p>
    <w:p w14:paraId="0484E2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13CA4A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19FB11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37C992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7EC123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60DC1FE4">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bookmarkEnd w:id="84"/>
      <w:bookmarkEnd w:id="85"/>
      <w:bookmarkEnd w:id="86"/>
      <w:bookmarkEnd w:id="87"/>
      <w:r>
        <w:rPr>
          <w:rFonts w:hint="eastAsia" w:ascii="宋体" w:hAnsi="宋体" w:eastAsia="宋体" w:cs="宋体"/>
          <w:color w:val="auto"/>
          <w:szCs w:val="21"/>
          <w:highlight w:val="none"/>
        </w:rPr>
        <w:t>附件二：安全生产责任协议书</w:t>
      </w:r>
    </w:p>
    <w:p w14:paraId="6E3B0F43">
      <w:pPr>
        <w:snapToGrid w:val="0"/>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安全生产责任协议书</w:t>
      </w:r>
    </w:p>
    <w:p w14:paraId="17D34736">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甲方（发包人）：中国美术学院</w:t>
      </w:r>
    </w:p>
    <w:p w14:paraId="5B0168B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乙方（承包人）：</w:t>
      </w:r>
    </w:p>
    <w:p w14:paraId="511DDF3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工程项目名称：</w:t>
      </w:r>
      <w:r>
        <w:rPr>
          <w:rFonts w:hint="eastAsia" w:ascii="宋体" w:hAnsi="宋体" w:eastAsia="宋体" w:cs="宋体"/>
          <w:b/>
          <w:color w:val="auto"/>
          <w:sz w:val="21"/>
          <w:szCs w:val="21"/>
          <w:highlight w:val="none"/>
          <w:lang w:val="en-US" w:eastAsia="zh-CN"/>
        </w:rPr>
        <w:t>山北生活区架空层增加喷淋系统</w:t>
      </w:r>
    </w:p>
    <w:p w14:paraId="3306D8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为落实安全生产的管理要求，确保工程建设的顺利进行，按《浙江省建筑安全文明施工标准化工地管理办法》（浙建建[2005]41号)规定，甲乙双方共同协商，一致同意如下：</w:t>
      </w:r>
    </w:p>
    <w:p w14:paraId="6F60E6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1DB63C2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二、发包人应积极组织和督促承包人开展安全达标活动，及时传达和部署上级的有关安全生产精神和要求，定期听取承包人的意见和要求。加强安全生产的指导和协调。</w:t>
      </w:r>
    </w:p>
    <w:p w14:paraId="34D007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2F14C26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0CF13E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责任违约的经济处理的约定：</w:t>
      </w:r>
    </w:p>
    <w:p w14:paraId="27D42C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依据国家和地方相关法律法规、政策、规定、制度以及本工程施工合同执行。</w:t>
      </w:r>
    </w:p>
    <w:p w14:paraId="29BDCA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2DCB71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18BF25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08EAC0E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106FA2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九、承包人要按照“安全自查，隐患自改、责任自负”的原则加强对施工责任区的日常安全检查。及叫制上和处理各类违章违法行为。对查获的隐患要及时落实整改措施，消除隐患。</w:t>
      </w:r>
    </w:p>
    <w:p w14:paraId="4C152B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3697EEE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4B5AE140">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十二、承包人须参加由发包人召集的每周一次的工程工作列会，对工程进度、工程质量、安全施工等情况向会议进行汇报，并接受发包人的安全检查。</w:t>
      </w:r>
    </w:p>
    <w:p w14:paraId="4C257388">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十三、承包人不准将工程项目进行整体转包。</w:t>
      </w:r>
    </w:p>
    <w:p w14:paraId="521F2067">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67DF2054">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2234E1EF">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十六、承包人须为施工作业人员缴纳相关保险，并在合同签订之日起的 个工作日内将缴纳保险凭证复印件交发包人。</w:t>
      </w:r>
    </w:p>
    <w:p w14:paraId="32DCFBCB">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十七、承包人必须严格按学院管理规范要求进场施工：必须报学院后勤处、安保处备案，并接受学院安保处的安全教育；进场施工必须佩戴胸牌，统一着装；施工垃圾及时清运，垃圾密闭包装，不得裸露在外。</w:t>
      </w:r>
    </w:p>
    <w:p w14:paraId="40850FA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十八、本协议中木涉及的有关条款，甲乙双方可根据需要协商补充修改。</w:t>
      </w:r>
    </w:p>
    <w:p w14:paraId="3F0781B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如遇有国家和本市的有关法规不符的，应按国家和本市的有关法规执行。</w:t>
      </w:r>
    </w:p>
    <w:p w14:paraId="2BB02D3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十九、本协议作为甲乙双方工程承包合同的附件，在工程承包合同签约后生效，与工程承包合同具有同等法律效力。工程承包合同期满，本协议终上。</w:t>
      </w:r>
    </w:p>
    <w:p w14:paraId="7C13FBC8">
      <w:pPr>
        <w:snapToGrid w:val="0"/>
        <w:spacing w:line="360" w:lineRule="auto"/>
        <w:ind w:firstLine="420" w:firstLineChars="200"/>
        <w:rPr>
          <w:rFonts w:hint="eastAsia" w:ascii="宋体" w:hAnsi="宋体" w:eastAsia="宋体" w:cs="宋体"/>
          <w:color w:val="auto"/>
          <w:szCs w:val="21"/>
          <w:highlight w:val="none"/>
        </w:rPr>
      </w:pPr>
    </w:p>
    <w:p w14:paraId="76255BDF">
      <w:pPr>
        <w:snapToGrid w:val="0"/>
        <w:spacing w:line="360" w:lineRule="auto"/>
        <w:ind w:firstLine="420" w:firstLineChars="200"/>
        <w:rPr>
          <w:rFonts w:hint="eastAsia" w:ascii="宋体" w:hAnsi="宋体" w:eastAsia="宋体" w:cs="宋体"/>
          <w:color w:val="auto"/>
          <w:szCs w:val="21"/>
          <w:highlight w:val="none"/>
        </w:rPr>
      </w:pPr>
    </w:p>
    <w:p w14:paraId="795FA10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23EEB8D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772AC4A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758308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年    月    日</w:t>
      </w:r>
    </w:p>
    <w:p w14:paraId="3F4F1BE0">
      <w:pPr>
        <w:snapToGrid w:val="0"/>
        <w:spacing w:line="360" w:lineRule="auto"/>
        <w:ind w:firstLine="420" w:firstLineChars="200"/>
        <w:rPr>
          <w:rFonts w:hint="eastAsia" w:ascii="宋体" w:hAnsi="宋体" w:eastAsia="宋体" w:cs="宋体"/>
          <w:color w:val="auto"/>
          <w:szCs w:val="21"/>
          <w:highlight w:val="none"/>
        </w:rPr>
      </w:pPr>
    </w:p>
    <w:p w14:paraId="6D58FA20">
      <w:pPr>
        <w:snapToGrid w:val="0"/>
        <w:spacing w:line="360" w:lineRule="auto"/>
        <w:ind w:firstLine="422" w:firstLineChars="200"/>
        <w:rPr>
          <w:rFonts w:hint="eastAsia" w:ascii="宋体" w:hAnsi="宋体" w:eastAsia="宋体" w:cs="宋体"/>
          <w:b/>
          <w:color w:val="auto"/>
          <w:szCs w:val="21"/>
          <w:highlight w:val="none"/>
        </w:rPr>
        <w:sectPr>
          <w:footerReference r:id="rId10" w:type="default"/>
          <w:type w:val="nextColumn"/>
          <w:pgSz w:w="11906" w:h="16838"/>
          <w:pgMar w:top="1418" w:right="1588" w:bottom="1418" w:left="1588" w:header="567" w:footer="567" w:gutter="0"/>
          <w:cols w:space="720" w:num="1"/>
          <w:docGrid w:linePitch="312" w:charSpace="0"/>
        </w:sectPr>
      </w:pPr>
    </w:p>
    <w:p w14:paraId="5C9F5A68">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zh-CN"/>
        </w:rPr>
        <w:t>附件三 文明施工责任协议书格式</w:t>
      </w:r>
    </w:p>
    <w:p w14:paraId="6DFDD97A">
      <w:pPr>
        <w:snapToGrid w:val="0"/>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文明施工责任协议书</w:t>
      </w:r>
    </w:p>
    <w:p w14:paraId="4B4E7C6F">
      <w:pPr>
        <w:snapToGrid w:val="0"/>
        <w:spacing w:line="360" w:lineRule="auto"/>
        <w:ind w:firstLine="420" w:firstLineChars="200"/>
        <w:rPr>
          <w:rFonts w:hint="eastAsia" w:ascii="宋体" w:hAnsi="宋体" w:eastAsia="宋体" w:cs="宋体"/>
          <w:color w:val="auto"/>
          <w:szCs w:val="21"/>
          <w:highlight w:val="none"/>
        </w:rPr>
      </w:pPr>
    </w:p>
    <w:p w14:paraId="7F805AFB">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甲方（发包人）：中国美术学院</w:t>
      </w:r>
    </w:p>
    <w:p w14:paraId="5CEE0E6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乙方（承包人）：</w:t>
      </w:r>
    </w:p>
    <w:p w14:paraId="5DAC08C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工程项目名称：</w:t>
      </w:r>
      <w:r>
        <w:rPr>
          <w:rFonts w:hint="eastAsia" w:ascii="宋体" w:hAnsi="宋体" w:eastAsia="宋体" w:cs="宋体"/>
          <w:b/>
          <w:color w:val="auto"/>
          <w:sz w:val="21"/>
          <w:szCs w:val="21"/>
          <w:highlight w:val="none"/>
          <w:lang w:val="en-US" w:eastAsia="zh-CN"/>
        </w:rPr>
        <w:t>山北生活区架空层增加喷淋系统，</w:t>
      </w:r>
      <w:r>
        <w:rPr>
          <w:rFonts w:hint="eastAsia" w:ascii="宋体" w:hAnsi="宋体" w:eastAsia="宋体" w:cs="宋体"/>
          <w:color w:val="auto"/>
          <w:szCs w:val="21"/>
          <w:highlight w:val="none"/>
        </w:rPr>
        <w:t>为认真做好工程建设施工区域内的文明施工，现经甲、乙双方协商同意，明确在文明施工和文明施工管理中的各自职责，并签订如下协议。</w:t>
      </w:r>
    </w:p>
    <w:p w14:paraId="34677F8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11D7C9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1B3CFD6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三、乙方应遵守如下规定：</w:t>
      </w:r>
    </w:p>
    <w:p w14:paraId="4D2B930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1、根据工程的特点，编制文明施工实施方案，在开工前5日内，将文明施工实施方案报甲方和市安全监督部门备案。</w:t>
      </w:r>
    </w:p>
    <w:p w14:paraId="3C353F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2、乙方按有关规定专项包干使用文明施工费，不得挪作他用。</w:t>
      </w:r>
    </w:p>
    <w:p w14:paraId="64533A2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3、工地应设置专职文明施工安全员，做到佩证上岗、动态管理，及时收集、记录、整理、管理台帐等技术资料。</w:t>
      </w:r>
    </w:p>
    <w:p w14:paraId="4EA2C56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4、施工现场应按文明施工安全生产的要求，设置各项临时设施，并达到下列要求：</w:t>
      </w:r>
    </w:p>
    <w:p w14:paraId="31A697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（1）施工区域与非施工区域严格分隔。</w:t>
      </w:r>
    </w:p>
    <w:p w14:paraId="5CE66F6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（2）施工区域内应设置能保证施工安全的夜间照明和警示标志，并采取安全防护措施。</w:t>
      </w:r>
    </w:p>
    <w:p w14:paraId="672D1D1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（3）各类材料、机具设备按工地总平面图的布置，在固定场地整齐堆放，不得侵占场内道路及安全防护等设施。</w:t>
      </w:r>
    </w:p>
    <w:p w14:paraId="501AAFC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（4）其他要求：</w:t>
      </w:r>
      <w:r>
        <w:rPr>
          <w:rFonts w:hint="eastAsia" w:ascii="宋体" w:hAnsi="宋体" w:eastAsia="宋体" w:cs="宋体"/>
          <w:b/>
          <w:color w:val="auto"/>
          <w:szCs w:val="21"/>
          <w:highlight w:val="none"/>
        </w:rPr>
        <w:t>严格按学校管理规范要求进场施工。</w:t>
      </w:r>
    </w:p>
    <w:p w14:paraId="6E7D2B6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5、工地民工宿舍应符合卫生要求和居住条件，地面应用砼硬化，照明电线敷设应符合规范，不得任意拉线接电。宿舍应保持整洁有序，不得男女混杂居住及居住与施工无关的人员。</w:t>
      </w:r>
    </w:p>
    <w:p w14:paraId="1DBAC00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6、施工现场设有食堂的，应符合杭州市职工食堂管理的有关规定，并配备冷冻、冷藏设备，其位置应远离厕所、垃圾容器等污染源，炊事员应持有效健康证明及岗位培训合格证。</w:t>
      </w:r>
    </w:p>
    <w:p w14:paraId="0043579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施工现场应设置茶桶、保障茶水供应。</w:t>
      </w:r>
    </w:p>
    <w:p w14:paraId="509C1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7、建筑垃圾和其他散体物料装运应实行车辆密闭式运输，冲洗干净后出场，运输过程中严禁沿途抛、洒、滴、漏。</w:t>
      </w:r>
    </w:p>
    <w:p w14:paraId="2E872D7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8、乙方应当严格依照《中华人民共和国消防条例》的规定，在工地建立和执行防火管理制度，重点部位设置符合消防要求的消防设施，并保持完好的备用状态。　</w:t>
      </w:r>
    </w:p>
    <w:p w14:paraId="1AF4E8D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9、遵守建设地的现场管理要求。</w:t>
      </w:r>
    </w:p>
    <w:p w14:paraId="42E47F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10、施工单位在施工中应遵守下列规定：</w:t>
      </w:r>
    </w:p>
    <w:p w14:paraId="18DF8E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（1）完善技术和操作管理规程，确保防汛设施和地下管线通畅、安全。</w:t>
      </w:r>
    </w:p>
    <w:p w14:paraId="5D2BB2E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（2）采取各种有效措施，控制扬尘、噪声。</w:t>
      </w:r>
    </w:p>
    <w:p w14:paraId="30FCF7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（3）设置各种防护设施，防止施工中废弃物、杂物影响周围环境，伤害过往行人。</w:t>
      </w:r>
    </w:p>
    <w:p w14:paraId="219391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（4）随时清理建筑垃圾，控制工地污染。</w:t>
      </w:r>
    </w:p>
    <w:p w14:paraId="2791DF6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（5）控制夜间施工作业，确需夜间作业的，必须事先向环保部门申办《夜间施工许可证》。</w:t>
      </w:r>
    </w:p>
    <w:p w14:paraId="0B5F5B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（6）运用其他有效方式，减少施工时对市容、绿化和环境的不良影响。</w:t>
      </w:r>
    </w:p>
    <w:p w14:paraId="1DDD315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（7）遵守交通管理规定，不得使用人力车、三轮车向场外运输建筑垃圾、废土、物料。</w:t>
      </w:r>
    </w:p>
    <w:p w14:paraId="43AC0AA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11、施工人员在施工中应严格遵守下列规定:</w:t>
      </w:r>
    </w:p>
    <w:p w14:paraId="414BB5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（1）施工中产生的各类垃圾应及时清运到市容环境卫生管理部门指定的地点，严禁随意倾倒在城市道路、河道、绿化带、空旷地带和居民生活垃圾容器内。</w:t>
      </w:r>
    </w:p>
    <w:p w14:paraId="592A314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（2）施工中不得随意丢弃废物、旧料和其他杂物。</w:t>
      </w:r>
    </w:p>
    <w:p w14:paraId="5DE334E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（3）施工中应注意清理施工场地，做到随做随清。</w:t>
      </w:r>
    </w:p>
    <w:p w14:paraId="3DF5BBB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w:t>
      </w:r>
    </w:p>
    <w:p w14:paraId="5291A52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12、乙方应确保工地出入口和道路的畅通、安全。施工中造成沿线单位、人员的出入口障碍和道路交通堵塞，应及时采取有效措施。</w:t>
      </w:r>
    </w:p>
    <w:p w14:paraId="032F8A9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13、施工中造成下水道和其他地下管线堵塞或损坏的，应立即疏浚或修复；对工地周围的单位及人员财产造成损失的，应承担经济赔偿责任。</w:t>
      </w:r>
    </w:p>
    <w:p w14:paraId="53614E6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5F3AB4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五、因乙方违反文明施工管理要求，被地方政府有关部门查获而受到的经济处罚，以及由此而使甲方受到的经济损失，均由乙方承担。</w:t>
      </w:r>
    </w:p>
    <w:p w14:paraId="2A532B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六、本协议作为甲乙双方工程合同的附件，在工程合同正式签约后有效，与工程合同具有同等法律效力。工程合同期满，本协议终止。</w:t>
      </w:r>
    </w:p>
    <w:p w14:paraId="1D4476C3">
      <w:pPr>
        <w:snapToGrid w:val="0"/>
        <w:spacing w:line="360" w:lineRule="auto"/>
        <w:ind w:firstLine="420" w:firstLineChars="200"/>
        <w:rPr>
          <w:rFonts w:hint="eastAsia" w:ascii="宋体" w:hAnsi="宋体" w:eastAsia="宋体" w:cs="宋体"/>
          <w:color w:val="auto"/>
          <w:szCs w:val="21"/>
          <w:highlight w:val="none"/>
        </w:rPr>
      </w:pPr>
    </w:p>
    <w:p w14:paraId="6143B1C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5803491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50EDB47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243543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年    月    日</w:t>
      </w:r>
    </w:p>
    <w:p w14:paraId="5EB86F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br w:type="page"/>
      </w:r>
      <w:r>
        <w:rPr>
          <w:rFonts w:hint="eastAsia" w:ascii="宋体" w:hAnsi="宋体" w:eastAsia="宋体" w:cs="宋体"/>
          <w:color w:val="auto"/>
          <w:szCs w:val="21"/>
          <w:highlight w:val="none"/>
          <w:lang w:val="zh-CN"/>
        </w:rPr>
        <w:t>附件四 建设工程廉洁协议书格式</w:t>
      </w:r>
    </w:p>
    <w:p w14:paraId="374F9BEA">
      <w:pPr>
        <w:adjustRightInd w:val="0"/>
        <w:snapToGrid w:val="0"/>
        <w:spacing w:line="360" w:lineRule="auto"/>
        <w:ind w:firstLine="422" w:firstLineChars="20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建设工程廉洁协议书</w:t>
      </w:r>
    </w:p>
    <w:p w14:paraId="7489E8B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甲方（发包人）：中国美术学院</w:t>
      </w:r>
    </w:p>
    <w:p w14:paraId="1B2DD403">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乙方（承包人）：</w:t>
      </w:r>
    </w:p>
    <w:p w14:paraId="01475FF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工程项目名称：</w:t>
      </w:r>
      <w:r>
        <w:rPr>
          <w:rFonts w:hint="eastAsia" w:ascii="宋体" w:hAnsi="宋体" w:eastAsia="宋体" w:cs="宋体"/>
          <w:b/>
          <w:color w:val="auto"/>
          <w:sz w:val="21"/>
          <w:szCs w:val="21"/>
          <w:highlight w:val="none"/>
          <w:lang w:val="en-US" w:eastAsia="zh-CN"/>
        </w:rPr>
        <w:t>山北生活区架空层增加喷淋系统，</w:t>
      </w:r>
      <w:r>
        <w:rPr>
          <w:rFonts w:hint="eastAsia" w:ascii="宋体" w:hAnsi="宋体" w:eastAsia="宋体" w:cs="宋体"/>
          <w:color w:val="auto"/>
          <w:szCs w:val="21"/>
          <w:highlight w:val="none"/>
        </w:rPr>
        <w:t>为了在工程建设中保持廉政自律的工作作风，防止各种不正当行为的发生，根据国家和省市有关建设工程承发包和廉政建设的各项规定，结合工程建设的特点，订立本协议如下：</w:t>
      </w:r>
    </w:p>
    <w:p w14:paraId="7CF0379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一、甲乙双方应当自觉遵守国家和市关于建设工程承发包工作规则以及有关廉政建设的各项规定。</w:t>
      </w:r>
    </w:p>
    <w:p w14:paraId="553C142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二、甲方及其工作人员不得以任何形式向乙方索要和收受回扣等好处费。</w:t>
      </w:r>
    </w:p>
    <w:p w14:paraId="5CF8664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三、甲方工作人员应当保持与乙方的正常业务交往，不得接受乙方的现金、有价证券和贵重物品，不得在乙方报销任何应有个人支付的费用。</w:t>
      </w:r>
    </w:p>
    <w:p w14:paraId="7492CC8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四、甲方工作人员不得参加可能对公正执行公务有影响的宴请和娱乐活动。</w:t>
      </w:r>
    </w:p>
    <w:p w14:paraId="5518E6E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五、甲方工作人员不得要求接受乙方为其住房装修、婚丧嫁娶、家属和子女的工作安排以及出国等提供方便。</w:t>
      </w:r>
    </w:p>
    <w:p w14:paraId="7C1296F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六、甲方工作人员不得向乙方介绍家属或者亲友从事与甲方工程有关的材料设备供应、工程分包等经济活动。</w:t>
      </w:r>
    </w:p>
    <w:p w14:paraId="20DC77D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七、乙方应当通过正常途径开展相对业务工作，不得为获取某些不正当利益而向甲方工作人员赠送礼金、有价证券和贵重物品等。</w:t>
      </w:r>
    </w:p>
    <w:p w14:paraId="6BFB0D0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八、乙方不得为谋取私利擅自与甲方工作人员就工程承包、工程费用、材料设备供应、工程量变动、工程验收、工程质量问题处理等进行私下商谈或者达成默契。</w:t>
      </w:r>
    </w:p>
    <w:p w14:paraId="10476F8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九、乙方不得以洽谈业务、签订经济合同为借口，邀请甲方工作人员外出旅游和进入高档娱乐性场所。</w:t>
      </w:r>
    </w:p>
    <w:p w14:paraId="77CFAAB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十、乙方不得为甲方和个人购置或者提供通讯工具、家电、高档办公用品等物品。</w:t>
      </w:r>
    </w:p>
    <w:p w14:paraId="6D973C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25BEC5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51E4559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十三、严格执行中纪委下发的中纪发【2007】7号《中共中央纪委关于严格禁止利用职务上的便利谋取不正当利益的若干规定》。</w:t>
      </w:r>
    </w:p>
    <w:p w14:paraId="459D9CA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十四、本廉政协议作为工程承发包合同的附件，与工程承发包合同具有同等法律效力，经协议双方签署后立即生效。</w:t>
      </w:r>
    </w:p>
    <w:p w14:paraId="7873293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十五、本协议一式三份，甲、乙双方各执一份，送交见证部门一份。</w:t>
      </w:r>
    </w:p>
    <w:p w14:paraId="5FFB9E42">
      <w:pPr>
        <w:adjustRightInd w:val="0"/>
        <w:snapToGrid w:val="0"/>
        <w:spacing w:line="360" w:lineRule="auto"/>
        <w:ind w:firstLine="420" w:firstLineChars="200"/>
        <w:rPr>
          <w:rFonts w:hint="eastAsia" w:ascii="宋体" w:hAnsi="宋体" w:eastAsia="宋体" w:cs="宋体"/>
          <w:color w:val="auto"/>
          <w:szCs w:val="21"/>
          <w:highlight w:val="none"/>
        </w:rPr>
      </w:pPr>
    </w:p>
    <w:p w14:paraId="2C1580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pacing w:val="-6"/>
          <w:szCs w:val="21"/>
          <w:highlight w:val="none"/>
        </w:rPr>
        <w:t>（公章/合同专用章）</w:t>
      </w:r>
      <w:r>
        <w:rPr>
          <w:rFonts w:hint="eastAsia" w:ascii="宋体" w:hAnsi="宋体" w:eastAsia="宋体" w:cs="宋体"/>
          <w:color w:val="auto"/>
          <w:szCs w:val="21"/>
          <w:highlight w:val="none"/>
        </w:rPr>
        <w:t xml:space="preserve">         承包人：  </w:t>
      </w:r>
      <w:r>
        <w:rPr>
          <w:rFonts w:hint="eastAsia" w:ascii="宋体" w:hAnsi="宋体" w:eastAsia="宋体" w:cs="宋体"/>
          <w:color w:val="auto"/>
          <w:spacing w:val="-6"/>
          <w:szCs w:val="21"/>
          <w:highlight w:val="none"/>
        </w:rPr>
        <w:t>（公章/合同专用章）</w:t>
      </w:r>
    </w:p>
    <w:p w14:paraId="77A9080E">
      <w:pPr>
        <w:adjustRightInd w:val="0"/>
        <w:snapToGrid w:val="0"/>
        <w:spacing w:line="360" w:lineRule="auto"/>
        <w:ind w:firstLine="420" w:firstLineChars="200"/>
        <w:rPr>
          <w:rFonts w:hint="eastAsia" w:ascii="宋体" w:hAnsi="宋体" w:eastAsia="宋体" w:cs="宋体"/>
          <w:color w:val="auto"/>
          <w:szCs w:val="21"/>
          <w:highlight w:val="none"/>
        </w:rPr>
      </w:pPr>
    </w:p>
    <w:p w14:paraId="2655A43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091D1269">
      <w:pPr>
        <w:adjustRightInd w:val="0"/>
        <w:snapToGrid w:val="0"/>
        <w:spacing w:line="360" w:lineRule="auto"/>
        <w:ind w:firstLine="420" w:firstLineChars="200"/>
        <w:rPr>
          <w:rFonts w:hint="eastAsia" w:ascii="宋体" w:hAnsi="宋体" w:eastAsia="宋体" w:cs="宋体"/>
          <w:color w:val="auto"/>
          <w:szCs w:val="21"/>
          <w:highlight w:val="none"/>
        </w:rPr>
      </w:pPr>
    </w:p>
    <w:p w14:paraId="53E57B3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                        或委托代理人：</w:t>
      </w:r>
    </w:p>
    <w:p w14:paraId="320BE2E3">
      <w:pPr>
        <w:adjustRightInd w:val="0"/>
        <w:snapToGrid w:val="0"/>
        <w:spacing w:line="360" w:lineRule="auto"/>
        <w:ind w:firstLine="420" w:firstLineChars="200"/>
        <w:rPr>
          <w:rFonts w:hint="eastAsia" w:ascii="宋体" w:hAnsi="宋体" w:eastAsia="宋体" w:cs="宋体"/>
          <w:color w:val="auto"/>
          <w:szCs w:val="21"/>
          <w:highlight w:val="none"/>
        </w:rPr>
      </w:pPr>
    </w:p>
    <w:p w14:paraId="79854584">
      <w:pPr>
        <w:adjustRightInd w:val="0"/>
        <w:snapToGrid w:val="0"/>
        <w:spacing w:line="360" w:lineRule="auto"/>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18A9C16D">
      <w:pPr>
        <w:tabs>
          <w:tab w:val="left" w:pos="300"/>
        </w:tabs>
        <w:spacing w:line="366" w:lineRule="exact"/>
        <w:jc w:val="center"/>
        <w:rPr>
          <w:rFonts w:hint="eastAsia" w:ascii="宋体" w:hAnsi="宋体" w:eastAsia="宋体" w:cs="宋体"/>
          <w:b/>
          <w:bCs/>
          <w:color w:val="auto"/>
          <w:sz w:val="32"/>
          <w:szCs w:val="32"/>
          <w:highlight w:val="none"/>
        </w:rPr>
      </w:pPr>
    </w:p>
    <w:p w14:paraId="23A98568">
      <w:pPr>
        <w:tabs>
          <w:tab w:val="left" w:pos="300"/>
        </w:tabs>
        <w:spacing w:line="366" w:lineRule="exact"/>
        <w:jc w:val="center"/>
        <w:rPr>
          <w:rFonts w:hint="eastAsia" w:ascii="宋体" w:hAnsi="宋体" w:eastAsia="宋体" w:cs="宋体"/>
          <w:b/>
          <w:bCs/>
          <w:color w:val="auto"/>
          <w:sz w:val="32"/>
          <w:szCs w:val="32"/>
          <w:highlight w:val="none"/>
        </w:rPr>
      </w:pPr>
    </w:p>
    <w:p w14:paraId="0E2396EA">
      <w:pPr>
        <w:tabs>
          <w:tab w:val="left" w:pos="300"/>
        </w:tabs>
        <w:spacing w:line="366" w:lineRule="exact"/>
        <w:jc w:val="center"/>
        <w:rPr>
          <w:rFonts w:hint="eastAsia" w:ascii="宋体" w:hAnsi="宋体" w:eastAsia="宋体" w:cs="宋体"/>
          <w:b/>
          <w:bCs/>
          <w:color w:val="auto"/>
          <w:sz w:val="32"/>
          <w:szCs w:val="32"/>
          <w:highlight w:val="none"/>
        </w:rPr>
      </w:pPr>
    </w:p>
    <w:p w14:paraId="76EBD728">
      <w:pPr>
        <w:tabs>
          <w:tab w:val="left" w:pos="300"/>
        </w:tabs>
        <w:spacing w:line="366" w:lineRule="exact"/>
        <w:jc w:val="center"/>
        <w:rPr>
          <w:rFonts w:hint="eastAsia" w:ascii="宋体" w:hAnsi="宋体" w:eastAsia="宋体" w:cs="宋体"/>
          <w:b/>
          <w:bCs/>
          <w:color w:val="auto"/>
          <w:sz w:val="32"/>
          <w:szCs w:val="32"/>
          <w:highlight w:val="none"/>
        </w:rPr>
      </w:pPr>
    </w:p>
    <w:p w14:paraId="6DAED35C">
      <w:pPr>
        <w:tabs>
          <w:tab w:val="left" w:pos="300"/>
        </w:tabs>
        <w:spacing w:line="366" w:lineRule="exact"/>
        <w:jc w:val="center"/>
        <w:rPr>
          <w:rFonts w:hint="eastAsia" w:ascii="宋体" w:hAnsi="宋体" w:eastAsia="宋体" w:cs="宋体"/>
          <w:b/>
          <w:bCs/>
          <w:color w:val="auto"/>
          <w:sz w:val="32"/>
          <w:szCs w:val="32"/>
          <w:highlight w:val="none"/>
        </w:rPr>
      </w:pPr>
    </w:p>
    <w:p w14:paraId="7161035E">
      <w:pPr>
        <w:tabs>
          <w:tab w:val="left" w:pos="300"/>
        </w:tabs>
        <w:spacing w:line="366" w:lineRule="exact"/>
        <w:jc w:val="center"/>
        <w:rPr>
          <w:rFonts w:hint="eastAsia" w:ascii="宋体" w:hAnsi="宋体" w:eastAsia="宋体" w:cs="宋体"/>
          <w:b/>
          <w:bCs/>
          <w:color w:val="auto"/>
          <w:sz w:val="32"/>
          <w:szCs w:val="32"/>
          <w:highlight w:val="none"/>
        </w:rPr>
      </w:pPr>
    </w:p>
    <w:p w14:paraId="277E2DAE">
      <w:pPr>
        <w:tabs>
          <w:tab w:val="left" w:pos="300"/>
        </w:tabs>
        <w:spacing w:line="366" w:lineRule="exact"/>
        <w:jc w:val="center"/>
        <w:rPr>
          <w:rFonts w:hint="eastAsia" w:ascii="宋体" w:hAnsi="宋体" w:eastAsia="宋体" w:cs="宋体"/>
          <w:b/>
          <w:bCs/>
          <w:color w:val="auto"/>
          <w:sz w:val="32"/>
          <w:szCs w:val="32"/>
          <w:highlight w:val="none"/>
        </w:rPr>
      </w:pPr>
    </w:p>
    <w:p w14:paraId="497038F0">
      <w:pPr>
        <w:spacing w:line="360" w:lineRule="auto"/>
        <w:ind w:firstLine="602" w:firstLineChars="200"/>
        <w:rPr>
          <w:rFonts w:hint="eastAsia" w:ascii="宋体" w:hAnsi="宋体" w:eastAsia="宋体" w:cs="宋体"/>
          <w:b/>
          <w:bCs/>
          <w:color w:val="auto"/>
          <w:sz w:val="30"/>
          <w:szCs w:val="30"/>
          <w:highlight w:val="none"/>
        </w:rPr>
      </w:pPr>
      <w:bookmarkStart w:id="658" w:name="page93"/>
      <w:bookmarkEnd w:id="658"/>
      <w:bookmarkStart w:id="659" w:name="page94"/>
      <w:bookmarkEnd w:id="659"/>
    </w:p>
    <w:p w14:paraId="043106B8">
      <w:pPr>
        <w:keepNext w:val="0"/>
        <w:keepLines w:val="0"/>
        <w:pageBreakBefore w:val="0"/>
        <w:widowControl w:val="0"/>
        <w:kinsoku/>
        <w:wordWrap/>
        <w:overflowPunct/>
        <w:topLinePunct w:val="0"/>
        <w:autoSpaceDE/>
        <w:autoSpaceDN w:val="0"/>
        <w:bidi w:val="0"/>
        <w:snapToGrid w:val="0"/>
        <w:spacing w:line="336" w:lineRule="auto"/>
        <w:ind w:left="238" w:firstLine="6425" w:firstLineChars="2000"/>
        <w:jc w:val="both"/>
        <w:textAlignment w:val="auto"/>
        <w:outlineLvl w:val="0"/>
        <w:rPr>
          <w:rFonts w:hint="eastAsia" w:ascii="宋体" w:hAnsi="宋体" w:eastAsia="宋体" w:cs="宋体"/>
          <w:b/>
          <w:color w:val="auto"/>
          <w:sz w:val="32"/>
          <w:szCs w:val="32"/>
          <w:highlight w:val="none"/>
          <w:lang w:eastAsia="zh-CN"/>
        </w:rPr>
      </w:pPr>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66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66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661" w:name="_Toc20118"/>
      <w:bookmarkStart w:id="662" w:name="_Toc14324"/>
      <w:r>
        <w:rPr>
          <w:rFonts w:hint="eastAsia" w:ascii="宋体" w:hAnsi="宋体" w:eastAsia="宋体" w:cs="宋体"/>
          <w:b/>
          <w:bCs/>
          <w:color w:val="auto"/>
          <w:sz w:val="24"/>
          <w:szCs w:val="24"/>
          <w:highlight w:val="none"/>
        </w:rPr>
        <w:t>一、资格文件部分格式</w:t>
      </w:r>
      <w:bookmarkEnd w:id="661"/>
      <w:bookmarkEnd w:id="66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23C4C9FF">
      <w:pPr>
        <w:rPr>
          <w:rFonts w:ascii="宋体" w:hAnsi="宋体" w:cs="宋体"/>
          <w:color w:val="auto"/>
          <w:highlight w:val="none"/>
        </w:rPr>
      </w:pPr>
    </w:p>
    <w:p w14:paraId="56D41554">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66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66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66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66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66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66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19E401">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承诺函</w:t>
      </w:r>
    </w:p>
    <w:p w14:paraId="5098696B">
      <w:pPr>
        <w:pStyle w:val="22"/>
        <w:spacing w:line="360" w:lineRule="auto"/>
        <w:ind w:left="0" w:leftChars="0" w:firstLine="0" w:firstLineChars="0"/>
        <w:rPr>
          <w:rFonts w:hint="eastAsia"/>
          <w:color w:val="auto"/>
          <w:sz w:val="24"/>
          <w:szCs w:val="24"/>
          <w:highlight w:val="none"/>
          <w:lang w:val="en-US" w:eastAsia="zh-CN"/>
        </w:rPr>
      </w:pPr>
    </w:p>
    <w:p w14:paraId="7389A2AA">
      <w:pPr>
        <w:pStyle w:val="22"/>
        <w:spacing w:line="360" w:lineRule="auto"/>
        <w:ind w:left="0" w:leftChars="0" w:firstLine="0" w:firstLineChars="0"/>
        <w:rPr>
          <w:rFonts w:hint="eastAsia"/>
          <w:color w:val="auto"/>
          <w:sz w:val="24"/>
          <w:szCs w:val="24"/>
          <w:highlight w:val="none"/>
          <w:lang w:val="en-US" w:eastAsia="zh-CN"/>
        </w:rPr>
      </w:pPr>
      <w:r>
        <w:rPr>
          <w:rFonts w:hint="eastAsia"/>
          <w:color w:val="auto"/>
          <w:sz w:val="24"/>
          <w:szCs w:val="24"/>
          <w:highlight w:val="none"/>
          <w:u w:val="single"/>
          <w:lang w:val="en-US" w:eastAsia="zh-CN"/>
        </w:rPr>
        <w:t>中国美术学院、浙江豪圣建设项目管理有限公司：</w:t>
      </w:r>
    </w:p>
    <w:p w14:paraId="5D81B82E">
      <w:pPr>
        <w:pStyle w:val="22"/>
        <w:spacing w:line="360" w:lineRule="auto"/>
        <w:ind w:left="0" w:leftChars="0" w:firstLine="464" w:firstLineChars="200"/>
        <w:rPr>
          <w:rFonts w:hint="eastAsia"/>
          <w:color w:val="auto"/>
          <w:sz w:val="24"/>
          <w:szCs w:val="24"/>
          <w:highlight w:val="none"/>
          <w:lang w:val="en-US" w:eastAsia="zh-CN"/>
        </w:rPr>
      </w:pPr>
      <w:r>
        <w:rPr>
          <w:rFonts w:hint="eastAsia"/>
          <w:color w:val="auto"/>
          <w:sz w:val="24"/>
          <w:szCs w:val="24"/>
          <w:highlight w:val="none"/>
          <w:lang w:val="en-US" w:eastAsia="zh-CN"/>
        </w:rPr>
        <w:t>我方参加你方组织的（项目名称）【招标编号：】招标的有关活动，对此项目进行投标。并承诺：</w:t>
      </w:r>
    </w:p>
    <w:p w14:paraId="0FAC77B6">
      <w:pPr>
        <w:pStyle w:val="22"/>
        <w:spacing w:line="360" w:lineRule="auto"/>
        <w:ind w:left="0" w:leftChars="0" w:firstLine="464" w:firstLineChars="200"/>
        <w:rPr>
          <w:rFonts w:hint="eastAsia"/>
          <w:color w:val="auto"/>
          <w:sz w:val="24"/>
          <w:szCs w:val="24"/>
          <w:highlight w:val="none"/>
          <w:lang w:val="en-US" w:eastAsia="zh-CN"/>
        </w:rPr>
      </w:pPr>
      <w:r>
        <w:rPr>
          <w:rFonts w:hint="eastAsia"/>
          <w:color w:val="auto"/>
          <w:sz w:val="24"/>
          <w:szCs w:val="24"/>
          <w:highlight w:val="none"/>
          <w:lang w:val="en-US" w:eastAsia="zh-CN"/>
        </w:rPr>
        <w:t>1、我方在响应文件中提供的全部材料均为真实材料。</w:t>
      </w:r>
    </w:p>
    <w:p w14:paraId="42732417">
      <w:pPr>
        <w:pStyle w:val="22"/>
        <w:spacing w:line="360" w:lineRule="auto"/>
        <w:ind w:left="0" w:leftChars="0" w:firstLine="464" w:firstLineChars="200"/>
        <w:rPr>
          <w:rFonts w:hint="eastAsia"/>
          <w:color w:val="auto"/>
          <w:sz w:val="24"/>
          <w:szCs w:val="24"/>
          <w:highlight w:val="none"/>
          <w:lang w:val="en-US" w:eastAsia="zh-CN"/>
        </w:rPr>
      </w:pPr>
      <w:r>
        <w:rPr>
          <w:rFonts w:hint="eastAsia"/>
          <w:color w:val="auto"/>
          <w:sz w:val="24"/>
          <w:szCs w:val="24"/>
          <w:highlight w:val="none"/>
          <w:lang w:val="en-US" w:eastAsia="zh-CN"/>
        </w:rPr>
        <w:t>2、我方在提交响应文件截止时间后3个工作日内，向代理公司提供响应文件中涉及的证明材料原件(可事先在公开官网查询、核对的除外)，必要时提供原件核验网址。</w:t>
      </w:r>
    </w:p>
    <w:p w14:paraId="36837B56">
      <w:pPr>
        <w:pStyle w:val="22"/>
        <w:spacing w:line="360" w:lineRule="auto"/>
        <w:ind w:left="0" w:leftChars="0" w:firstLine="464" w:firstLineChars="200"/>
        <w:rPr>
          <w:rFonts w:hint="eastAsia"/>
          <w:color w:val="auto"/>
          <w:sz w:val="24"/>
          <w:szCs w:val="24"/>
          <w:highlight w:val="none"/>
          <w:lang w:val="en-US" w:eastAsia="zh-CN"/>
        </w:rPr>
      </w:pPr>
      <w:r>
        <w:rPr>
          <w:rFonts w:hint="eastAsia"/>
          <w:color w:val="auto"/>
          <w:sz w:val="24"/>
          <w:szCs w:val="24"/>
          <w:highlight w:val="none"/>
          <w:lang w:val="en-US" w:eastAsia="zh-CN"/>
        </w:rPr>
        <w:t>如我方未履行上述承诺，我方愿意承担一切后果。</w:t>
      </w:r>
    </w:p>
    <w:p w14:paraId="46631F8D">
      <w:pPr>
        <w:snapToGrid w:val="0"/>
        <w:spacing w:line="360" w:lineRule="auto"/>
        <w:ind w:firstLine="576"/>
        <w:jc w:val="center"/>
        <w:rPr>
          <w:rFonts w:hint="eastAsia" w:ascii="宋体" w:hAnsi="宋体" w:eastAsia="宋体" w:cs="宋体"/>
          <w:color w:val="auto"/>
          <w:kern w:val="0"/>
          <w:sz w:val="24"/>
          <w:highlight w:val="none"/>
          <w:lang w:val="zh-CN"/>
        </w:rPr>
      </w:pPr>
    </w:p>
    <w:p w14:paraId="7B1CD6A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供应商名称(电子签名)：                 </w:t>
      </w:r>
    </w:p>
    <w:p w14:paraId="6B840E20">
      <w:pPr>
        <w:snapToGrid w:val="0"/>
        <w:spacing w:line="360" w:lineRule="auto"/>
        <w:ind w:firstLine="576"/>
        <w:jc w:val="center"/>
        <w:rPr>
          <w:rFonts w:hint="eastAsia"/>
          <w:color w:val="auto"/>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51BF609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shd w:val="clear" w:color="auto" w:fill="auto"/>
            <w:vAlign w:val="center"/>
          </w:tcPr>
          <w:p w14:paraId="5BE270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供应商同类项目业绩：磋商供应商自2022年1月1日（以合同签订时间为准）以来完成过类似项目业绩的，每个得0.5分，最高得1.5分。</w:t>
            </w:r>
          </w:p>
          <w:p w14:paraId="104E182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证明材料：须同时提供施工合同及甲方盖章的验收证明材料(包括并不限于对应分部分项竣工验收报告/竣工验收报告等)；要求证明材料能反映评审要素，提供的证明材料不完整或不能反映评审要素的将不予认可。</w:t>
            </w: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shd w:val="clear" w:color="auto" w:fill="auto"/>
            <w:vAlign w:val="center"/>
          </w:tcPr>
          <w:p w14:paraId="15A809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供应商具有质量管理体系认证证书、环境认证体系认证证书和职业健康管理体系认证证书且在有效期内的，每提供一个证书得0.5分，最高得1.5分。</w:t>
            </w:r>
          </w:p>
          <w:p w14:paraId="498466A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证明材料：出具有效的证书复印件或扫描件。</w:t>
            </w: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shd w:val="clear" w:color="auto" w:fill="auto"/>
            <w:vAlign w:val="center"/>
          </w:tcPr>
          <w:p w14:paraId="3F9C247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拟派项目负责人具有中级工程师技术职称的得1分，具有高级工程师技术职称的得2分，没有不得分。</w:t>
            </w:r>
          </w:p>
          <w:p w14:paraId="7E2D9BF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证明材料：提供职称证书扫描件及近三个月来任意时间的社保证明材料。</w:t>
            </w: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74" w:type="dxa"/>
            <w:vAlign w:val="center"/>
          </w:tcPr>
          <w:p w14:paraId="46336E8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shd w:val="clear" w:color="auto" w:fill="auto"/>
            <w:vAlign w:val="center"/>
          </w:tcPr>
          <w:p w14:paraId="71ABE9C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针对本工程项目总体情况把握进行分析，根据对工程目标、总体施工部署分析到位情况进行评审。（评审分值：5分或4分或3分或2分或1分或0分）</w:t>
            </w: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4102822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shd w:val="clear" w:color="auto" w:fill="auto"/>
            <w:vAlign w:val="center"/>
          </w:tcPr>
          <w:p w14:paraId="7DC6758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工程施工技术方案、措施、施工组织设计：根据方案内容的全面性、合理性以及针对性、可操作性进行评审。（评审分值：5分或4分或3分或2分或1分或0分）</w:t>
            </w: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4" w:type="dxa"/>
            <w:vAlign w:val="center"/>
          </w:tcPr>
          <w:p w14:paraId="62F5DF4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shd w:val="clear" w:color="auto" w:fill="auto"/>
            <w:vAlign w:val="center"/>
          </w:tcPr>
          <w:p w14:paraId="091C041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针对满足工期要求的进度计划及控制措施进行评审。（评审分值：5分或4分或3分或2分或1分或0分）</w:t>
            </w: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4" w:type="dxa"/>
            <w:vAlign w:val="center"/>
          </w:tcPr>
          <w:p w14:paraId="704D216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shd w:val="clear" w:color="auto" w:fill="auto"/>
            <w:vAlign w:val="center"/>
          </w:tcPr>
          <w:p w14:paraId="14498FA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对供应商和采购人配合实施的方案：根据方案的完整度及可实施性情况进行评审。（评审分值：2分或1分或0分）</w:t>
            </w: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4" w:type="dxa"/>
            <w:vAlign w:val="center"/>
          </w:tcPr>
          <w:p w14:paraId="6B2E9D0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shd w:val="clear" w:color="auto" w:fill="auto"/>
            <w:vAlign w:val="center"/>
          </w:tcPr>
          <w:p w14:paraId="6ADD9DB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建筑垃圾处置方案，运输方式、总量、计划及时间等具体内容：根据方案的完整度及可实施性情况进行评审。（评审分值：2分或1分或0分）</w:t>
            </w: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74" w:type="dxa"/>
            <w:vAlign w:val="center"/>
          </w:tcPr>
          <w:p w14:paraId="35A272C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shd w:val="clear" w:color="auto" w:fill="auto"/>
            <w:vAlign w:val="center"/>
          </w:tcPr>
          <w:p w14:paraId="3E01E60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本项目施工难点、施工重点的描述及解决措施：根据对本项目施工难点、施工重点描述的清晰度、解决措施的完整性、可行性进行评审。（评审分值：5分或4分或3分或2分或1分或0分）</w:t>
            </w: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77D2556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shd w:val="clear" w:color="auto" w:fill="auto"/>
            <w:vAlign w:val="center"/>
          </w:tcPr>
          <w:p w14:paraId="4A4DE5A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拟派驻现场的工程技术管理人员的专业配置：根据人员配置的科学合理性、职责明确情况，以及人员经验、执行力情况进行评审。（评审分值：5分或4分或3分或2分或1分或0分）</w:t>
            </w:r>
          </w:p>
        </w:tc>
        <w:tc>
          <w:tcPr>
            <w:tcW w:w="3046" w:type="dxa"/>
            <w:vAlign w:val="center"/>
          </w:tcPr>
          <w:p w14:paraId="03ED6F7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74" w:type="dxa"/>
            <w:vAlign w:val="center"/>
          </w:tcPr>
          <w:p w14:paraId="0211BDD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shd w:val="clear" w:color="auto" w:fill="auto"/>
            <w:vAlign w:val="center"/>
          </w:tcPr>
          <w:p w14:paraId="3E750A8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施工质量控制措施：根据措施的全面性、科学性、可行性以及对本项目的针对性进行评审。（评审分值：5分或4分或3分或2分或1分或0分）</w:t>
            </w:r>
          </w:p>
        </w:tc>
        <w:tc>
          <w:tcPr>
            <w:tcW w:w="3046" w:type="dxa"/>
            <w:vAlign w:val="center"/>
          </w:tcPr>
          <w:p w14:paraId="5CD4068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74" w:type="dxa"/>
            <w:vAlign w:val="center"/>
          </w:tcPr>
          <w:p w14:paraId="244C559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shd w:val="clear" w:color="auto" w:fill="auto"/>
            <w:vAlign w:val="center"/>
          </w:tcPr>
          <w:p w14:paraId="46462DE1">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安全、文明施工及环保、消防等的保障措施：根据措施的全面性、科学性、可行性以及对本项目的针对性进行评审。（评审分值：5分或4分或3分或2分或1分或0分）</w:t>
            </w:r>
          </w:p>
        </w:tc>
        <w:tc>
          <w:tcPr>
            <w:tcW w:w="3046" w:type="dxa"/>
            <w:vAlign w:val="center"/>
          </w:tcPr>
          <w:p w14:paraId="01EE37E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D347A0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shd w:val="clear" w:color="auto" w:fill="auto"/>
            <w:vAlign w:val="center"/>
          </w:tcPr>
          <w:p w14:paraId="7F20400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施工机具、检验仪器的投入满足工程质量和进度要求的程度：根据配置的科学性、合理性进行评审。（评审分值：5分或4分或3分或2分或1分或0分）</w:t>
            </w:r>
          </w:p>
        </w:tc>
        <w:tc>
          <w:tcPr>
            <w:tcW w:w="3046" w:type="dxa"/>
            <w:vAlign w:val="center"/>
          </w:tcPr>
          <w:p w14:paraId="2A12D5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6E72BE3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shd w:val="clear" w:color="auto" w:fill="auto"/>
            <w:vAlign w:val="center"/>
          </w:tcPr>
          <w:p w14:paraId="140D61C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原材料、半成品、外购件外购设备等设备材料的质量保证措施：根据方案的全面性、科学性、可行性以及对本项目的针对性进行评审。（评审分值：5分或4分或3分或2分或1分或0分）</w:t>
            </w:r>
          </w:p>
        </w:tc>
        <w:tc>
          <w:tcPr>
            <w:tcW w:w="3046" w:type="dxa"/>
            <w:vAlign w:val="center"/>
          </w:tcPr>
          <w:p w14:paraId="5BFB995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E0075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shd w:val="clear" w:color="auto" w:fill="auto"/>
            <w:vAlign w:val="center"/>
          </w:tcPr>
          <w:p w14:paraId="4AAFE2B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项目实施过程中针对成品保护的各项措施：根据措施的全面性、科学性、可行性以及对本项目的针对性进行评审。（评审分值：5分或4分或3分或2分或1分或0分）</w:t>
            </w:r>
          </w:p>
        </w:tc>
        <w:tc>
          <w:tcPr>
            <w:tcW w:w="3046" w:type="dxa"/>
            <w:vAlign w:val="center"/>
          </w:tcPr>
          <w:p w14:paraId="3191B45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51792EB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shd w:val="clear" w:color="auto" w:fill="auto"/>
            <w:vAlign w:val="center"/>
          </w:tcPr>
          <w:p w14:paraId="6922FD7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验收、维修及保修期内、外后续服务方案保障措施；根据措施的全面性、科学性、可行性以及对本项目的针对性进行评审。（评审分值：5分或4分或3分或2分或1分或0分）</w:t>
            </w:r>
          </w:p>
        </w:tc>
        <w:tc>
          <w:tcPr>
            <w:tcW w:w="3046" w:type="dxa"/>
            <w:vAlign w:val="center"/>
          </w:tcPr>
          <w:p w14:paraId="46301A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shd w:val="clear" w:color="auto" w:fill="auto"/>
            <w:vAlign w:val="center"/>
          </w:tcPr>
          <w:p w14:paraId="087704D2">
            <w:pP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应急预案：根据供应商提供针对安全事故、恶劣天气以及突发等情况的应急预案的合理性和适用性进行评审。（评审分值：4分或3分或2分或1分或0分）</w:t>
            </w:r>
          </w:p>
        </w:tc>
        <w:tc>
          <w:tcPr>
            <w:tcW w:w="3046" w:type="dxa"/>
            <w:vAlign w:val="center"/>
          </w:tcPr>
          <w:p w14:paraId="68D092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74" w:type="dxa"/>
            <w:vAlign w:val="center"/>
          </w:tcPr>
          <w:p w14:paraId="188F3EF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shd w:val="clear" w:color="auto" w:fill="auto"/>
            <w:vAlign w:val="center"/>
          </w:tcPr>
          <w:p w14:paraId="2DEEDD42">
            <w:pP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所投材料列入政府采购节能产品（已列入强制要求的除外）、环境标志产品品目清单范围的，节能产品1分，环境标志产品1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6D517DC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18CCD72B">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2529A5EE">
      <w:pPr>
        <w:snapToGrid w:val="0"/>
        <w:jc w:val="center"/>
        <w:rPr>
          <w:rFonts w:hint="eastAsia" w:ascii="宋体" w:hAnsi="宋体" w:eastAsia="宋体" w:cs="宋体"/>
          <w:b/>
          <w:bCs/>
          <w:color w:val="auto"/>
          <w:sz w:val="32"/>
          <w:szCs w:val="32"/>
          <w:highlight w:val="none"/>
        </w:rPr>
        <w:sectPr>
          <w:footerReference r:id="rId12" w:type="first"/>
          <w:footerReference r:id="rId11" w:type="default"/>
          <w:pgSz w:w="11905" w:h="16838"/>
          <w:pgMar w:top="1417" w:right="1417" w:bottom="1417" w:left="1417" w:header="851" w:footer="992" w:gutter="0"/>
          <w:cols w:space="0" w:num="1"/>
          <w:titlePg/>
          <w:rtlGutter w:val="0"/>
          <w:docGrid w:linePitch="312" w:charSpace="0"/>
        </w:sectPr>
      </w:pP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666" w:name="_Toc25038"/>
      <w:bookmarkStart w:id="667" w:name="_Toc96947081"/>
      <w:bookmarkStart w:id="668" w:name="_Toc1870"/>
      <w:r>
        <w:rPr>
          <w:rFonts w:hint="eastAsia" w:ascii="宋体" w:hAnsi="宋体" w:eastAsia="宋体" w:cs="宋体"/>
          <w:b/>
          <w:bCs/>
          <w:color w:val="auto"/>
          <w:sz w:val="24"/>
          <w:szCs w:val="24"/>
          <w:highlight w:val="none"/>
          <w:lang w:val="en-US" w:eastAsia="zh-CN"/>
        </w:rPr>
        <w:t>三、报价文件部分格式</w:t>
      </w:r>
      <w:bookmarkEnd w:id="666"/>
      <w:bookmarkEnd w:id="667"/>
      <w:bookmarkEnd w:id="66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13" w:type="default"/>
          <w:footerReference r:id="rId14"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669" w:name="_Hlk101259491"/>
      <w:r>
        <w:rPr>
          <w:rFonts w:hint="eastAsia" w:ascii="宋体" w:hAnsi="宋体" w:eastAsia="宋体" w:cs="宋体"/>
          <w:color w:val="auto"/>
          <w:sz w:val="32"/>
          <w:szCs w:val="32"/>
          <w:highlight w:val="none"/>
        </w:rPr>
        <w:t>（如果有）</w:t>
      </w:r>
      <w:bookmarkEnd w:id="66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670" w:name="OLE_LINK14"/>
      <w:bookmarkStart w:id="671" w:name="OLE_LINK13"/>
      <w:r>
        <w:rPr>
          <w:rFonts w:hint="eastAsia" w:ascii="宋体" w:hAnsi="宋体" w:eastAsia="宋体" w:cs="宋体"/>
          <w:b/>
          <w:color w:val="auto"/>
          <w:spacing w:val="6"/>
          <w:sz w:val="32"/>
          <w:szCs w:val="32"/>
          <w:highlight w:val="none"/>
        </w:rPr>
        <w:t>残疾人福利性单位声明函</w:t>
      </w:r>
    </w:p>
    <w:bookmarkEnd w:id="670"/>
    <w:bookmarkEnd w:id="67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67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67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7" w:type="first"/>
          <w:headerReference r:id="rId15" w:type="default"/>
          <w:footerReference r:id="rId16"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3"/>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673" w:name="_Toc20294"/>
      <w:r>
        <w:rPr>
          <w:rFonts w:hint="eastAsia" w:ascii="宋体" w:hAnsi="宋体" w:eastAsia="宋体" w:cs="宋体"/>
          <w:color w:val="auto"/>
          <w:kern w:val="0"/>
          <w:sz w:val="24"/>
          <w:szCs w:val="24"/>
          <w:highlight w:val="none"/>
        </w:rPr>
        <w:t>……</w:t>
      </w:r>
      <w:bookmarkEnd w:id="67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67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67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中国美术学院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山北生活区架空层增加喷淋系统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山北生活区架空层增加喷淋系统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675" w:name="_Toc7574705"/>
      <w:bookmarkStart w:id="676" w:name="_Toc7664197"/>
      <w:bookmarkStart w:id="677" w:name="_Toc7492528"/>
      <w:bookmarkStart w:id="678" w:name="_Toc7993641"/>
      <w:bookmarkStart w:id="679" w:name="_Toc7988475"/>
      <w:bookmarkStart w:id="680" w:name="_Toc20358292"/>
      <w:bookmarkStart w:id="681" w:name="_Toc8007005"/>
      <w:bookmarkStart w:id="682" w:name="_Toc25765010"/>
      <w:bookmarkStart w:id="683" w:name="_Toc7668950"/>
      <w:bookmarkStart w:id="684" w:name="_Toc7663597"/>
      <w:bookmarkStart w:id="685" w:name="_Toc17428254"/>
      <w:bookmarkStart w:id="686" w:name="_Toc7988421"/>
      <w:bookmarkStart w:id="687" w:name="_Toc17428349"/>
      <w:bookmarkStart w:id="688" w:name="_Toc10432458"/>
      <w:bookmarkStart w:id="689" w:name="_Toc24471818"/>
      <w:bookmarkStart w:id="690" w:name="_Toc7542916"/>
      <w:bookmarkStart w:id="691" w:name="_Toc7488759"/>
      <w:bookmarkStart w:id="692" w:name="_Toc532440701"/>
      <w:bookmarkStart w:id="693" w:name="_Toc4649580"/>
      <w:bookmarkStart w:id="694" w:name="_Toc522830351"/>
      <w:bookmarkStart w:id="695" w:name="_Toc2002574"/>
      <w:bookmarkStart w:id="696" w:name="_Toc52241753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692"/>
      <w:bookmarkEnd w:id="693"/>
      <w:bookmarkEnd w:id="694"/>
      <w:bookmarkEnd w:id="695"/>
      <w:bookmarkEnd w:id="69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6"/>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6"/>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6"/>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6"/>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6"/>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6"/>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6"/>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D462">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D30EA">
                          <w:pPr>
                            <w:pStyle w:val="3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4ED30EA">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8382">
    <w:pPr>
      <w:pStyle w:val="3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60351">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D60351">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C0A">
    <w:pPr>
      <w:pStyle w:val="3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3513E">
                          <w:pPr>
                            <w:pStyle w:val="3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C3513E">
                    <w:pPr>
                      <w:pStyle w:val="3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6"/>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6"/>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6"/>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7"/>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700E">
    <w:pPr>
      <w:pStyle w:val="3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7"/>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CC494"/>
    <w:multiLevelType w:val="singleLevel"/>
    <w:tmpl w:val="C20CC494"/>
    <w:lvl w:ilvl="0" w:tentative="0">
      <w:start w:val="4"/>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188F4CD"/>
    <w:multiLevelType w:val="singleLevel"/>
    <w:tmpl w:val="1188F4CD"/>
    <w:lvl w:ilvl="0" w:tentative="0">
      <w:start w:val="8"/>
      <w:numFmt w:val="chineseCounting"/>
      <w:suff w:val="nothing"/>
      <w:lvlText w:val="%1、"/>
      <w:lvlJc w:val="left"/>
      <w:rPr>
        <w:rFonts w:hint="eastAsia"/>
      </w:r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B6012"/>
    <w:rsid w:val="01AF7562"/>
    <w:rsid w:val="01CF32DE"/>
    <w:rsid w:val="02356D6A"/>
    <w:rsid w:val="028B4E8E"/>
    <w:rsid w:val="02925A61"/>
    <w:rsid w:val="02B96468"/>
    <w:rsid w:val="02D14342"/>
    <w:rsid w:val="02DC0A16"/>
    <w:rsid w:val="030B374D"/>
    <w:rsid w:val="0326440A"/>
    <w:rsid w:val="03443858"/>
    <w:rsid w:val="035C0EAD"/>
    <w:rsid w:val="035F5214"/>
    <w:rsid w:val="0369158A"/>
    <w:rsid w:val="041D6583"/>
    <w:rsid w:val="0471297E"/>
    <w:rsid w:val="048E122E"/>
    <w:rsid w:val="04E23328"/>
    <w:rsid w:val="05065269"/>
    <w:rsid w:val="052D36E5"/>
    <w:rsid w:val="05C10AC2"/>
    <w:rsid w:val="05C50C80"/>
    <w:rsid w:val="05EF03F3"/>
    <w:rsid w:val="0610493F"/>
    <w:rsid w:val="06147E59"/>
    <w:rsid w:val="062F6624"/>
    <w:rsid w:val="06541A9E"/>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49606C"/>
    <w:rsid w:val="094D790A"/>
    <w:rsid w:val="097D4EE0"/>
    <w:rsid w:val="098502D3"/>
    <w:rsid w:val="09BE4C65"/>
    <w:rsid w:val="09D27A29"/>
    <w:rsid w:val="09D85B61"/>
    <w:rsid w:val="09DC0C8E"/>
    <w:rsid w:val="0A16757C"/>
    <w:rsid w:val="0A3E36F7"/>
    <w:rsid w:val="0A61499C"/>
    <w:rsid w:val="0A674CCF"/>
    <w:rsid w:val="0A780FD3"/>
    <w:rsid w:val="0ADB7197"/>
    <w:rsid w:val="0AF3628F"/>
    <w:rsid w:val="0B064214"/>
    <w:rsid w:val="0B304DED"/>
    <w:rsid w:val="0B333FAA"/>
    <w:rsid w:val="0B3C7C36"/>
    <w:rsid w:val="0BBC0505"/>
    <w:rsid w:val="0BE43E2A"/>
    <w:rsid w:val="0C250048"/>
    <w:rsid w:val="0C6812D0"/>
    <w:rsid w:val="0C851169"/>
    <w:rsid w:val="0D3E56CD"/>
    <w:rsid w:val="0D4E1EA3"/>
    <w:rsid w:val="0D646FD0"/>
    <w:rsid w:val="0DD979BE"/>
    <w:rsid w:val="0E48092C"/>
    <w:rsid w:val="0E545297"/>
    <w:rsid w:val="0E5D59F3"/>
    <w:rsid w:val="0E8010F9"/>
    <w:rsid w:val="0E9B1118"/>
    <w:rsid w:val="0EEB2A4C"/>
    <w:rsid w:val="0EF645A0"/>
    <w:rsid w:val="0F3319EA"/>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3223BB5"/>
    <w:rsid w:val="13460BA8"/>
    <w:rsid w:val="136F5004"/>
    <w:rsid w:val="137141F5"/>
    <w:rsid w:val="13731A92"/>
    <w:rsid w:val="13B567D8"/>
    <w:rsid w:val="13BD7245"/>
    <w:rsid w:val="144B2F08"/>
    <w:rsid w:val="144D4C62"/>
    <w:rsid w:val="14550A82"/>
    <w:rsid w:val="14884E2D"/>
    <w:rsid w:val="14A97F23"/>
    <w:rsid w:val="14BB6070"/>
    <w:rsid w:val="14D56A06"/>
    <w:rsid w:val="14EF3F6B"/>
    <w:rsid w:val="151856A7"/>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0872DD"/>
    <w:rsid w:val="18131D1F"/>
    <w:rsid w:val="181628F9"/>
    <w:rsid w:val="182171A1"/>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FF69FF"/>
    <w:rsid w:val="1A212966"/>
    <w:rsid w:val="1A4C776A"/>
    <w:rsid w:val="1AC6751C"/>
    <w:rsid w:val="1AF1649A"/>
    <w:rsid w:val="1AFC6E58"/>
    <w:rsid w:val="1B123520"/>
    <w:rsid w:val="1B214753"/>
    <w:rsid w:val="1B80312D"/>
    <w:rsid w:val="1BD45299"/>
    <w:rsid w:val="1BEA2178"/>
    <w:rsid w:val="1BEE6D2B"/>
    <w:rsid w:val="1C281B11"/>
    <w:rsid w:val="1C2C7DBA"/>
    <w:rsid w:val="1C7E5859"/>
    <w:rsid w:val="1CE7377A"/>
    <w:rsid w:val="1D040DAB"/>
    <w:rsid w:val="1D1C168E"/>
    <w:rsid w:val="1D4604F3"/>
    <w:rsid w:val="1D585312"/>
    <w:rsid w:val="1D706F16"/>
    <w:rsid w:val="1D766A29"/>
    <w:rsid w:val="1D7C655F"/>
    <w:rsid w:val="1DF20628"/>
    <w:rsid w:val="1E1E36A6"/>
    <w:rsid w:val="1E21302E"/>
    <w:rsid w:val="1E4F5A7B"/>
    <w:rsid w:val="1E761FB4"/>
    <w:rsid w:val="1EA01E32"/>
    <w:rsid w:val="1EAC07D7"/>
    <w:rsid w:val="1EB87665"/>
    <w:rsid w:val="1EDD6BE3"/>
    <w:rsid w:val="1EEF1298"/>
    <w:rsid w:val="1F0B19A2"/>
    <w:rsid w:val="1F15637C"/>
    <w:rsid w:val="1F371E52"/>
    <w:rsid w:val="1F427E7B"/>
    <w:rsid w:val="1FAE731F"/>
    <w:rsid w:val="1FF64A1D"/>
    <w:rsid w:val="2059498F"/>
    <w:rsid w:val="206D217F"/>
    <w:rsid w:val="207B66B3"/>
    <w:rsid w:val="207D68CF"/>
    <w:rsid w:val="20904E15"/>
    <w:rsid w:val="21333432"/>
    <w:rsid w:val="21385966"/>
    <w:rsid w:val="21627DB3"/>
    <w:rsid w:val="217E4766"/>
    <w:rsid w:val="21D00C81"/>
    <w:rsid w:val="21D20555"/>
    <w:rsid w:val="21E8421C"/>
    <w:rsid w:val="22066484"/>
    <w:rsid w:val="223D3B7A"/>
    <w:rsid w:val="2243331D"/>
    <w:rsid w:val="225C65BA"/>
    <w:rsid w:val="226E008B"/>
    <w:rsid w:val="22D958E1"/>
    <w:rsid w:val="22E83DA8"/>
    <w:rsid w:val="22F03C41"/>
    <w:rsid w:val="22FC115A"/>
    <w:rsid w:val="231E77CA"/>
    <w:rsid w:val="23775858"/>
    <w:rsid w:val="238B1783"/>
    <w:rsid w:val="239F5281"/>
    <w:rsid w:val="23CD2307"/>
    <w:rsid w:val="2423778D"/>
    <w:rsid w:val="242C042C"/>
    <w:rsid w:val="245F009A"/>
    <w:rsid w:val="248F1CB6"/>
    <w:rsid w:val="24A55314"/>
    <w:rsid w:val="24AF1021"/>
    <w:rsid w:val="24C83E91"/>
    <w:rsid w:val="24E76A0D"/>
    <w:rsid w:val="257767F1"/>
    <w:rsid w:val="25CA2314"/>
    <w:rsid w:val="25E43998"/>
    <w:rsid w:val="26105AEF"/>
    <w:rsid w:val="26120DB9"/>
    <w:rsid w:val="264C26B9"/>
    <w:rsid w:val="265D4703"/>
    <w:rsid w:val="26704BBE"/>
    <w:rsid w:val="26AA06BB"/>
    <w:rsid w:val="26C64400"/>
    <w:rsid w:val="26E33204"/>
    <w:rsid w:val="26EF2BC4"/>
    <w:rsid w:val="26F1147D"/>
    <w:rsid w:val="27455C6D"/>
    <w:rsid w:val="2747754D"/>
    <w:rsid w:val="27506445"/>
    <w:rsid w:val="27572D81"/>
    <w:rsid w:val="27987C58"/>
    <w:rsid w:val="27B33F58"/>
    <w:rsid w:val="27B8643F"/>
    <w:rsid w:val="27EA2BD9"/>
    <w:rsid w:val="27FA7609"/>
    <w:rsid w:val="27FE6547"/>
    <w:rsid w:val="28127A77"/>
    <w:rsid w:val="28133675"/>
    <w:rsid w:val="283E1BE5"/>
    <w:rsid w:val="285C501C"/>
    <w:rsid w:val="285E4472"/>
    <w:rsid w:val="28996270"/>
    <w:rsid w:val="28C055AB"/>
    <w:rsid w:val="28E163FE"/>
    <w:rsid w:val="290A5ABA"/>
    <w:rsid w:val="29493E47"/>
    <w:rsid w:val="29534B10"/>
    <w:rsid w:val="2A3049B2"/>
    <w:rsid w:val="2A391AB9"/>
    <w:rsid w:val="2A4B17EC"/>
    <w:rsid w:val="2ACB0237"/>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58256D"/>
    <w:rsid w:val="306929CC"/>
    <w:rsid w:val="306D4751"/>
    <w:rsid w:val="30712EAA"/>
    <w:rsid w:val="311F12DD"/>
    <w:rsid w:val="314C7B56"/>
    <w:rsid w:val="31501496"/>
    <w:rsid w:val="3150593A"/>
    <w:rsid w:val="315F399E"/>
    <w:rsid w:val="31AA32FC"/>
    <w:rsid w:val="31BA3142"/>
    <w:rsid w:val="31C14142"/>
    <w:rsid w:val="31D976DD"/>
    <w:rsid w:val="31ED3189"/>
    <w:rsid w:val="32335040"/>
    <w:rsid w:val="326A2A2B"/>
    <w:rsid w:val="32861A63"/>
    <w:rsid w:val="3291399D"/>
    <w:rsid w:val="3293373B"/>
    <w:rsid w:val="329B4993"/>
    <w:rsid w:val="33524AF4"/>
    <w:rsid w:val="33604C3F"/>
    <w:rsid w:val="343E1A7A"/>
    <w:rsid w:val="34441786"/>
    <w:rsid w:val="34A00986"/>
    <w:rsid w:val="34BD790F"/>
    <w:rsid w:val="350C7DCA"/>
    <w:rsid w:val="350E5DAF"/>
    <w:rsid w:val="352E1AEE"/>
    <w:rsid w:val="352F3FB1"/>
    <w:rsid w:val="355879C5"/>
    <w:rsid w:val="3585021E"/>
    <w:rsid w:val="35B30245"/>
    <w:rsid w:val="35CC6F22"/>
    <w:rsid w:val="35FA597F"/>
    <w:rsid w:val="36015455"/>
    <w:rsid w:val="360B24B9"/>
    <w:rsid w:val="36127662"/>
    <w:rsid w:val="36335B90"/>
    <w:rsid w:val="364D6772"/>
    <w:rsid w:val="3666792F"/>
    <w:rsid w:val="36781311"/>
    <w:rsid w:val="367E6AA5"/>
    <w:rsid w:val="36857E34"/>
    <w:rsid w:val="36ED02CA"/>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FF09DB"/>
    <w:rsid w:val="3A231E3E"/>
    <w:rsid w:val="3A2C1FD8"/>
    <w:rsid w:val="3A2F2590"/>
    <w:rsid w:val="3A661C7E"/>
    <w:rsid w:val="3A824DB6"/>
    <w:rsid w:val="3AC20E64"/>
    <w:rsid w:val="3AD870A0"/>
    <w:rsid w:val="3B0D5F20"/>
    <w:rsid w:val="3B2A2D58"/>
    <w:rsid w:val="3B464036"/>
    <w:rsid w:val="3B5068F7"/>
    <w:rsid w:val="3B842468"/>
    <w:rsid w:val="3B887743"/>
    <w:rsid w:val="3B921D33"/>
    <w:rsid w:val="3B9C1EA7"/>
    <w:rsid w:val="3BBF2D60"/>
    <w:rsid w:val="3C2B135B"/>
    <w:rsid w:val="3C502C92"/>
    <w:rsid w:val="3C5A336A"/>
    <w:rsid w:val="3C7857D4"/>
    <w:rsid w:val="3CC233F6"/>
    <w:rsid w:val="3CDB69FF"/>
    <w:rsid w:val="3CE52DAF"/>
    <w:rsid w:val="3CF47AC1"/>
    <w:rsid w:val="3D113ED7"/>
    <w:rsid w:val="3D82689F"/>
    <w:rsid w:val="3DD26D7F"/>
    <w:rsid w:val="3DEB4A20"/>
    <w:rsid w:val="3E097125"/>
    <w:rsid w:val="3E2148E6"/>
    <w:rsid w:val="3E541694"/>
    <w:rsid w:val="3E64615F"/>
    <w:rsid w:val="3E6F7DAB"/>
    <w:rsid w:val="3E98746E"/>
    <w:rsid w:val="3E9C3F6D"/>
    <w:rsid w:val="3EC104C1"/>
    <w:rsid w:val="3EEB27FE"/>
    <w:rsid w:val="3F2475BE"/>
    <w:rsid w:val="3F4F7231"/>
    <w:rsid w:val="3FEC4311"/>
    <w:rsid w:val="3FF73B50"/>
    <w:rsid w:val="40167D4F"/>
    <w:rsid w:val="40185F30"/>
    <w:rsid w:val="403A1C8F"/>
    <w:rsid w:val="4059198F"/>
    <w:rsid w:val="40750F19"/>
    <w:rsid w:val="408E74F7"/>
    <w:rsid w:val="40A47108"/>
    <w:rsid w:val="4100775E"/>
    <w:rsid w:val="410706BB"/>
    <w:rsid w:val="412A5860"/>
    <w:rsid w:val="41313092"/>
    <w:rsid w:val="41496E00"/>
    <w:rsid w:val="415154E2"/>
    <w:rsid w:val="41753E74"/>
    <w:rsid w:val="41FD4D22"/>
    <w:rsid w:val="42022339"/>
    <w:rsid w:val="42204EB5"/>
    <w:rsid w:val="426B77AA"/>
    <w:rsid w:val="42843695"/>
    <w:rsid w:val="42B54533"/>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743CD8"/>
    <w:rsid w:val="47865812"/>
    <w:rsid w:val="478B5BE9"/>
    <w:rsid w:val="479F09BE"/>
    <w:rsid w:val="47AB0071"/>
    <w:rsid w:val="48074B4D"/>
    <w:rsid w:val="486C75C8"/>
    <w:rsid w:val="488A581A"/>
    <w:rsid w:val="48945CB4"/>
    <w:rsid w:val="48D72771"/>
    <w:rsid w:val="48DB3AEF"/>
    <w:rsid w:val="48ED216D"/>
    <w:rsid w:val="491579CC"/>
    <w:rsid w:val="493A1961"/>
    <w:rsid w:val="49435655"/>
    <w:rsid w:val="49454C0C"/>
    <w:rsid w:val="49D7054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3E3B9E"/>
    <w:rsid w:val="4C5D54F5"/>
    <w:rsid w:val="4C653BF0"/>
    <w:rsid w:val="4C8F3363"/>
    <w:rsid w:val="4C984320"/>
    <w:rsid w:val="4C9B1D07"/>
    <w:rsid w:val="4CE54214"/>
    <w:rsid w:val="4D074245"/>
    <w:rsid w:val="4D0B0C3B"/>
    <w:rsid w:val="4D6E2F78"/>
    <w:rsid w:val="4D730019"/>
    <w:rsid w:val="4D7B4228"/>
    <w:rsid w:val="4DAB626A"/>
    <w:rsid w:val="4DBC0187"/>
    <w:rsid w:val="4DED034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BF1E95"/>
    <w:rsid w:val="51C43518"/>
    <w:rsid w:val="51D33A37"/>
    <w:rsid w:val="51DB3A12"/>
    <w:rsid w:val="52030738"/>
    <w:rsid w:val="520F39C4"/>
    <w:rsid w:val="52105250"/>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D1600F"/>
    <w:rsid w:val="540006A2"/>
    <w:rsid w:val="543F741C"/>
    <w:rsid w:val="548B0CEB"/>
    <w:rsid w:val="54E81862"/>
    <w:rsid w:val="54F209D1"/>
    <w:rsid w:val="55164621"/>
    <w:rsid w:val="553F3EC2"/>
    <w:rsid w:val="555111B5"/>
    <w:rsid w:val="55A31CC2"/>
    <w:rsid w:val="561A3BFF"/>
    <w:rsid w:val="565A63C6"/>
    <w:rsid w:val="566229E6"/>
    <w:rsid w:val="567A72D5"/>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32AD6"/>
    <w:rsid w:val="59D52AC2"/>
    <w:rsid w:val="5A48414F"/>
    <w:rsid w:val="5A5C0D28"/>
    <w:rsid w:val="5A6E7A28"/>
    <w:rsid w:val="5A8D18CF"/>
    <w:rsid w:val="5AF03C74"/>
    <w:rsid w:val="5AF076C2"/>
    <w:rsid w:val="5B1D3A19"/>
    <w:rsid w:val="5B54724D"/>
    <w:rsid w:val="5B9A0D03"/>
    <w:rsid w:val="5B9C33A6"/>
    <w:rsid w:val="5BA81D4B"/>
    <w:rsid w:val="5BBA55DA"/>
    <w:rsid w:val="5BBB1A7E"/>
    <w:rsid w:val="5C190553"/>
    <w:rsid w:val="5C367B35"/>
    <w:rsid w:val="5C500B28"/>
    <w:rsid w:val="5C6C0FCA"/>
    <w:rsid w:val="5C7C039B"/>
    <w:rsid w:val="5CA1763E"/>
    <w:rsid w:val="5CF81C6E"/>
    <w:rsid w:val="5D1C19D8"/>
    <w:rsid w:val="5D256B55"/>
    <w:rsid w:val="5D706898"/>
    <w:rsid w:val="5DCE5957"/>
    <w:rsid w:val="5DD40BD5"/>
    <w:rsid w:val="5DED58A9"/>
    <w:rsid w:val="5E0F60B1"/>
    <w:rsid w:val="5E1B2CA8"/>
    <w:rsid w:val="5E1D19E0"/>
    <w:rsid w:val="5E330958"/>
    <w:rsid w:val="5E40270F"/>
    <w:rsid w:val="5E5F0DD7"/>
    <w:rsid w:val="5E657918"/>
    <w:rsid w:val="5E783C56"/>
    <w:rsid w:val="5EEC45AB"/>
    <w:rsid w:val="5F437D21"/>
    <w:rsid w:val="5F5E475F"/>
    <w:rsid w:val="5F867F04"/>
    <w:rsid w:val="5FB24F46"/>
    <w:rsid w:val="5FB92779"/>
    <w:rsid w:val="5FDB5835"/>
    <w:rsid w:val="602274B0"/>
    <w:rsid w:val="60363DC9"/>
    <w:rsid w:val="604C0EF7"/>
    <w:rsid w:val="605B5D36"/>
    <w:rsid w:val="60A30D33"/>
    <w:rsid w:val="60A76A75"/>
    <w:rsid w:val="60B44CEE"/>
    <w:rsid w:val="60D12EC9"/>
    <w:rsid w:val="61176BE7"/>
    <w:rsid w:val="613D4CE3"/>
    <w:rsid w:val="61700C3D"/>
    <w:rsid w:val="618D36C0"/>
    <w:rsid w:val="619349A8"/>
    <w:rsid w:val="61AE5BE1"/>
    <w:rsid w:val="61E82EA1"/>
    <w:rsid w:val="62291D8A"/>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D4D09"/>
    <w:rsid w:val="67FB3202"/>
    <w:rsid w:val="68833924"/>
    <w:rsid w:val="68CB30F7"/>
    <w:rsid w:val="68E71007"/>
    <w:rsid w:val="691602F4"/>
    <w:rsid w:val="69403C83"/>
    <w:rsid w:val="695F7AC2"/>
    <w:rsid w:val="696F0688"/>
    <w:rsid w:val="697469DA"/>
    <w:rsid w:val="69C73E13"/>
    <w:rsid w:val="6A5F5CCB"/>
    <w:rsid w:val="6AB04778"/>
    <w:rsid w:val="6B00125C"/>
    <w:rsid w:val="6B451507"/>
    <w:rsid w:val="6BCB45D7"/>
    <w:rsid w:val="6BEA35FD"/>
    <w:rsid w:val="6C213022"/>
    <w:rsid w:val="6C573700"/>
    <w:rsid w:val="6C8B0FF9"/>
    <w:rsid w:val="6C91288D"/>
    <w:rsid w:val="6CE8198E"/>
    <w:rsid w:val="6CEB5F3B"/>
    <w:rsid w:val="6CF46B9E"/>
    <w:rsid w:val="6D0D53A0"/>
    <w:rsid w:val="6D1159A2"/>
    <w:rsid w:val="6D14184B"/>
    <w:rsid w:val="6D2F407A"/>
    <w:rsid w:val="6D4C69DA"/>
    <w:rsid w:val="6D8758DA"/>
    <w:rsid w:val="6D9E29F3"/>
    <w:rsid w:val="6DA71E62"/>
    <w:rsid w:val="6E146DCC"/>
    <w:rsid w:val="6E3418AC"/>
    <w:rsid w:val="6E4219E4"/>
    <w:rsid w:val="6E966AF8"/>
    <w:rsid w:val="6E9D5013"/>
    <w:rsid w:val="6EBC193D"/>
    <w:rsid w:val="6F002C34"/>
    <w:rsid w:val="6F2F65B3"/>
    <w:rsid w:val="6F360946"/>
    <w:rsid w:val="6F4638FD"/>
    <w:rsid w:val="6F647FD2"/>
    <w:rsid w:val="6F7F5F84"/>
    <w:rsid w:val="6F9603E0"/>
    <w:rsid w:val="6FFB46E7"/>
    <w:rsid w:val="702A2EE5"/>
    <w:rsid w:val="7082629A"/>
    <w:rsid w:val="70A82003"/>
    <w:rsid w:val="7105409D"/>
    <w:rsid w:val="715916C6"/>
    <w:rsid w:val="717A78A8"/>
    <w:rsid w:val="71AF7A24"/>
    <w:rsid w:val="71C11019"/>
    <w:rsid w:val="72516841"/>
    <w:rsid w:val="728403F0"/>
    <w:rsid w:val="72895FDA"/>
    <w:rsid w:val="72E72D01"/>
    <w:rsid w:val="72F464CC"/>
    <w:rsid w:val="731665BB"/>
    <w:rsid w:val="73774085"/>
    <w:rsid w:val="73A63782"/>
    <w:rsid w:val="73AA2C22"/>
    <w:rsid w:val="73CF2113"/>
    <w:rsid w:val="73E92D29"/>
    <w:rsid w:val="73EF6311"/>
    <w:rsid w:val="74387CB8"/>
    <w:rsid w:val="74411194"/>
    <w:rsid w:val="744A543C"/>
    <w:rsid w:val="74564049"/>
    <w:rsid w:val="74B44E65"/>
    <w:rsid w:val="74FD6465"/>
    <w:rsid w:val="751007EA"/>
    <w:rsid w:val="7531025A"/>
    <w:rsid w:val="7551712E"/>
    <w:rsid w:val="75631380"/>
    <w:rsid w:val="758E71FE"/>
    <w:rsid w:val="75A74EDD"/>
    <w:rsid w:val="75BD235C"/>
    <w:rsid w:val="75D141C0"/>
    <w:rsid w:val="75E17EDC"/>
    <w:rsid w:val="761A49D3"/>
    <w:rsid w:val="76511F78"/>
    <w:rsid w:val="76557EC3"/>
    <w:rsid w:val="765C3ABF"/>
    <w:rsid w:val="76A3126E"/>
    <w:rsid w:val="771816DB"/>
    <w:rsid w:val="77196938"/>
    <w:rsid w:val="772269FE"/>
    <w:rsid w:val="77297D8C"/>
    <w:rsid w:val="773724A9"/>
    <w:rsid w:val="77390BA8"/>
    <w:rsid w:val="776C31E4"/>
    <w:rsid w:val="776F1462"/>
    <w:rsid w:val="779416A9"/>
    <w:rsid w:val="7797037B"/>
    <w:rsid w:val="77E84A4C"/>
    <w:rsid w:val="78172511"/>
    <w:rsid w:val="781A1483"/>
    <w:rsid w:val="78324A1E"/>
    <w:rsid w:val="78342545"/>
    <w:rsid w:val="785726D7"/>
    <w:rsid w:val="7880578A"/>
    <w:rsid w:val="789F75AD"/>
    <w:rsid w:val="78C049FB"/>
    <w:rsid w:val="78CD70B6"/>
    <w:rsid w:val="78E734DC"/>
    <w:rsid w:val="78FA1106"/>
    <w:rsid w:val="78FF0DA4"/>
    <w:rsid w:val="791F1CA4"/>
    <w:rsid w:val="79652BD2"/>
    <w:rsid w:val="79A56C45"/>
    <w:rsid w:val="79CA70C3"/>
    <w:rsid w:val="79E47F9A"/>
    <w:rsid w:val="79F71A7C"/>
    <w:rsid w:val="79FD1C37"/>
    <w:rsid w:val="7A5E2B5E"/>
    <w:rsid w:val="7A9A6418"/>
    <w:rsid w:val="7AC0574F"/>
    <w:rsid w:val="7ACB21A6"/>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B443DF"/>
    <w:rsid w:val="7EC93128"/>
    <w:rsid w:val="7EE84089"/>
    <w:rsid w:val="7EEE3EF0"/>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1"/>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7">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autoRedefine/>
    <w:semiHidden/>
    <w:unhideWhenUsed/>
    <w:qFormat/>
    <w:uiPriority w:val="39"/>
    <w:pPr>
      <w:ind w:left="840" w:leftChars="400"/>
    </w:pPr>
    <w:rPr>
      <w:rFonts w:ascii="Calibri" w:hAnsi="Calibri" w:eastAsia="宋体" w:cs="Times New Roman"/>
    </w:rPr>
  </w:style>
  <w:style w:type="paragraph" w:styleId="29">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6">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autoRedefine/>
    <w:unhideWhenUsed/>
    <w:qFormat/>
    <w:uiPriority w:val="39"/>
    <w:rPr>
      <w:rFonts w:ascii="Times New Roman" w:hAnsi="Times New Roman" w:eastAsia="宋体" w:cs="Times New Roman"/>
      <w:szCs w:val="24"/>
    </w:rPr>
  </w:style>
  <w:style w:type="paragraph" w:styleId="40">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4">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5">
    <w:name w:val="List 5"/>
    <w:basedOn w:val="1"/>
    <w:autoRedefine/>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index 7"/>
    <w:basedOn w:val="1"/>
    <w:next w:val="1"/>
    <w:autoRedefine/>
    <w:qFormat/>
    <w:uiPriority w:val="0"/>
    <w:pPr>
      <w:ind w:left="1200" w:leftChars="1200"/>
    </w:pPr>
  </w:style>
  <w:style w:type="paragraph" w:styleId="48">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49">
    <w:name w:val="toc 2"/>
    <w:basedOn w:val="1"/>
    <w:next w:val="1"/>
    <w:autoRedefine/>
    <w:unhideWhenUsed/>
    <w:qFormat/>
    <w:uiPriority w:val="39"/>
    <w:pPr>
      <w:ind w:left="420" w:leftChars="200"/>
    </w:pPr>
    <w:rPr>
      <w:rFonts w:ascii="Calibri" w:hAnsi="Calibri" w:eastAsia="宋体" w:cs="Times New Roman"/>
    </w:rPr>
  </w:style>
  <w:style w:type="paragraph" w:styleId="50">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1">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2">
    <w:name w:val="List 4"/>
    <w:basedOn w:val="1"/>
    <w:autoRedefine/>
    <w:semiHidden/>
    <w:unhideWhenUsed/>
    <w:qFormat/>
    <w:uiPriority w:val="99"/>
    <w:pPr>
      <w:ind w:left="1680" w:hanging="420"/>
    </w:pPr>
    <w:rPr>
      <w:rFonts w:ascii="Calibri" w:hAnsi="Calibri" w:eastAsia="楷体_GB2312" w:cs="Times New Roman"/>
      <w:sz w:val="32"/>
    </w:rPr>
  </w:style>
  <w:style w:type="paragraph" w:styleId="53">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4">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5">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6">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7">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8">
    <w:name w:val="annotation subject"/>
    <w:basedOn w:val="19"/>
    <w:next w:val="19"/>
    <w:link w:val="110"/>
    <w:autoRedefine/>
    <w:semiHidden/>
    <w:unhideWhenUsed/>
    <w:qFormat/>
    <w:uiPriority w:val="99"/>
    <w:rPr>
      <w:b/>
      <w:bCs/>
      <w:szCs w:val="20"/>
    </w:rPr>
  </w:style>
  <w:style w:type="paragraph" w:styleId="59">
    <w:name w:val="Body Text First Indent"/>
    <w:basedOn w:val="21"/>
    <w:link w:val="103"/>
    <w:autoRedefine/>
    <w:semiHidden/>
    <w:unhideWhenUsed/>
    <w:qFormat/>
    <w:uiPriority w:val="99"/>
    <w:pPr>
      <w:ind w:firstLine="420" w:firstLineChars="100"/>
    </w:pPr>
    <w:rPr>
      <w:rFonts w:ascii="Calibri" w:hAnsi="Calibri"/>
      <w:sz w:val="21"/>
    </w:rPr>
  </w:style>
  <w:style w:type="paragraph" w:styleId="60">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39"/>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0"/>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3"/>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4"/>
    <w:autoRedefine/>
    <w:semiHidden/>
    <w:qFormat/>
    <w:locked/>
    <w:uiPriority w:val="0"/>
  </w:style>
  <w:style w:type="character" w:customStyle="1" w:styleId="92">
    <w:name w:val="脚注文本 字符"/>
    <w:basedOn w:val="65"/>
    <w:link w:val="43"/>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7"/>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6"/>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4"/>
    <w:autoRedefine/>
    <w:semiHidden/>
    <w:qFormat/>
    <w:uiPriority w:val="99"/>
    <w:rPr>
      <w:rFonts w:ascii="Calibri" w:hAnsi="Calibri" w:eastAsia="宋体" w:cs="Times New Roman"/>
      <w:szCs w:val="20"/>
    </w:rPr>
  </w:style>
  <w:style w:type="character" w:customStyle="1" w:styleId="97">
    <w:name w:val="标题 字符"/>
    <w:basedOn w:val="65"/>
    <w:link w:val="57"/>
    <w:autoRedefine/>
    <w:qFormat/>
    <w:uiPriority w:val="99"/>
    <w:rPr>
      <w:rFonts w:ascii="Cambria" w:hAnsi="Cambria" w:eastAsia="宋体" w:cs="Times New Roman"/>
      <w:b/>
      <w:bCs/>
      <w:kern w:val="0"/>
      <w:sz w:val="28"/>
      <w:szCs w:val="32"/>
    </w:rPr>
  </w:style>
  <w:style w:type="character" w:customStyle="1" w:styleId="98">
    <w:name w:val="签名 字符"/>
    <w:basedOn w:val="65"/>
    <w:link w:val="38"/>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1"/>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2"/>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59"/>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1"/>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3"/>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6"/>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29"/>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8"/>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5"/>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29"/>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4"/>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29"/>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8"/>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4"/>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29"/>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4"/>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2"/>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4"/>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3"/>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4"/>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2"/>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16588</Words>
  <Characters>18356</Characters>
  <Lines>711</Lines>
  <Paragraphs>200</Paragraphs>
  <TotalTime>11</TotalTime>
  <ScaleCrop>false</ScaleCrop>
  <LinksUpToDate>false</LinksUpToDate>
  <CharactersWithSpaces>18610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2025-07-14T07:42:18Z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49CCC84125A54407851E67355DCCC9E0_13</vt:lpwstr>
  </property>
  <property fmtid="{D5CDD505-2E9C-101B-9397-08002B2CF9AE}" pid="4" name="KSOTemplateDocerSaveRecord">
    <vt:lpwstr>eyJoZGlkIjoiMDdiYWVjYzNjM2Q3MDVlNWEzYWIwMjY4YzcyMTM0ZmUiLCJ1c2VySWQiOiI3OTI1NTY2MzkifQ==</vt:lpwstr>
  </property>
</Properties>
</file>