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711918">
      <w:pPr>
        <w:spacing w:line="360" w:lineRule="auto"/>
        <w:jc w:val="center"/>
        <w:rPr>
          <w:rFonts w:hint="default" w:ascii="宋体" w:hAnsi="宋体" w:cs="宋体"/>
          <w:color w:val="auto"/>
          <w:sz w:val="24"/>
          <w:highlight w:val="none"/>
        </w:rPr>
      </w:pPr>
    </w:p>
    <w:p w14:paraId="25500D6A">
      <w:pPr>
        <w:spacing w:before="120" w:beforeLines="50" w:line="360" w:lineRule="auto"/>
        <w:jc w:val="center"/>
        <w:rPr>
          <w:rFonts w:hint="eastAsia" w:ascii="宋体" w:hAnsi="宋体" w:eastAsia="宋体" w:cs="宋体"/>
          <w:b/>
          <w:color w:val="auto"/>
          <w:sz w:val="52"/>
          <w:szCs w:val="52"/>
          <w:highlight w:val="none"/>
          <w:lang w:eastAsia="zh-CN"/>
        </w:rPr>
      </w:pPr>
      <w:r>
        <w:rPr>
          <w:rFonts w:hint="eastAsia" w:ascii="宋体" w:hAnsi="宋体" w:cs="宋体"/>
          <w:b/>
          <w:color w:val="auto"/>
          <w:sz w:val="52"/>
          <w:szCs w:val="52"/>
          <w:highlight w:val="none"/>
          <w:lang w:eastAsia="zh-CN"/>
        </w:rPr>
        <w:t>中国美术学院教务处学分制教学改革管理平台（三期）建设服务项目</w:t>
      </w:r>
    </w:p>
    <w:p w14:paraId="5CB97CFC">
      <w:pPr>
        <w:spacing w:before="120" w:beforeLines="50" w:line="360" w:lineRule="auto"/>
        <w:jc w:val="center"/>
        <w:rPr>
          <w:rFonts w:hint="default" w:ascii="宋体" w:hAnsi="宋体" w:cs="宋体"/>
          <w:b/>
          <w:color w:val="auto"/>
          <w:sz w:val="36"/>
          <w:szCs w:val="36"/>
          <w:highlight w:val="none"/>
        </w:rPr>
      </w:pPr>
    </w:p>
    <w:p w14:paraId="1B618343">
      <w:pPr>
        <w:pStyle w:val="2"/>
        <w:rPr>
          <w:rFonts w:hint="default" w:hAnsi="宋体" w:cs="宋体"/>
          <w:color w:val="auto"/>
          <w:highlight w:val="none"/>
        </w:rPr>
      </w:pPr>
    </w:p>
    <w:p w14:paraId="57B4C8FE">
      <w:pPr>
        <w:pStyle w:val="30"/>
        <w:rPr>
          <w:rFonts w:hint="default"/>
          <w:color w:val="auto"/>
          <w:highlight w:val="none"/>
        </w:rPr>
      </w:pPr>
    </w:p>
    <w:p w14:paraId="72095AA3">
      <w:pPr>
        <w:spacing w:before="120" w:beforeLines="50" w:line="360" w:lineRule="auto"/>
        <w:jc w:val="center"/>
        <w:rPr>
          <w:rFonts w:hint="default" w:ascii="宋体" w:hAnsi="宋体" w:cs="宋体"/>
          <w:b/>
          <w:color w:val="auto"/>
          <w:szCs w:val="21"/>
          <w:highlight w:val="none"/>
        </w:rPr>
      </w:pPr>
    </w:p>
    <w:p w14:paraId="0CEC959A">
      <w:pPr>
        <w:spacing w:before="120" w:beforeLines="50" w:line="360" w:lineRule="auto"/>
        <w:jc w:val="center"/>
        <w:rPr>
          <w:rFonts w:ascii="宋体" w:hAnsi="宋体" w:cs="宋体"/>
          <w:b/>
          <w:color w:val="auto"/>
          <w:sz w:val="84"/>
          <w:szCs w:val="84"/>
          <w:highlight w:val="none"/>
        </w:rPr>
      </w:pPr>
      <w:r>
        <w:rPr>
          <w:rFonts w:ascii="宋体" w:hAnsi="宋体" w:cs="宋体"/>
          <w:b/>
          <w:color w:val="auto"/>
          <w:sz w:val="84"/>
          <w:szCs w:val="84"/>
          <w:highlight w:val="none"/>
        </w:rPr>
        <w:t>招标文件</w:t>
      </w:r>
    </w:p>
    <w:p w14:paraId="473F48EA">
      <w:pPr>
        <w:pStyle w:val="2"/>
        <w:ind w:left="0" w:leftChars="0" w:firstLine="0" w:firstLineChars="0"/>
        <w:jc w:val="center"/>
        <w:rPr>
          <w:rFonts w:hint="default"/>
          <w:color w:val="auto"/>
          <w:highlight w:val="none"/>
        </w:rPr>
      </w:pPr>
      <w:r>
        <w:rPr>
          <w:rFonts w:hint="eastAsia" w:ascii="宋体" w:hAnsi="宋体" w:cs="宋体"/>
          <w:b/>
          <w:color w:val="auto"/>
          <w:sz w:val="44"/>
          <w:szCs w:val="44"/>
          <w:highlight w:val="none"/>
        </w:rPr>
        <w:t>（电子招投标）</w:t>
      </w:r>
    </w:p>
    <w:p w14:paraId="590E56B3">
      <w:pPr>
        <w:snapToGrid w:val="0"/>
        <w:spacing w:before="120" w:beforeLines="50" w:line="360" w:lineRule="auto"/>
        <w:jc w:val="center"/>
        <w:rPr>
          <w:rFonts w:hint="eastAsia" w:ascii="宋体" w:hAnsi="宋体" w:eastAsia="宋体" w:cs="宋体"/>
          <w:color w:val="auto"/>
          <w:sz w:val="32"/>
          <w:szCs w:val="32"/>
          <w:highlight w:val="none"/>
          <w:lang w:eastAsia="zh-CN"/>
        </w:rPr>
      </w:pPr>
      <w:r>
        <w:rPr>
          <w:rFonts w:ascii="宋体" w:hAnsi="宋体" w:cs="宋体"/>
          <w:b/>
          <w:bCs/>
          <w:color w:val="auto"/>
          <w:sz w:val="32"/>
          <w:szCs w:val="32"/>
          <w:highlight w:val="none"/>
        </w:rPr>
        <w:t>项目编号：</w:t>
      </w:r>
      <w:r>
        <w:rPr>
          <w:rFonts w:hint="eastAsia" w:ascii="宋体" w:hAnsi="宋体" w:cs="宋体"/>
          <w:b/>
          <w:bCs/>
          <w:color w:val="auto"/>
          <w:sz w:val="32"/>
          <w:szCs w:val="32"/>
          <w:highlight w:val="none"/>
          <w:lang w:eastAsia="zh-CN"/>
        </w:rPr>
        <w:t>HSZB-2025-713</w:t>
      </w:r>
    </w:p>
    <w:p w14:paraId="0E89DA51">
      <w:pPr>
        <w:pStyle w:val="8"/>
        <w:snapToGrid w:val="0"/>
        <w:spacing w:before="120" w:after="120" w:line="360" w:lineRule="auto"/>
        <w:rPr>
          <w:rFonts w:hint="default" w:hAnsi="宋体" w:cs="宋体"/>
          <w:b/>
          <w:bCs/>
          <w:color w:val="auto"/>
          <w:sz w:val="30"/>
          <w:szCs w:val="30"/>
          <w:highlight w:val="none"/>
        </w:rPr>
      </w:pPr>
    </w:p>
    <w:p w14:paraId="66D8DD5A">
      <w:pPr>
        <w:pStyle w:val="8"/>
        <w:snapToGrid w:val="0"/>
        <w:spacing w:before="120" w:after="120" w:line="360" w:lineRule="auto"/>
        <w:rPr>
          <w:rFonts w:hint="default" w:hAnsi="宋体" w:cs="宋体"/>
          <w:b/>
          <w:bCs/>
          <w:color w:val="auto"/>
          <w:sz w:val="30"/>
          <w:szCs w:val="30"/>
          <w:highlight w:val="none"/>
        </w:rPr>
      </w:pPr>
    </w:p>
    <w:p w14:paraId="5193CC94">
      <w:pPr>
        <w:pStyle w:val="8"/>
        <w:snapToGrid w:val="0"/>
        <w:spacing w:before="120" w:after="120" w:line="360" w:lineRule="auto"/>
        <w:rPr>
          <w:rFonts w:hint="default" w:hAnsi="宋体" w:cs="宋体"/>
          <w:b/>
          <w:bCs/>
          <w:color w:val="auto"/>
          <w:sz w:val="30"/>
          <w:szCs w:val="30"/>
          <w:highlight w:val="none"/>
        </w:rPr>
      </w:pPr>
    </w:p>
    <w:p w14:paraId="327FD4A7">
      <w:pPr>
        <w:pStyle w:val="8"/>
        <w:snapToGrid w:val="0"/>
        <w:spacing w:before="240" w:beforeLines="100" w:after="120" w:line="240" w:lineRule="auto"/>
        <w:rPr>
          <w:rFonts w:hint="default" w:hAnsi="宋体" w:cs="宋体"/>
          <w:b/>
          <w:bCs/>
          <w:color w:val="auto"/>
          <w:sz w:val="32"/>
          <w:szCs w:val="32"/>
          <w:highlight w:val="none"/>
        </w:rPr>
      </w:pPr>
    </w:p>
    <w:p w14:paraId="0EE803E7">
      <w:pPr>
        <w:pStyle w:val="8"/>
        <w:snapToGrid w:val="0"/>
        <w:spacing w:before="120" w:after="120" w:line="360" w:lineRule="auto"/>
        <w:ind w:left="3283" w:leftChars="760" w:hanging="1687" w:hangingChars="525"/>
        <w:rPr>
          <w:rFonts w:hint="eastAsia" w:hAnsi="宋体" w:eastAsia="宋体" w:cs="宋体"/>
          <w:b/>
          <w:color w:val="auto"/>
          <w:sz w:val="32"/>
          <w:szCs w:val="32"/>
          <w:highlight w:val="none"/>
          <w:lang w:eastAsia="zh-CN"/>
        </w:rPr>
      </w:pPr>
      <w:r>
        <w:rPr>
          <w:rFonts w:hAnsi="宋体" w:cs="宋体"/>
          <w:b/>
          <w:color w:val="auto"/>
          <w:sz w:val="32"/>
          <w:szCs w:val="32"/>
          <w:highlight w:val="none"/>
        </w:rPr>
        <w:t>采购</w:t>
      </w:r>
      <w:r>
        <w:rPr>
          <w:rFonts w:hint="eastAsia" w:hAnsi="宋体" w:cs="宋体"/>
          <w:b/>
          <w:color w:val="auto"/>
          <w:sz w:val="32"/>
          <w:szCs w:val="32"/>
          <w:highlight w:val="none"/>
          <w:lang w:val="en-US" w:eastAsia="zh-CN"/>
        </w:rPr>
        <w:t>人</w:t>
      </w:r>
      <w:r>
        <w:rPr>
          <w:rFonts w:hAnsi="宋体" w:cs="宋体"/>
          <w:b/>
          <w:color w:val="auto"/>
          <w:sz w:val="32"/>
          <w:szCs w:val="32"/>
          <w:highlight w:val="none"/>
        </w:rPr>
        <w:t>：</w:t>
      </w:r>
      <w:r>
        <w:rPr>
          <w:rFonts w:hint="eastAsia" w:hAnsi="宋体" w:cs="宋体"/>
          <w:b/>
          <w:color w:val="auto"/>
          <w:sz w:val="32"/>
          <w:szCs w:val="32"/>
          <w:highlight w:val="none"/>
          <w:lang w:eastAsia="zh-CN"/>
        </w:rPr>
        <w:t>中国美术学院</w:t>
      </w:r>
    </w:p>
    <w:p w14:paraId="348E8B81">
      <w:pPr>
        <w:pStyle w:val="8"/>
        <w:snapToGrid w:val="0"/>
        <w:spacing w:before="120" w:after="120" w:line="360" w:lineRule="auto"/>
        <w:ind w:firstLine="1536" w:firstLineChars="478"/>
        <w:rPr>
          <w:rFonts w:hint="default" w:hAnsi="宋体" w:cs="宋体"/>
          <w:b/>
          <w:color w:val="auto"/>
          <w:sz w:val="32"/>
          <w:szCs w:val="32"/>
          <w:highlight w:val="none"/>
        </w:rPr>
      </w:pPr>
      <w:r>
        <w:rPr>
          <w:rFonts w:hint="eastAsia" w:hAnsi="宋体" w:cs="宋体"/>
          <w:b/>
          <w:color w:val="auto"/>
          <w:sz w:val="32"/>
          <w:szCs w:val="32"/>
          <w:highlight w:val="none"/>
          <w:lang w:val="en-US" w:eastAsia="zh-CN"/>
        </w:rPr>
        <w:t>采购</w:t>
      </w:r>
      <w:r>
        <w:rPr>
          <w:rFonts w:hAnsi="宋体" w:cs="宋体"/>
          <w:b/>
          <w:color w:val="auto"/>
          <w:sz w:val="32"/>
          <w:szCs w:val="32"/>
          <w:highlight w:val="none"/>
        </w:rPr>
        <w:t>代理机构：浙江豪圣建设项目管理有限公司</w:t>
      </w:r>
    </w:p>
    <w:p w14:paraId="0C63F4D9">
      <w:pPr>
        <w:snapToGrid w:val="0"/>
        <w:spacing w:before="120" w:beforeLines="50" w:after="50" w:line="360" w:lineRule="auto"/>
        <w:jc w:val="center"/>
        <w:rPr>
          <w:rFonts w:hint="default" w:ascii="宋体" w:hAnsi="宋体" w:cs="宋体"/>
          <w:b/>
          <w:bCs/>
          <w:color w:val="auto"/>
          <w:w w:val="95"/>
          <w:sz w:val="30"/>
          <w:szCs w:val="30"/>
          <w:highlight w:val="none"/>
        </w:rPr>
        <w:sectPr>
          <w:footerReference r:id="rId3" w:type="default"/>
          <w:footerReference r:id="rId4" w:type="even"/>
          <w:pgSz w:w="11906" w:h="16838"/>
          <w:pgMar w:top="1417" w:right="1417" w:bottom="1417" w:left="1417" w:header="850" w:footer="992" w:gutter="0"/>
          <w:cols w:space="0" w:num="1"/>
          <w:titlePg/>
          <w:rtlGutter w:val="0"/>
          <w:docGrid w:linePitch="312" w:charSpace="0"/>
        </w:sectPr>
      </w:pPr>
      <w:r>
        <w:rPr>
          <w:rFonts w:ascii="宋体" w:hAnsi="宋体" w:cs="宋体"/>
          <w:b/>
          <w:bCs/>
          <w:color w:val="auto"/>
          <w:w w:val="95"/>
          <w:sz w:val="32"/>
          <w:szCs w:val="32"/>
          <w:highlight w:val="none"/>
        </w:rPr>
        <w:t>202</w:t>
      </w:r>
      <w:r>
        <w:rPr>
          <w:rFonts w:hint="eastAsia" w:ascii="宋体" w:hAnsi="宋体" w:cs="宋体"/>
          <w:b/>
          <w:bCs/>
          <w:color w:val="auto"/>
          <w:w w:val="95"/>
          <w:sz w:val="32"/>
          <w:szCs w:val="32"/>
          <w:highlight w:val="none"/>
          <w:lang w:val="en-US" w:eastAsia="zh-CN"/>
        </w:rPr>
        <w:t>5</w:t>
      </w:r>
      <w:r>
        <w:rPr>
          <w:rFonts w:ascii="宋体" w:hAnsi="宋体" w:cs="宋体"/>
          <w:b/>
          <w:bCs/>
          <w:color w:val="auto"/>
          <w:w w:val="95"/>
          <w:sz w:val="32"/>
          <w:szCs w:val="32"/>
          <w:highlight w:val="none"/>
        </w:rPr>
        <w:t>年</w:t>
      </w:r>
      <w:r>
        <w:rPr>
          <w:rFonts w:hint="eastAsia" w:ascii="宋体" w:hAnsi="宋体" w:cs="宋体"/>
          <w:b/>
          <w:bCs/>
          <w:color w:val="auto"/>
          <w:w w:val="95"/>
          <w:sz w:val="32"/>
          <w:szCs w:val="32"/>
          <w:highlight w:val="none"/>
          <w:lang w:val="en-US" w:eastAsia="zh-CN"/>
        </w:rPr>
        <w:t>6</w:t>
      </w:r>
      <w:r>
        <w:rPr>
          <w:rFonts w:ascii="宋体" w:hAnsi="宋体" w:cs="宋体"/>
          <w:b/>
          <w:bCs/>
          <w:color w:val="auto"/>
          <w:w w:val="95"/>
          <w:sz w:val="32"/>
          <w:szCs w:val="32"/>
          <w:highlight w:val="none"/>
        </w:rPr>
        <w:t>月</w:t>
      </w:r>
    </w:p>
    <w:p w14:paraId="5C8FF6DF">
      <w:pPr>
        <w:pStyle w:val="8"/>
        <w:spacing w:before="120" w:after="120" w:line="360" w:lineRule="auto"/>
        <w:jc w:val="center"/>
        <w:rPr>
          <w:rFonts w:hint="default" w:hAnsi="宋体" w:cs="宋体"/>
          <w:b/>
          <w:color w:val="auto"/>
          <w:sz w:val="36"/>
          <w:szCs w:val="36"/>
          <w:highlight w:val="none"/>
        </w:rPr>
      </w:pPr>
      <w:r>
        <w:rPr>
          <w:rFonts w:hAnsi="宋体" w:cs="宋体"/>
          <w:b/>
          <w:color w:val="auto"/>
          <w:sz w:val="36"/>
          <w:szCs w:val="36"/>
          <w:highlight w:val="none"/>
        </w:rPr>
        <w:t>目  录</w:t>
      </w:r>
    </w:p>
    <w:p w14:paraId="155557FC">
      <w:pPr>
        <w:pStyle w:val="27"/>
        <w:tabs>
          <w:tab w:val="right" w:leader="dot" w:pos="9355"/>
        </w:tabs>
        <w:rPr>
          <w:rFonts w:hint="default"/>
          <w:color w:val="auto"/>
          <w:sz w:val="24"/>
          <w:szCs w:val="24"/>
          <w:highlight w:val="none"/>
        </w:rPr>
      </w:pPr>
      <w:r>
        <w:rPr>
          <w:rFonts w:ascii="宋体" w:hAnsi="宋体" w:cs="宋体"/>
          <w:color w:val="auto"/>
          <w:sz w:val="24"/>
          <w:szCs w:val="24"/>
          <w:highlight w:val="none"/>
        </w:rPr>
        <w:fldChar w:fldCharType="begin"/>
      </w:r>
      <w:r>
        <w:rPr>
          <w:rFonts w:ascii="宋体" w:hAnsi="宋体" w:cs="宋体"/>
          <w:color w:val="auto"/>
          <w:sz w:val="24"/>
          <w:szCs w:val="24"/>
          <w:highlight w:val="none"/>
        </w:rPr>
        <w:instrText xml:space="preserve">TOC \o "1-1" \h \u </w:instrText>
      </w:r>
      <w:r>
        <w:rPr>
          <w:rFonts w:ascii="宋体" w:hAnsi="宋体" w:cs="宋体"/>
          <w:color w:val="auto"/>
          <w:sz w:val="24"/>
          <w:szCs w:val="24"/>
          <w:highlight w:val="none"/>
        </w:rPr>
        <w:fldChar w:fldCharType="separate"/>
      </w:r>
    </w:p>
    <w:p w14:paraId="051B4E5A">
      <w:pPr>
        <w:pStyle w:val="27"/>
        <w:tabs>
          <w:tab w:val="right" w:leader="dot" w:pos="9355"/>
        </w:tabs>
        <w:adjustRightInd w:val="0"/>
        <w:snapToGrid w:val="0"/>
        <w:spacing w:line="360" w:lineRule="auto"/>
        <w:rPr>
          <w:rFonts w:hint="default"/>
          <w:color w:val="auto"/>
          <w:sz w:val="24"/>
          <w:szCs w:val="24"/>
          <w:highlight w:val="none"/>
        </w:rPr>
      </w:pPr>
      <w:r>
        <w:rPr>
          <w:color w:val="auto"/>
          <w:sz w:val="24"/>
          <w:szCs w:val="24"/>
          <w:highlight w:val="none"/>
        </w:rPr>
        <w:fldChar w:fldCharType="begin"/>
      </w:r>
      <w:r>
        <w:rPr>
          <w:color w:val="auto"/>
          <w:sz w:val="24"/>
          <w:szCs w:val="24"/>
          <w:highlight w:val="none"/>
        </w:rPr>
        <w:instrText xml:space="preserve"> HYPERLINK \l "_Toc3758" </w:instrText>
      </w:r>
      <w:r>
        <w:rPr>
          <w:color w:val="auto"/>
          <w:sz w:val="24"/>
          <w:szCs w:val="24"/>
          <w:highlight w:val="none"/>
        </w:rPr>
        <w:fldChar w:fldCharType="separate"/>
      </w:r>
      <w:r>
        <w:rPr>
          <w:rFonts w:ascii="宋体" w:hAnsi="宋体" w:cs="宋体"/>
          <w:color w:val="auto"/>
          <w:spacing w:val="-4"/>
          <w:sz w:val="24"/>
          <w:szCs w:val="24"/>
          <w:highlight w:val="none"/>
        </w:rPr>
        <w:t>第一</w:t>
      </w:r>
      <w:r>
        <w:rPr>
          <w:rFonts w:hint="eastAsia" w:ascii="宋体" w:hAnsi="宋体" w:cs="宋体"/>
          <w:color w:val="auto"/>
          <w:spacing w:val="-4"/>
          <w:sz w:val="24"/>
          <w:szCs w:val="24"/>
          <w:highlight w:val="none"/>
          <w:lang w:val="en-US" w:eastAsia="zh-CN"/>
        </w:rPr>
        <w:t>部分</w:t>
      </w:r>
      <w:r>
        <w:rPr>
          <w:rFonts w:ascii="宋体" w:hAnsi="宋体" w:cs="宋体"/>
          <w:color w:val="auto"/>
          <w:spacing w:val="-4"/>
          <w:sz w:val="24"/>
          <w:szCs w:val="24"/>
          <w:highlight w:val="none"/>
        </w:rPr>
        <w:t xml:space="preserve">  招标公告</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_Toc3758 \h </w:instrText>
      </w:r>
      <w:r>
        <w:rPr>
          <w:color w:val="auto"/>
          <w:sz w:val="24"/>
          <w:szCs w:val="24"/>
          <w:highlight w:val="none"/>
        </w:rPr>
        <w:fldChar w:fldCharType="separate"/>
      </w:r>
      <w:r>
        <w:rPr>
          <w:color w:val="auto"/>
          <w:sz w:val="24"/>
          <w:szCs w:val="24"/>
          <w:highlight w:val="none"/>
        </w:rPr>
        <w:t>2</w:t>
      </w:r>
      <w:r>
        <w:rPr>
          <w:color w:val="auto"/>
          <w:sz w:val="24"/>
          <w:szCs w:val="24"/>
          <w:highlight w:val="none"/>
        </w:rPr>
        <w:fldChar w:fldCharType="end"/>
      </w:r>
      <w:r>
        <w:rPr>
          <w:color w:val="auto"/>
          <w:sz w:val="24"/>
          <w:szCs w:val="24"/>
          <w:highlight w:val="none"/>
        </w:rPr>
        <w:fldChar w:fldCharType="end"/>
      </w:r>
    </w:p>
    <w:p w14:paraId="45C2FE8D">
      <w:pPr>
        <w:pStyle w:val="27"/>
        <w:tabs>
          <w:tab w:val="right" w:leader="dot" w:pos="9355"/>
        </w:tabs>
        <w:adjustRightInd w:val="0"/>
        <w:snapToGrid w:val="0"/>
        <w:spacing w:line="360" w:lineRule="auto"/>
        <w:rPr>
          <w:rFonts w:hint="default"/>
          <w:color w:val="auto"/>
          <w:sz w:val="24"/>
          <w:szCs w:val="24"/>
          <w:highlight w:val="none"/>
        </w:rPr>
      </w:pPr>
      <w:r>
        <w:rPr>
          <w:color w:val="auto"/>
          <w:sz w:val="24"/>
          <w:szCs w:val="24"/>
          <w:highlight w:val="none"/>
        </w:rPr>
        <w:fldChar w:fldCharType="begin"/>
      </w:r>
      <w:r>
        <w:rPr>
          <w:color w:val="auto"/>
          <w:sz w:val="24"/>
          <w:szCs w:val="24"/>
          <w:highlight w:val="none"/>
        </w:rPr>
        <w:instrText xml:space="preserve"> HYPERLINK \l "_Toc10111" </w:instrText>
      </w:r>
      <w:r>
        <w:rPr>
          <w:color w:val="auto"/>
          <w:sz w:val="24"/>
          <w:szCs w:val="24"/>
          <w:highlight w:val="none"/>
        </w:rPr>
        <w:fldChar w:fldCharType="separate"/>
      </w:r>
      <w:r>
        <w:rPr>
          <w:rFonts w:ascii="宋体" w:hAnsi="宋体" w:cs="宋体"/>
          <w:color w:val="auto"/>
          <w:sz w:val="24"/>
          <w:szCs w:val="24"/>
          <w:highlight w:val="none"/>
        </w:rPr>
        <w:t>第二</w:t>
      </w:r>
      <w:r>
        <w:rPr>
          <w:rFonts w:hint="eastAsia" w:ascii="宋体" w:hAnsi="宋体" w:cs="宋体"/>
          <w:color w:val="auto"/>
          <w:sz w:val="24"/>
          <w:szCs w:val="24"/>
          <w:highlight w:val="none"/>
          <w:lang w:val="en-US" w:eastAsia="zh-CN"/>
        </w:rPr>
        <w:t>部分</w:t>
      </w:r>
      <w:r>
        <w:rPr>
          <w:rFonts w:ascii="宋体" w:hAnsi="宋体" w:cs="宋体"/>
          <w:color w:val="auto"/>
          <w:sz w:val="24"/>
          <w:szCs w:val="24"/>
          <w:highlight w:val="none"/>
        </w:rPr>
        <w:t xml:space="preserve">  投标人须知</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_Toc10111 \h </w:instrText>
      </w:r>
      <w:r>
        <w:rPr>
          <w:color w:val="auto"/>
          <w:sz w:val="24"/>
          <w:szCs w:val="24"/>
          <w:highlight w:val="none"/>
        </w:rPr>
        <w:fldChar w:fldCharType="separate"/>
      </w:r>
      <w:r>
        <w:rPr>
          <w:color w:val="auto"/>
          <w:sz w:val="24"/>
          <w:szCs w:val="24"/>
          <w:highlight w:val="none"/>
        </w:rPr>
        <w:t>7</w:t>
      </w:r>
      <w:r>
        <w:rPr>
          <w:color w:val="auto"/>
          <w:sz w:val="24"/>
          <w:szCs w:val="24"/>
          <w:highlight w:val="none"/>
        </w:rPr>
        <w:fldChar w:fldCharType="end"/>
      </w:r>
      <w:r>
        <w:rPr>
          <w:color w:val="auto"/>
          <w:sz w:val="24"/>
          <w:szCs w:val="24"/>
          <w:highlight w:val="none"/>
        </w:rPr>
        <w:fldChar w:fldCharType="end"/>
      </w:r>
    </w:p>
    <w:p w14:paraId="3A93D86B">
      <w:pPr>
        <w:pStyle w:val="27"/>
        <w:tabs>
          <w:tab w:val="right" w:leader="dot" w:pos="9355"/>
        </w:tabs>
        <w:adjustRightInd w:val="0"/>
        <w:snapToGrid w:val="0"/>
        <w:spacing w:line="360" w:lineRule="auto"/>
        <w:rPr>
          <w:rFonts w:hint="default"/>
          <w:color w:val="auto"/>
          <w:sz w:val="24"/>
          <w:szCs w:val="24"/>
          <w:highlight w:val="none"/>
        </w:rPr>
      </w:pPr>
      <w:r>
        <w:rPr>
          <w:color w:val="auto"/>
          <w:sz w:val="24"/>
          <w:szCs w:val="24"/>
          <w:highlight w:val="none"/>
        </w:rPr>
        <w:fldChar w:fldCharType="begin"/>
      </w:r>
      <w:r>
        <w:rPr>
          <w:color w:val="auto"/>
          <w:sz w:val="24"/>
          <w:szCs w:val="24"/>
          <w:highlight w:val="none"/>
        </w:rPr>
        <w:instrText xml:space="preserve"> HYPERLINK \l "_Toc30596" </w:instrText>
      </w:r>
      <w:r>
        <w:rPr>
          <w:color w:val="auto"/>
          <w:sz w:val="24"/>
          <w:szCs w:val="24"/>
          <w:highlight w:val="none"/>
        </w:rPr>
        <w:fldChar w:fldCharType="separate"/>
      </w:r>
      <w:r>
        <w:rPr>
          <w:rFonts w:ascii="宋体" w:hAnsi="宋体" w:cs="宋体"/>
          <w:color w:val="auto"/>
          <w:spacing w:val="-4"/>
          <w:sz w:val="24"/>
          <w:szCs w:val="24"/>
          <w:highlight w:val="none"/>
        </w:rPr>
        <w:t>第三</w:t>
      </w:r>
      <w:r>
        <w:rPr>
          <w:rFonts w:hint="eastAsia" w:ascii="宋体" w:hAnsi="宋体" w:cs="宋体"/>
          <w:color w:val="auto"/>
          <w:spacing w:val="-4"/>
          <w:sz w:val="24"/>
          <w:szCs w:val="24"/>
          <w:highlight w:val="none"/>
          <w:lang w:val="en-US" w:eastAsia="zh-CN"/>
        </w:rPr>
        <w:t>部分</w:t>
      </w:r>
      <w:r>
        <w:rPr>
          <w:rFonts w:ascii="宋体" w:hAnsi="宋体" w:cs="宋体"/>
          <w:color w:val="auto"/>
          <w:spacing w:val="-4"/>
          <w:sz w:val="24"/>
          <w:szCs w:val="24"/>
          <w:highlight w:val="none"/>
        </w:rPr>
        <w:t xml:space="preserve">  评标办法</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_Toc30596 \h </w:instrText>
      </w:r>
      <w:r>
        <w:rPr>
          <w:color w:val="auto"/>
          <w:sz w:val="24"/>
          <w:szCs w:val="24"/>
          <w:highlight w:val="none"/>
        </w:rPr>
        <w:fldChar w:fldCharType="separate"/>
      </w:r>
      <w:r>
        <w:rPr>
          <w:color w:val="auto"/>
          <w:sz w:val="24"/>
          <w:szCs w:val="24"/>
          <w:highlight w:val="none"/>
        </w:rPr>
        <w:t>24</w:t>
      </w:r>
      <w:r>
        <w:rPr>
          <w:color w:val="auto"/>
          <w:sz w:val="24"/>
          <w:szCs w:val="24"/>
          <w:highlight w:val="none"/>
        </w:rPr>
        <w:fldChar w:fldCharType="end"/>
      </w:r>
      <w:r>
        <w:rPr>
          <w:color w:val="auto"/>
          <w:sz w:val="24"/>
          <w:szCs w:val="24"/>
          <w:highlight w:val="none"/>
        </w:rPr>
        <w:fldChar w:fldCharType="end"/>
      </w:r>
    </w:p>
    <w:p w14:paraId="4EFDB74D">
      <w:pPr>
        <w:pStyle w:val="27"/>
        <w:tabs>
          <w:tab w:val="right" w:leader="dot" w:pos="9355"/>
        </w:tabs>
        <w:adjustRightInd w:val="0"/>
        <w:snapToGrid w:val="0"/>
        <w:spacing w:line="360" w:lineRule="auto"/>
        <w:rPr>
          <w:rFonts w:hint="eastAsia" w:eastAsia="宋体"/>
          <w:color w:val="auto"/>
          <w:sz w:val="24"/>
          <w:szCs w:val="24"/>
          <w:highlight w:val="none"/>
          <w:lang w:val="en-US" w:eastAsia="zh-CN"/>
        </w:rPr>
      </w:pPr>
      <w:r>
        <w:rPr>
          <w:color w:val="auto"/>
          <w:sz w:val="24"/>
          <w:szCs w:val="24"/>
          <w:highlight w:val="none"/>
        </w:rPr>
        <w:fldChar w:fldCharType="begin"/>
      </w:r>
      <w:r>
        <w:rPr>
          <w:color w:val="auto"/>
          <w:sz w:val="24"/>
          <w:szCs w:val="24"/>
          <w:highlight w:val="none"/>
        </w:rPr>
        <w:instrText xml:space="preserve"> HYPERLINK \l "_Toc15851" </w:instrText>
      </w:r>
      <w:r>
        <w:rPr>
          <w:color w:val="auto"/>
          <w:sz w:val="24"/>
          <w:szCs w:val="24"/>
          <w:highlight w:val="none"/>
        </w:rPr>
        <w:fldChar w:fldCharType="separate"/>
      </w:r>
      <w:r>
        <w:rPr>
          <w:rFonts w:ascii="宋体" w:hAnsi="宋体" w:cs="宋体"/>
          <w:color w:val="auto"/>
          <w:sz w:val="24"/>
          <w:szCs w:val="24"/>
          <w:highlight w:val="none"/>
        </w:rPr>
        <w:t>第四</w:t>
      </w:r>
      <w:r>
        <w:rPr>
          <w:rFonts w:hint="eastAsia" w:ascii="宋体" w:hAnsi="宋体" w:cs="宋体"/>
          <w:color w:val="auto"/>
          <w:sz w:val="24"/>
          <w:szCs w:val="24"/>
          <w:highlight w:val="none"/>
          <w:lang w:val="en-US" w:eastAsia="zh-CN"/>
        </w:rPr>
        <w:t>部分</w:t>
      </w:r>
      <w:r>
        <w:rPr>
          <w:rFonts w:ascii="宋体" w:hAnsi="宋体" w:cs="宋体"/>
          <w:color w:val="auto"/>
          <w:sz w:val="24"/>
          <w:szCs w:val="24"/>
          <w:highlight w:val="none"/>
        </w:rPr>
        <w:t xml:space="preserve">  采购内容及需求</w:t>
      </w:r>
      <w:r>
        <w:rPr>
          <w:color w:val="auto"/>
          <w:sz w:val="24"/>
          <w:szCs w:val="24"/>
          <w:highlight w:val="none"/>
        </w:rPr>
        <w:tab/>
      </w:r>
      <w:r>
        <w:rPr>
          <w:rFonts w:hint="eastAsia"/>
          <w:color w:val="auto"/>
          <w:sz w:val="24"/>
          <w:szCs w:val="24"/>
          <w:highlight w:val="none"/>
          <w:lang w:val="en-US" w:eastAsia="zh-CN"/>
        </w:rPr>
        <w:t>3</w:t>
      </w:r>
      <w:r>
        <w:rPr>
          <w:color w:val="auto"/>
          <w:sz w:val="24"/>
          <w:szCs w:val="24"/>
          <w:highlight w:val="none"/>
        </w:rPr>
        <w:fldChar w:fldCharType="end"/>
      </w:r>
      <w:r>
        <w:rPr>
          <w:rFonts w:hint="eastAsia"/>
          <w:color w:val="auto"/>
          <w:sz w:val="24"/>
          <w:szCs w:val="24"/>
          <w:highlight w:val="none"/>
          <w:lang w:val="en-US" w:eastAsia="zh-CN"/>
        </w:rPr>
        <w:t>1</w:t>
      </w:r>
    </w:p>
    <w:p w14:paraId="31815B39">
      <w:pPr>
        <w:pStyle w:val="27"/>
        <w:tabs>
          <w:tab w:val="right" w:leader="dot" w:pos="9355"/>
        </w:tabs>
        <w:adjustRightInd w:val="0"/>
        <w:snapToGrid w:val="0"/>
        <w:spacing w:line="360" w:lineRule="auto"/>
        <w:rPr>
          <w:rFonts w:hint="default"/>
          <w:color w:val="auto"/>
          <w:sz w:val="24"/>
          <w:szCs w:val="24"/>
          <w:highlight w:val="none"/>
        </w:rPr>
      </w:pPr>
      <w:r>
        <w:rPr>
          <w:color w:val="auto"/>
          <w:sz w:val="24"/>
          <w:szCs w:val="24"/>
          <w:highlight w:val="none"/>
        </w:rPr>
        <w:fldChar w:fldCharType="begin"/>
      </w:r>
      <w:r>
        <w:rPr>
          <w:color w:val="auto"/>
          <w:sz w:val="24"/>
          <w:szCs w:val="24"/>
          <w:highlight w:val="none"/>
        </w:rPr>
        <w:instrText xml:space="preserve"> HYPERLINK \l "_Toc31746" </w:instrText>
      </w:r>
      <w:r>
        <w:rPr>
          <w:color w:val="auto"/>
          <w:sz w:val="24"/>
          <w:szCs w:val="24"/>
          <w:highlight w:val="none"/>
        </w:rPr>
        <w:fldChar w:fldCharType="separate"/>
      </w:r>
      <w:r>
        <w:rPr>
          <w:rFonts w:ascii="宋体" w:hAnsi="宋体" w:cs="宋体"/>
          <w:color w:val="auto"/>
          <w:sz w:val="24"/>
          <w:szCs w:val="24"/>
          <w:highlight w:val="none"/>
        </w:rPr>
        <w:t>第五</w:t>
      </w:r>
      <w:r>
        <w:rPr>
          <w:rFonts w:hint="eastAsia" w:ascii="宋体" w:hAnsi="宋体" w:cs="宋体"/>
          <w:color w:val="auto"/>
          <w:sz w:val="24"/>
          <w:szCs w:val="24"/>
          <w:highlight w:val="none"/>
          <w:lang w:val="en-US" w:eastAsia="zh-CN"/>
        </w:rPr>
        <w:t>部分</w:t>
      </w:r>
      <w:r>
        <w:rPr>
          <w:rFonts w:ascii="宋体" w:hAnsi="宋体" w:cs="宋体"/>
          <w:color w:val="auto"/>
          <w:sz w:val="24"/>
          <w:szCs w:val="24"/>
          <w:highlight w:val="none"/>
        </w:rPr>
        <w:t xml:space="preserve"> </w:t>
      </w:r>
      <w:r>
        <w:rPr>
          <w:rFonts w:hint="eastAsia" w:ascii="宋体" w:hAnsi="宋体" w:cs="宋体"/>
          <w:color w:val="auto"/>
          <w:sz w:val="24"/>
          <w:szCs w:val="24"/>
          <w:highlight w:val="none"/>
          <w:lang w:val="en-US" w:eastAsia="zh-CN"/>
        </w:rPr>
        <w:t xml:space="preserve"> </w:t>
      </w:r>
      <w:r>
        <w:rPr>
          <w:rFonts w:ascii="宋体" w:hAnsi="宋体" w:cs="宋体"/>
          <w:color w:val="auto"/>
          <w:sz w:val="24"/>
          <w:szCs w:val="24"/>
          <w:highlight w:val="none"/>
        </w:rPr>
        <w:t>合同主要条款</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_Toc31746 \h </w:instrText>
      </w:r>
      <w:r>
        <w:rPr>
          <w:color w:val="auto"/>
          <w:sz w:val="24"/>
          <w:szCs w:val="24"/>
          <w:highlight w:val="none"/>
        </w:rPr>
        <w:fldChar w:fldCharType="separate"/>
      </w:r>
      <w:r>
        <w:rPr>
          <w:color w:val="auto"/>
          <w:sz w:val="24"/>
          <w:szCs w:val="24"/>
          <w:highlight w:val="none"/>
        </w:rPr>
        <w:t>49</w:t>
      </w:r>
      <w:r>
        <w:rPr>
          <w:color w:val="auto"/>
          <w:sz w:val="24"/>
          <w:szCs w:val="24"/>
          <w:highlight w:val="none"/>
        </w:rPr>
        <w:fldChar w:fldCharType="end"/>
      </w:r>
      <w:r>
        <w:rPr>
          <w:color w:val="auto"/>
          <w:sz w:val="24"/>
          <w:szCs w:val="24"/>
          <w:highlight w:val="none"/>
        </w:rPr>
        <w:fldChar w:fldCharType="end"/>
      </w:r>
    </w:p>
    <w:p w14:paraId="1C285F15">
      <w:pPr>
        <w:pStyle w:val="27"/>
        <w:tabs>
          <w:tab w:val="right" w:leader="dot" w:pos="9355"/>
        </w:tabs>
        <w:adjustRightInd w:val="0"/>
        <w:snapToGrid w:val="0"/>
        <w:spacing w:line="360" w:lineRule="auto"/>
        <w:rPr>
          <w:rFonts w:hint="default"/>
          <w:color w:val="auto"/>
          <w:sz w:val="24"/>
          <w:szCs w:val="24"/>
          <w:highlight w:val="none"/>
        </w:rPr>
      </w:pPr>
      <w:r>
        <w:rPr>
          <w:color w:val="auto"/>
          <w:sz w:val="24"/>
          <w:szCs w:val="24"/>
          <w:highlight w:val="none"/>
        </w:rPr>
        <w:fldChar w:fldCharType="begin"/>
      </w:r>
      <w:r>
        <w:rPr>
          <w:color w:val="auto"/>
          <w:sz w:val="24"/>
          <w:szCs w:val="24"/>
          <w:highlight w:val="none"/>
        </w:rPr>
        <w:instrText xml:space="preserve"> HYPERLINK \l "_Toc26509" </w:instrText>
      </w:r>
      <w:r>
        <w:rPr>
          <w:color w:val="auto"/>
          <w:sz w:val="24"/>
          <w:szCs w:val="24"/>
          <w:highlight w:val="none"/>
        </w:rPr>
        <w:fldChar w:fldCharType="separate"/>
      </w:r>
      <w:r>
        <w:rPr>
          <w:rFonts w:ascii="宋体" w:hAnsi="宋体" w:cs="宋体"/>
          <w:color w:val="auto"/>
          <w:sz w:val="24"/>
          <w:szCs w:val="24"/>
          <w:highlight w:val="none"/>
        </w:rPr>
        <w:t>第六</w:t>
      </w:r>
      <w:r>
        <w:rPr>
          <w:rFonts w:hint="eastAsia" w:ascii="宋体" w:hAnsi="宋体" w:cs="宋体"/>
          <w:color w:val="auto"/>
          <w:sz w:val="24"/>
          <w:szCs w:val="24"/>
          <w:highlight w:val="none"/>
          <w:lang w:val="en-US" w:eastAsia="zh-CN"/>
        </w:rPr>
        <w:t>部分</w:t>
      </w:r>
      <w:r>
        <w:rPr>
          <w:rFonts w:ascii="宋体" w:hAnsi="宋体" w:cs="宋体"/>
          <w:color w:val="auto"/>
          <w:sz w:val="24"/>
          <w:szCs w:val="24"/>
          <w:highlight w:val="none"/>
        </w:rPr>
        <w:t>　投标文件格式</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_Toc26509 \h </w:instrText>
      </w:r>
      <w:r>
        <w:rPr>
          <w:color w:val="auto"/>
          <w:sz w:val="24"/>
          <w:szCs w:val="24"/>
          <w:highlight w:val="none"/>
        </w:rPr>
        <w:fldChar w:fldCharType="separate"/>
      </w:r>
      <w:r>
        <w:rPr>
          <w:color w:val="auto"/>
          <w:sz w:val="24"/>
          <w:szCs w:val="24"/>
          <w:highlight w:val="none"/>
        </w:rPr>
        <w:t>54</w:t>
      </w:r>
      <w:r>
        <w:rPr>
          <w:color w:val="auto"/>
          <w:sz w:val="24"/>
          <w:szCs w:val="24"/>
          <w:highlight w:val="none"/>
        </w:rPr>
        <w:fldChar w:fldCharType="end"/>
      </w:r>
      <w:r>
        <w:rPr>
          <w:color w:val="auto"/>
          <w:sz w:val="24"/>
          <w:szCs w:val="24"/>
          <w:highlight w:val="none"/>
        </w:rPr>
        <w:fldChar w:fldCharType="end"/>
      </w:r>
    </w:p>
    <w:p w14:paraId="7B51CF3A">
      <w:pPr>
        <w:pStyle w:val="8"/>
        <w:spacing w:before="120" w:after="120" w:line="360" w:lineRule="auto"/>
        <w:jc w:val="center"/>
        <w:rPr>
          <w:rFonts w:hint="eastAsia" w:hAnsi="宋体" w:eastAsia="宋体" w:cs="宋体"/>
          <w:color w:val="auto"/>
          <w:sz w:val="28"/>
          <w:szCs w:val="28"/>
          <w:highlight w:val="none"/>
          <w:lang w:val="en-US" w:eastAsia="zh-CN"/>
        </w:rPr>
      </w:pPr>
      <w:r>
        <w:rPr>
          <w:rFonts w:hAnsi="宋体" w:cs="宋体"/>
          <w:color w:val="auto"/>
          <w:sz w:val="24"/>
          <w:szCs w:val="24"/>
          <w:highlight w:val="none"/>
        </w:rPr>
        <w:fldChar w:fldCharType="end"/>
      </w:r>
    </w:p>
    <w:p w14:paraId="46D73C40">
      <w:pPr>
        <w:pStyle w:val="8"/>
        <w:snapToGrid w:val="0"/>
        <w:spacing w:before="120" w:after="120" w:line="360" w:lineRule="auto"/>
        <w:jc w:val="center"/>
        <w:rPr>
          <w:rFonts w:hint="default" w:hAnsi="宋体" w:cs="宋体"/>
          <w:color w:val="auto"/>
          <w:highlight w:val="none"/>
        </w:rPr>
        <w:sectPr>
          <w:headerReference r:id="rId5" w:type="default"/>
          <w:footerReference r:id="rId6" w:type="default"/>
          <w:pgSz w:w="11906" w:h="16838"/>
          <w:pgMar w:top="1417" w:right="1417" w:bottom="1417" w:left="1417" w:header="850" w:footer="992" w:gutter="0"/>
          <w:pgNumType w:start="1"/>
          <w:cols w:space="0" w:num="1"/>
          <w:titlePg/>
          <w:rtlGutter w:val="0"/>
          <w:docGrid w:linePitch="312" w:charSpace="0"/>
        </w:sectPr>
      </w:pPr>
    </w:p>
    <w:p w14:paraId="40816798">
      <w:pPr>
        <w:snapToGrid w:val="0"/>
        <w:spacing w:line="360" w:lineRule="auto"/>
        <w:ind w:left="238"/>
        <w:jc w:val="center"/>
        <w:rPr>
          <w:rFonts w:hint="default" w:ascii="宋体" w:hAnsi="宋体" w:cs="宋体"/>
          <w:color w:val="auto"/>
          <w:sz w:val="24"/>
          <w:highlight w:val="none"/>
        </w:rPr>
      </w:pPr>
    </w:p>
    <w:p w14:paraId="7EDACBA8">
      <w:pPr>
        <w:pStyle w:val="8"/>
        <w:snapToGrid w:val="0"/>
        <w:spacing w:before="120" w:after="120" w:line="360" w:lineRule="auto"/>
        <w:jc w:val="center"/>
        <w:outlineLvl w:val="0"/>
        <w:rPr>
          <w:rStyle w:val="144"/>
          <w:rFonts w:hint="default" w:hAnsi="宋体" w:cs="宋体"/>
          <w:color w:val="auto"/>
          <w:spacing w:val="-4"/>
          <w:sz w:val="32"/>
          <w:szCs w:val="32"/>
          <w:highlight w:val="none"/>
        </w:rPr>
      </w:pPr>
      <w:bookmarkStart w:id="0" w:name="_Toc3758"/>
      <w:r>
        <w:rPr>
          <w:rStyle w:val="144"/>
          <w:rFonts w:hAnsi="宋体" w:cs="宋体"/>
          <w:color w:val="auto"/>
          <w:spacing w:val="-4"/>
          <w:sz w:val="32"/>
          <w:szCs w:val="32"/>
          <w:highlight w:val="none"/>
        </w:rPr>
        <w:t>第一</w:t>
      </w:r>
      <w:r>
        <w:rPr>
          <w:rStyle w:val="144"/>
          <w:rFonts w:hint="eastAsia" w:hAnsi="宋体" w:cs="宋体"/>
          <w:color w:val="auto"/>
          <w:spacing w:val="-4"/>
          <w:sz w:val="32"/>
          <w:szCs w:val="32"/>
          <w:highlight w:val="none"/>
          <w:lang w:val="en-US"/>
        </w:rPr>
        <w:t>部分</w:t>
      </w:r>
      <w:r>
        <w:rPr>
          <w:rStyle w:val="144"/>
          <w:rFonts w:hAnsi="宋体" w:cs="宋体"/>
          <w:color w:val="auto"/>
          <w:spacing w:val="-4"/>
          <w:sz w:val="32"/>
          <w:szCs w:val="32"/>
          <w:highlight w:val="none"/>
        </w:rPr>
        <w:t xml:space="preserve">  招标公告</w:t>
      </w:r>
      <w:bookmarkEnd w:id="0"/>
    </w:p>
    <w:p w14:paraId="63A6E2CC">
      <w:pPr>
        <w:pBdr>
          <w:top w:val="single" w:color="auto" w:sz="4" w:space="1"/>
          <w:left w:val="single" w:color="auto" w:sz="4" w:space="4"/>
          <w:bottom w:val="single" w:color="auto" w:sz="4" w:space="1"/>
          <w:right w:val="single" w:color="auto" w:sz="4" w:space="4"/>
        </w:pBdr>
        <w:spacing w:line="360" w:lineRule="auto"/>
        <w:ind w:firstLine="480" w:firstLineChars="200"/>
        <w:rPr>
          <w:rFonts w:hint="default" w:ascii="宋体" w:hAnsi="宋体" w:cs="宋体"/>
          <w:color w:val="auto"/>
          <w:sz w:val="24"/>
          <w:highlight w:val="none"/>
        </w:rPr>
      </w:pPr>
      <w:r>
        <w:rPr>
          <w:rFonts w:ascii="宋体" w:hAnsi="宋体" w:cs="宋体"/>
          <w:color w:val="auto"/>
          <w:sz w:val="24"/>
          <w:highlight w:val="none"/>
        </w:rPr>
        <w:t>项目概况</w:t>
      </w:r>
    </w:p>
    <w:p w14:paraId="29A83C5D">
      <w:pPr>
        <w:pBdr>
          <w:top w:val="single" w:color="auto" w:sz="4" w:space="1"/>
          <w:left w:val="single" w:color="auto" w:sz="4" w:space="4"/>
          <w:bottom w:val="single" w:color="auto" w:sz="4" w:space="1"/>
          <w:right w:val="single" w:color="auto" w:sz="4" w:space="4"/>
        </w:pBdr>
        <w:spacing w:line="360" w:lineRule="auto"/>
        <w:ind w:firstLine="480" w:firstLineChars="200"/>
        <w:rPr>
          <w:rFonts w:hint="default" w:ascii="宋体" w:hAnsi="宋体" w:cs="宋体"/>
          <w:color w:val="auto"/>
          <w:sz w:val="24"/>
          <w:highlight w:val="none"/>
        </w:rPr>
      </w:pPr>
      <w:r>
        <w:rPr>
          <w:rFonts w:hint="eastAsia" w:ascii="宋体" w:hAnsi="宋体" w:cs="宋体"/>
          <w:color w:val="auto"/>
          <w:sz w:val="24"/>
          <w:highlight w:val="none"/>
          <w:u w:val="none"/>
          <w:lang w:eastAsia="zh-CN"/>
        </w:rPr>
        <w:t>中国美术学院教务处学分制教学改革管理平台（三期）建设服务项目</w:t>
      </w:r>
      <w:r>
        <w:rPr>
          <w:rFonts w:hint="eastAsia" w:asciiTheme="minorEastAsia" w:hAnsiTheme="minorEastAsia" w:eastAsiaTheme="minorEastAsia"/>
          <w:color w:val="auto"/>
          <w:sz w:val="24"/>
          <w:highlight w:val="none"/>
        </w:rPr>
        <w:t>招标项目的潜在投标人应在政采云平台上获取（下载）招标文件</w:t>
      </w:r>
      <w:r>
        <w:rPr>
          <w:rFonts w:hint="eastAsia" w:asciiTheme="minorEastAsia" w:hAnsiTheme="minorEastAsia" w:eastAsiaTheme="minorEastAsia"/>
          <w:color w:val="auto"/>
          <w:sz w:val="24"/>
          <w:highlight w:val="none"/>
          <w:lang w:eastAsia="zh-CN"/>
        </w:rPr>
        <w:t>，并于</w:t>
      </w:r>
      <w:r>
        <w:rPr>
          <w:rFonts w:hint="eastAsia" w:asciiTheme="minorEastAsia" w:hAnsiTheme="minorEastAsia" w:eastAsiaTheme="minorEastAsia"/>
          <w:color w:val="auto"/>
          <w:sz w:val="24"/>
          <w:highlight w:val="none"/>
          <w:lang w:val="en-US" w:eastAsia="zh-CN"/>
        </w:rPr>
        <w:t>2025</w:t>
      </w:r>
      <w:r>
        <w:rPr>
          <w:rFonts w:hint="eastAsia" w:asciiTheme="minorEastAsia" w:hAnsiTheme="minorEastAsia" w:eastAsiaTheme="minorEastAsia"/>
          <w:color w:val="auto"/>
          <w:sz w:val="24"/>
          <w:highlight w:val="none"/>
          <w:lang w:eastAsia="zh-CN"/>
        </w:rPr>
        <w:t>年</w:t>
      </w:r>
      <w:r>
        <w:rPr>
          <w:rFonts w:hint="eastAsia" w:asciiTheme="minorEastAsia" w:hAnsiTheme="minorEastAsia" w:eastAsiaTheme="minorEastAsia"/>
          <w:color w:val="auto"/>
          <w:sz w:val="24"/>
          <w:highlight w:val="none"/>
          <w:lang w:val="en-US" w:eastAsia="zh-CN"/>
        </w:rPr>
        <w:t>07</w:t>
      </w:r>
      <w:r>
        <w:rPr>
          <w:rFonts w:hint="eastAsia" w:asciiTheme="minorEastAsia" w:hAnsiTheme="minorEastAsia" w:eastAsiaTheme="minorEastAsia"/>
          <w:color w:val="auto"/>
          <w:sz w:val="24"/>
          <w:highlight w:val="none"/>
          <w:lang w:eastAsia="zh-CN"/>
        </w:rPr>
        <w:t>月</w:t>
      </w:r>
      <w:r>
        <w:rPr>
          <w:rFonts w:hint="eastAsia" w:asciiTheme="minorEastAsia" w:hAnsiTheme="minorEastAsia" w:eastAsiaTheme="minorEastAsia"/>
          <w:color w:val="auto"/>
          <w:sz w:val="24"/>
          <w:highlight w:val="none"/>
          <w:lang w:val="en-US" w:eastAsia="zh-CN"/>
        </w:rPr>
        <w:t>21</w:t>
      </w:r>
      <w:r>
        <w:rPr>
          <w:rFonts w:hint="eastAsia" w:asciiTheme="minorEastAsia" w:hAnsiTheme="minorEastAsia" w:eastAsiaTheme="minorEastAsia"/>
          <w:color w:val="auto"/>
          <w:sz w:val="24"/>
          <w:highlight w:val="none"/>
          <w:lang w:eastAsia="zh-CN"/>
        </w:rPr>
        <w:t>日</w:t>
      </w:r>
      <w:r>
        <w:rPr>
          <w:rFonts w:hint="eastAsia" w:asciiTheme="minorEastAsia" w:hAnsiTheme="minorEastAsia" w:eastAsiaTheme="minorEastAsia"/>
          <w:color w:val="auto"/>
          <w:sz w:val="24"/>
          <w:highlight w:val="none"/>
          <w:lang w:val="en-US" w:eastAsia="zh-CN"/>
        </w:rPr>
        <w:t>09:00</w:t>
      </w:r>
      <w:r>
        <w:rPr>
          <w:rFonts w:hint="eastAsia" w:asciiTheme="minorEastAsia" w:hAnsiTheme="minorEastAsia" w:eastAsiaTheme="minorEastAsia"/>
          <w:bCs/>
          <w:color w:val="auto"/>
          <w:sz w:val="24"/>
          <w:highlight w:val="none"/>
        </w:rPr>
        <w:t>（北京时间）前</w:t>
      </w:r>
      <w:r>
        <w:rPr>
          <w:rFonts w:hint="eastAsia" w:asciiTheme="minorEastAsia" w:hAnsiTheme="minorEastAsia" w:eastAsiaTheme="minorEastAsia"/>
          <w:color w:val="auto"/>
          <w:sz w:val="24"/>
          <w:highlight w:val="none"/>
        </w:rPr>
        <w:t>递交（上传）投标文件</w:t>
      </w:r>
      <w:r>
        <w:rPr>
          <w:rFonts w:ascii="宋体" w:hAnsi="宋体" w:cs="宋体"/>
          <w:color w:val="auto"/>
          <w:sz w:val="24"/>
          <w:highlight w:val="none"/>
        </w:rPr>
        <w:t>。</w:t>
      </w:r>
    </w:p>
    <w:p w14:paraId="4F43B08B">
      <w:pPr>
        <w:pStyle w:val="17"/>
        <w:spacing w:line="360" w:lineRule="auto"/>
        <w:ind w:firstLine="0"/>
        <w:rPr>
          <w:rFonts w:hint="default" w:hAnsi="宋体" w:cs="宋体"/>
          <w:color w:val="auto"/>
          <w:spacing w:val="0"/>
          <w:sz w:val="24"/>
          <w:szCs w:val="22"/>
          <w:highlight w:val="none"/>
        </w:rPr>
      </w:pPr>
      <w:bookmarkStart w:id="1" w:name="_Toc35393790"/>
      <w:bookmarkStart w:id="2" w:name="_Toc35393621"/>
      <w:bookmarkStart w:id="3" w:name="_Toc28359079"/>
      <w:bookmarkStart w:id="4" w:name="_Toc28359002"/>
      <w:r>
        <w:rPr>
          <w:rFonts w:hAnsi="宋体" w:cs="宋体"/>
          <w:color w:val="auto"/>
          <w:spacing w:val="0"/>
          <w:sz w:val="24"/>
          <w:szCs w:val="22"/>
          <w:highlight w:val="none"/>
        </w:rPr>
        <w:t>一、项目基本情况</w:t>
      </w:r>
      <w:bookmarkEnd w:id="1"/>
      <w:bookmarkEnd w:id="2"/>
      <w:bookmarkEnd w:id="3"/>
      <w:bookmarkEnd w:id="4"/>
    </w:p>
    <w:p w14:paraId="79F75A58">
      <w:pPr>
        <w:pStyle w:val="37"/>
        <w:spacing w:before="0" w:beforeAutospacing="0" w:after="0" w:afterAutospacing="0" w:line="360" w:lineRule="auto"/>
        <w:ind w:firstLine="480" w:firstLineChars="200"/>
        <w:rPr>
          <w:rFonts w:hint="eastAsia" w:eastAsia="宋体" w:cs="宋体"/>
          <w:color w:val="auto"/>
          <w:kern w:val="2"/>
          <w:szCs w:val="22"/>
          <w:highlight w:val="none"/>
          <w:lang w:eastAsia="zh-CN"/>
        </w:rPr>
      </w:pPr>
      <w:r>
        <w:rPr>
          <w:rFonts w:cs="宋体"/>
          <w:color w:val="auto"/>
          <w:kern w:val="2"/>
          <w:szCs w:val="22"/>
          <w:highlight w:val="none"/>
        </w:rPr>
        <w:t>项目编号：</w:t>
      </w:r>
      <w:r>
        <w:rPr>
          <w:rFonts w:hint="eastAsia" w:cs="宋体"/>
          <w:color w:val="auto"/>
          <w:kern w:val="2"/>
          <w:szCs w:val="22"/>
          <w:highlight w:val="none"/>
          <w:lang w:eastAsia="zh-CN"/>
        </w:rPr>
        <w:t>HSZB-2025-713</w:t>
      </w:r>
    </w:p>
    <w:p w14:paraId="6CFF8008">
      <w:pPr>
        <w:pStyle w:val="37"/>
        <w:spacing w:before="0" w:beforeAutospacing="0" w:after="0" w:afterAutospacing="0" w:line="360" w:lineRule="auto"/>
        <w:ind w:firstLine="480" w:firstLineChars="200"/>
        <w:rPr>
          <w:rFonts w:hint="eastAsia" w:eastAsia="宋体" w:cs="宋体"/>
          <w:color w:val="auto"/>
          <w:kern w:val="2"/>
          <w:szCs w:val="22"/>
          <w:highlight w:val="none"/>
          <w:lang w:eastAsia="zh-CN"/>
        </w:rPr>
      </w:pPr>
      <w:r>
        <w:rPr>
          <w:rFonts w:cs="宋体"/>
          <w:color w:val="auto"/>
          <w:kern w:val="2"/>
          <w:szCs w:val="22"/>
          <w:highlight w:val="none"/>
        </w:rPr>
        <w:t>项目名称：</w:t>
      </w:r>
      <w:r>
        <w:rPr>
          <w:rFonts w:hint="eastAsia" w:cs="宋体"/>
          <w:color w:val="auto"/>
          <w:kern w:val="2"/>
          <w:szCs w:val="22"/>
          <w:highlight w:val="none"/>
          <w:lang w:eastAsia="zh-CN"/>
        </w:rPr>
        <w:t>中国美术学院教务处学分制教学改革管理平台（三期）建设服务项目</w:t>
      </w:r>
    </w:p>
    <w:p w14:paraId="7890B843">
      <w:pPr>
        <w:pStyle w:val="37"/>
        <w:spacing w:before="0" w:beforeAutospacing="0" w:after="0" w:afterAutospacing="0" w:line="360" w:lineRule="auto"/>
        <w:ind w:firstLine="480" w:firstLineChars="200"/>
        <w:rPr>
          <w:rFonts w:hint="default" w:cs="宋体"/>
          <w:color w:val="auto"/>
          <w:kern w:val="2"/>
          <w:szCs w:val="22"/>
          <w:highlight w:val="none"/>
        </w:rPr>
      </w:pPr>
      <w:r>
        <w:rPr>
          <w:rFonts w:cs="宋体"/>
          <w:color w:val="auto"/>
          <w:kern w:val="2"/>
          <w:szCs w:val="22"/>
          <w:highlight w:val="none"/>
        </w:rPr>
        <w:t>预算金额（元）：</w:t>
      </w:r>
      <w:r>
        <w:rPr>
          <w:rFonts w:hint="eastAsia" w:cs="宋体"/>
          <w:color w:val="auto"/>
          <w:kern w:val="2"/>
          <w:szCs w:val="22"/>
          <w:highlight w:val="none"/>
          <w:lang w:eastAsia="zh-CN"/>
        </w:rPr>
        <w:t>1450000</w:t>
      </w:r>
    </w:p>
    <w:p w14:paraId="58280F80">
      <w:pPr>
        <w:pStyle w:val="37"/>
        <w:spacing w:before="0" w:beforeAutospacing="0" w:after="0" w:afterAutospacing="0" w:line="360" w:lineRule="auto"/>
        <w:ind w:firstLine="480" w:firstLineChars="200"/>
        <w:rPr>
          <w:rFonts w:hint="default" w:cs="宋体"/>
          <w:color w:val="auto"/>
          <w:kern w:val="2"/>
          <w:szCs w:val="22"/>
          <w:highlight w:val="none"/>
        </w:rPr>
      </w:pPr>
      <w:r>
        <w:rPr>
          <w:rFonts w:cs="宋体"/>
          <w:color w:val="auto"/>
          <w:kern w:val="2"/>
          <w:szCs w:val="22"/>
          <w:highlight w:val="none"/>
        </w:rPr>
        <w:t>最高限价（元）：</w:t>
      </w:r>
      <w:r>
        <w:rPr>
          <w:rFonts w:hint="eastAsia" w:cs="宋体"/>
          <w:color w:val="auto"/>
          <w:kern w:val="2"/>
          <w:szCs w:val="22"/>
          <w:highlight w:val="none"/>
          <w:lang w:eastAsia="zh-CN"/>
        </w:rPr>
        <w:t>1450000</w:t>
      </w:r>
    </w:p>
    <w:p w14:paraId="79F6EAF0">
      <w:pPr>
        <w:pStyle w:val="37"/>
        <w:spacing w:before="0" w:beforeAutospacing="0" w:after="0" w:afterAutospacing="0" w:line="360" w:lineRule="auto"/>
        <w:ind w:firstLine="480" w:firstLineChars="200"/>
        <w:rPr>
          <w:rFonts w:hint="default" w:cs="宋体"/>
          <w:color w:val="auto"/>
          <w:kern w:val="2"/>
          <w:szCs w:val="22"/>
          <w:highlight w:val="none"/>
        </w:rPr>
      </w:pPr>
      <w:r>
        <w:rPr>
          <w:rFonts w:cs="宋体"/>
          <w:color w:val="auto"/>
          <w:kern w:val="2"/>
          <w:szCs w:val="22"/>
          <w:highlight w:val="none"/>
        </w:rPr>
        <w:t>采购需求：</w:t>
      </w:r>
    </w:p>
    <w:p w14:paraId="302ED89C">
      <w:pPr>
        <w:pStyle w:val="37"/>
        <w:spacing w:before="0" w:beforeAutospacing="0" w:after="0" w:afterAutospacing="0" w:line="360" w:lineRule="auto"/>
        <w:ind w:firstLine="480" w:firstLineChars="200"/>
        <w:rPr>
          <w:rFonts w:hint="eastAsia" w:eastAsia="宋体" w:cs="宋体"/>
          <w:color w:val="auto"/>
          <w:kern w:val="2"/>
          <w:szCs w:val="22"/>
          <w:highlight w:val="none"/>
          <w:lang w:eastAsia="zh-CN"/>
        </w:rPr>
      </w:pPr>
      <w:r>
        <w:rPr>
          <w:rFonts w:cs="宋体"/>
          <w:color w:val="auto"/>
          <w:kern w:val="2"/>
          <w:szCs w:val="22"/>
          <w:highlight w:val="none"/>
        </w:rPr>
        <w:t>标项名称：</w:t>
      </w:r>
      <w:r>
        <w:rPr>
          <w:rFonts w:hint="eastAsia" w:cs="宋体"/>
          <w:color w:val="auto"/>
          <w:kern w:val="2"/>
          <w:szCs w:val="22"/>
          <w:highlight w:val="none"/>
          <w:lang w:eastAsia="zh-CN"/>
        </w:rPr>
        <w:t>中国美术学院教务处学分制教学改革管理平台（三期）建设服务项目</w:t>
      </w:r>
    </w:p>
    <w:p w14:paraId="683AA796">
      <w:pPr>
        <w:pStyle w:val="37"/>
        <w:spacing w:before="0" w:beforeAutospacing="0" w:after="0" w:afterAutospacing="0" w:line="360" w:lineRule="auto"/>
        <w:ind w:firstLine="480" w:firstLineChars="200"/>
        <w:rPr>
          <w:rFonts w:hint="default" w:cs="宋体"/>
          <w:color w:val="auto"/>
          <w:kern w:val="2"/>
          <w:szCs w:val="22"/>
          <w:highlight w:val="none"/>
        </w:rPr>
      </w:pPr>
      <w:r>
        <w:rPr>
          <w:rFonts w:cs="宋体"/>
          <w:color w:val="auto"/>
          <w:kern w:val="2"/>
          <w:szCs w:val="22"/>
          <w:highlight w:val="none"/>
        </w:rPr>
        <w:t>数量：1</w:t>
      </w:r>
    </w:p>
    <w:p w14:paraId="7250CB08">
      <w:pPr>
        <w:pStyle w:val="37"/>
        <w:spacing w:before="0" w:beforeAutospacing="0" w:after="0" w:afterAutospacing="0" w:line="360" w:lineRule="auto"/>
        <w:ind w:firstLine="480" w:firstLineChars="200"/>
        <w:rPr>
          <w:rFonts w:hint="default" w:cs="宋体"/>
          <w:color w:val="auto"/>
          <w:kern w:val="2"/>
          <w:szCs w:val="22"/>
          <w:highlight w:val="none"/>
        </w:rPr>
      </w:pPr>
      <w:r>
        <w:rPr>
          <w:rFonts w:cs="宋体"/>
          <w:color w:val="auto"/>
          <w:kern w:val="2"/>
          <w:szCs w:val="22"/>
          <w:highlight w:val="none"/>
        </w:rPr>
        <w:t>预算金额（元）：</w:t>
      </w:r>
      <w:r>
        <w:rPr>
          <w:rFonts w:hint="eastAsia" w:cs="宋体"/>
          <w:color w:val="auto"/>
          <w:kern w:val="2"/>
          <w:szCs w:val="22"/>
          <w:highlight w:val="none"/>
          <w:lang w:eastAsia="zh-CN"/>
        </w:rPr>
        <w:t>1450000</w:t>
      </w:r>
    </w:p>
    <w:p w14:paraId="14D84F36">
      <w:pPr>
        <w:pStyle w:val="37"/>
        <w:spacing w:before="0" w:beforeAutospacing="0" w:after="0" w:afterAutospacing="0" w:line="360" w:lineRule="auto"/>
        <w:ind w:firstLine="480" w:firstLineChars="200"/>
        <w:rPr>
          <w:rFonts w:hint="default" w:cs="宋体"/>
          <w:color w:val="auto"/>
          <w:kern w:val="2"/>
          <w:szCs w:val="22"/>
          <w:highlight w:val="none"/>
        </w:rPr>
      </w:pPr>
      <w:r>
        <w:rPr>
          <w:rFonts w:cs="宋体"/>
          <w:color w:val="auto"/>
          <w:kern w:val="2"/>
          <w:szCs w:val="22"/>
          <w:highlight w:val="none"/>
        </w:rPr>
        <w:t>简要规格描述或项目基本概况介绍、用途：</w:t>
      </w:r>
      <w:r>
        <w:rPr>
          <w:rFonts w:hint="eastAsia" w:cs="宋体"/>
          <w:color w:val="auto"/>
          <w:kern w:val="2"/>
          <w:szCs w:val="22"/>
          <w:highlight w:val="none"/>
          <w:lang w:eastAsia="zh-CN"/>
        </w:rPr>
        <w:t>中国美术学院教务处学分制教学改革管理平台（三期）建设服务项目</w:t>
      </w:r>
      <w:r>
        <w:rPr>
          <w:rFonts w:cs="宋体"/>
          <w:color w:val="auto"/>
          <w:kern w:val="2"/>
          <w:szCs w:val="22"/>
          <w:highlight w:val="none"/>
        </w:rPr>
        <w:t>，详见第四</w:t>
      </w:r>
      <w:r>
        <w:rPr>
          <w:rFonts w:hint="eastAsia" w:cs="宋体"/>
          <w:color w:val="auto"/>
          <w:kern w:val="2"/>
          <w:szCs w:val="22"/>
          <w:highlight w:val="none"/>
          <w:lang w:val="en-US" w:eastAsia="zh-CN"/>
        </w:rPr>
        <w:t>部分</w:t>
      </w:r>
      <w:r>
        <w:rPr>
          <w:rFonts w:cs="宋体"/>
          <w:color w:val="auto"/>
          <w:kern w:val="2"/>
          <w:szCs w:val="22"/>
          <w:highlight w:val="none"/>
        </w:rPr>
        <w:t>采购内容及需求。</w:t>
      </w:r>
    </w:p>
    <w:p w14:paraId="682BA3C6">
      <w:pPr>
        <w:pStyle w:val="37"/>
        <w:spacing w:before="0" w:beforeAutospacing="0" w:after="0" w:afterAutospacing="0" w:line="360" w:lineRule="auto"/>
        <w:ind w:firstLine="482" w:firstLineChars="200"/>
        <w:rPr>
          <w:rFonts w:hint="eastAsia" w:eastAsia="宋体" w:cs="宋体"/>
          <w:b/>
          <w:bCs/>
          <w:color w:val="auto"/>
          <w:szCs w:val="21"/>
          <w:highlight w:val="none"/>
          <w:lang w:val="en-US" w:eastAsia="zh-CN"/>
        </w:rPr>
      </w:pPr>
      <w:r>
        <w:rPr>
          <w:rFonts w:cs="宋体"/>
          <w:b/>
          <w:bCs/>
          <w:color w:val="auto"/>
          <w:kern w:val="2"/>
          <w:szCs w:val="22"/>
          <w:highlight w:val="none"/>
        </w:rPr>
        <w:t>备注：</w:t>
      </w:r>
      <w:r>
        <w:rPr>
          <w:rFonts w:hint="eastAsia" w:cs="宋体"/>
          <w:b/>
          <w:bCs/>
          <w:color w:val="auto"/>
          <w:kern w:val="2"/>
          <w:szCs w:val="22"/>
          <w:highlight w:val="none"/>
          <w:lang w:val="en-US" w:eastAsia="zh-CN"/>
        </w:rPr>
        <w:t>/</w:t>
      </w:r>
    </w:p>
    <w:p w14:paraId="6116D296">
      <w:pPr>
        <w:pStyle w:val="37"/>
        <w:spacing w:before="0" w:beforeAutospacing="0" w:after="0" w:afterAutospacing="0" w:line="360" w:lineRule="auto"/>
        <w:ind w:firstLine="480" w:firstLineChars="200"/>
        <w:rPr>
          <w:rFonts w:hint="default" w:cs="宋体"/>
          <w:color w:val="auto"/>
          <w:kern w:val="2"/>
          <w:szCs w:val="22"/>
          <w:highlight w:val="none"/>
        </w:rPr>
      </w:pPr>
      <w:r>
        <w:rPr>
          <w:rFonts w:cs="宋体"/>
          <w:color w:val="auto"/>
          <w:kern w:val="2"/>
          <w:szCs w:val="22"/>
          <w:highlight w:val="none"/>
        </w:rPr>
        <w:t>合同履约期限：</w:t>
      </w:r>
      <w:r>
        <w:rPr>
          <w:rFonts w:hint="eastAsia" w:cs="宋体"/>
          <w:color w:val="auto"/>
          <w:kern w:val="2"/>
          <w:szCs w:val="22"/>
          <w:highlight w:val="none"/>
        </w:rPr>
        <w:t>自合同签订之日起，</w:t>
      </w:r>
      <w:r>
        <w:rPr>
          <w:rFonts w:hint="eastAsia" w:cs="宋体"/>
          <w:color w:val="auto"/>
          <w:kern w:val="2"/>
          <w:szCs w:val="22"/>
          <w:highlight w:val="none"/>
          <w:lang w:val="en-US" w:eastAsia="zh-CN"/>
        </w:rPr>
        <w:t>30</w:t>
      </w:r>
      <w:r>
        <w:rPr>
          <w:rFonts w:hint="eastAsia" w:cs="宋体"/>
          <w:color w:val="auto"/>
          <w:kern w:val="2"/>
          <w:szCs w:val="22"/>
          <w:highlight w:val="none"/>
        </w:rPr>
        <w:t>个日历日内交付完成且验收通过。</w:t>
      </w:r>
    </w:p>
    <w:p w14:paraId="207AF372">
      <w:pPr>
        <w:pStyle w:val="37"/>
        <w:spacing w:before="0" w:beforeAutospacing="0" w:after="0" w:afterAutospacing="0" w:line="360" w:lineRule="auto"/>
        <w:ind w:firstLine="482" w:firstLineChars="200"/>
        <w:rPr>
          <w:rFonts w:hint="default" w:cs="宋体"/>
          <w:b/>
          <w:bCs/>
          <w:color w:val="auto"/>
          <w:kern w:val="2"/>
          <w:szCs w:val="22"/>
          <w:highlight w:val="none"/>
        </w:rPr>
      </w:pPr>
      <w:r>
        <w:rPr>
          <w:rFonts w:cs="宋体"/>
          <w:b/>
          <w:bCs/>
          <w:color w:val="auto"/>
          <w:kern w:val="2"/>
          <w:szCs w:val="22"/>
          <w:highlight w:val="none"/>
        </w:rPr>
        <w:t>本项目（是）接受联合体投标。</w:t>
      </w:r>
    </w:p>
    <w:p w14:paraId="4006DB4A">
      <w:pPr>
        <w:pStyle w:val="17"/>
        <w:spacing w:line="360" w:lineRule="auto"/>
        <w:ind w:firstLine="0"/>
        <w:rPr>
          <w:rFonts w:hint="default" w:hAnsi="宋体" w:cs="宋体"/>
          <w:color w:val="auto"/>
          <w:sz w:val="24"/>
          <w:szCs w:val="24"/>
          <w:highlight w:val="none"/>
        </w:rPr>
      </w:pPr>
      <w:r>
        <w:rPr>
          <w:rFonts w:hAnsi="宋体" w:cs="宋体"/>
          <w:color w:val="auto"/>
          <w:sz w:val="24"/>
          <w:szCs w:val="24"/>
          <w:highlight w:val="none"/>
        </w:rPr>
        <w:t>二、申请人的资格要求：</w:t>
      </w:r>
    </w:p>
    <w:p w14:paraId="3926AE59">
      <w:pPr>
        <w:spacing w:line="360" w:lineRule="auto"/>
        <w:ind w:firstLine="482" w:firstLineChars="200"/>
        <w:rPr>
          <w:rFonts w:hint="default" w:ascii="宋体" w:hAnsi="宋体" w:cs="宋体"/>
          <w:b/>
          <w:bCs/>
          <w:color w:val="auto"/>
          <w:sz w:val="24"/>
          <w:highlight w:val="none"/>
        </w:rPr>
      </w:pPr>
      <w:r>
        <w:rPr>
          <w:rFonts w:ascii="宋体" w:hAnsi="宋体" w:cs="宋体"/>
          <w:b/>
          <w:bCs/>
          <w:color w:val="auto"/>
          <w:sz w:val="24"/>
          <w:highlight w:val="none"/>
        </w:rPr>
        <w:t>1.满足《中华人民共和国政府采购法》第二十二条规定；未被“信用中国”（www.creditchina.gov.cn)、中国政府采购网（www.ccgp.gov.cn）列入失信被执行人、重大税收违法失信主体、政府采购严重违法失信行为记录名单。</w:t>
      </w:r>
    </w:p>
    <w:p w14:paraId="1E7C2E49">
      <w:pPr>
        <w:spacing w:line="360" w:lineRule="auto"/>
        <w:ind w:firstLine="482" w:firstLineChars="200"/>
        <w:rPr>
          <w:rFonts w:ascii="宋体" w:hAnsi="宋体" w:cs="宋体"/>
          <w:b/>
          <w:bCs/>
          <w:color w:val="auto"/>
          <w:sz w:val="24"/>
          <w:highlight w:val="none"/>
        </w:rPr>
      </w:pPr>
      <w:r>
        <w:rPr>
          <w:rFonts w:ascii="宋体" w:hAnsi="宋体" w:cs="宋体"/>
          <w:b/>
          <w:bCs/>
          <w:color w:val="auto"/>
          <w:sz w:val="24"/>
          <w:highlight w:val="none"/>
        </w:rPr>
        <w:t>2</w:t>
      </w:r>
      <w:r>
        <w:rPr>
          <w:rFonts w:hint="eastAsia" w:ascii="宋体" w:hAnsi="宋体" w:cs="宋体"/>
          <w:b/>
          <w:bCs/>
          <w:color w:val="auto"/>
          <w:sz w:val="24"/>
          <w:highlight w:val="none"/>
        </w:rPr>
        <w:t>. 以联合体形式投标的，提供联合协议(本项目不接受联合体投标或者投标人不以联合体形式投标的，则不需要提供) ；</w:t>
      </w:r>
    </w:p>
    <w:p w14:paraId="446DEBAD">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lang w:val="en-US" w:eastAsia="zh-CN"/>
        </w:rPr>
        <w:t>3</w:t>
      </w:r>
      <w:r>
        <w:rPr>
          <w:rFonts w:ascii="宋体" w:hAnsi="宋体" w:cs="宋体"/>
          <w:b/>
          <w:bCs/>
          <w:color w:val="auto"/>
          <w:sz w:val="24"/>
          <w:highlight w:val="none"/>
        </w:rPr>
        <w:t>.落实政府采购政策需满足的资格要求：</w:t>
      </w:r>
    </w:p>
    <w:p w14:paraId="01C78C48">
      <w:pPr>
        <w:tabs>
          <w:tab w:val="left" w:pos="220"/>
        </w:tabs>
        <w:spacing w:line="360" w:lineRule="auto"/>
        <w:ind w:left="420" w:leftChars="200" w:firstLine="60" w:firstLineChars="25"/>
        <w:rPr>
          <w:rFonts w:hint="eastAsia" w:ascii="宋体" w:hAnsi="宋体" w:cs="宋体"/>
          <w:b/>
          <w:bCs/>
          <w:color w:val="auto"/>
          <w:sz w:val="24"/>
          <w:highlight w:val="none"/>
        </w:rPr>
      </w:pPr>
      <w:sdt>
        <w:sdtPr>
          <w:rPr>
            <w:rFonts w:hint="eastAsia" w:ascii="宋体" w:hAnsi="宋体" w:cs="宋体"/>
            <w:color w:val="auto"/>
            <w:kern w:val="0"/>
            <w:sz w:val="24"/>
            <w:highlight w:val="none"/>
          </w:rPr>
          <w:id w:val="147453243"/>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宋体" w:cs="宋体"/>
              <w:color w:val="auto"/>
              <w:kern w:val="0"/>
              <w:sz w:val="24"/>
              <w:highlight w:val="none"/>
              <w:lang w:val="en-US" w:eastAsia="zh-CN" w:bidi="ar-SA"/>
            </w:rPr>
            <w:t>þ</w:t>
          </w:r>
        </w:sdtContent>
      </w:sdt>
      <w:r>
        <w:rPr>
          <w:rFonts w:hint="eastAsia" w:ascii="宋体" w:hAnsi="宋体" w:cs="宋体"/>
          <w:b/>
          <w:bCs/>
          <w:color w:val="auto"/>
          <w:sz w:val="24"/>
          <w:highlight w:val="none"/>
        </w:rPr>
        <w:t>无</w:t>
      </w:r>
    </w:p>
    <w:p w14:paraId="6175ACD5">
      <w:pPr>
        <w:tabs>
          <w:tab w:val="left" w:pos="220"/>
        </w:tabs>
        <w:spacing w:line="360" w:lineRule="auto"/>
        <w:ind w:left="420" w:leftChars="200" w:firstLine="60" w:firstLineChars="25"/>
        <w:rPr>
          <w:rFonts w:hint="default" w:ascii="宋体" w:hAnsi="宋体" w:cs="宋体"/>
          <w:b/>
          <w:bCs/>
          <w:color w:val="auto"/>
          <w:sz w:val="24"/>
          <w:highlight w:val="none"/>
          <w:lang w:val="en-US" w:eastAsia="zh-CN"/>
        </w:rPr>
      </w:pPr>
      <w:sdt>
        <w:sdtPr>
          <w:rPr>
            <w:rFonts w:hint="eastAsia" w:ascii="宋体" w:hAnsi="宋体" w:cs="宋体"/>
            <w:b/>
            <w:bCs/>
            <w:color w:val="auto"/>
            <w:kern w:val="0"/>
            <w:sz w:val="24"/>
            <w:highlight w:val="none"/>
          </w:rPr>
          <w:id w:val="147480499"/>
          <w14:checkbox>
            <w14:checked w14:val="0"/>
            <w14:checkedState w14:val="00FE" w14:font="Wingdings"/>
            <w14:uncheckedState w14:val="2610" w14:font="MS Gothic"/>
          </w14:checkbox>
        </w:sdtPr>
        <w:sdtEndPr>
          <w:rPr>
            <w:rFonts w:hint="eastAsia" w:ascii="宋体" w:hAnsi="宋体" w:cs="宋体"/>
            <w:b/>
            <w:bCs/>
            <w:color w:val="auto"/>
            <w:kern w:val="0"/>
            <w:sz w:val="24"/>
            <w:highlight w:val="none"/>
          </w:rPr>
        </w:sdtEndPr>
        <w:sdtContent>
          <w:r>
            <w:rPr>
              <w:rFonts w:hint="eastAsia" w:ascii="宋体" w:hAnsi="宋体" w:cs="宋体"/>
              <w:b/>
              <w:bCs/>
              <w:color w:val="auto"/>
              <w:kern w:val="0"/>
              <w:sz w:val="24"/>
              <w:highlight w:val="none"/>
            </w:rPr>
            <w:t>☐</w:t>
          </w:r>
        </w:sdtContent>
      </w:sdt>
      <w:r>
        <w:rPr>
          <w:rFonts w:hint="eastAsia" w:ascii="宋体" w:hAnsi="宋体" w:cs="宋体"/>
          <w:b/>
          <w:bCs/>
          <w:color w:val="auto"/>
          <w:kern w:val="0"/>
          <w:sz w:val="24"/>
          <w:highlight w:val="none"/>
          <w:lang w:val="en-US" w:eastAsia="zh-CN"/>
        </w:rPr>
        <w:t>服务</w:t>
      </w:r>
      <w:r>
        <w:rPr>
          <w:rFonts w:hint="eastAsia" w:ascii="宋体" w:hAnsi="宋体" w:cs="宋体"/>
          <w:b/>
          <w:bCs/>
          <w:color w:val="auto"/>
          <w:sz w:val="24"/>
          <w:highlight w:val="none"/>
          <w:lang w:val="en-US" w:eastAsia="zh-CN"/>
        </w:rPr>
        <w:t>全部由符合政策要求的中小企业承接，提供中小企业声明函</w:t>
      </w:r>
    </w:p>
    <w:p w14:paraId="12E1C30C">
      <w:pPr>
        <w:numPr>
          <w:ilvl w:val="0"/>
          <w:numId w:val="3"/>
        </w:numPr>
        <w:spacing w:line="360" w:lineRule="auto"/>
        <w:ind w:firstLine="482" w:firstLineChars="200"/>
        <w:rPr>
          <w:rFonts w:ascii="宋体" w:hAnsi="宋体" w:cs="宋体"/>
          <w:b/>
          <w:bCs/>
          <w:color w:val="auto"/>
          <w:sz w:val="24"/>
          <w:highlight w:val="none"/>
        </w:rPr>
      </w:pPr>
      <w:r>
        <w:rPr>
          <w:rFonts w:ascii="宋体" w:hAnsi="宋体" w:cs="宋体"/>
          <w:b/>
          <w:bCs/>
          <w:color w:val="auto"/>
          <w:sz w:val="24"/>
          <w:highlight w:val="none"/>
        </w:rPr>
        <w:t>本项目的特定资格要求：</w:t>
      </w:r>
    </w:p>
    <w:p w14:paraId="5811AA34">
      <w:pPr>
        <w:snapToGrid w:val="0"/>
        <w:spacing w:line="360" w:lineRule="auto"/>
        <w:ind w:firstLine="482" w:firstLineChars="200"/>
        <w:rPr>
          <w:rFonts w:hint="eastAsia" w:ascii="宋体" w:hAnsi="宋体" w:eastAsia="宋体" w:cs="宋体"/>
          <w:b/>
          <w:bCs/>
          <w:color w:val="auto"/>
          <w:sz w:val="24"/>
          <w:highlight w:val="none"/>
          <w:lang w:val="en-US" w:eastAsia="zh-CN"/>
        </w:rPr>
      </w:pPr>
      <w:sdt>
        <w:sdtPr>
          <w:rPr>
            <w:rFonts w:hint="eastAsia" w:ascii="宋体" w:hAnsi="宋体" w:cs="宋体"/>
            <w:b/>
            <w:bCs/>
            <w:color w:val="auto"/>
            <w:kern w:val="0"/>
            <w:sz w:val="24"/>
            <w:highlight w:val="none"/>
          </w:rPr>
          <w:id w:val="147466463"/>
          <w14:checkbox>
            <w14:checked w14:val="1"/>
            <w14:checkedState w14:val="00FE" w14:font="Wingdings"/>
            <w14:uncheckedState w14:val="2610" w14:font="MS Gothic"/>
          </w14:checkbox>
        </w:sdtPr>
        <w:sdtEndPr>
          <w:rPr>
            <w:rFonts w:hint="eastAsia" w:ascii="宋体" w:hAnsi="宋体" w:cs="宋体"/>
            <w:b/>
            <w:bCs/>
            <w:color w:val="auto"/>
            <w:kern w:val="0"/>
            <w:sz w:val="24"/>
            <w:highlight w:val="none"/>
          </w:rPr>
        </w:sdtEndPr>
        <w:sdtContent>
          <w:r>
            <w:rPr>
              <w:rFonts w:hint="eastAsia" w:ascii="Wingdings" w:hAnsi="Wingdings" w:eastAsia="MS Gothic" w:cs="宋体"/>
              <w:b/>
              <w:bCs/>
              <w:color w:val="auto"/>
              <w:kern w:val="0"/>
              <w:sz w:val="24"/>
              <w:highlight w:val="none"/>
              <w:lang w:val="en-US" w:eastAsia="zh-CN" w:bidi="ar-SA"/>
            </w:rPr>
            <w:t>þ</w:t>
          </w:r>
        </w:sdtContent>
      </w:sdt>
      <w:r>
        <w:rPr>
          <w:rFonts w:hint="eastAsia" w:ascii="宋体" w:hAnsi="宋体" w:cs="宋体"/>
          <w:b/>
          <w:bCs/>
          <w:color w:val="auto"/>
          <w:kern w:val="0"/>
          <w:sz w:val="24"/>
          <w:highlight w:val="none"/>
          <w:lang w:val="en-US" w:eastAsia="zh-CN"/>
        </w:rPr>
        <w:t>无。</w:t>
      </w:r>
    </w:p>
    <w:p w14:paraId="5CD50B9A">
      <w:pPr>
        <w:numPr>
          <w:ilvl w:val="0"/>
          <w:numId w:val="0"/>
        </w:numPr>
        <w:tabs>
          <w:tab w:val="left" w:pos="420"/>
        </w:tabs>
        <w:spacing w:line="360" w:lineRule="auto"/>
        <w:ind w:left="0" w:leftChars="0" w:firstLine="422" w:firstLineChars="175"/>
        <w:rPr>
          <w:rFonts w:hint="eastAsia" w:ascii="宋体" w:hAnsi="宋体" w:cs="宋体"/>
          <w:b/>
          <w:bCs/>
          <w:color w:val="auto"/>
          <w:sz w:val="24"/>
          <w:highlight w:val="none"/>
        </w:rPr>
      </w:pPr>
      <w:sdt>
        <w:sdtPr>
          <w:rPr>
            <w:rFonts w:hint="eastAsia" w:ascii="宋体" w:hAnsi="宋体" w:cs="宋体"/>
            <w:b/>
            <w:bCs/>
            <w:color w:val="auto"/>
            <w:kern w:val="0"/>
            <w:sz w:val="24"/>
            <w:highlight w:val="none"/>
          </w:rPr>
          <w:id w:val="-1607112291"/>
          <w14:checkbox>
            <w14:checked w14:val="0"/>
            <w14:checkedState w14:val="00FE" w14:font="Wingdings"/>
            <w14:uncheckedState w14:val="2610" w14:font="MS Gothic"/>
          </w14:checkbox>
        </w:sdtPr>
        <w:sdtEndPr>
          <w:rPr>
            <w:rFonts w:hint="eastAsia" w:ascii="宋体" w:hAnsi="宋体" w:cs="宋体"/>
            <w:b/>
            <w:bCs/>
            <w:color w:val="auto"/>
            <w:kern w:val="0"/>
            <w:sz w:val="24"/>
            <w:highlight w:val="none"/>
          </w:rPr>
        </w:sdtEndPr>
        <w:sdtContent>
          <w:r>
            <w:rPr>
              <w:rFonts w:hint="eastAsia" w:ascii="MS Gothic" w:hAnsi="MS Gothic" w:eastAsia="MS Gothic" w:cs="宋体"/>
              <w:b/>
              <w:bCs/>
              <w:color w:val="auto"/>
              <w:kern w:val="0"/>
              <w:sz w:val="24"/>
              <w:highlight w:val="none"/>
            </w:rPr>
            <w:t>☐</w:t>
          </w:r>
        </w:sdtContent>
      </w:sdt>
      <w:r>
        <w:rPr>
          <w:rFonts w:hint="eastAsia" w:ascii="宋体" w:hAnsi="宋体" w:cs="宋体"/>
          <w:b/>
          <w:bCs/>
          <w:color w:val="auto"/>
          <w:sz w:val="24"/>
          <w:highlight w:val="none"/>
        </w:rPr>
        <w:t>有特定资格要求：</w:t>
      </w:r>
    </w:p>
    <w:p w14:paraId="1F6D34D1">
      <w:pPr>
        <w:pStyle w:val="5"/>
        <w:spacing w:before="0" w:after="0" w:line="360" w:lineRule="auto"/>
        <w:ind w:firstLine="482" w:firstLineChars="200"/>
        <w:rPr>
          <w:rFonts w:hint="default" w:ascii="宋体" w:hAnsi="宋体" w:eastAsia="宋体" w:cs="宋体"/>
          <w:b/>
          <w:bCs/>
          <w:color w:val="auto"/>
          <w:sz w:val="24"/>
          <w:szCs w:val="24"/>
          <w:highlight w:val="none"/>
          <w:lang w:val="en-US" w:eastAsia="zh-CN"/>
        </w:rPr>
      </w:pPr>
      <w:r>
        <w:rPr>
          <w:rFonts w:hint="default" w:ascii="宋体" w:hAnsi="宋体" w:eastAsia="宋体" w:cs="宋体"/>
          <w:b/>
          <w:bCs/>
          <w:color w:val="auto"/>
          <w:sz w:val="24"/>
          <w:szCs w:val="24"/>
          <w:highlight w:val="none"/>
          <w:lang w:val="en-US" w:eastAsia="zh-CN"/>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579458C">
      <w:pPr>
        <w:pStyle w:val="5"/>
        <w:spacing w:before="0" w:after="0" w:line="360" w:lineRule="auto"/>
        <w:rPr>
          <w:rFonts w:hint="default" w:ascii="宋体" w:hAnsi="宋体" w:eastAsia="宋体" w:cs="宋体"/>
          <w:b w:val="0"/>
          <w:color w:val="auto"/>
          <w:sz w:val="24"/>
          <w:szCs w:val="24"/>
          <w:highlight w:val="none"/>
        </w:rPr>
      </w:pPr>
      <w:bookmarkStart w:id="5" w:name="_Toc35393623"/>
      <w:bookmarkStart w:id="6" w:name="_Toc35393792"/>
      <w:r>
        <w:rPr>
          <w:rFonts w:ascii="宋体" w:hAnsi="宋体" w:eastAsia="宋体" w:cs="宋体"/>
          <w:b w:val="0"/>
          <w:color w:val="auto"/>
          <w:sz w:val="24"/>
          <w:szCs w:val="24"/>
          <w:highlight w:val="none"/>
        </w:rPr>
        <w:t>三、获取（下载）招标文件</w:t>
      </w:r>
      <w:bookmarkEnd w:id="5"/>
      <w:bookmarkEnd w:id="6"/>
    </w:p>
    <w:p w14:paraId="57E0DCB6">
      <w:pPr>
        <w:spacing w:line="360" w:lineRule="auto"/>
        <w:ind w:firstLine="540"/>
        <w:rPr>
          <w:rFonts w:hint="default" w:ascii="宋体" w:hAnsi="宋体" w:cs="宋体"/>
          <w:color w:val="auto"/>
          <w:sz w:val="24"/>
          <w:highlight w:val="none"/>
        </w:rPr>
      </w:pPr>
      <w:r>
        <w:rPr>
          <w:rFonts w:ascii="宋体" w:hAnsi="宋体" w:cs="宋体"/>
          <w:color w:val="auto"/>
          <w:sz w:val="24"/>
          <w:highlight w:val="none"/>
        </w:rPr>
        <w:t>1.时间：/至202</w:t>
      </w:r>
      <w:r>
        <w:rPr>
          <w:rFonts w:hint="eastAsia" w:ascii="宋体" w:hAnsi="宋体" w:cs="宋体"/>
          <w:color w:val="auto"/>
          <w:sz w:val="24"/>
          <w:highlight w:val="none"/>
          <w:lang w:val="en-US" w:eastAsia="zh-CN"/>
        </w:rPr>
        <w:t>5</w:t>
      </w:r>
      <w:r>
        <w:rPr>
          <w:rFonts w:ascii="宋体" w:hAnsi="宋体" w:cs="宋体"/>
          <w:color w:val="auto"/>
          <w:sz w:val="24"/>
          <w:highlight w:val="none"/>
        </w:rPr>
        <w:t>年</w:t>
      </w:r>
      <w:r>
        <w:rPr>
          <w:rFonts w:hint="eastAsia" w:ascii="宋体" w:hAnsi="宋体" w:cs="宋体"/>
          <w:color w:val="auto"/>
          <w:sz w:val="24"/>
          <w:highlight w:val="none"/>
          <w:lang w:val="en-US" w:eastAsia="zh-CN"/>
        </w:rPr>
        <w:t>07</w:t>
      </w:r>
      <w:r>
        <w:rPr>
          <w:rFonts w:ascii="宋体" w:hAnsi="宋体" w:cs="宋体"/>
          <w:color w:val="auto"/>
          <w:sz w:val="24"/>
          <w:highlight w:val="none"/>
        </w:rPr>
        <w:t>月</w:t>
      </w:r>
      <w:r>
        <w:rPr>
          <w:rFonts w:hint="eastAsia" w:ascii="宋体" w:hAnsi="宋体" w:cs="宋体"/>
          <w:color w:val="auto"/>
          <w:sz w:val="24"/>
          <w:highlight w:val="none"/>
          <w:lang w:val="en-US" w:eastAsia="zh-CN"/>
        </w:rPr>
        <w:t>21</w:t>
      </w:r>
      <w:r>
        <w:rPr>
          <w:rFonts w:ascii="宋体" w:hAnsi="宋体" w:cs="宋体"/>
          <w:color w:val="auto"/>
          <w:sz w:val="24"/>
          <w:highlight w:val="none"/>
        </w:rPr>
        <w:t>日，每天上午00:00至12:00，下午12:00至23:59（北京时间，线上获取法定节假日均可，线下获取文件法定节假日除外）。</w:t>
      </w:r>
    </w:p>
    <w:p w14:paraId="516E9AE1">
      <w:pPr>
        <w:spacing w:line="360" w:lineRule="auto"/>
        <w:ind w:firstLine="540"/>
        <w:rPr>
          <w:rFonts w:hint="default" w:ascii="宋体" w:hAnsi="宋体" w:cs="宋体"/>
          <w:color w:val="auto"/>
          <w:sz w:val="24"/>
          <w:highlight w:val="none"/>
        </w:rPr>
      </w:pPr>
      <w:r>
        <w:rPr>
          <w:rFonts w:ascii="宋体" w:hAnsi="宋体" w:cs="宋体"/>
          <w:color w:val="auto"/>
          <w:sz w:val="24"/>
          <w:highlight w:val="none"/>
        </w:rPr>
        <w:t>2.地点（网址）：政采云平台线上获取</w:t>
      </w:r>
    </w:p>
    <w:p w14:paraId="1C2A9D6A">
      <w:pPr>
        <w:spacing w:line="360" w:lineRule="auto"/>
        <w:ind w:firstLine="540"/>
        <w:rPr>
          <w:rFonts w:hint="default" w:ascii="宋体" w:hAnsi="宋体" w:cs="宋体"/>
          <w:color w:val="auto"/>
          <w:sz w:val="24"/>
          <w:highlight w:val="none"/>
        </w:rPr>
      </w:pPr>
      <w:r>
        <w:rPr>
          <w:rFonts w:ascii="宋体" w:hAnsi="宋体" w:cs="宋体"/>
          <w:color w:val="auto"/>
          <w:sz w:val="24"/>
          <w:highlight w:val="none"/>
        </w:rPr>
        <w:t>3.方式：供应商登录政采云平台https://www.zcygov.cn/在线申请获取采购文件（进入“项目采购”应用，在获取采购文件菜单中选择项目，申请获取采购文件）。</w:t>
      </w:r>
    </w:p>
    <w:p w14:paraId="65B26F13">
      <w:pPr>
        <w:spacing w:line="360" w:lineRule="auto"/>
        <w:ind w:firstLine="540"/>
        <w:rPr>
          <w:rFonts w:hint="default" w:ascii="宋体" w:hAnsi="宋体" w:cs="宋体"/>
          <w:color w:val="auto"/>
          <w:sz w:val="24"/>
          <w:highlight w:val="none"/>
        </w:rPr>
      </w:pPr>
      <w:r>
        <w:rPr>
          <w:rFonts w:ascii="宋体" w:hAnsi="宋体" w:cs="宋体"/>
          <w:color w:val="auto"/>
          <w:sz w:val="24"/>
          <w:highlight w:val="none"/>
        </w:rPr>
        <w:t>4.售价（元）：0</w:t>
      </w:r>
    </w:p>
    <w:p w14:paraId="390E61BD">
      <w:pPr>
        <w:pStyle w:val="5"/>
        <w:spacing w:before="0" w:after="0" w:line="360" w:lineRule="auto"/>
        <w:rPr>
          <w:rFonts w:hint="default" w:ascii="宋体" w:hAnsi="宋体" w:eastAsia="宋体" w:cs="宋体"/>
          <w:b/>
          <w:bCs w:val="0"/>
          <w:color w:val="auto"/>
          <w:sz w:val="24"/>
          <w:szCs w:val="24"/>
          <w:highlight w:val="none"/>
        </w:rPr>
      </w:pPr>
      <w:bookmarkStart w:id="7" w:name="_Toc28359005"/>
      <w:bookmarkStart w:id="8" w:name="_Toc28359082"/>
      <w:bookmarkStart w:id="9" w:name="_Toc35393624"/>
      <w:bookmarkStart w:id="10" w:name="_Toc35393793"/>
      <w:r>
        <w:rPr>
          <w:rFonts w:ascii="宋体" w:hAnsi="宋体" w:eastAsia="宋体" w:cs="宋体"/>
          <w:b/>
          <w:bCs w:val="0"/>
          <w:color w:val="auto"/>
          <w:sz w:val="24"/>
          <w:szCs w:val="24"/>
          <w:highlight w:val="none"/>
        </w:rPr>
        <w:t>四、提交投标文件</w:t>
      </w:r>
      <w:bookmarkEnd w:id="7"/>
      <w:bookmarkEnd w:id="8"/>
      <w:r>
        <w:rPr>
          <w:rFonts w:ascii="宋体" w:hAnsi="宋体" w:eastAsia="宋体" w:cs="宋体"/>
          <w:b/>
          <w:bCs w:val="0"/>
          <w:color w:val="auto"/>
          <w:sz w:val="24"/>
          <w:szCs w:val="24"/>
          <w:highlight w:val="none"/>
        </w:rPr>
        <w:t>截止时间、开标时间和地点</w:t>
      </w:r>
      <w:bookmarkEnd w:id="9"/>
      <w:bookmarkEnd w:id="10"/>
    </w:p>
    <w:p w14:paraId="2251B0C0">
      <w:pPr>
        <w:spacing w:line="360" w:lineRule="auto"/>
        <w:ind w:firstLine="480" w:firstLineChars="200"/>
        <w:rPr>
          <w:rFonts w:hint="default" w:ascii="宋体" w:hAnsi="宋体" w:cs="宋体"/>
          <w:bCs/>
          <w:color w:val="auto"/>
          <w:sz w:val="24"/>
          <w:highlight w:val="none"/>
        </w:rPr>
      </w:pPr>
      <w:r>
        <w:rPr>
          <w:rFonts w:ascii="宋体" w:hAnsi="宋体" w:cs="宋体"/>
          <w:bCs/>
          <w:color w:val="auto"/>
          <w:sz w:val="24"/>
          <w:highlight w:val="none"/>
        </w:rPr>
        <w:t>1.提交投标文件截止时间：</w:t>
      </w:r>
      <w:r>
        <w:rPr>
          <w:rFonts w:hint="eastAsia" w:ascii="宋体" w:hAnsi="宋体" w:cs="宋体"/>
          <w:color w:val="auto"/>
          <w:sz w:val="24"/>
          <w:highlight w:val="none"/>
          <w:lang w:eastAsia="zh-CN"/>
        </w:rPr>
        <w:t>202</w:t>
      </w:r>
      <w:r>
        <w:rPr>
          <w:rFonts w:hint="eastAsia" w:ascii="宋体" w:hAnsi="宋体" w:cs="宋体"/>
          <w:color w:val="auto"/>
          <w:sz w:val="24"/>
          <w:highlight w:val="none"/>
          <w:lang w:val="en-US" w:eastAsia="zh-CN"/>
        </w:rPr>
        <w:t>5</w:t>
      </w:r>
      <w:r>
        <w:rPr>
          <w:rFonts w:hint="eastAsia" w:ascii="宋体" w:hAnsi="宋体" w:cs="宋体"/>
          <w:color w:val="auto"/>
          <w:sz w:val="24"/>
          <w:highlight w:val="none"/>
          <w:lang w:eastAsia="zh-CN"/>
        </w:rPr>
        <w:t>年</w:t>
      </w:r>
      <w:r>
        <w:rPr>
          <w:rFonts w:hint="eastAsia" w:ascii="宋体" w:hAnsi="宋体" w:cs="宋体"/>
          <w:color w:val="auto"/>
          <w:sz w:val="24"/>
          <w:highlight w:val="none"/>
          <w:lang w:val="en-US" w:eastAsia="zh-CN"/>
        </w:rPr>
        <w:t>07</w:t>
      </w:r>
      <w:r>
        <w:rPr>
          <w:rFonts w:hint="eastAsia" w:ascii="宋体" w:hAnsi="宋体" w:cs="宋体"/>
          <w:color w:val="auto"/>
          <w:sz w:val="24"/>
          <w:highlight w:val="none"/>
          <w:lang w:eastAsia="zh-CN"/>
        </w:rPr>
        <w:t>月</w:t>
      </w:r>
      <w:r>
        <w:rPr>
          <w:rFonts w:hint="eastAsia" w:ascii="宋体" w:hAnsi="宋体" w:cs="宋体"/>
          <w:color w:val="auto"/>
          <w:sz w:val="24"/>
          <w:highlight w:val="none"/>
          <w:lang w:val="en-US" w:eastAsia="zh-CN"/>
        </w:rPr>
        <w:t>21</w:t>
      </w:r>
      <w:r>
        <w:rPr>
          <w:rFonts w:hint="eastAsia" w:ascii="宋体" w:hAnsi="宋体" w:cs="宋体"/>
          <w:color w:val="auto"/>
          <w:sz w:val="24"/>
          <w:highlight w:val="none"/>
          <w:lang w:eastAsia="zh-CN"/>
        </w:rPr>
        <w:t>日</w:t>
      </w:r>
      <w:r>
        <w:rPr>
          <w:rFonts w:hint="eastAsia" w:ascii="宋体" w:hAnsi="宋体" w:cs="宋体"/>
          <w:color w:val="auto"/>
          <w:sz w:val="24"/>
          <w:highlight w:val="none"/>
          <w:lang w:val="en-US" w:eastAsia="zh-CN"/>
        </w:rPr>
        <w:t>09</w:t>
      </w: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00</w:t>
      </w:r>
      <w:r>
        <w:rPr>
          <w:rFonts w:ascii="宋体" w:hAnsi="宋体" w:cs="宋体"/>
          <w:color w:val="auto"/>
          <w:sz w:val="24"/>
          <w:highlight w:val="none"/>
        </w:rPr>
        <w:t>（北京时间）</w:t>
      </w:r>
    </w:p>
    <w:p w14:paraId="11ED722B">
      <w:pPr>
        <w:spacing w:line="360" w:lineRule="auto"/>
        <w:ind w:firstLine="480" w:firstLineChars="200"/>
        <w:rPr>
          <w:rFonts w:hint="default" w:ascii="宋体" w:hAnsi="宋体" w:cs="宋体"/>
          <w:bCs/>
          <w:color w:val="auto"/>
          <w:sz w:val="24"/>
          <w:highlight w:val="none"/>
        </w:rPr>
      </w:pPr>
      <w:r>
        <w:rPr>
          <w:rFonts w:ascii="宋体" w:hAnsi="宋体" w:cs="宋体"/>
          <w:bCs/>
          <w:color w:val="auto"/>
          <w:sz w:val="24"/>
          <w:highlight w:val="none"/>
        </w:rPr>
        <w:t>2.投标地点（网址）：</w:t>
      </w:r>
      <w:r>
        <w:rPr>
          <w:rFonts w:hint="eastAsia" w:ascii="宋体" w:hAnsi="宋体" w:cs="宋体"/>
          <w:color w:val="auto"/>
          <w:sz w:val="24"/>
          <w:highlight w:val="none"/>
        </w:rPr>
        <w:t>政采云平台（https://www.zcygov.cn/）</w:t>
      </w:r>
    </w:p>
    <w:p w14:paraId="7E32A446">
      <w:pPr>
        <w:spacing w:line="360" w:lineRule="auto"/>
        <w:ind w:firstLine="480" w:firstLineChars="200"/>
        <w:rPr>
          <w:rFonts w:hint="default" w:ascii="宋体" w:hAnsi="宋体" w:cs="宋体"/>
          <w:bCs/>
          <w:color w:val="auto"/>
          <w:sz w:val="24"/>
          <w:highlight w:val="none"/>
        </w:rPr>
      </w:pPr>
      <w:r>
        <w:rPr>
          <w:rFonts w:ascii="宋体" w:hAnsi="宋体" w:cs="宋体"/>
          <w:bCs/>
          <w:color w:val="auto"/>
          <w:sz w:val="24"/>
          <w:highlight w:val="none"/>
        </w:rPr>
        <w:t>3.开标时间：</w:t>
      </w:r>
      <w:r>
        <w:rPr>
          <w:rFonts w:hint="eastAsia" w:ascii="宋体" w:hAnsi="宋体" w:cs="宋体"/>
          <w:color w:val="auto"/>
          <w:sz w:val="24"/>
          <w:highlight w:val="none"/>
          <w:lang w:eastAsia="zh-CN"/>
        </w:rPr>
        <w:t>202</w:t>
      </w:r>
      <w:r>
        <w:rPr>
          <w:rFonts w:hint="eastAsia" w:ascii="宋体" w:hAnsi="宋体" w:cs="宋体"/>
          <w:color w:val="auto"/>
          <w:sz w:val="24"/>
          <w:highlight w:val="none"/>
          <w:lang w:val="en-US" w:eastAsia="zh-CN"/>
        </w:rPr>
        <w:t>5</w:t>
      </w:r>
      <w:r>
        <w:rPr>
          <w:rFonts w:hint="eastAsia" w:ascii="宋体" w:hAnsi="宋体" w:cs="宋体"/>
          <w:color w:val="auto"/>
          <w:sz w:val="24"/>
          <w:highlight w:val="none"/>
          <w:lang w:eastAsia="zh-CN"/>
        </w:rPr>
        <w:t>年</w:t>
      </w:r>
      <w:r>
        <w:rPr>
          <w:rFonts w:hint="eastAsia" w:ascii="宋体" w:hAnsi="宋体" w:cs="宋体"/>
          <w:color w:val="auto"/>
          <w:sz w:val="24"/>
          <w:highlight w:val="none"/>
          <w:lang w:val="en-US" w:eastAsia="zh-CN"/>
        </w:rPr>
        <w:t>07</w:t>
      </w:r>
      <w:r>
        <w:rPr>
          <w:rFonts w:hint="eastAsia" w:ascii="宋体" w:hAnsi="宋体" w:cs="宋体"/>
          <w:color w:val="auto"/>
          <w:sz w:val="24"/>
          <w:highlight w:val="none"/>
          <w:lang w:eastAsia="zh-CN"/>
        </w:rPr>
        <w:t>月</w:t>
      </w:r>
      <w:r>
        <w:rPr>
          <w:rFonts w:hint="eastAsia" w:ascii="宋体" w:hAnsi="宋体" w:cs="宋体"/>
          <w:color w:val="auto"/>
          <w:sz w:val="24"/>
          <w:highlight w:val="none"/>
          <w:lang w:val="en-US" w:eastAsia="zh-CN"/>
        </w:rPr>
        <w:t>2</w:t>
      </w:r>
      <w:bookmarkStart w:id="81" w:name="_GoBack"/>
      <w:bookmarkEnd w:id="81"/>
      <w:r>
        <w:rPr>
          <w:rFonts w:hint="eastAsia" w:ascii="宋体" w:hAnsi="宋体" w:cs="宋体"/>
          <w:color w:val="auto"/>
          <w:sz w:val="24"/>
          <w:highlight w:val="none"/>
          <w:lang w:val="en-US" w:eastAsia="zh-CN"/>
        </w:rPr>
        <w:t>1</w:t>
      </w:r>
      <w:r>
        <w:rPr>
          <w:rFonts w:hint="eastAsia" w:ascii="宋体" w:hAnsi="宋体" w:cs="宋体"/>
          <w:color w:val="auto"/>
          <w:sz w:val="24"/>
          <w:highlight w:val="none"/>
          <w:lang w:eastAsia="zh-CN"/>
        </w:rPr>
        <w:t>日</w:t>
      </w:r>
      <w:r>
        <w:rPr>
          <w:rFonts w:hint="eastAsia" w:ascii="宋体" w:hAnsi="宋体" w:cs="宋体"/>
          <w:color w:val="auto"/>
          <w:sz w:val="24"/>
          <w:highlight w:val="none"/>
          <w:lang w:val="en-US" w:eastAsia="zh-CN"/>
        </w:rPr>
        <w:t>09</w:t>
      </w: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00</w:t>
      </w:r>
      <w:r>
        <w:rPr>
          <w:rFonts w:ascii="宋体" w:hAnsi="宋体" w:cs="宋体"/>
          <w:color w:val="auto"/>
          <w:sz w:val="24"/>
          <w:highlight w:val="none"/>
        </w:rPr>
        <w:t>（北京时间）</w:t>
      </w:r>
    </w:p>
    <w:p w14:paraId="3233FFB0">
      <w:pPr>
        <w:spacing w:line="360" w:lineRule="auto"/>
        <w:ind w:firstLine="480" w:firstLineChars="200"/>
        <w:rPr>
          <w:rFonts w:hint="default" w:ascii="宋体" w:hAnsi="宋体" w:cs="宋体"/>
          <w:bCs/>
          <w:color w:val="auto"/>
          <w:sz w:val="24"/>
          <w:highlight w:val="none"/>
        </w:rPr>
      </w:pPr>
      <w:r>
        <w:rPr>
          <w:rFonts w:ascii="宋体" w:hAnsi="宋体" w:cs="宋体"/>
          <w:bCs/>
          <w:color w:val="auto"/>
          <w:sz w:val="24"/>
          <w:highlight w:val="none"/>
        </w:rPr>
        <w:t>4.开标地点（网址）：</w:t>
      </w:r>
      <w:r>
        <w:rPr>
          <w:rFonts w:hint="eastAsia" w:ascii="宋体" w:hAnsi="宋体" w:cs="宋体"/>
          <w:color w:val="auto"/>
          <w:sz w:val="24"/>
          <w:highlight w:val="none"/>
        </w:rPr>
        <w:t>政采云平台（https://www.zcygov.cn/）</w:t>
      </w:r>
    </w:p>
    <w:p w14:paraId="5BAE5F0F">
      <w:pPr>
        <w:pStyle w:val="5"/>
        <w:spacing w:before="0" w:after="0" w:line="360" w:lineRule="auto"/>
        <w:rPr>
          <w:rFonts w:hint="default" w:ascii="宋体" w:hAnsi="宋体" w:eastAsia="宋体" w:cs="宋体"/>
          <w:b w:val="0"/>
          <w:color w:val="auto"/>
          <w:sz w:val="24"/>
          <w:szCs w:val="24"/>
          <w:highlight w:val="none"/>
        </w:rPr>
      </w:pPr>
      <w:bookmarkStart w:id="11" w:name="_Toc28359084"/>
      <w:bookmarkStart w:id="12" w:name="_Toc35393794"/>
      <w:bookmarkStart w:id="13" w:name="_Toc28359007"/>
      <w:bookmarkStart w:id="14" w:name="_Toc35393625"/>
      <w:r>
        <w:rPr>
          <w:rFonts w:ascii="宋体" w:hAnsi="宋体" w:eastAsia="宋体" w:cs="宋体"/>
          <w:b w:val="0"/>
          <w:color w:val="auto"/>
          <w:sz w:val="24"/>
          <w:szCs w:val="24"/>
          <w:highlight w:val="none"/>
        </w:rPr>
        <w:t>五、公告期限</w:t>
      </w:r>
      <w:bookmarkEnd w:id="11"/>
      <w:bookmarkEnd w:id="12"/>
      <w:bookmarkEnd w:id="13"/>
      <w:bookmarkEnd w:id="14"/>
    </w:p>
    <w:p w14:paraId="2CCBC21A">
      <w:pPr>
        <w:spacing w:line="360" w:lineRule="auto"/>
        <w:ind w:firstLine="480" w:firstLineChars="200"/>
        <w:rPr>
          <w:rFonts w:hint="default" w:ascii="宋体" w:hAnsi="宋体" w:cs="宋体"/>
          <w:color w:val="auto"/>
          <w:kern w:val="0"/>
          <w:sz w:val="24"/>
          <w:highlight w:val="none"/>
        </w:rPr>
      </w:pPr>
      <w:r>
        <w:rPr>
          <w:rFonts w:ascii="宋体" w:hAnsi="宋体" w:cs="宋体"/>
          <w:color w:val="auto"/>
          <w:kern w:val="0"/>
          <w:sz w:val="24"/>
          <w:highlight w:val="none"/>
        </w:rPr>
        <w:t>自本公告发布之日起5个工作日。</w:t>
      </w:r>
    </w:p>
    <w:p w14:paraId="0AE67490">
      <w:pPr>
        <w:pStyle w:val="5"/>
        <w:spacing w:before="0" w:after="0" w:line="360" w:lineRule="auto"/>
        <w:rPr>
          <w:rFonts w:hint="default" w:ascii="宋体" w:hAnsi="宋体" w:eastAsia="宋体" w:cs="宋体"/>
          <w:b w:val="0"/>
          <w:color w:val="auto"/>
          <w:sz w:val="24"/>
          <w:szCs w:val="24"/>
          <w:highlight w:val="none"/>
        </w:rPr>
      </w:pPr>
      <w:bookmarkStart w:id="15" w:name="_Toc35393795"/>
      <w:bookmarkStart w:id="16" w:name="_Toc35393626"/>
      <w:r>
        <w:rPr>
          <w:rFonts w:ascii="宋体" w:hAnsi="宋体" w:eastAsia="宋体" w:cs="宋体"/>
          <w:b w:val="0"/>
          <w:color w:val="auto"/>
          <w:sz w:val="24"/>
          <w:szCs w:val="24"/>
          <w:highlight w:val="none"/>
        </w:rPr>
        <w:t>六、其他补充事宜</w:t>
      </w:r>
      <w:bookmarkEnd w:id="15"/>
      <w:bookmarkEnd w:id="16"/>
    </w:p>
    <w:p w14:paraId="44D885EC">
      <w:pPr>
        <w:spacing w:line="360" w:lineRule="auto"/>
        <w:ind w:firstLine="480" w:firstLineChars="200"/>
        <w:rPr>
          <w:rFonts w:hint="default" w:ascii="宋体" w:hAnsi="宋体" w:cs="宋体"/>
          <w:color w:val="auto"/>
          <w:kern w:val="0"/>
          <w:sz w:val="24"/>
          <w:highlight w:val="none"/>
        </w:rPr>
      </w:pPr>
      <w:r>
        <w:rPr>
          <w:rFonts w:ascii="宋体" w:hAnsi="宋体" w:cs="宋体"/>
          <w:color w:val="auto"/>
          <w:kern w:val="0"/>
          <w:sz w:val="24"/>
          <w:highlight w:val="none"/>
        </w:rPr>
        <w:t>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浙财采监（2022）8号）已分别于2022年1月29日、2022年2月1日和2022年7月1日开始实施，此前有关规定与上述文件内容不一致的，按上述文件要求执行。</w:t>
      </w:r>
    </w:p>
    <w:p w14:paraId="2BF08BCA">
      <w:pPr>
        <w:spacing w:line="360" w:lineRule="auto"/>
        <w:ind w:firstLine="480" w:firstLineChars="200"/>
        <w:rPr>
          <w:rFonts w:hint="default" w:ascii="宋体" w:hAnsi="宋体" w:cs="宋体"/>
          <w:color w:val="auto"/>
          <w:kern w:val="0"/>
          <w:sz w:val="24"/>
          <w:highlight w:val="none"/>
        </w:rPr>
      </w:pPr>
      <w:r>
        <w:rPr>
          <w:rFonts w:ascii="宋体" w:hAnsi="宋体" w:cs="宋体"/>
          <w:color w:val="auto"/>
          <w:kern w:val="0"/>
          <w:sz w:val="24"/>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6919614D">
      <w:pPr>
        <w:spacing w:line="360" w:lineRule="auto"/>
        <w:ind w:firstLine="480" w:firstLineChars="200"/>
        <w:rPr>
          <w:rFonts w:hint="default" w:ascii="宋体" w:hAnsi="宋体" w:cs="宋体"/>
          <w:color w:val="auto"/>
          <w:kern w:val="0"/>
          <w:sz w:val="24"/>
          <w:highlight w:val="none"/>
        </w:rPr>
      </w:pPr>
      <w:r>
        <w:rPr>
          <w:rFonts w:ascii="宋体" w:hAnsi="宋体" w:cs="宋体"/>
          <w:color w:val="auto"/>
          <w:kern w:val="0"/>
          <w:sz w:val="24"/>
          <w:highlight w:val="none"/>
        </w:rPr>
        <w:t>3.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2C3822B3">
      <w:pPr>
        <w:spacing w:line="360" w:lineRule="auto"/>
        <w:ind w:firstLine="480" w:firstLineChars="200"/>
        <w:rPr>
          <w:rFonts w:hint="default" w:ascii="宋体" w:hAnsi="宋体" w:cs="宋体"/>
          <w:color w:val="auto"/>
          <w:kern w:val="0"/>
          <w:sz w:val="24"/>
          <w:highlight w:val="none"/>
        </w:rPr>
      </w:pPr>
      <w:r>
        <w:rPr>
          <w:rFonts w:ascii="宋体" w:hAnsi="宋体" w:cs="宋体"/>
          <w:color w:val="auto"/>
          <w:kern w:val="0"/>
          <w:sz w:val="24"/>
          <w:highlight w:val="none"/>
        </w:rPr>
        <w:t>4.其他事项：（1）依据《政府采购质疑和投诉办法》第十条第二款规定，本项目要求投标人在法定质疑期内一次性提出针对同一采购程序环节的质疑。投标人在法定质疑期内多次提出针对同一采购程序环节的质疑的，采购人或采购代理机构只受理该投标人的第一次有效质疑。（2）</w:t>
      </w:r>
      <w:r>
        <w:rPr>
          <w:rFonts w:hint="eastAsia" w:ascii="宋体" w:hAnsi="宋体" w:cs="宋体"/>
          <w:color w:val="auto"/>
          <w:sz w:val="24"/>
          <w:highlight w:val="none"/>
        </w:rPr>
        <w:t>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投标人须知</w:t>
      </w:r>
      <w:r>
        <w:rPr>
          <w:rFonts w:hint="eastAsia" w:ascii="宋体" w:hAnsi="宋体" w:cs="宋体"/>
          <w:color w:val="auto"/>
          <w:sz w:val="24"/>
          <w:highlight w:val="none"/>
          <w:lang w:val="en-US" w:eastAsia="zh-CN"/>
        </w:rPr>
        <w:t>前附表</w:t>
      </w:r>
      <w:r>
        <w:rPr>
          <w:rFonts w:hint="eastAsia" w:ascii="宋体" w:hAnsi="宋体" w:cs="宋体"/>
          <w:color w:val="auto"/>
          <w:sz w:val="24"/>
          <w:highlight w:val="none"/>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r>
        <w:rPr>
          <w:rFonts w:ascii="宋体" w:hAnsi="宋体" w:cs="宋体"/>
          <w:color w:val="auto"/>
          <w:kern w:val="0"/>
          <w:sz w:val="24"/>
          <w:highlight w:val="none"/>
        </w:rPr>
        <w:t>。</w:t>
      </w:r>
    </w:p>
    <w:p w14:paraId="7C7C7D58">
      <w:pPr>
        <w:pStyle w:val="17"/>
        <w:spacing w:line="360" w:lineRule="auto"/>
        <w:ind w:firstLine="0"/>
        <w:rPr>
          <w:rFonts w:hint="default" w:hAnsi="宋体" w:cs="宋体"/>
          <w:color w:val="auto"/>
          <w:sz w:val="24"/>
          <w:szCs w:val="24"/>
          <w:highlight w:val="none"/>
        </w:rPr>
      </w:pPr>
      <w:r>
        <w:rPr>
          <w:rFonts w:hAnsi="宋体" w:cs="宋体"/>
          <w:color w:val="auto"/>
          <w:sz w:val="24"/>
          <w:szCs w:val="24"/>
          <w:highlight w:val="none"/>
        </w:rPr>
        <w:t>七、对本次招标提出询问、质疑、投诉，请按以下方式联系。</w:t>
      </w:r>
    </w:p>
    <w:p w14:paraId="561DF9B8">
      <w:pPr>
        <w:pStyle w:val="17"/>
        <w:spacing w:line="360" w:lineRule="auto"/>
        <w:ind w:firstLine="464" w:firstLineChars="200"/>
        <w:rPr>
          <w:rFonts w:hint="default" w:hAnsi="宋体" w:cs="宋体"/>
          <w:color w:val="auto"/>
          <w:sz w:val="24"/>
          <w:highlight w:val="none"/>
        </w:rPr>
      </w:pPr>
      <w:r>
        <w:rPr>
          <w:rFonts w:hAnsi="宋体" w:cs="宋体"/>
          <w:color w:val="auto"/>
          <w:sz w:val="24"/>
          <w:highlight w:val="none"/>
        </w:rPr>
        <w:t>1.采购人信息</w:t>
      </w:r>
    </w:p>
    <w:p w14:paraId="0A94C0B5">
      <w:pPr>
        <w:pStyle w:val="17"/>
        <w:spacing w:line="360" w:lineRule="auto"/>
        <w:ind w:firstLine="464" w:firstLineChars="200"/>
        <w:rPr>
          <w:rFonts w:hint="eastAsia" w:hAnsi="宋体" w:eastAsia="宋体" w:cs="宋体"/>
          <w:color w:val="auto"/>
          <w:sz w:val="24"/>
          <w:highlight w:val="none"/>
          <w:lang w:eastAsia="zh-CN"/>
        </w:rPr>
      </w:pPr>
      <w:r>
        <w:rPr>
          <w:rFonts w:hAnsi="宋体" w:cs="宋体"/>
          <w:color w:val="auto"/>
          <w:sz w:val="24"/>
          <w:highlight w:val="none"/>
        </w:rPr>
        <w:t>名称：</w:t>
      </w:r>
      <w:r>
        <w:rPr>
          <w:rFonts w:hint="eastAsia" w:hAnsi="宋体" w:cs="宋体"/>
          <w:color w:val="auto"/>
          <w:sz w:val="24"/>
          <w:highlight w:val="none"/>
          <w:lang w:eastAsia="zh-CN"/>
        </w:rPr>
        <w:t>中国美术学院</w:t>
      </w:r>
    </w:p>
    <w:p w14:paraId="3809D9CB">
      <w:pPr>
        <w:pStyle w:val="17"/>
        <w:spacing w:line="360" w:lineRule="auto"/>
        <w:ind w:firstLine="464" w:firstLineChars="200"/>
        <w:rPr>
          <w:rFonts w:hint="eastAsia" w:hAnsi="宋体" w:eastAsia="宋体" w:cs="宋体"/>
          <w:color w:val="auto"/>
          <w:sz w:val="24"/>
          <w:highlight w:val="none"/>
          <w:lang w:eastAsia="zh-CN"/>
        </w:rPr>
      </w:pPr>
      <w:r>
        <w:rPr>
          <w:rFonts w:hAnsi="宋体" w:cs="宋体"/>
          <w:color w:val="auto"/>
          <w:sz w:val="24"/>
          <w:highlight w:val="none"/>
        </w:rPr>
        <w:t>地址：</w:t>
      </w:r>
      <w:r>
        <w:rPr>
          <w:rFonts w:hint="eastAsia" w:hAnsi="宋体" w:cs="宋体"/>
          <w:color w:val="auto"/>
          <w:sz w:val="24"/>
          <w:highlight w:val="none"/>
        </w:rPr>
        <w:t>杭州市南山路218号</w:t>
      </w:r>
    </w:p>
    <w:p w14:paraId="5EC52B69">
      <w:pPr>
        <w:pStyle w:val="17"/>
        <w:spacing w:line="360" w:lineRule="auto"/>
        <w:ind w:firstLine="464" w:firstLineChars="200"/>
        <w:rPr>
          <w:rFonts w:hint="eastAsia" w:hAnsi="宋体" w:eastAsia="宋体" w:cs="宋体"/>
          <w:color w:val="auto"/>
          <w:sz w:val="24"/>
          <w:highlight w:val="none"/>
          <w:lang w:val="en-US" w:eastAsia="zh-CN"/>
        </w:rPr>
      </w:pPr>
      <w:r>
        <w:rPr>
          <w:rFonts w:hAnsi="宋体" w:cs="宋体"/>
          <w:color w:val="auto"/>
          <w:sz w:val="24"/>
          <w:highlight w:val="none"/>
        </w:rPr>
        <w:t>联系人：</w:t>
      </w:r>
      <w:r>
        <w:rPr>
          <w:rFonts w:hint="eastAsia" w:hAnsi="宋体" w:cs="宋体"/>
          <w:color w:val="auto"/>
          <w:sz w:val="24"/>
          <w:highlight w:val="none"/>
          <w:lang w:val="en-US" w:eastAsia="zh-CN"/>
        </w:rPr>
        <w:t>陈老师</w:t>
      </w:r>
    </w:p>
    <w:p w14:paraId="750D4512">
      <w:pPr>
        <w:pStyle w:val="17"/>
        <w:spacing w:line="360" w:lineRule="auto"/>
        <w:ind w:firstLine="464" w:firstLineChars="200"/>
        <w:rPr>
          <w:rFonts w:hint="default" w:hAnsi="宋体" w:cs="宋体"/>
          <w:color w:val="auto"/>
          <w:highlight w:val="none"/>
        </w:rPr>
      </w:pPr>
      <w:r>
        <w:rPr>
          <w:rFonts w:hAnsi="宋体" w:cs="宋体"/>
          <w:color w:val="auto"/>
          <w:sz w:val="24"/>
          <w:highlight w:val="none"/>
        </w:rPr>
        <w:t>联系电话：13819100227</w:t>
      </w:r>
    </w:p>
    <w:p w14:paraId="72D5CE51">
      <w:pPr>
        <w:pStyle w:val="17"/>
        <w:spacing w:line="360" w:lineRule="auto"/>
        <w:ind w:firstLine="464" w:firstLineChars="200"/>
        <w:rPr>
          <w:rFonts w:hint="eastAsia" w:hAnsi="宋体" w:eastAsia="宋体" w:cs="宋体"/>
          <w:color w:val="auto"/>
          <w:sz w:val="24"/>
          <w:highlight w:val="none"/>
          <w:lang w:val="en-US" w:eastAsia="zh-CN"/>
        </w:rPr>
      </w:pPr>
      <w:r>
        <w:rPr>
          <w:rFonts w:hAnsi="宋体" w:cs="宋体"/>
          <w:color w:val="auto"/>
          <w:sz w:val="24"/>
          <w:highlight w:val="none"/>
        </w:rPr>
        <w:t>质疑联系人：</w:t>
      </w:r>
      <w:r>
        <w:rPr>
          <w:rFonts w:hint="eastAsia" w:hAnsi="宋体" w:cs="宋体"/>
          <w:color w:val="auto"/>
          <w:sz w:val="24"/>
          <w:highlight w:val="none"/>
          <w:lang w:val="en-US" w:eastAsia="zh-CN"/>
        </w:rPr>
        <w:t>林老师</w:t>
      </w:r>
    </w:p>
    <w:p w14:paraId="6EC4ED43">
      <w:pPr>
        <w:pStyle w:val="17"/>
        <w:spacing w:line="360" w:lineRule="auto"/>
        <w:ind w:firstLine="464" w:firstLineChars="200"/>
        <w:rPr>
          <w:rFonts w:hint="eastAsia" w:hAnsi="宋体" w:eastAsia="宋体" w:cs="宋体"/>
          <w:color w:val="auto"/>
          <w:sz w:val="24"/>
          <w:highlight w:val="none"/>
          <w:lang w:eastAsia="zh-CN"/>
        </w:rPr>
      </w:pPr>
      <w:r>
        <w:rPr>
          <w:rFonts w:hAnsi="宋体" w:cs="宋体"/>
          <w:color w:val="auto"/>
          <w:sz w:val="24"/>
          <w:highlight w:val="none"/>
        </w:rPr>
        <w:t>质疑联系方式：</w:t>
      </w:r>
      <w:r>
        <w:rPr>
          <w:rFonts w:hint="eastAsia" w:hAnsi="宋体" w:cs="宋体"/>
          <w:color w:val="auto"/>
          <w:sz w:val="24"/>
          <w:highlight w:val="none"/>
        </w:rPr>
        <w:t>0571-87164774</w:t>
      </w:r>
    </w:p>
    <w:p w14:paraId="32A3AF39">
      <w:pPr>
        <w:pStyle w:val="17"/>
        <w:spacing w:line="360" w:lineRule="auto"/>
        <w:ind w:firstLine="464" w:firstLineChars="200"/>
        <w:rPr>
          <w:rFonts w:hint="default" w:hAnsi="宋体" w:cs="宋体"/>
          <w:color w:val="auto"/>
          <w:sz w:val="24"/>
          <w:highlight w:val="none"/>
        </w:rPr>
      </w:pPr>
      <w:r>
        <w:rPr>
          <w:rFonts w:hAnsi="宋体" w:cs="宋体"/>
          <w:color w:val="auto"/>
          <w:sz w:val="24"/>
          <w:highlight w:val="none"/>
        </w:rPr>
        <w:t>2.采购代理机构信息</w:t>
      </w:r>
    </w:p>
    <w:p w14:paraId="759D40B7">
      <w:pPr>
        <w:pStyle w:val="17"/>
        <w:spacing w:line="360" w:lineRule="auto"/>
        <w:ind w:firstLine="464" w:firstLineChars="200"/>
        <w:rPr>
          <w:rFonts w:hint="default" w:hAnsi="宋体" w:cs="宋体"/>
          <w:color w:val="auto"/>
          <w:sz w:val="24"/>
          <w:highlight w:val="none"/>
        </w:rPr>
      </w:pPr>
      <w:r>
        <w:rPr>
          <w:rFonts w:hAnsi="宋体" w:cs="宋体"/>
          <w:color w:val="auto"/>
          <w:sz w:val="24"/>
          <w:highlight w:val="none"/>
        </w:rPr>
        <w:t>名  称：浙江豪圣建设项目管理有限公司</w:t>
      </w:r>
    </w:p>
    <w:p w14:paraId="0AE07980">
      <w:pPr>
        <w:pStyle w:val="17"/>
        <w:spacing w:line="360" w:lineRule="auto"/>
        <w:ind w:firstLine="464" w:firstLineChars="200"/>
        <w:rPr>
          <w:rFonts w:hint="default" w:hAnsi="宋体" w:cs="宋体"/>
          <w:color w:val="auto"/>
          <w:sz w:val="24"/>
          <w:highlight w:val="none"/>
        </w:rPr>
      </w:pPr>
      <w:r>
        <w:rPr>
          <w:rFonts w:hAnsi="宋体" w:cs="宋体"/>
          <w:color w:val="auto"/>
          <w:sz w:val="24"/>
          <w:highlight w:val="none"/>
        </w:rPr>
        <w:t>地  址：杭州市拱墅区大关路179号远洋国际中心A座17楼1706室</w:t>
      </w:r>
    </w:p>
    <w:p w14:paraId="5FC67C07">
      <w:pPr>
        <w:pStyle w:val="17"/>
        <w:spacing w:line="360" w:lineRule="auto"/>
        <w:ind w:firstLine="464" w:firstLineChars="200"/>
        <w:rPr>
          <w:rFonts w:hint="default" w:hAnsi="宋体" w:cs="宋体"/>
          <w:color w:val="auto"/>
          <w:sz w:val="24"/>
          <w:highlight w:val="none"/>
        </w:rPr>
      </w:pPr>
      <w:r>
        <w:rPr>
          <w:rFonts w:hAnsi="宋体" w:cs="宋体"/>
          <w:color w:val="auto"/>
          <w:sz w:val="24"/>
          <w:highlight w:val="none"/>
        </w:rPr>
        <w:t>传  真：/</w:t>
      </w:r>
    </w:p>
    <w:p w14:paraId="20065CAD">
      <w:pPr>
        <w:pStyle w:val="17"/>
        <w:spacing w:line="360" w:lineRule="auto"/>
        <w:ind w:firstLine="464" w:firstLineChars="200"/>
        <w:rPr>
          <w:rFonts w:hint="default" w:hAnsi="宋体" w:cs="宋体"/>
          <w:color w:val="auto"/>
          <w:sz w:val="24"/>
          <w:highlight w:val="none"/>
        </w:rPr>
      </w:pPr>
      <w:r>
        <w:rPr>
          <w:rFonts w:hAnsi="宋体" w:cs="宋体"/>
          <w:color w:val="auto"/>
          <w:sz w:val="24"/>
          <w:highlight w:val="none"/>
        </w:rPr>
        <w:t>项目联系人（询问）：</w:t>
      </w:r>
      <w:r>
        <w:rPr>
          <w:rFonts w:hint="eastAsia" w:hAnsi="宋体" w:cs="宋体"/>
          <w:color w:val="auto"/>
          <w:sz w:val="24"/>
          <w:highlight w:val="none"/>
          <w:lang w:val="en-US" w:eastAsia="zh-CN"/>
        </w:rPr>
        <w:t>陈梦菲、赵邵东、</w:t>
      </w:r>
      <w:r>
        <w:rPr>
          <w:rFonts w:hAnsi="宋体" w:cs="宋体"/>
          <w:color w:val="auto"/>
          <w:sz w:val="24"/>
          <w:highlight w:val="none"/>
        </w:rPr>
        <w:t>曹剑斌、陈敏娇</w:t>
      </w:r>
    </w:p>
    <w:p w14:paraId="423AC6E4">
      <w:pPr>
        <w:pStyle w:val="17"/>
        <w:spacing w:line="360" w:lineRule="auto"/>
        <w:ind w:firstLine="464" w:firstLineChars="200"/>
        <w:rPr>
          <w:rFonts w:hint="default" w:hAnsi="宋体" w:cs="宋体"/>
          <w:color w:val="auto"/>
          <w:sz w:val="24"/>
          <w:highlight w:val="none"/>
        </w:rPr>
      </w:pPr>
      <w:r>
        <w:rPr>
          <w:rFonts w:hAnsi="宋体" w:cs="宋体"/>
          <w:color w:val="auto"/>
          <w:sz w:val="24"/>
          <w:highlight w:val="none"/>
        </w:rPr>
        <w:t>项目联系方式（询问）：</w:t>
      </w:r>
      <w:r>
        <w:rPr>
          <w:rFonts w:hint="eastAsia" w:asciiTheme="minorEastAsia" w:hAnsiTheme="minorEastAsia" w:eastAsiaTheme="minorEastAsia"/>
          <w:color w:val="auto"/>
          <w:sz w:val="24"/>
          <w:highlight w:val="none"/>
        </w:rPr>
        <w:t>0571-56321030、87981527</w:t>
      </w:r>
    </w:p>
    <w:p w14:paraId="5AA885D6">
      <w:pPr>
        <w:pStyle w:val="17"/>
        <w:spacing w:line="360" w:lineRule="auto"/>
        <w:ind w:firstLine="464" w:firstLineChars="200"/>
        <w:rPr>
          <w:rFonts w:hint="default" w:hAnsi="宋体" w:cs="宋体"/>
          <w:color w:val="auto"/>
          <w:sz w:val="24"/>
          <w:highlight w:val="none"/>
        </w:rPr>
      </w:pPr>
      <w:r>
        <w:rPr>
          <w:rFonts w:hAnsi="宋体" w:cs="宋体"/>
          <w:color w:val="auto"/>
          <w:sz w:val="24"/>
          <w:highlight w:val="none"/>
        </w:rPr>
        <w:t>质疑联系人：桑国坚</w:t>
      </w:r>
    </w:p>
    <w:p w14:paraId="7A52C92F">
      <w:pPr>
        <w:pStyle w:val="17"/>
        <w:spacing w:line="360" w:lineRule="auto"/>
        <w:ind w:firstLine="464" w:firstLineChars="200"/>
        <w:rPr>
          <w:rFonts w:hint="default" w:hAnsi="宋体" w:cs="宋体"/>
          <w:color w:val="auto"/>
          <w:sz w:val="24"/>
          <w:highlight w:val="none"/>
        </w:rPr>
      </w:pPr>
      <w:r>
        <w:rPr>
          <w:rFonts w:hAnsi="宋体" w:cs="宋体"/>
          <w:color w:val="auto"/>
          <w:sz w:val="24"/>
          <w:highlight w:val="none"/>
        </w:rPr>
        <w:t>质疑联系方式：0571-56386096</w:t>
      </w:r>
    </w:p>
    <w:p w14:paraId="3E761379">
      <w:pPr>
        <w:pStyle w:val="17"/>
        <w:spacing w:line="360" w:lineRule="auto"/>
        <w:ind w:firstLine="464" w:firstLineChars="200"/>
        <w:rPr>
          <w:rFonts w:hint="default" w:hAnsi="宋体" w:cs="宋体"/>
          <w:color w:val="auto"/>
          <w:sz w:val="24"/>
          <w:highlight w:val="none"/>
        </w:rPr>
      </w:pPr>
      <w:r>
        <w:rPr>
          <w:rFonts w:hAnsi="宋体" w:cs="宋体"/>
          <w:color w:val="auto"/>
          <w:sz w:val="24"/>
          <w:highlight w:val="none"/>
        </w:rPr>
        <w:t>3.同级政府采购监督管理部门</w:t>
      </w:r>
    </w:p>
    <w:p w14:paraId="7DD17824">
      <w:pPr>
        <w:pStyle w:val="17"/>
        <w:spacing w:line="360" w:lineRule="auto"/>
        <w:ind w:left="479" w:leftChars="228" w:firstLine="0"/>
        <w:rPr>
          <w:rFonts w:ascii="宋体" w:hAnsi="宋体" w:eastAsia="宋体" w:cs="宋体"/>
          <w:color w:val="auto"/>
          <w:sz w:val="24"/>
          <w:highlight w:val="none"/>
        </w:rPr>
      </w:pPr>
      <w:r>
        <w:rPr>
          <w:rFonts w:hint="eastAsia" w:ascii="宋体" w:hAnsi="宋体" w:eastAsia="宋体" w:cs="宋体"/>
          <w:color w:val="auto"/>
          <w:sz w:val="24"/>
          <w:highlight w:val="none"/>
        </w:rPr>
        <w:t>名称：浙江省政府采购行政裁决服务中心（杭州市上城区清泰街549号城建综合大楼11楼）</w:t>
      </w:r>
    </w:p>
    <w:p w14:paraId="44A4BDC8">
      <w:pPr>
        <w:pStyle w:val="17"/>
        <w:spacing w:line="360" w:lineRule="auto"/>
        <w:ind w:left="479" w:leftChars="228" w:firstLine="0"/>
        <w:rPr>
          <w:rFonts w:hint="eastAsia" w:ascii="宋体" w:hAnsi="宋体" w:eastAsia="宋体" w:cs="宋体"/>
          <w:color w:val="auto"/>
          <w:sz w:val="24"/>
          <w:highlight w:val="none"/>
        </w:rPr>
      </w:pPr>
      <w:r>
        <w:rPr>
          <w:rFonts w:hint="eastAsia" w:ascii="宋体" w:hAnsi="宋体" w:eastAsia="宋体" w:cs="宋体"/>
          <w:color w:val="auto"/>
          <w:sz w:val="24"/>
          <w:highlight w:val="none"/>
        </w:rPr>
        <w:t>地址：杭州市上城区清泰街549号城建综合大楼11楼</w:t>
      </w:r>
    </w:p>
    <w:p w14:paraId="2B4CCE43">
      <w:pPr>
        <w:pStyle w:val="17"/>
        <w:spacing w:line="360" w:lineRule="auto"/>
        <w:ind w:left="479" w:leftChars="228" w:firstLine="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传真：</w:t>
      </w:r>
      <w:r>
        <w:rPr>
          <w:rFonts w:hint="eastAsia" w:ascii="宋体" w:hAnsi="宋体" w:eastAsia="宋体" w:cs="宋体"/>
          <w:color w:val="auto"/>
          <w:sz w:val="24"/>
          <w:highlight w:val="none"/>
          <w:lang w:val="en-US" w:eastAsia="zh-CN"/>
        </w:rPr>
        <w:t>/</w:t>
      </w:r>
    </w:p>
    <w:p w14:paraId="07F7AEE8">
      <w:pPr>
        <w:pStyle w:val="17"/>
        <w:spacing w:line="360" w:lineRule="auto"/>
        <w:ind w:left="479" w:leftChars="228" w:firstLine="0"/>
        <w:rPr>
          <w:rFonts w:hint="eastAsia" w:ascii="宋体" w:hAnsi="宋体" w:eastAsia="宋体" w:cs="宋体"/>
          <w:color w:val="auto"/>
          <w:sz w:val="24"/>
          <w:highlight w:val="none"/>
        </w:rPr>
      </w:pPr>
      <w:r>
        <w:rPr>
          <w:rFonts w:hint="eastAsia" w:ascii="宋体" w:hAnsi="宋体" w:eastAsia="宋体" w:cs="宋体"/>
          <w:color w:val="auto"/>
          <w:sz w:val="24"/>
          <w:highlight w:val="none"/>
        </w:rPr>
        <w:t>联 系 人：匡老师</w:t>
      </w:r>
    </w:p>
    <w:p w14:paraId="3B0DD0C0">
      <w:pPr>
        <w:pStyle w:val="17"/>
        <w:spacing w:line="360" w:lineRule="auto"/>
        <w:ind w:left="479" w:leftChars="228" w:firstLine="0"/>
        <w:rPr>
          <w:rFonts w:hint="eastAsia" w:ascii="宋体" w:hAnsi="宋体" w:eastAsia="宋体" w:cs="宋体"/>
          <w:color w:val="auto"/>
          <w:sz w:val="24"/>
          <w:highlight w:val="none"/>
        </w:rPr>
      </w:pPr>
      <w:r>
        <w:rPr>
          <w:rFonts w:hint="eastAsia" w:ascii="宋体" w:hAnsi="宋体" w:eastAsia="宋体" w:cs="宋体"/>
          <w:color w:val="auto"/>
          <w:sz w:val="24"/>
          <w:highlight w:val="none"/>
        </w:rPr>
        <w:t>监督投诉电话：0571-87807798</w:t>
      </w:r>
    </w:p>
    <w:p w14:paraId="0277A25A">
      <w:pPr>
        <w:pStyle w:val="17"/>
        <w:spacing w:line="360" w:lineRule="auto"/>
        <w:ind w:left="479" w:leftChars="228" w:firstLine="0"/>
        <w:rPr>
          <w:rFonts w:hAnsi="宋体" w:cs="宋体"/>
          <w:color w:val="auto"/>
          <w:sz w:val="24"/>
          <w:highlight w:val="none"/>
        </w:rPr>
      </w:pPr>
    </w:p>
    <w:p w14:paraId="4172E4B9">
      <w:pPr>
        <w:pStyle w:val="17"/>
        <w:spacing w:line="360" w:lineRule="auto"/>
        <w:ind w:left="479" w:leftChars="228" w:firstLine="0"/>
        <w:rPr>
          <w:rFonts w:hint="default" w:hAnsi="宋体" w:cs="宋体"/>
          <w:color w:val="auto"/>
          <w:sz w:val="24"/>
          <w:highlight w:val="none"/>
        </w:rPr>
      </w:pPr>
      <w:r>
        <w:rPr>
          <w:rFonts w:hAnsi="宋体" w:cs="宋体"/>
          <w:color w:val="auto"/>
          <w:sz w:val="24"/>
          <w:highlight w:val="none"/>
        </w:rPr>
        <w:t>政策咨询：何一平、冯华，0571-87058424、87055741</w:t>
      </w:r>
    </w:p>
    <w:p w14:paraId="007257F6">
      <w:pPr>
        <w:pStyle w:val="17"/>
        <w:spacing w:line="360" w:lineRule="auto"/>
        <w:ind w:left="479" w:leftChars="228" w:firstLine="0"/>
        <w:rPr>
          <w:rFonts w:hint="default" w:hAnsi="宋体" w:cs="宋体"/>
          <w:color w:val="auto"/>
          <w:sz w:val="24"/>
          <w:highlight w:val="none"/>
        </w:rPr>
      </w:pPr>
      <w:r>
        <w:rPr>
          <w:rFonts w:hAnsi="宋体" w:cs="宋体"/>
          <w:color w:val="auto"/>
          <w:sz w:val="24"/>
          <w:highlight w:val="none"/>
        </w:rPr>
        <w:t>预算金额未达100万元的采购项目，由采购人处理采购争议。</w:t>
      </w:r>
    </w:p>
    <w:p w14:paraId="4208C6A9">
      <w:pPr>
        <w:pStyle w:val="17"/>
        <w:spacing w:line="360" w:lineRule="auto"/>
        <w:ind w:firstLine="464" w:firstLineChars="200"/>
        <w:rPr>
          <w:rFonts w:hint="default" w:hAnsi="宋体" w:cs="宋体"/>
          <w:color w:val="auto"/>
          <w:sz w:val="24"/>
          <w:highlight w:val="none"/>
        </w:rPr>
      </w:pPr>
      <w:r>
        <w:rPr>
          <w:rFonts w:hAnsi="宋体" w:cs="宋体"/>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5BD76508">
      <w:pPr>
        <w:pStyle w:val="17"/>
        <w:spacing w:line="360" w:lineRule="auto"/>
        <w:ind w:firstLine="464" w:firstLineChars="200"/>
        <w:jc w:val="left"/>
        <w:rPr>
          <w:rFonts w:hint="default" w:hAnsi="宋体" w:cs="宋体"/>
          <w:color w:val="auto"/>
          <w:sz w:val="24"/>
          <w:highlight w:val="none"/>
        </w:rPr>
      </w:pPr>
      <w:r>
        <w:rPr>
          <w:rFonts w:hAnsi="宋体" w:cs="宋体"/>
          <w:color w:val="auto"/>
          <w:sz w:val="24"/>
          <w:highlight w:val="none"/>
        </w:rPr>
        <w:t>CA问题联系电话（人工）：汇信CA 400-888-4636；天谷CA 400-087-8198。</w:t>
      </w:r>
    </w:p>
    <w:p w14:paraId="76DAE42D">
      <w:pPr>
        <w:rPr>
          <w:rStyle w:val="144"/>
          <w:rFonts w:hAnsi="宋体" w:cs="宋体"/>
          <w:color w:val="auto"/>
          <w:sz w:val="32"/>
          <w:szCs w:val="32"/>
          <w:highlight w:val="none"/>
        </w:rPr>
      </w:pPr>
      <w:bookmarkStart w:id="17" w:name="_Toc10111"/>
      <w:r>
        <w:rPr>
          <w:rStyle w:val="144"/>
          <w:rFonts w:hAnsi="宋体" w:cs="宋体"/>
          <w:color w:val="auto"/>
          <w:sz w:val="32"/>
          <w:szCs w:val="32"/>
          <w:highlight w:val="none"/>
        </w:rPr>
        <w:br w:type="page"/>
      </w:r>
    </w:p>
    <w:p w14:paraId="693E7A5A">
      <w:pPr>
        <w:pStyle w:val="17"/>
        <w:keepNext w:val="0"/>
        <w:keepLines w:val="0"/>
        <w:pageBreakBefore w:val="0"/>
        <w:widowControl w:val="0"/>
        <w:kinsoku/>
        <w:wordWrap/>
        <w:overflowPunct/>
        <w:topLinePunct w:val="0"/>
        <w:autoSpaceDE/>
        <w:autoSpaceDN/>
        <w:bidi w:val="0"/>
        <w:adjustRightInd w:val="0"/>
        <w:snapToGrid w:val="0"/>
        <w:spacing w:line="360" w:lineRule="auto"/>
        <w:ind w:firstLine="627" w:firstLineChars="200"/>
        <w:jc w:val="center"/>
        <w:textAlignment w:val="auto"/>
        <w:rPr>
          <w:rFonts w:hint="default" w:hAnsi="宋体" w:cs="宋体"/>
          <w:b/>
          <w:color w:val="auto"/>
          <w:sz w:val="36"/>
          <w:szCs w:val="36"/>
          <w:highlight w:val="none"/>
        </w:rPr>
      </w:pPr>
      <w:r>
        <w:rPr>
          <w:rStyle w:val="144"/>
          <w:rFonts w:hAnsi="宋体" w:cs="宋体"/>
          <w:color w:val="auto"/>
          <w:sz w:val="32"/>
          <w:szCs w:val="32"/>
          <w:highlight w:val="none"/>
        </w:rPr>
        <w:t>第二</w:t>
      </w:r>
      <w:r>
        <w:rPr>
          <w:rStyle w:val="144"/>
          <w:rFonts w:hint="eastAsia" w:hAnsi="宋体" w:cs="宋体"/>
          <w:color w:val="auto"/>
          <w:sz w:val="32"/>
          <w:szCs w:val="32"/>
          <w:highlight w:val="none"/>
          <w:lang w:val="en-US"/>
        </w:rPr>
        <w:t>部分</w:t>
      </w:r>
      <w:r>
        <w:rPr>
          <w:rStyle w:val="144"/>
          <w:rFonts w:hAnsi="宋体" w:cs="宋体"/>
          <w:color w:val="auto"/>
          <w:sz w:val="32"/>
          <w:szCs w:val="32"/>
          <w:highlight w:val="none"/>
        </w:rPr>
        <w:t xml:space="preserve">  投标人须知</w:t>
      </w:r>
      <w:bookmarkEnd w:id="17"/>
    </w:p>
    <w:p w14:paraId="099F55D1">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1"/>
        <w:rPr>
          <w:rFonts w:hint="default" w:ascii="宋体" w:hAnsi="宋体" w:cs="宋体"/>
          <w:b/>
          <w:color w:val="auto"/>
          <w:sz w:val="30"/>
          <w:szCs w:val="30"/>
          <w:highlight w:val="none"/>
        </w:rPr>
      </w:pPr>
      <w:r>
        <w:rPr>
          <w:rFonts w:ascii="宋体" w:hAnsi="宋体" w:cs="宋体"/>
          <w:b/>
          <w:color w:val="auto"/>
          <w:sz w:val="30"/>
          <w:szCs w:val="30"/>
          <w:highlight w:val="none"/>
        </w:rPr>
        <w:t>前附表</w:t>
      </w:r>
    </w:p>
    <w:tbl>
      <w:tblPr>
        <w:tblStyle w:val="41"/>
        <w:tblW w:w="10105"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7633"/>
      </w:tblGrid>
      <w:tr w14:paraId="75DE3FF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51" w:hRule="atLeast"/>
          <w:tblHeader/>
          <w:jc w:val="center"/>
        </w:trPr>
        <w:tc>
          <w:tcPr>
            <w:tcW w:w="629" w:type="dxa"/>
            <w:tcBorders>
              <w:top w:val="single" w:color="auto" w:sz="4" w:space="0"/>
              <w:left w:val="single" w:color="auto" w:sz="4" w:space="0"/>
              <w:bottom w:val="single" w:color="auto" w:sz="4" w:space="0"/>
              <w:right w:val="single" w:color="auto" w:sz="4" w:space="0"/>
            </w:tcBorders>
            <w:vAlign w:val="center"/>
          </w:tcPr>
          <w:p w14:paraId="04FCBF70">
            <w:pPr>
              <w:pageBreakBefore w:val="0"/>
              <w:kinsoku/>
              <w:wordWrap/>
              <w:overflowPunct/>
              <w:topLinePunct w:val="0"/>
              <w:bidi w:val="0"/>
              <w:snapToGrid w:val="0"/>
              <w:spacing w:line="24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14:paraId="3B9C0ACA">
            <w:pPr>
              <w:pageBreakBefore w:val="0"/>
              <w:kinsoku/>
              <w:wordWrap/>
              <w:overflowPunct/>
              <w:topLinePunct w:val="0"/>
              <w:bidi w:val="0"/>
              <w:snapToGrid w:val="0"/>
              <w:spacing w:line="24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事项</w:t>
            </w:r>
          </w:p>
        </w:tc>
        <w:tc>
          <w:tcPr>
            <w:tcW w:w="7633" w:type="dxa"/>
            <w:tcBorders>
              <w:top w:val="single" w:color="000000" w:sz="8" w:space="0"/>
              <w:left w:val="single" w:color="000000" w:sz="2" w:space="0"/>
              <w:bottom w:val="single" w:color="000000" w:sz="8" w:space="0"/>
              <w:right w:val="single" w:color="000000" w:sz="8" w:space="0"/>
            </w:tcBorders>
            <w:vAlign w:val="center"/>
          </w:tcPr>
          <w:p w14:paraId="3740C02B">
            <w:pPr>
              <w:pageBreakBefore w:val="0"/>
              <w:kinsoku/>
              <w:wordWrap/>
              <w:overflowPunct/>
              <w:topLinePunct w:val="0"/>
              <w:bidi w:val="0"/>
              <w:snapToGrid w:val="0"/>
              <w:spacing w:line="24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本项目的特别规定</w:t>
            </w:r>
          </w:p>
        </w:tc>
      </w:tr>
      <w:tr w14:paraId="5E6F98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765" w:hRule="atLeast"/>
          <w:tblHeader/>
          <w:jc w:val="center"/>
        </w:trPr>
        <w:tc>
          <w:tcPr>
            <w:tcW w:w="629" w:type="dxa"/>
            <w:tcBorders>
              <w:top w:val="single" w:color="auto" w:sz="4" w:space="0"/>
              <w:left w:val="single" w:color="auto" w:sz="4" w:space="0"/>
              <w:bottom w:val="single" w:color="auto" w:sz="4" w:space="0"/>
              <w:right w:val="single" w:color="auto" w:sz="4" w:space="0"/>
            </w:tcBorders>
            <w:vAlign w:val="center"/>
          </w:tcPr>
          <w:p w14:paraId="0DB0A1AE">
            <w:pPr>
              <w:pageBreakBefore w:val="0"/>
              <w:kinsoku/>
              <w:wordWrap/>
              <w:overflowPunct/>
              <w:topLinePunct w:val="0"/>
              <w:bidi w:val="0"/>
              <w:snapToGrid w:val="0"/>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843" w:type="dxa"/>
            <w:tcBorders>
              <w:top w:val="single" w:color="000000" w:sz="8" w:space="0"/>
              <w:left w:val="single" w:color="auto" w:sz="4" w:space="0"/>
              <w:bottom w:val="single" w:color="000000" w:sz="8" w:space="0"/>
              <w:right w:val="single" w:color="000000" w:sz="8" w:space="0"/>
            </w:tcBorders>
            <w:vAlign w:val="center"/>
          </w:tcPr>
          <w:p w14:paraId="687460FE">
            <w:pPr>
              <w:pageBreakBefore w:val="0"/>
              <w:kinsoku/>
              <w:wordWrap/>
              <w:overflowPunct/>
              <w:topLinePunct w:val="0"/>
              <w:bidi w:val="0"/>
              <w:snapToGrid w:val="0"/>
              <w:spacing w:line="24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项目属性与核心产品</w:t>
            </w:r>
          </w:p>
        </w:tc>
        <w:tc>
          <w:tcPr>
            <w:tcW w:w="7633" w:type="dxa"/>
            <w:tcBorders>
              <w:top w:val="single" w:color="000000" w:sz="8" w:space="0"/>
              <w:left w:val="single" w:color="000000" w:sz="2" w:space="0"/>
              <w:bottom w:val="single" w:color="000000" w:sz="8" w:space="0"/>
              <w:right w:val="single" w:color="000000" w:sz="8" w:space="0"/>
            </w:tcBorders>
            <w:vAlign w:val="center"/>
          </w:tcPr>
          <w:p w14:paraId="65DD3C2A">
            <w:pPr>
              <w:pageBreakBefore w:val="0"/>
              <w:kinsoku/>
              <w:wordWrap/>
              <w:overflowPunct/>
              <w:topLinePunct w:val="0"/>
              <w:bidi w:val="0"/>
              <w:spacing w:line="240" w:lineRule="auto"/>
              <w:textAlignment w:val="auto"/>
              <w:rPr>
                <w:rFonts w:hint="eastAsia" w:ascii="宋体" w:hAnsi="宋体" w:eastAsia="宋体" w:cs="宋体"/>
                <w:color w:val="auto"/>
                <w:sz w:val="24"/>
                <w:szCs w:val="24"/>
                <w:highlight w:val="none"/>
              </w:rPr>
            </w:pPr>
            <w:r>
              <w:rPr>
                <w:rFonts w:hint="eastAsia" w:ascii="宋体" w:hAnsi="宋体" w:cs="宋体"/>
                <w:color w:val="auto"/>
                <w:sz w:val="24"/>
                <w:highlight w:val="none"/>
              </w:rPr>
              <w:t>服务类</w:t>
            </w:r>
          </w:p>
        </w:tc>
      </w:tr>
      <w:tr w14:paraId="1B1E6A1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323" w:hRule="atLeast"/>
          <w:tblHeader/>
          <w:jc w:val="center"/>
        </w:trPr>
        <w:tc>
          <w:tcPr>
            <w:tcW w:w="629" w:type="dxa"/>
            <w:tcBorders>
              <w:top w:val="single" w:color="auto" w:sz="4" w:space="0"/>
              <w:left w:val="single" w:color="auto" w:sz="4" w:space="0"/>
              <w:bottom w:val="single" w:color="auto" w:sz="4" w:space="0"/>
              <w:right w:val="single" w:color="auto" w:sz="4" w:space="0"/>
            </w:tcBorders>
            <w:vAlign w:val="center"/>
          </w:tcPr>
          <w:p w14:paraId="4111CB49">
            <w:pPr>
              <w:pageBreakBefore w:val="0"/>
              <w:kinsoku/>
              <w:wordWrap/>
              <w:overflowPunct/>
              <w:topLinePunct w:val="0"/>
              <w:bidi w:val="0"/>
              <w:snapToGrid w:val="0"/>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843" w:type="dxa"/>
            <w:tcBorders>
              <w:top w:val="single" w:color="000000" w:sz="8" w:space="0"/>
              <w:left w:val="single" w:color="auto" w:sz="4" w:space="0"/>
              <w:bottom w:val="single" w:color="000000" w:sz="8" w:space="0"/>
              <w:right w:val="single" w:color="000000" w:sz="8" w:space="0"/>
            </w:tcBorders>
            <w:vAlign w:val="center"/>
          </w:tcPr>
          <w:p w14:paraId="1E9B5B6B">
            <w:pPr>
              <w:pageBreakBefore w:val="0"/>
              <w:kinsoku/>
              <w:wordWrap/>
              <w:overflowPunct/>
              <w:topLinePunct w:val="0"/>
              <w:bidi w:val="0"/>
              <w:snapToGrid w:val="0"/>
              <w:spacing w:line="24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采购标的及其对应的中小企业划分标准所属行业</w:t>
            </w:r>
          </w:p>
        </w:tc>
        <w:tc>
          <w:tcPr>
            <w:tcW w:w="7633" w:type="dxa"/>
            <w:tcBorders>
              <w:top w:val="single" w:color="000000" w:sz="8" w:space="0"/>
              <w:left w:val="single" w:color="000000" w:sz="2" w:space="0"/>
              <w:bottom w:val="single" w:color="000000" w:sz="8" w:space="0"/>
              <w:right w:val="single" w:color="000000" w:sz="8" w:space="0"/>
            </w:tcBorders>
            <w:vAlign w:val="center"/>
          </w:tcPr>
          <w:p w14:paraId="2242061A">
            <w:pPr>
              <w:pageBreakBefore w:val="0"/>
              <w:kinsoku/>
              <w:wordWrap/>
              <w:overflowPunct/>
              <w:topLinePunct w:val="0"/>
              <w:bidi w:val="0"/>
              <w:snapToGrid w:val="0"/>
              <w:spacing w:line="240" w:lineRule="auto"/>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（1）标的：</w:t>
            </w:r>
            <w:r>
              <w:rPr>
                <w:rFonts w:hint="eastAsia" w:ascii="宋体" w:hAnsi="宋体" w:cs="宋体"/>
                <w:b/>
                <w:bCs/>
                <w:color w:val="auto"/>
                <w:sz w:val="24"/>
                <w:szCs w:val="24"/>
                <w:highlight w:val="none"/>
                <w:u w:val="single"/>
                <w:lang w:val="en-US" w:eastAsia="zh-CN"/>
              </w:rPr>
              <w:t xml:space="preserve"> 中国美术学院教务处学分制教学改革管理平台（三期）建设服务项目</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，属于</w:t>
            </w:r>
            <w:r>
              <w:rPr>
                <w:rFonts w:hint="eastAsia" w:ascii="宋体" w:hAnsi="宋体" w:cs="宋体"/>
                <w:b/>
                <w:bCs/>
                <w:color w:val="auto"/>
                <w:sz w:val="24"/>
                <w:szCs w:val="24"/>
                <w:highlight w:val="none"/>
                <w:u w:val="single"/>
                <w:lang w:val="en-US" w:eastAsia="zh-CN"/>
              </w:rPr>
              <w:t xml:space="preserve"> 软件和信息技术服务业</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行业；</w:t>
            </w:r>
          </w:p>
          <w:p w14:paraId="53F6A872">
            <w:pPr>
              <w:pStyle w:val="5"/>
              <w:pageBreakBefore w:val="0"/>
              <w:tabs>
                <w:tab w:val="left" w:pos="432"/>
              </w:tabs>
              <w:kinsoku/>
              <w:wordWrap/>
              <w:overflowPunct/>
              <w:topLinePunct w:val="0"/>
              <w:bidi w:val="0"/>
              <w:spacing w:before="0" w:after="0" w:line="240" w:lineRule="auto"/>
              <w:ind w:left="17" w:leftChars="0" w:hanging="17" w:hangingChars="7"/>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0"/>
                <w:sz w:val="24"/>
                <w:szCs w:val="24"/>
                <w:highlight w:val="none"/>
                <w:lang w:val="en-US" w:eastAsia="zh-CN"/>
              </w:rPr>
              <w:t>根据</w:t>
            </w:r>
            <w:r>
              <w:rPr>
                <w:rFonts w:hint="eastAsia" w:ascii="宋体" w:hAnsi="宋体" w:eastAsia="宋体" w:cs="宋体"/>
                <w:color w:val="auto"/>
                <w:kern w:val="0"/>
                <w:sz w:val="24"/>
                <w:szCs w:val="24"/>
                <w:highlight w:val="none"/>
              </w:rPr>
              <w:t>《关于印发中小企业划型标准规定的通知》（工信部联企业〔2011〕300）第</w:t>
            </w:r>
            <w:r>
              <w:rPr>
                <w:rFonts w:hint="eastAsia" w:ascii="宋体" w:hAnsi="宋体" w:eastAsia="宋体" w:cs="宋体"/>
                <w:color w:val="auto"/>
                <w:kern w:val="0"/>
                <w:sz w:val="24"/>
                <w:szCs w:val="24"/>
                <w:highlight w:val="none"/>
                <w:lang w:val="en-US" w:eastAsia="zh-CN"/>
              </w:rPr>
              <w:t>四条规定</w:t>
            </w:r>
            <w:r>
              <w:rPr>
                <w:rFonts w:hint="eastAsia" w:ascii="宋体" w:hAnsi="宋体" w:eastAsia="宋体" w:cs="宋体"/>
                <w:color w:val="auto"/>
                <w:kern w:val="0"/>
                <w:sz w:val="24"/>
                <w:szCs w:val="24"/>
                <w:highlight w:val="none"/>
              </w:rPr>
              <w:t>：软件和信息技术服务业</w:t>
            </w:r>
            <w:r>
              <w:rPr>
                <w:rFonts w:hint="eastAsia" w:ascii="宋体" w:hAnsi="宋体" w:eastAsia="宋体" w:cs="宋体"/>
                <w:color w:val="auto"/>
                <w:kern w:val="0"/>
                <w:sz w:val="24"/>
                <w:szCs w:val="24"/>
                <w:highlight w:val="none"/>
                <w:lang w:val="en-US" w:eastAsia="zh-CN"/>
              </w:rPr>
              <w:t>。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tc>
      </w:tr>
      <w:tr w14:paraId="5BC00A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785" w:hRule="atLeast"/>
          <w:tblHeader/>
          <w:jc w:val="center"/>
        </w:trPr>
        <w:tc>
          <w:tcPr>
            <w:tcW w:w="629" w:type="dxa"/>
            <w:tcBorders>
              <w:top w:val="single" w:color="auto" w:sz="4" w:space="0"/>
              <w:left w:val="single" w:color="auto" w:sz="4" w:space="0"/>
              <w:bottom w:val="single" w:color="auto" w:sz="4" w:space="0"/>
              <w:right w:val="single" w:color="auto" w:sz="4" w:space="0"/>
            </w:tcBorders>
            <w:vAlign w:val="center"/>
          </w:tcPr>
          <w:p w14:paraId="3FD70B55">
            <w:pPr>
              <w:pageBreakBefore w:val="0"/>
              <w:kinsoku/>
              <w:wordWrap/>
              <w:overflowPunct/>
              <w:topLinePunct w:val="0"/>
              <w:bidi w:val="0"/>
              <w:snapToGrid w:val="0"/>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1843" w:type="dxa"/>
            <w:tcBorders>
              <w:top w:val="single" w:color="000000" w:sz="8" w:space="0"/>
              <w:left w:val="single" w:color="auto" w:sz="4" w:space="0"/>
              <w:bottom w:val="single" w:color="000000" w:sz="8" w:space="0"/>
              <w:right w:val="single" w:color="000000" w:sz="8" w:space="0"/>
            </w:tcBorders>
            <w:vAlign w:val="center"/>
          </w:tcPr>
          <w:p w14:paraId="42A0BD5C">
            <w:pPr>
              <w:pageBreakBefore w:val="0"/>
              <w:kinsoku/>
              <w:wordWrap/>
              <w:overflowPunct/>
              <w:topLinePunct w:val="0"/>
              <w:bidi w:val="0"/>
              <w:snapToGrid w:val="0"/>
              <w:spacing w:line="24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是否允许采购进口产品</w:t>
            </w:r>
          </w:p>
        </w:tc>
        <w:tc>
          <w:tcPr>
            <w:tcW w:w="7633" w:type="dxa"/>
            <w:tcBorders>
              <w:top w:val="single" w:color="000000" w:sz="8" w:space="0"/>
              <w:left w:val="single" w:color="000000" w:sz="2" w:space="0"/>
              <w:bottom w:val="single" w:color="000000" w:sz="8" w:space="0"/>
              <w:right w:val="single" w:color="000000" w:sz="8" w:space="0"/>
            </w:tcBorders>
            <w:vAlign w:val="center"/>
          </w:tcPr>
          <w:p w14:paraId="651DE62E">
            <w:pPr>
              <w:pageBreakBefore w:val="0"/>
              <w:kinsoku/>
              <w:wordWrap/>
              <w:overflowPunct/>
              <w:topLinePunct w:val="0"/>
              <w:bidi w:val="0"/>
              <w:spacing w:line="240" w:lineRule="auto"/>
              <w:textAlignment w:val="auto"/>
              <w:rPr>
                <w:rFonts w:hint="eastAsia" w:ascii="宋体" w:hAnsi="宋体" w:eastAsia="宋体" w:cs="宋体"/>
                <w:color w:val="auto"/>
                <w:kern w:val="0"/>
                <w:sz w:val="24"/>
                <w:szCs w:val="24"/>
                <w:highlight w:val="none"/>
              </w:rPr>
            </w:pPr>
            <w:sdt>
              <w:sdtPr>
                <w:rPr>
                  <w:rFonts w:hint="eastAsia" w:ascii="宋体" w:hAnsi="宋体" w:eastAsia="宋体" w:cs="宋体"/>
                  <w:color w:val="auto"/>
                  <w:kern w:val="0"/>
                  <w:sz w:val="24"/>
                  <w:szCs w:val="24"/>
                  <w:highlight w:val="none"/>
                </w:rPr>
                <w:id w:val="-1828425707"/>
                <w14:checkbox>
                  <w14:checked w14:val="1"/>
                  <w14:checkedState w14:val="00FE" w14:font="Wingdings"/>
                  <w14:uncheckedState w14:val="2610" w14:font="MS Gothic"/>
                </w14:checkbox>
              </w:sdtPr>
              <w:sdtEndPr>
                <w:rPr>
                  <w:rFonts w:hint="eastAsia" w:ascii="宋体" w:hAnsi="宋体" w:eastAsia="宋体" w:cs="宋体"/>
                  <w:color w:val="auto"/>
                  <w:kern w:val="0"/>
                  <w:sz w:val="24"/>
                  <w:szCs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eastAsia="宋体" w:cs="宋体"/>
                <w:color w:val="auto"/>
                <w:kern w:val="0"/>
                <w:sz w:val="24"/>
                <w:szCs w:val="24"/>
                <w:highlight w:val="none"/>
              </w:rPr>
              <w:t>本项目不允许采购进口产品。</w:t>
            </w:r>
          </w:p>
          <w:p w14:paraId="2B43FBE5">
            <w:pPr>
              <w:pageBreakBefore w:val="0"/>
              <w:kinsoku/>
              <w:wordWrap/>
              <w:overflowPunct/>
              <w:topLinePunct w:val="0"/>
              <w:bidi w:val="0"/>
              <w:spacing w:line="240" w:lineRule="auto"/>
              <w:textAlignment w:val="auto"/>
              <w:rPr>
                <w:rFonts w:hint="eastAsia" w:ascii="宋体" w:hAnsi="宋体" w:eastAsia="宋体" w:cs="宋体"/>
                <w:color w:val="auto"/>
                <w:sz w:val="24"/>
                <w:szCs w:val="24"/>
                <w:highlight w:val="none"/>
              </w:rPr>
            </w:pPr>
            <w:sdt>
              <w:sdtPr>
                <w:rPr>
                  <w:rFonts w:hint="eastAsia" w:ascii="宋体" w:hAnsi="宋体" w:eastAsia="宋体" w:cs="宋体"/>
                  <w:color w:val="auto"/>
                  <w:kern w:val="0"/>
                  <w:sz w:val="24"/>
                  <w:szCs w:val="24"/>
                  <w:highlight w:val="none"/>
                </w:rPr>
                <w:id w:val="-52852824"/>
                <w14:checkbox>
                  <w14:checked w14:val="0"/>
                  <w14:checkedState w14:val="00FE" w14:font="Wingdings"/>
                  <w14:uncheckedState w14:val="2610" w14:font="MS Gothic"/>
                </w14:checkbox>
              </w:sdtPr>
              <w:sdtEndPr>
                <w:rPr>
                  <w:rFonts w:hint="eastAsia" w:ascii="宋体" w:hAnsi="宋体" w:eastAsia="宋体" w:cs="宋体"/>
                  <w:color w:val="auto"/>
                  <w:kern w:val="0"/>
                  <w:sz w:val="24"/>
                  <w:szCs w:val="24"/>
                  <w:highlight w:val="none"/>
                </w:rPr>
              </w:sdtEndPr>
              <w:sdtContent>
                <w:r>
                  <w:rPr>
                    <w:rFonts w:hint="eastAsia" w:ascii="MS Gothic" w:hAnsi="MS Gothic" w:eastAsia="宋体" w:cs="宋体"/>
                    <w:color w:val="auto"/>
                    <w:kern w:val="0"/>
                    <w:sz w:val="24"/>
                    <w:szCs w:val="24"/>
                    <w:highlight w:val="none"/>
                    <w:lang w:val="en-US" w:eastAsia="zh-CN" w:bidi="ar-SA"/>
                  </w:rPr>
                  <w:t>☐</w:t>
                </w:r>
              </w:sdtContent>
            </w:sdt>
            <w:r>
              <w:rPr>
                <w:rFonts w:hint="eastAsia" w:ascii="宋体" w:hAnsi="宋体" w:eastAsia="宋体" w:cs="宋体"/>
                <w:color w:val="auto"/>
                <w:kern w:val="0"/>
                <w:sz w:val="24"/>
                <w:szCs w:val="24"/>
                <w:highlight w:val="none"/>
              </w:rPr>
              <w:t>可以就</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kern w:val="0"/>
                <w:sz w:val="24"/>
                <w:szCs w:val="24"/>
                <w:highlight w:val="none"/>
              </w:rPr>
              <w:t>采购进口产品。</w:t>
            </w:r>
          </w:p>
        </w:tc>
      </w:tr>
      <w:tr w14:paraId="7F9BF5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00" w:hRule="atLeast"/>
          <w:tblHeader/>
          <w:jc w:val="center"/>
        </w:trPr>
        <w:tc>
          <w:tcPr>
            <w:tcW w:w="629" w:type="dxa"/>
            <w:tcBorders>
              <w:top w:val="single" w:color="auto" w:sz="4" w:space="0"/>
              <w:left w:val="single" w:color="auto" w:sz="4" w:space="0"/>
              <w:bottom w:val="single" w:color="auto" w:sz="4" w:space="0"/>
              <w:right w:val="single" w:color="auto" w:sz="4" w:space="0"/>
            </w:tcBorders>
            <w:vAlign w:val="center"/>
          </w:tcPr>
          <w:p w14:paraId="47A8EA66">
            <w:pPr>
              <w:pageBreakBefore w:val="0"/>
              <w:kinsoku/>
              <w:wordWrap/>
              <w:overflowPunct/>
              <w:topLinePunct w:val="0"/>
              <w:bidi w:val="0"/>
              <w:snapToGrid w:val="0"/>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1843" w:type="dxa"/>
            <w:tcBorders>
              <w:top w:val="single" w:color="000000" w:sz="8" w:space="0"/>
              <w:left w:val="single" w:color="auto" w:sz="4" w:space="0"/>
              <w:bottom w:val="single" w:color="000000" w:sz="8" w:space="0"/>
              <w:right w:val="single" w:color="000000" w:sz="8" w:space="0"/>
            </w:tcBorders>
            <w:vAlign w:val="center"/>
          </w:tcPr>
          <w:p w14:paraId="10035EF0">
            <w:pPr>
              <w:pageBreakBefore w:val="0"/>
              <w:kinsoku/>
              <w:wordWrap/>
              <w:overflowPunct/>
              <w:topLinePunct w:val="0"/>
              <w:bidi w:val="0"/>
              <w:snapToGrid w:val="0"/>
              <w:spacing w:line="240" w:lineRule="auto"/>
              <w:ind w:firstLine="482" w:firstLineChars="20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分包</w:t>
            </w:r>
          </w:p>
        </w:tc>
        <w:tc>
          <w:tcPr>
            <w:tcW w:w="7633" w:type="dxa"/>
            <w:tcBorders>
              <w:top w:val="single" w:color="000000" w:sz="8" w:space="0"/>
              <w:left w:val="single" w:color="000000" w:sz="2" w:space="0"/>
              <w:bottom w:val="single" w:color="000000" w:sz="8" w:space="0"/>
              <w:right w:val="single" w:color="000000" w:sz="8" w:space="0"/>
            </w:tcBorders>
            <w:vAlign w:val="center"/>
          </w:tcPr>
          <w:p w14:paraId="6D739F10">
            <w:pPr>
              <w:pageBreakBefore w:val="0"/>
              <w:kinsoku/>
              <w:wordWrap/>
              <w:overflowPunct/>
              <w:topLinePunct w:val="0"/>
              <w:bidi w:val="0"/>
              <w:spacing w:line="240" w:lineRule="auto"/>
              <w:textAlignment w:val="auto"/>
              <w:rPr>
                <w:rFonts w:hint="eastAsia" w:ascii="宋体" w:hAnsi="宋体" w:eastAsia="宋体" w:cs="宋体"/>
                <w:color w:val="auto"/>
                <w:sz w:val="24"/>
                <w:szCs w:val="24"/>
                <w:highlight w:val="none"/>
              </w:rPr>
            </w:pPr>
            <w:sdt>
              <w:sdtPr>
                <w:rPr>
                  <w:rFonts w:hint="eastAsia" w:ascii="宋体" w:hAnsi="宋体" w:eastAsia="宋体" w:cs="宋体"/>
                  <w:color w:val="auto"/>
                  <w:kern w:val="0"/>
                  <w:sz w:val="24"/>
                  <w:szCs w:val="24"/>
                  <w:highlight w:val="none"/>
                </w:rPr>
                <w:id w:val="147468049"/>
                <w14:checkbox>
                  <w14:checked w14:val="1"/>
                  <w14:checkedState w14:val="00FE" w14:font="Wingdings"/>
                  <w14:uncheckedState w14:val="2610" w14:font="MS Gothic"/>
                </w14:checkbox>
              </w:sdtPr>
              <w:sdtEndPr>
                <w:rPr>
                  <w:rFonts w:hint="eastAsia" w:ascii="宋体" w:hAnsi="宋体" w:eastAsia="宋体" w:cs="宋体"/>
                  <w:color w:val="auto"/>
                  <w:kern w:val="0"/>
                  <w:sz w:val="24"/>
                  <w:szCs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eastAsia="宋体" w:cs="宋体"/>
                <w:color w:val="auto"/>
                <w:kern w:val="0"/>
                <w:sz w:val="24"/>
                <w:szCs w:val="24"/>
                <w:highlight w:val="none"/>
              </w:rPr>
              <w:t xml:space="preserve"> A</w:t>
            </w:r>
            <w:r>
              <w:rPr>
                <w:rFonts w:hint="eastAsia" w:ascii="宋体" w:hAnsi="宋体" w:eastAsia="宋体" w:cs="宋体"/>
                <w:color w:val="auto"/>
                <w:sz w:val="24"/>
                <w:szCs w:val="24"/>
                <w:highlight w:val="none"/>
              </w:rPr>
              <w:t>同意将非主体、非关键性的</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培训</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工作分包。</w:t>
            </w:r>
          </w:p>
          <w:p w14:paraId="01BFC34D">
            <w:pPr>
              <w:pageBreakBefore w:val="0"/>
              <w:kinsoku/>
              <w:wordWrap/>
              <w:overflowPunct/>
              <w:topLinePunct w:val="0"/>
              <w:bidi w:val="0"/>
              <w:spacing w:line="240" w:lineRule="auto"/>
              <w:textAlignment w:val="auto"/>
              <w:rPr>
                <w:rFonts w:hint="eastAsia" w:ascii="宋体" w:hAnsi="宋体" w:eastAsia="宋体" w:cs="宋体"/>
                <w:color w:val="auto"/>
                <w:sz w:val="24"/>
                <w:szCs w:val="24"/>
                <w:highlight w:val="none"/>
              </w:rPr>
            </w:pPr>
            <w:sdt>
              <w:sdtPr>
                <w:rPr>
                  <w:rFonts w:hint="eastAsia" w:ascii="宋体" w:hAnsi="宋体" w:eastAsia="宋体" w:cs="宋体"/>
                  <w:color w:val="auto"/>
                  <w:kern w:val="0"/>
                  <w:sz w:val="24"/>
                  <w:szCs w:val="24"/>
                  <w:highlight w:val="none"/>
                </w:rPr>
                <w:id w:val="-1276331357"/>
                <w14:checkbox>
                  <w14:checked w14:val="0"/>
                  <w14:checkedState w14:val="00FE" w14:font="Wingdings"/>
                  <w14:uncheckedState w14:val="2610" w14:font="MS Gothic"/>
                </w14:checkbox>
              </w:sdtPr>
              <w:sdtEndPr>
                <w:rPr>
                  <w:rFonts w:hint="eastAsia" w:ascii="宋体" w:hAnsi="宋体" w:eastAsia="宋体" w:cs="宋体"/>
                  <w:color w:val="auto"/>
                  <w:kern w:val="0"/>
                  <w:sz w:val="24"/>
                  <w:szCs w:val="24"/>
                  <w:highlight w:val="none"/>
                </w:rPr>
              </w:sdtEndPr>
              <w:sdtContent>
                <w:r>
                  <w:rPr>
                    <w:rFonts w:hint="eastAsia" w:ascii="MS Gothic" w:hAnsi="MS Gothic" w:eastAsia="宋体" w:cs="宋体"/>
                    <w:color w:val="auto"/>
                    <w:kern w:val="0"/>
                    <w:sz w:val="24"/>
                    <w:szCs w:val="24"/>
                    <w:highlight w:val="none"/>
                    <w:lang w:val="en-US" w:eastAsia="zh-CN" w:bidi="ar-SA"/>
                  </w:rPr>
                  <w:t>☐</w:t>
                </w:r>
              </w:sdtContent>
            </w:sdt>
            <w:r>
              <w:rPr>
                <w:rFonts w:hint="eastAsia" w:ascii="宋体" w:hAnsi="宋体" w:eastAsia="宋体" w:cs="宋体"/>
                <w:color w:val="auto"/>
                <w:kern w:val="0"/>
                <w:sz w:val="24"/>
                <w:szCs w:val="24"/>
                <w:highlight w:val="none"/>
              </w:rPr>
              <w:t xml:space="preserve"> B</w:t>
            </w:r>
            <w:r>
              <w:rPr>
                <w:rFonts w:hint="eastAsia" w:ascii="宋体" w:hAnsi="宋体" w:eastAsia="宋体" w:cs="宋体"/>
                <w:color w:val="auto"/>
                <w:sz w:val="24"/>
                <w:szCs w:val="24"/>
                <w:highlight w:val="none"/>
              </w:rPr>
              <w:t>不同意分包。</w:t>
            </w:r>
          </w:p>
          <w:p w14:paraId="1F4BDDA4">
            <w:pPr>
              <w:pageBreakBefore w:val="0"/>
              <w:kinsoku/>
              <w:wordWrap/>
              <w:overflowPunct/>
              <w:topLinePunct w:val="0"/>
              <w:bidi w:val="0"/>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注：不得限制大中型企业向小微企业合理分包。</w:t>
            </w:r>
          </w:p>
        </w:tc>
      </w:tr>
      <w:tr w14:paraId="139E79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415" w:hRule="atLeast"/>
          <w:tblHeader/>
          <w:jc w:val="center"/>
        </w:trPr>
        <w:tc>
          <w:tcPr>
            <w:tcW w:w="629" w:type="dxa"/>
            <w:tcBorders>
              <w:top w:val="single" w:color="auto" w:sz="4" w:space="0"/>
              <w:left w:val="single" w:color="auto" w:sz="4" w:space="0"/>
              <w:bottom w:val="single" w:color="auto" w:sz="4" w:space="0"/>
              <w:right w:val="single" w:color="auto" w:sz="4" w:space="0"/>
            </w:tcBorders>
            <w:vAlign w:val="center"/>
          </w:tcPr>
          <w:p w14:paraId="0840315D">
            <w:pPr>
              <w:pageBreakBefore w:val="0"/>
              <w:kinsoku/>
              <w:wordWrap/>
              <w:overflowPunct/>
              <w:topLinePunct w:val="0"/>
              <w:bidi w:val="0"/>
              <w:snapToGrid w:val="0"/>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1843" w:type="dxa"/>
            <w:tcBorders>
              <w:top w:val="single" w:color="000000" w:sz="8" w:space="0"/>
              <w:left w:val="single" w:color="auto" w:sz="4" w:space="0"/>
              <w:bottom w:val="single" w:color="000000" w:sz="8" w:space="0"/>
              <w:right w:val="single" w:color="000000" w:sz="8" w:space="0"/>
            </w:tcBorders>
            <w:vAlign w:val="center"/>
          </w:tcPr>
          <w:p w14:paraId="64C48FF9">
            <w:pPr>
              <w:pageBreakBefore w:val="0"/>
              <w:kinsoku/>
              <w:wordWrap/>
              <w:overflowPunct/>
              <w:topLinePunct w:val="0"/>
              <w:bidi w:val="0"/>
              <w:snapToGrid w:val="0"/>
              <w:spacing w:line="24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开标前答疑会或现场考察</w:t>
            </w:r>
          </w:p>
        </w:tc>
        <w:tc>
          <w:tcPr>
            <w:tcW w:w="7633" w:type="dxa"/>
            <w:tcBorders>
              <w:top w:val="single" w:color="000000" w:sz="8" w:space="0"/>
              <w:left w:val="single" w:color="000000" w:sz="2" w:space="0"/>
              <w:bottom w:val="single" w:color="000000" w:sz="8" w:space="0"/>
              <w:right w:val="single" w:color="000000" w:sz="8" w:space="0"/>
            </w:tcBorders>
            <w:vAlign w:val="center"/>
          </w:tcPr>
          <w:p w14:paraId="1CF2B9FC">
            <w:pPr>
              <w:pageBreakBefore w:val="0"/>
              <w:kinsoku/>
              <w:wordWrap/>
              <w:overflowPunct/>
              <w:topLinePunct w:val="0"/>
              <w:bidi w:val="0"/>
              <w:spacing w:line="240" w:lineRule="auto"/>
              <w:textAlignment w:val="auto"/>
              <w:rPr>
                <w:rFonts w:hint="eastAsia" w:ascii="宋体" w:hAnsi="宋体" w:eastAsia="宋体" w:cs="宋体"/>
                <w:color w:val="auto"/>
                <w:sz w:val="24"/>
                <w:szCs w:val="24"/>
                <w:highlight w:val="none"/>
              </w:rPr>
            </w:pPr>
            <w:sdt>
              <w:sdtPr>
                <w:rPr>
                  <w:rFonts w:hint="eastAsia" w:ascii="宋体" w:hAnsi="宋体" w:eastAsia="宋体" w:cs="宋体"/>
                  <w:color w:val="auto"/>
                  <w:sz w:val="24"/>
                  <w:szCs w:val="24"/>
                  <w:highlight w:val="none"/>
                </w:rPr>
                <w:id w:val="-212966419"/>
                <w14:checkbox>
                  <w14:checked w14:val="1"/>
                  <w14:checkedState w14:val="00FE" w14:font="Wingdings"/>
                  <w14:uncheckedState w14:val="2610" w14:font="MS Gothic"/>
                </w14:checkbox>
              </w:sdtPr>
              <w:sdtEndPr>
                <w:rPr>
                  <w:rFonts w:hint="eastAsia" w:ascii="宋体" w:hAnsi="宋体" w:eastAsia="宋体" w:cs="宋体"/>
                  <w:color w:val="auto"/>
                  <w:sz w:val="24"/>
                  <w:szCs w:val="24"/>
                  <w:highlight w:val="none"/>
                </w:rPr>
              </w:sdtEndPr>
              <w:sdtContent>
                <w:r>
                  <w:rPr>
                    <w:rFonts w:hint="eastAsia" w:ascii="Wingdings" w:hAnsi="Wingdings" w:eastAsia="宋体" w:cs="宋体"/>
                    <w:color w:val="auto"/>
                    <w:kern w:val="2"/>
                    <w:sz w:val="24"/>
                    <w:szCs w:val="24"/>
                    <w:highlight w:val="none"/>
                    <w:lang w:val="en-US" w:eastAsia="zh-CN" w:bidi="ar-SA"/>
                  </w:rPr>
                  <w:t>þ</w:t>
                </w:r>
              </w:sdtContent>
            </w:sdt>
            <w:r>
              <w:rPr>
                <w:rFonts w:hint="eastAsia" w:ascii="宋体" w:hAnsi="宋体" w:eastAsia="宋体" w:cs="宋体"/>
                <w:color w:val="auto"/>
                <w:sz w:val="24"/>
                <w:szCs w:val="24"/>
                <w:highlight w:val="none"/>
              </w:rPr>
              <w:t>A不组织。</w:t>
            </w:r>
          </w:p>
          <w:p w14:paraId="2DC826A4">
            <w:pPr>
              <w:pageBreakBefore w:val="0"/>
              <w:kinsoku/>
              <w:wordWrap/>
              <w:overflowPunct/>
              <w:topLinePunct w:val="0"/>
              <w:bidi w:val="0"/>
              <w:spacing w:line="240" w:lineRule="auto"/>
              <w:textAlignment w:val="auto"/>
              <w:rPr>
                <w:rFonts w:hint="eastAsia" w:ascii="宋体" w:hAnsi="宋体" w:eastAsia="宋体" w:cs="宋体"/>
                <w:color w:val="auto"/>
                <w:sz w:val="24"/>
                <w:szCs w:val="24"/>
                <w:highlight w:val="none"/>
              </w:rPr>
            </w:pPr>
            <w:sdt>
              <w:sdtPr>
                <w:rPr>
                  <w:rFonts w:hint="eastAsia" w:ascii="宋体" w:hAnsi="宋体" w:eastAsia="宋体" w:cs="宋体"/>
                  <w:color w:val="auto"/>
                  <w:sz w:val="24"/>
                  <w:szCs w:val="24"/>
                  <w:highlight w:val="none"/>
                </w:rPr>
                <w:id w:val="-999802974"/>
                <w14:checkbox>
                  <w14:checked w14:val="0"/>
                  <w14:checkedState w14:val="00FE" w14:font="Wingdings"/>
                  <w14:uncheckedState w14:val="2610" w14:font="MS Gothic"/>
                </w14:checkbox>
              </w:sdtPr>
              <w:sdtEndPr>
                <w:rPr>
                  <w:rFonts w:hint="eastAsia" w:ascii="宋体" w:hAnsi="宋体" w:eastAsia="宋体" w:cs="宋体"/>
                  <w:color w:val="auto"/>
                  <w:sz w:val="24"/>
                  <w:szCs w:val="24"/>
                  <w:highlight w:val="none"/>
                </w:rPr>
              </w:sdtEndPr>
              <w:sdtContent>
                <w:r>
                  <w:rPr>
                    <w:rFonts w:hint="eastAsia" w:ascii="MS Gothic" w:hAnsi="MS Gothic" w:eastAsia="宋体" w:cs="宋体"/>
                    <w:color w:val="auto"/>
                    <w:kern w:val="2"/>
                    <w:sz w:val="24"/>
                    <w:szCs w:val="24"/>
                    <w:highlight w:val="none"/>
                    <w:lang w:val="en-US" w:eastAsia="zh-CN" w:bidi="ar-SA"/>
                  </w:rPr>
                  <w:t>☐</w:t>
                </w:r>
              </w:sdtContent>
            </w:sdt>
            <w:r>
              <w:rPr>
                <w:rFonts w:hint="eastAsia" w:ascii="宋体" w:hAnsi="宋体" w:eastAsia="宋体" w:cs="宋体"/>
                <w:color w:val="auto"/>
                <w:sz w:val="24"/>
                <w:szCs w:val="24"/>
                <w:highlight w:val="none"/>
              </w:rPr>
              <w:t>B组织，时间：      ,地点：      ，联系人：      ，联系方式：      。</w:t>
            </w:r>
          </w:p>
          <w:p w14:paraId="7BA6E7DF">
            <w:pPr>
              <w:pStyle w:val="50"/>
              <w:pageBreakBefore w:val="0"/>
              <w:kinsoku/>
              <w:wordWrap/>
              <w:overflowPunct/>
              <w:topLinePunct w:val="0"/>
              <w:bidi w:val="0"/>
              <w:spacing w:line="240" w:lineRule="auto"/>
              <w:ind w:left="0" w:leftChars="0" w:firstLine="0" w:firstLineChars="0"/>
              <w:textAlignment w:val="auto"/>
              <w:rPr>
                <w:rFonts w:hint="eastAsia" w:ascii="宋体" w:hAnsi="宋体" w:eastAsia="宋体" w:cs="宋体"/>
                <w:color w:val="auto"/>
                <w:sz w:val="24"/>
                <w:szCs w:val="24"/>
                <w:highlight w:val="none"/>
              </w:rPr>
            </w:pPr>
            <w:sdt>
              <w:sdtPr>
                <w:rPr>
                  <w:rFonts w:hint="eastAsia" w:ascii="宋体" w:hAnsi="宋体" w:eastAsia="宋体" w:cs="宋体"/>
                  <w:color w:val="auto"/>
                  <w:sz w:val="24"/>
                  <w:szCs w:val="24"/>
                  <w:highlight w:val="none"/>
                </w:rPr>
                <w:id w:val="147481799"/>
                <w14:checkbox>
                  <w14:checked w14:val="0"/>
                  <w14:checkedState w14:val="00FE" w14:font="Wingdings"/>
                  <w14:uncheckedState w14:val="2610" w14:font="MS Gothic"/>
                </w14:checkbox>
              </w:sdtPr>
              <w:sdtEndPr>
                <w:rPr>
                  <w:rFonts w:hint="eastAsia" w:ascii="宋体" w:hAnsi="宋体" w:eastAsia="宋体" w:cs="宋体"/>
                  <w:color w:val="auto"/>
                  <w:sz w:val="24"/>
                  <w:szCs w:val="24"/>
                  <w:highlight w:val="none"/>
                  <w:u w:val="none"/>
                </w:rPr>
              </w:sdtEndPr>
              <w:sdtContent>
                <w:r>
                  <w:rPr>
                    <w:rFonts w:hint="eastAsia" w:ascii="MS Gothic" w:hAnsi="MS Gothic" w:eastAsia="宋体" w:cs="宋体"/>
                    <w:color w:val="auto"/>
                    <w:kern w:val="2"/>
                    <w:sz w:val="24"/>
                    <w:szCs w:val="24"/>
                    <w:highlight w:val="none"/>
                    <w:u w:val="none"/>
                    <w:lang w:val="en-US" w:eastAsia="zh-CN" w:bidi="ar-SA"/>
                  </w:rPr>
                  <w:t>☐</w:t>
                </w:r>
              </w:sdtContent>
            </w:sdt>
            <w:r>
              <w:rPr>
                <w:rFonts w:hint="eastAsia" w:ascii="宋体" w:hAnsi="宋体" w:eastAsia="宋体" w:cs="宋体"/>
                <w:color w:val="auto"/>
                <w:sz w:val="24"/>
                <w:szCs w:val="24"/>
                <w:highlight w:val="none"/>
                <w:u w:val="none"/>
              </w:rPr>
              <w:t>C不统一组织，供应商在获取采购文件后，自行至项目现场考察</w:t>
            </w:r>
            <w:r>
              <w:rPr>
                <w:rFonts w:hint="eastAsia" w:ascii="宋体" w:hAnsi="宋体" w:eastAsia="宋体" w:cs="宋体"/>
                <w:color w:val="auto"/>
                <w:sz w:val="24"/>
                <w:szCs w:val="24"/>
                <w:highlight w:val="none"/>
              </w:rPr>
              <w:t>。</w:t>
            </w:r>
          </w:p>
        </w:tc>
      </w:tr>
      <w:tr w14:paraId="67461E9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773" w:hRule="atLeast"/>
          <w:tblHeader/>
          <w:jc w:val="center"/>
        </w:trPr>
        <w:tc>
          <w:tcPr>
            <w:tcW w:w="629" w:type="dxa"/>
            <w:tcBorders>
              <w:top w:val="single" w:color="auto" w:sz="4" w:space="0"/>
              <w:left w:val="single" w:color="auto" w:sz="4" w:space="0"/>
              <w:bottom w:val="single" w:color="auto" w:sz="4" w:space="0"/>
              <w:right w:val="single" w:color="auto" w:sz="4" w:space="0"/>
            </w:tcBorders>
            <w:vAlign w:val="center"/>
          </w:tcPr>
          <w:p w14:paraId="3F7FA86C">
            <w:pPr>
              <w:pageBreakBefore w:val="0"/>
              <w:kinsoku/>
              <w:wordWrap/>
              <w:overflowPunct/>
              <w:topLinePunct w:val="0"/>
              <w:bidi w:val="0"/>
              <w:snapToGrid w:val="0"/>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c>
          <w:tcPr>
            <w:tcW w:w="1843" w:type="dxa"/>
            <w:tcBorders>
              <w:top w:val="single" w:color="000000" w:sz="8" w:space="0"/>
              <w:left w:val="single" w:color="auto" w:sz="4" w:space="0"/>
              <w:bottom w:val="single" w:color="000000" w:sz="8" w:space="0"/>
              <w:right w:val="single" w:color="000000" w:sz="8" w:space="0"/>
            </w:tcBorders>
            <w:vAlign w:val="center"/>
          </w:tcPr>
          <w:p w14:paraId="55434D30">
            <w:pPr>
              <w:pageBreakBefore w:val="0"/>
              <w:kinsoku/>
              <w:wordWrap/>
              <w:overflowPunct/>
              <w:topLinePunct w:val="0"/>
              <w:bidi w:val="0"/>
              <w:snapToGrid w:val="0"/>
              <w:spacing w:line="24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样品提供</w:t>
            </w:r>
          </w:p>
        </w:tc>
        <w:tc>
          <w:tcPr>
            <w:tcW w:w="7633" w:type="dxa"/>
            <w:tcBorders>
              <w:top w:val="single" w:color="000000" w:sz="8" w:space="0"/>
              <w:left w:val="single" w:color="000000" w:sz="2" w:space="0"/>
              <w:bottom w:val="single" w:color="000000" w:sz="8" w:space="0"/>
              <w:right w:val="single" w:color="000000" w:sz="8" w:space="0"/>
            </w:tcBorders>
            <w:vAlign w:val="center"/>
          </w:tcPr>
          <w:p w14:paraId="257DC369">
            <w:pPr>
              <w:pageBreakBefore w:val="0"/>
              <w:kinsoku/>
              <w:wordWrap/>
              <w:overflowPunct/>
              <w:topLinePunct w:val="0"/>
              <w:bidi w:val="0"/>
              <w:spacing w:line="240" w:lineRule="auto"/>
              <w:textAlignment w:val="auto"/>
              <w:rPr>
                <w:rFonts w:hint="eastAsia" w:ascii="宋体" w:hAnsi="宋体" w:eastAsia="宋体" w:cs="宋体"/>
                <w:color w:val="auto"/>
                <w:sz w:val="24"/>
                <w:szCs w:val="24"/>
                <w:highlight w:val="none"/>
              </w:rPr>
            </w:pPr>
            <w:sdt>
              <w:sdtPr>
                <w:rPr>
                  <w:rFonts w:hint="eastAsia" w:ascii="宋体" w:hAnsi="宋体" w:eastAsia="宋体" w:cs="宋体"/>
                  <w:color w:val="auto"/>
                  <w:kern w:val="0"/>
                  <w:sz w:val="24"/>
                  <w:szCs w:val="24"/>
                  <w:highlight w:val="none"/>
                </w:rPr>
                <w:id w:val="-1639946486"/>
                <w14:checkbox>
                  <w14:checked w14:val="1"/>
                  <w14:checkedState w14:val="00FE" w14:font="Wingdings"/>
                  <w14:uncheckedState w14:val="2610" w14:font="MS Gothic"/>
                </w14:checkbox>
              </w:sdtPr>
              <w:sdtEndPr>
                <w:rPr>
                  <w:rFonts w:hint="eastAsia" w:ascii="宋体" w:hAnsi="宋体" w:eastAsia="宋体" w:cs="宋体"/>
                  <w:color w:val="auto"/>
                  <w:kern w:val="0"/>
                  <w:sz w:val="24"/>
                  <w:szCs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eastAsia="宋体" w:cs="宋体"/>
                <w:color w:val="auto"/>
                <w:kern w:val="0"/>
                <w:sz w:val="24"/>
                <w:szCs w:val="24"/>
                <w:highlight w:val="none"/>
              </w:rPr>
              <w:t>A</w:t>
            </w:r>
            <w:r>
              <w:rPr>
                <w:rFonts w:hint="eastAsia" w:ascii="宋体" w:hAnsi="宋体" w:eastAsia="宋体" w:cs="宋体"/>
                <w:color w:val="auto"/>
                <w:sz w:val="24"/>
                <w:szCs w:val="24"/>
                <w:highlight w:val="none"/>
              </w:rPr>
              <w:t>不要求提供。</w:t>
            </w:r>
          </w:p>
          <w:p w14:paraId="51D07991">
            <w:pPr>
              <w:pageBreakBefore w:val="0"/>
              <w:kinsoku/>
              <w:wordWrap/>
              <w:overflowPunct/>
              <w:topLinePunct w:val="0"/>
              <w:bidi w:val="0"/>
              <w:spacing w:line="240" w:lineRule="auto"/>
              <w:textAlignment w:val="auto"/>
              <w:rPr>
                <w:rFonts w:hint="eastAsia" w:ascii="宋体" w:hAnsi="宋体" w:eastAsia="宋体" w:cs="宋体"/>
                <w:color w:val="auto"/>
                <w:kern w:val="0"/>
                <w:sz w:val="24"/>
                <w:szCs w:val="24"/>
                <w:highlight w:val="none"/>
              </w:rPr>
            </w:pPr>
            <w:sdt>
              <w:sdtPr>
                <w:rPr>
                  <w:rFonts w:hint="eastAsia" w:ascii="宋体" w:hAnsi="宋体" w:eastAsia="宋体" w:cs="宋体"/>
                  <w:color w:val="auto"/>
                  <w:kern w:val="0"/>
                  <w:sz w:val="24"/>
                  <w:szCs w:val="24"/>
                  <w:highlight w:val="none"/>
                </w:rPr>
                <w:id w:val="1026831988"/>
                <w14:checkbox>
                  <w14:checked w14:val="0"/>
                  <w14:checkedState w14:val="00FE" w14:font="Wingdings"/>
                  <w14:uncheckedState w14:val="2610" w14:font="MS Gothic"/>
                </w14:checkbox>
              </w:sdtPr>
              <w:sdtEndPr>
                <w:rPr>
                  <w:rFonts w:hint="eastAsia" w:ascii="宋体" w:hAnsi="宋体" w:eastAsia="宋体" w:cs="宋体"/>
                  <w:color w:val="auto"/>
                  <w:kern w:val="0"/>
                  <w:sz w:val="24"/>
                  <w:szCs w:val="24"/>
                  <w:highlight w:val="none"/>
                </w:rPr>
              </w:sdtEndPr>
              <w:sdtContent>
                <w:r>
                  <w:rPr>
                    <w:rFonts w:hint="eastAsia" w:ascii="宋体" w:hAnsi="宋体" w:eastAsia="宋体" w:cs="宋体"/>
                    <w:color w:val="auto"/>
                    <w:kern w:val="0"/>
                    <w:sz w:val="24"/>
                    <w:szCs w:val="24"/>
                    <w:highlight w:val="none"/>
                  </w:rPr>
                  <w:t>☐</w:t>
                </w:r>
              </w:sdtContent>
            </w:sdt>
            <w:r>
              <w:rPr>
                <w:rFonts w:hint="eastAsia" w:ascii="宋体" w:hAnsi="宋体" w:eastAsia="宋体" w:cs="宋体"/>
                <w:color w:val="auto"/>
                <w:kern w:val="0"/>
                <w:sz w:val="24"/>
                <w:szCs w:val="24"/>
                <w:highlight w:val="none"/>
              </w:rPr>
              <w:t>B要求提供，</w:t>
            </w:r>
          </w:p>
          <w:p w14:paraId="4B24170B">
            <w:pPr>
              <w:pageBreakBefore w:val="0"/>
              <w:kinsoku/>
              <w:wordWrap/>
              <w:overflowPunct/>
              <w:topLinePunct w:val="0"/>
              <w:bidi w:val="0"/>
              <w:spacing w:line="240" w:lineRule="auto"/>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r>
              <w:rPr>
                <w:rFonts w:hint="eastAsia" w:ascii="宋体" w:hAnsi="宋体" w:eastAsia="宋体" w:cs="宋体"/>
                <w:snapToGrid w:val="0"/>
                <w:color w:val="auto"/>
                <w:kern w:val="28"/>
                <w:sz w:val="24"/>
                <w:szCs w:val="24"/>
                <w:highlight w:val="none"/>
              </w:rPr>
              <w:t>样品：</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kern w:val="0"/>
                <w:sz w:val="24"/>
                <w:szCs w:val="24"/>
                <w:highlight w:val="none"/>
              </w:rPr>
              <w:t>；</w:t>
            </w:r>
          </w:p>
          <w:p w14:paraId="55682275">
            <w:pPr>
              <w:pageBreakBefore w:val="0"/>
              <w:kinsoku/>
              <w:wordWrap/>
              <w:overflowPunct/>
              <w:topLinePunct w:val="0"/>
              <w:bidi w:val="0"/>
              <w:spacing w:line="240" w:lineRule="auto"/>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r>
              <w:rPr>
                <w:rFonts w:hint="eastAsia" w:ascii="宋体" w:hAnsi="宋体" w:eastAsia="宋体" w:cs="宋体"/>
                <w:snapToGrid w:val="0"/>
                <w:color w:val="auto"/>
                <w:kern w:val="28"/>
                <w:sz w:val="24"/>
                <w:szCs w:val="24"/>
                <w:highlight w:val="none"/>
              </w:rPr>
              <w:t>样品制作的标准和要求：</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kern w:val="0"/>
                <w:sz w:val="24"/>
                <w:szCs w:val="24"/>
                <w:highlight w:val="none"/>
              </w:rPr>
              <w:t>；</w:t>
            </w:r>
          </w:p>
          <w:p w14:paraId="6253ABEA">
            <w:pPr>
              <w:pageBreakBefore w:val="0"/>
              <w:kinsoku/>
              <w:wordWrap/>
              <w:overflowPunct/>
              <w:topLinePunct w:val="0"/>
              <w:bidi w:val="0"/>
              <w:spacing w:line="240" w:lineRule="auto"/>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（3）样品的评审方法以及评审标准</w:t>
            </w:r>
            <w:r>
              <w:rPr>
                <w:rFonts w:hint="eastAsia" w:ascii="宋体" w:hAnsi="宋体" w:eastAsia="宋体" w:cs="宋体"/>
                <w:snapToGrid w:val="0"/>
                <w:color w:val="auto"/>
                <w:kern w:val="28"/>
                <w:sz w:val="24"/>
                <w:szCs w:val="24"/>
                <w:highlight w:val="none"/>
              </w:rPr>
              <w:t>：详见</w:t>
            </w:r>
            <w:r>
              <w:rPr>
                <w:rFonts w:hint="eastAsia" w:ascii="宋体" w:hAnsi="宋体" w:eastAsia="宋体" w:cs="宋体"/>
                <w:color w:val="auto"/>
                <w:sz w:val="24"/>
                <w:szCs w:val="24"/>
                <w:highlight w:val="none"/>
                <w:u w:val="single"/>
              </w:rPr>
              <w:t>评标办法</w:t>
            </w:r>
            <w:r>
              <w:rPr>
                <w:rFonts w:hint="eastAsia" w:ascii="宋体" w:hAnsi="宋体" w:eastAsia="宋体" w:cs="宋体"/>
                <w:color w:val="auto"/>
                <w:kern w:val="0"/>
                <w:sz w:val="24"/>
                <w:szCs w:val="24"/>
                <w:highlight w:val="none"/>
              </w:rPr>
              <w:t>；</w:t>
            </w:r>
          </w:p>
          <w:p w14:paraId="7AF5A1FF">
            <w:pPr>
              <w:pageBreakBefore w:val="0"/>
              <w:kinsoku/>
              <w:wordWrap/>
              <w:overflowPunct/>
              <w:topLinePunct w:val="0"/>
              <w:bidi w:val="0"/>
              <w:spacing w:line="240" w:lineRule="auto"/>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（4）是否需要随样品提交检测报告：</w:t>
            </w:r>
            <w:sdt>
              <w:sdtPr>
                <w:rPr>
                  <w:rFonts w:hint="eastAsia" w:ascii="宋体" w:hAnsi="宋体" w:eastAsia="宋体" w:cs="宋体"/>
                  <w:color w:val="auto"/>
                  <w:kern w:val="0"/>
                  <w:sz w:val="24"/>
                  <w:szCs w:val="24"/>
                  <w:highlight w:val="none"/>
                </w:rPr>
                <w:id w:val="1303421454"/>
                <w14:checkbox>
                  <w14:checked w14:val="0"/>
                  <w14:checkedState w14:val="00FE" w14:font="Wingdings"/>
                  <w14:uncheckedState w14:val="2610" w14:font="MS Gothic"/>
                </w14:checkbox>
              </w:sdtPr>
              <w:sdtEndPr>
                <w:rPr>
                  <w:rFonts w:hint="eastAsia" w:ascii="宋体" w:hAnsi="宋体" w:eastAsia="宋体" w:cs="宋体"/>
                  <w:color w:val="auto"/>
                  <w:kern w:val="0"/>
                  <w:sz w:val="24"/>
                  <w:szCs w:val="24"/>
                  <w:highlight w:val="none"/>
                </w:rPr>
              </w:sdtEndPr>
              <w:sdtContent>
                <w:r>
                  <w:rPr>
                    <w:rFonts w:hint="eastAsia" w:ascii="宋体" w:hAnsi="宋体" w:eastAsia="宋体" w:cs="宋体"/>
                    <w:color w:val="auto"/>
                    <w:kern w:val="0"/>
                    <w:sz w:val="24"/>
                    <w:szCs w:val="24"/>
                    <w:highlight w:val="none"/>
                  </w:rPr>
                  <w:t>☐</w:t>
                </w:r>
              </w:sdtContent>
            </w:sdt>
            <w:r>
              <w:rPr>
                <w:rFonts w:hint="eastAsia" w:ascii="宋体" w:hAnsi="宋体" w:eastAsia="宋体" w:cs="宋体"/>
                <w:color w:val="auto"/>
                <w:kern w:val="0"/>
                <w:sz w:val="24"/>
                <w:szCs w:val="24"/>
                <w:highlight w:val="none"/>
              </w:rPr>
              <w:t>否；</w:t>
            </w:r>
            <w:sdt>
              <w:sdtPr>
                <w:rPr>
                  <w:rFonts w:hint="eastAsia" w:ascii="宋体" w:hAnsi="宋体" w:eastAsia="宋体" w:cs="宋体"/>
                  <w:color w:val="auto"/>
                  <w:kern w:val="0"/>
                  <w:sz w:val="24"/>
                  <w:szCs w:val="24"/>
                  <w:highlight w:val="none"/>
                </w:rPr>
                <w:id w:val="1621728433"/>
                <w14:checkbox>
                  <w14:checked w14:val="0"/>
                  <w14:checkedState w14:val="00FE" w14:font="Wingdings"/>
                  <w14:uncheckedState w14:val="2610" w14:font="MS Gothic"/>
                </w14:checkbox>
              </w:sdtPr>
              <w:sdtEndPr>
                <w:rPr>
                  <w:rFonts w:hint="eastAsia" w:ascii="宋体" w:hAnsi="宋体" w:eastAsia="宋体" w:cs="宋体"/>
                  <w:color w:val="auto"/>
                  <w:kern w:val="0"/>
                  <w:sz w:val="24"/>
                  <w:szCs w:val="24"/>
                  <w:highlight w:val="none"/>
                </w:rPr>
              </w:sdtEndPr>
              <w:sdtContent>
                <w:r>
                  <w:rPr>
                    <w:rFonts w:hint="eastAsia" w:ascii="宋体" w:hAnsi="宋体" w:eastAsia="宋体" w:cs="宋体"/>
                    <w:color w:val="auto"/>
                    <w:kern w:val="0"/>
                    <w:sz w:val="24"/>
                    <w:szCs w:val="24"/>
                    <w:highlight w:val="none"/>
                  </w:rPr>
                  <w:t>☐</w:t>
                </w:r>
              </w:sdtContent>
            </w:sdt>
            <w:r>
              <w:rPr>
                <w:rFonts w:hint="eastAsia" w:ascii="宋体" w:hAnsi="宋体" w:eastAsia="宋体" w:cs="宋体"/>
                <w:color w:val="auto"/>
                <w:kern w:val="0"/>
                <w:sz w:val="24"/>
                <w:szCs w:val="24"/>
                <w:highlight w:val="none"/>
              </w:rPr>
              <w:t>是，检测机构的要求</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kern w:val="0"/>
                <w:sz w:val="24"/>
                <w:szCs w:val="24"/>
                <w:highlight w:val="none"/>
              </w:rPr>
              <w:t>；检测内容</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kern w:val="0"/>
                <w:sz w:val="24"/>
                <w:szCs w:val="24"/>
                <w:highlight w:val="none"/>
              </w:rPr>
              <w:t>。</w:t>
            </w:r>
          </w:p>
          <w:p w14:paraId="1F9E8073">
            <w:pPr>
              <w:pageBreakBefore w:val="0"/>
              <w:kinsoku/>
              <w:wordWrap/>
              <w:overflowPunct/>
              <w:topLinePunct w:val="0"/>
              <w:bidi w:val="0"/>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（5）提供样品的时间：</w:t>
            </w:r>
            <w:r>
              <w:rPr>
                <w:rFonts w:hint="eastAsia" w:ascii="宋体" w:hAnsi="宋体" w:eastAsia="宋体" w:cs="宋体"/>
                <w:b/>
                <w:bCs/>
                <w:color w:val="auto"/>
                <w:sz w:val="24"/>
                <w:szCs w:val="24"/>
                <w:highlight w:val="none"/>
                <w:u w:val="single"/>
                <w:lang w:val="en-US" w:eastAsia="zh-CN"/>
              </w:rPr>
              <w:t>提交投标文件截止时间前</w:t>
            </w:r>
            <w:r>
              <w:rPr>
                <w:rFonts w:hint="eastAsia" w:ascii="宋体" w:hAnsi="宋体" w:eastAsia="宋体" w:cs="宋体"/>
                <w:color w:val="auto"/>
                <w:kern w:val="0"/>
                <w:sz w:val="24"/>
                <w:szCs w:val="24"/>
                <w:highlight w:val="none"/>
              </w:rPr>
              <w:t>；地点：</w:t>
            </w:r>
            <w:r>
              <w:rPr>
                <w:rFonts w:hint="eastAsia" w:ascii="宋体" w:hAnsi="宋体" w:eastAsia="宋体" w:cs="宋体"/>
                <w:b/>
                <w:bCs/>
                <w:color w:val="auto"/>
                <w:sz w:val="24"/>
                <w:szCs w:val="24"/>
                <w:highlight w:val="none"/>
                <w:u w:val="single"/>
                <w:lang w:val="en-US" w:eastAsia="zh-CN"/>
              </w:rPr>
              <w:t>浙江省杭州市大关路179号远洋国际中心A座170</w:t>
            </w:r>
            <w:r>
              <w:rPr>
                <w:rFonts w:hint="eastAsia" w:ascii="宋体" w:hAnsi="宋体" w:cs="宋体"/>
                <w:b/>
                <w:bCs/>
                <w:color w:val="auto"/>
                <w:sz w:val="24"/>
                <w:szCs w:val="24"/>
                <w:highlight w:val="none"/>
                <w:u w:val="single"/>
                <w:lang w:val="en-US" w:eastAsia="zh-CN"/>
              </w:rPr>
              <w:t>6室</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kern w:val="0"/>
                <w:sz w:val="24"/>
                <w:szCs w:val="24"/>
                <w:highlight w:val="none"/>
              </w:rPr>
              <w:t>；联系人</w:t>
            </w:r>
            <w:r>
              <w:rPr>
                <w:rFonts w:hint="eastAsia" w:ascii="宋体" w:hAnsi="宋体" w:eastAsia="宋体" w:cs="宋体"/>
                <w:color w:val="auto"/>
                <w:sz w:val="24"/>
                <w:szCs w:val="24"/>
                <w:highlight w:val="none"/>
              </w:rPr>
              <w:t>：</w:t>
            </w:r>
            <w:r>
              <w:rPr>
                <w:rFonts w:hint="eastAsia" w:ascii="宋体" w:hAnsi="宋体" w:cs="宋体"/>
                <w:b w:val="0"/>
                <w:bCs w:val="0"/>
                <w:color w:val="auto"/>
                <w:kern w:val="28"/>
                <w:sz w:val="24"/>
                <w:szCs w:val="24"/>
                <w:highlight w:val="none"/>
                <w:u w:val="single"/>
                <w:lang w:val="en-US" w:eastAsia="zh-CN"/>
              </w:rPr>
              <w:t xml:space="preserve">陈梦菲 </w:t>
            </w:r>
            <w:r>
              <w:rPr>
                <w:rFonts w:hint="eastAsia" w:ascii="宋体" w:hAnsi="宋体" w:eastAsia="宋体" w:cs="宋体"/>
                <w:color w:val="auto"/>
                <w:sz w:val="24"/>
                <w:szCs w:val="24"/>
                <w:highlight w:val="none"/>
              </w:rPr>
              <w:t>，</w:t>
            </w:r>
            <w:r>
              <w:rPr>
                <w:rFonts w:hint="eastAsia" w:ascii="宋体" w:hAnsi="宋体" w:eastAsia="宋体" w:cs="宋体"/>
                <w:color w:val="auto"/>
                <w:kern w:val="28"/>
                <w:sz w:val="24"/>
                <w:szCs w:val="24"/>
                <w:highlight w:val="none"/>
              </w:rPr>
              <w:t>联系电话：</w:t>
            </w:r>
            <w:r>
              <w:rPr>
                <w:rFonts w:hint="eastAsia" w:cs="宋体" w:asciiTheme="minorEastAsia" w:hAnsiTheme="minorEastAsia" w:eastAsiaTheme="minorEastAsia"/>
                <w:b/>
                <w:bCs/>
                <w:color w:val="auto"/>
                <w:kern w:val="28"/>
                <w:sz w:val="24"/>
                <w:highlight w:val="none"/>
                <w:u w:val="single"/>
              </w:rPr>
              <w:t>0571-56321030、87981527</w:t>
            </w:r>
            <w:r>
              <w:rPr>
                <w:rFonts w:hint="eastAsia" w:ascii="宋体" w:hAnsi="宋体" w:eastAsia="宋体" w:cs="宋体"/>
                <w:color w:val="auto"/>
                <w:sz w:val="24"/>
                <w:szCs w:val="24"/>
                <w:highlight w:val="none"/>
              </w:rPr>
              <w:t>。请投标人在上述时间内提供样品并按规定位置安装完毕。超过截止时间的，采购人或采购代理机构将不予接收，并将清场并封闭样品现场。</w:t>
            </w:r>
          </w:p>
          <w:p w14:paraId="7F66B46F">
            <w:pPr>
              <w:pageBreakBefore w:val="0"/>
              <w:kinsoku/>
              <w:wordWrap/>
              <w:overflowPunct/>
              <w:topLinePunct w:val="0"/>
              <w:bidi w:val="0"/>
              <w:spacing w:line="240" w:lineRule="auto"/>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6</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采购活动结束后，对于未中标人提供的样品，采购人、</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将通知未中标人在规定的时间内取回，逾期未取回的，采购人、</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不负保管义务；对于中标人提供的样品，采购人将进行保管、封存，并作为履约验收的参考。</w:t>
            </w:r>
          </w:p>
          <w:p w14:paraId="17E226A5">
            <w:pPr>
              <w:pageBreakBefore w:val="0"/>
              <w:kinsoku/>
              <w:wordWrap/>
              <w:overflowPunct/>
              <w:topLinePunct w:val="0"/>
              <w:bidi w:val="0"/>
              <w:spacing w:line="240" w:lineRule="auto"/>
              <w:textAlignment w:val="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（7）制作、运输、安装和保管样品所发生的一切费用由投标人自理。</w:t>
            </w:r>
          </w:p>
        </w:tc>
      </w:tr>
      <w:tr w14:paraId="198103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jc w:val="center"/>
        </w:trPr>
        <w:tc>
          <w:tcPr>
            <w:tcW w:w="629" w:type="dxa"/>
            <w:tcBorders>
              <w:top w:val="single" w:color="auto" w:sz="4" w:space="0"/>
              <w:left w:val="single" w:color="auto" w:sz="4" w:space="0"/>
              <w:bottom w:val="single" w:color="auto" w:sz="4" w:space="0"/>
              <w:right w:val="single" w:color="auto" w:sz="4" w:space="0"/>
            </w:tcBorders>
            <w:vAlign w:val="center"/>
          </w:tcPr>
          <w:p w14:paraId="3C37739A">
            <w:pPr>
              <w:pageBreakBefore w:val="0"/>
              <w:kinsoku/>
              <w:wordWrap/>
              <w:overflowPunct/>
              <w:topLinePunct w:val="0"/>
              <w:bidi w:val="0"/>
              <w:snapToGrid w:val="0"/>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c>
          <w:tcPr>
            <w:tcW w:w="1843" w:type="dxa"/>
            <w:tcBorders>
              <w:top w:val="single" w:color="000000" w:sz="8" w:space="0"/>
              <w:left w:val="single" w:color="auto" w:sz="4" w:space="0"/>
              <w:bottom w:val="single" w:color="000000" w:sz="8" w:space="0"/>
              <w:right w:val="single" w:color="000000" w:sz="8" w:space="0"/>
            </w:tcBorders>
            <w:vAlign w:val="center"/>
          </w:tcPr>
          <w:p w14:paraId="4D568471">
            <w:pPr>
              <w:pageBreakBefore w:val="0"/>
              <w:kinsoku/>
              <w:wordWrap/>
              <w:overflowPunct/>
              <w:topLinePunct w:val="0"/>
              <w:bidi w:val="0"/>
              <w:snapToGrid w:val="0"/>
              <w:spacing w:line="240" w:lineRule="auto"/>
              <w:jc w:val="center"/>
              <w:textAlignment w:val="auto"/>
              <w:rPr>
                <w:rFonts w:hint="eastAsia" w:ascii="宋体" w:hAnsi="宋体" w:eastAsia="宋体" w:cs="宋体"/>
                <w:bCs/>
                <w:color w:val="auto"/>
                <w:sz w:val="24"/>
                <w:szCs w:val="24"/>
                <w:highlight w:val="none"/>
              </w:rPr>
            </w:pPr>
            <w:r>
              <w:rPr>
                <w:rFonts w:hint="eastAsia" w:ascii="宋体" w:hAnsi="宋体" w:eastAsia="宋体" w:cs="宋体"/>
                <w:b/>
                <w:color w:val="auto"/>
                <w:sz w:val="24"/>
                <w:szCs w:val="24"/>
                <w:highlight w:val="none"/>
              </w:rPr>
              <w:t>方案讲解演示</w:t>
            </w:r>
          </w:p>
        </w:tc>
        <w:tc>
          <w:tcPr>
            <w:tcW w:w="7633" w:type="dxa"/>
            <w:tcBorders>
              <w:top w:val="single" w:color="000000" w:sz="8" w:space="0"/>
              <w:left w:val="single" w:color="000000" w:sz="2" w:space="0"/>
              <w:bottom w:val="single" w:color="000000" w:sz="8" w:space="0"/>
              <w:right w:val="single" w:color="000000" w:sz="8" w:space="0"/>
            </w:tcBorders>
            <w:vAlign w:val="center"/>
          </w:tcPr>
          <w:p w14:paraId="357B8E7D">
            <w:pPr>
              <w:pageBreakBefore w:val="0"/>
              <w:kinsoku/>
              <w:wordWrap/>
              <w:overflowPunct/>
              <w:topLinePunct w:val="0"/>
              <w:bidi w:val="0"/>
              <w:spacing w:line="240" w:lineRule="auto"/>
              <w:textAlignment w:val="auto"/>
              <w:rPr>
                <w:rFonts w:hint="eastAsia" w:ascii="宋体" w:hAnsi="宋体" w:eastAsia="宋体" w:cs="宋体"/>
                <w:color w:val="auto"/>
                <w:sz w:val="24"/>
                <w:szCs w:val="24"/>
                <w:highlight w:val="none"/>
              </w:rPr>
            </w:pPr>
            <w:sdt>
              <w:sdtPr>
                <w:rPr>
                  <w:rFonts w:hint="eastAsia" w:ascii="宋体" w:hAnsi="宋体" w:eastAsia="宋体" w:cs="宋体"/>
                  <w:color w:val="auto"/>
                  <w:kern w:val="0"/>
                  <w:sz w:val="24"/>
                  <w:szCs w:val="24"/>
                  <w:highlight w:val="none"/>
                </w:rPr>
                <w:id w:val="-1859348549"/>
                <w14:checkbox>
                  <w14:checked w14:val="0"/>
                  <w14:checkedState w14:val="00FE" w14:font="Wingdings"/>
                  <w14:uncheckedState w14:val="2610" w14:font="MS Gothic"/>
                </w14:checkbox>
              </w:sdtPr>
              <w:sdtEndPr>
                <w:rPr>
                  <w:rFonts w:hint="eastAsia" w:ascii="宋体" w:hAnsi="宋体" w:eastAsia="宋体" w:cs="宋体"/>
                  <w:color w:val="auto"/>
                  <w:kern w:val="0"/>
                  <w:sz w:val="24"/>
                  <w:szCs w:val="24"/>
                  <w:highlight w:val="none"/>
                </w:rPr>
              </w:sdtEndPr>
              <w:sdtContent>
                <w:r>
                  <w:rPr>
                    <w:rFonts w:hint="eastAsia" w:ascii="MS Gothic" w:hAnsi="MS Gothic" w:eastAsia="宋体" w:cs="宋体"/>
                    <w:color w:val="auto"/>
                    <w:kern w:val="0"/>
                    <w:sz w:val="24"/>
                    <w:szCs w:val="24"/>
                    <w:highlight w:val="none"/>
                    <w:lang w:val="en-US" w:eastAsia="zh-CN" w:bidi="ar-SA"/>
                  </w:rPr>
                  <w:t>☐</w:t>
                </w:r>
              </w:sdtContent>
            </w:sdt>
            <w:r>
              <w:rPr>
                <w:rFonts w:hint="eastAsia" w:ascii="宋体" w:hAnsi="宋体" w:eastAsia="宋体" w:cs="宋体"/>
                <w:color w:val="auto"/>
                <w:kern w:val="0"/>
                <w:sz w:val="24"/>
                <w:szCs w:val="24"/>
                <w:highlight w:val="none"/>
              </w:rPr>
              <w:t>A</w:t>
            </w:r>
            <w:r>
              <w:rPr>
                <w:rFonts w:hint="eastAsia" w:ascii="宋体" w:hAnsi="宋体" w:eastAsia="宋体" w:cs="宋体"/>
                <w:color w:val="auto"/>
                <w:sz w:val="24"/>
                <w:szCs w:val="24"/>
                <w:highlight w:val="none"/>
              </w:rPr>
              <w:t>不组织。</w:t>
            </w:r>
          </w:p>
          <w:p w14:paraId="2B0E49C5">
            <w:pPr>
              <w:pageBreakBefore w:val="0"/>
              <w:kinsoku/>
              <w:wordWrap/>
              <w:overflowPunct/>
              <w:topLinePunct w:val="0"/>
              <w:bidi w:val="0"/>
              <w:spacing w:line="240" w:lineRule="auto"/>
              <w:textAlignment w:val="auto"/>
              <w:rPr>
                <w:rFonts w:hint="eastAsia" w:ascii="宋体" w:hAnsi="宋体" w:eastAsia="宋体" w:cs="宋体"/>
                <w:color w:val="auto"/>
                <w:kern w:val="0"/>
                <w:sz w:val="24"/>
                <w:szCs w:val="24"/>
                <w:highlight w:val="none"/>
              </w:rPr>
            </w:pPr>
            <w:sdt>
              <w:sdtPr>
                <w:rPr>
                  <w:rFonts w:hint="eastAsia" w:ascii="宋体" w:hAnsi="宋体" w:eastAsia="宋体" w:cs="宋体"/>
                  <w:color w:val="auto"/>
                  <w:kern w:val="0"/>
                  <w:sz w:val="24"/>
                  <w:szCs w:val="24"/>
                  <w:highlight w:val="none"/>
                </w:rPr>
                <w:id w:val="1174071719"/>
                <w14:checkbox>
                  <w14:checked w14:val="1"/>
                  <w14:checkedState w14:val="00FE" w14:font="Wingdings"/>
                  <w14:uncheckedState w14:val="2610" w14:font="MS Gothic"/>
                </w14:checkbox>
              </w:sdtPr>
              <w:sdtEndPr>
                <w:rPr>
                  <w:rFonts w:hint="eastAsia" w:ascii="宋体" w:hAnsi="宋体" w:eastAsia="宋体" w:cs="宋体"/>
                  <w:color w:val="auto"/>
                  <w:kern w:val="0"/>
                  <w:sz w:val="24"/>
                  <w:szCs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eastAsia="宋体" w:cs="宋体"/>
                <w:color w:val="auto"/>
                <w:kern w:val="0"/>
                <w:sz w:val="24"/>
                <w:szCs w:val="24"/>
                <w:highlight w:val="none"/>
              </w:rPr>
              <w:t>B组织。</w:t>
            </w:r>
          </w:p>
          <w:p w14:paraId="5EE6A0D9">
            <w:pPr>
              <w:pageBreakBefore w:val="0"/>
              <w:kinsoku/>
              <w:wordWrap/>
              <w:overflowPunct/>
              <w:topLinePunct w:val="0"/>
              <w:bidi w:val="0"/>
              <w:snapToGrid w:val="0"/>
              <w:spacing w:line="240" w:lineRule="auto"/>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演示方式：</w:t>
            </w:r>
          </w:p>
          <w:p w14:paraId="6476678F">
            <w:pPr>
              <w:pageBreakBefore w:val="0"/>
              <w:kinsoku/>
              <w:wordWrap/>
              <w:overflowPunct/>
              <w:topLinePunct w:val="0"/>
              <w:bidi w:val="0"/>
              <w:snapToGrid w:val="0"/>
              <w:spacing w:line="240" w:lineRule="auto"/>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根据“电子交易/不见面开评标”原则，供应商需将以上讲解过程录制视频，演示时长不超过</w:t>
            </w:r>
            <w:r>
              <w:rPr>
                <w:rFonts w:hint="eastAsia" w:ascii="宋体" w:hAnsi="宋体" w:cs="宋体"/>
                <w:color w:val="auto"/>
                <w:kern w:val="0"/>
                <w:sz w:val="24"/>
                <w:szCs w:val="24"/>
                <w:highlight w:val="none"/>
                <w:lang w:val="en-US" w:eastAsia="zh-CN"/>
              </w:rPr>
              <w:t>15</w:t>
            </w:r>
            <w:r>
              <w:rPr>
                <w:rFonts w:hint="eastAsia" w:ascii="宋体" w:hAnsi="宋体" w:eastAsia="宋体" w:cs="宋体"/>
                <w:color w:val="auto"/>
                <w:kern w:val="0"/>
                <w:sz w:val="24"/>
                <w:szCs w:val="24"/>
                <w:highlight w:val="none"/>
              </w:rPr>
              <w:t>分钟，演示文件格式要求为：MP4或AVI，用U盘介质提交，U盘要符合NTFS或者FAT32的格式（供应商也可同时考入该演示文件播放软件的安装包），不能打开识别的视频文件其风险由供应商自行承担.。</w:t>
            </w:r>
          </w:p>
          <w:p w14:paraId="071A56F0">
            <w:pPr>
              <w:pageBreakBefore w:val="0"/>
              <w:kinsoku/>
              <w:wordWrap/>
              <w:overflowPunct/>
              <w:topLinePunct w:val="0"/>
              <w:bidi w:val="0"/>
              <w:snapToGrid w:val="0"/>
              <w:spacing w:line="240" w:lineRule="auto"/>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演示视频时长不超过15分钟。</w:t>
            </w:r>
          </w:p>
          <w:p w14:paraId="62A26A39">
            <w:pPr>
              <w:pageBreakBefore w:val="0"/>
              <w:kinsoku/>
              <w:wordWrap/>
              <w:overflowPunct/>
              <w:topLinePunct w:val="0"/>
              <w:bidi w:val="0"/>
              <w:snapToGrid w:val="0"/>
              <w:spacing w:line="240" w:lineRule="auto"/>
              <w:textAlignment w:val="auto"/>
              <w:rPr>
                <w:rFonts w:hint="eastAsia" w:ascii="宋体" w:hAnsi="宋体" w:eastAsia="宋体" w:cs="宋体"/>
                <w:b/>
                <w:color w:val="auto"/>
                <w:kern w:val="0"/>
                <w:sz w:val="24"/>
                <w:szCs w:val="24"/>
                <w:highlight w:val="none"/>
                <w:lang w:val="zh-CN"/>
              </w:rPr>
            </w:pPr>
            <w:r>
              <w:rPr>
                <w:rFonts w:hint="eastAsia" w:ascii="宋体" w:hAnsi="宋体" w:eastAsia="宋体" w:cs="宋体"/>
                <w:color w:val="auto"/>
                <w:kern w:val="0"/>
                <w:sz w:val="24"/>
                <w:szCs w:val="24"/>
                <w:highlight w:val="none"/>
              </w:rPr>
              <w:t>注：因投标人自身原因导致无法演示或者演示效果不理想的，责任自负。因平台原因导致本项目方案讲解演示环节无法顺利开展，按照《浙江省政府采购项目电子交易管理暂行办法》相关规定执行。</w:t>
            </w:r>
          </w:p>
        </w:tc>
      </w:tr>
      <w:tr w14:paraId="05592F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jc w:val="center"/>
        </w:trPr>
        <w:tc>
          <w:tcPr>
            <w:tcW w:w="629" w:type="dxa"/>
            <w:tcBorders>
              <w:top w:val="single" w:color="auto" w:sz="4" w:space="0"/>
              <w:left w:val="single" w:color="000000" w:sz="8" w:space="0"/>
              <w:bottom w:val="single" w:color="auto" w:sz="4" w:space="0"/>
              <w:right w:val="single" w:color="000000" w:sz="2" w:space="0"/>
            </w:tcBorders>
            <w:vAlign w:val="center"/>
          </w:tcPr>
          <w:p w14:paraId="683DD141">
            <w:pPr>
              <w:pageBreakBefore w:val="0"/>
              <w:kinsoku/>
              <w:wordWrap/>
              <w:overflowPunct/>
              <w:topLinePunct w:val="0"/>
              <w:bidi w:val="0"/>
              <w:snapToGrid w:val="0"/>
              <w:spacing w:line="24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8</w:t>
            </w:r>
          </w:p>
        </w:tc>
        <w:tc>
          <w:tcPr>
            <w:tcW w:w="1843" w:type="dxa"/>
            <w:tcBorders>
              <w:top w:val="single" w:color="000000" w:sz="8" w:space="0"/>
              <w:left w:val="single" w:color="000000" w:sz="2" w:space="0"/>
              <w:bottom w:val="single" w:color="000000" w:sz="8" w:space="0"/>
              <w:right w:val="single" w:color="000000" w:sz="8" w:space="0"/>
            </w:tcBorders>
            <w:vAlign w:val="center"/>
          </w:tcPr>
          <w:p w14:paraId="7ED0E518">
            <w:pPr>
              <w:pageBreakBefore w:val="0"/>
              <w:kinsoku/>
              <w:wordWrap/>
              <w:overflowPunct/>
              <w:topLinePunct w:val="0"/>
              <w:bidi w:val="0"/>
              <w:snapToGrid w:val="0"/>
              <w:spacing w:line="24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节能产品、环境标志产品</w:t>
            </w:r>
          </w:p>
        </w:tc>
        <w:tc>
          <w:tcPr>
            <w:tcW w:w="7633" w:type="dxa"/>
            <w:tcBorders>
              <w:top w:val="single" w:color="000000" w:sz="8" w:space="0"/>
              <w:left w:val="single" w:color="000000" w:sz="2" w:space="0"/>
              <w:bottom w:val="single" w:color="000000" w:sz="8" w:space="0"/>
              <w:right w:val="single" w:color="000000" w:sz="8" w:space="0"/>
            </w:tcBorders>
            <w:vAlign w:val="center"/>
          </w:tcPr>
          <w:p w14:paraId="221558E8">
            <w:pPr>
              <w:pStyle w:val="8"/>
              <w:keepNext w:val="0"/>
              <w:keepLines w:val="0"/>
              <w:suppressLineNumbers w:val="0"/>
              <w:adjustRightInd w:val="0"/>
              <w:snapToGrid w:val="0"/>
              <w:spacing w:before="0" w:beforeLines="0" w:beforeAutospacing="0" w:after="0" w:afterLines="0" w:afterAutospacing="0" w:line="240" w:lineRule="auto"/>
              <w:ind w:left="0" w:right="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sym w:font="Wingdings 2" w:char="00A3"/>
            </w:r>
            <w:r>
              <w:rPr>
                <w:rFonts w:hint="eastAsia" w:ascii="宋体" w:hAnsi="宋体" w:eastAsia="宋体" w:cs="宋体"/>
                <w:color w:val="auto"/>
                <w:sz w:val="24"/>
                <w:szCs w:val="24"/>
                <w:highlight w:val="none"/>
              </w:rPr>
              <w:t xml:space="preserve">适用  </w:t>
            </w:r>
            <w:r>
              <w:rPr>
                <w:rFonts w:hint="eastAsia" w:ascii="宋体" w:hAnsi="宋体" w:eastAsia="宋体" w:cs="宋体"/>
                <w:color w:val="auto"/>
                <w:sz w:val="24"/>
                <w:szCs w:val="24"/>
                <w:highlight w:val="none"/>
              </w:rPr>
              <w:sym w:font="Wingdings 2" w:char="0052"/>
            </w:r>
            <w:r>
              <w:rPr>
                <w:rFonts w:hint="eastAsia" w:ascii="宋体" w:hAnsi="宋体" w:eastAsia="宋体" w:cs="宋体"/>
                <w:color w:val="auto"/>
                <w:sz w:val="24"/>
                <w:szCs w:val="24"/>
                <w:highlight w:val="none"/>
              </w:rPr>
              <w:t xml:space="preserve">不适用  </w:t>
            </w:r>
          </w:p>
          <w:p w14:paraId="39CC3B3A">
            <w:pPr>
              <w:pStyle w:val="8"/>
              <w:keepNext w:val="0"/>
              <w:keepLines w:val="0"/>
              <w:suppressLineNumbers w:val="0"/>
              <w:adjustRightInd w:val="0"/>
              <w:snapToGrid w:val="0"/>
              <w:spacing w:before="0" w:beforeLines="0" w:beforeAutospacing="0" w:after="0" w:afterLines="0" w:afterAutospacing="0" w:line="240" w:lineRule="auto"/>
              <w:ind w:left="0" w:right="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严格执行《财政部 发展改革委 生态环境部市场监管总局关于调整优化节能产品、环境标志产品政府采购执行机制的通知》（财库〔2019〕9号）。</w:t>
            </w:r>
          </w:p>
          <w:p w14:paraId="0D0BB26B">
            <w:pPr>
              <w:pStyle w:val="8"/>
              <w:keepNext w:val="0"/>
              <w:keepLines w:val="0"/>
              <w:suppressLineNumbers w:val="0"/>
              <w:adjustRightInd w:val="0"/>
              <w:snapToGrid w:val="0"/>
              <w:spacing w:before="0" w:beforeLines="0" w:beforeAutospacing="0" w:after="0" w:afterLines="0" w:afterAutospacing="0" w:line="240" w:lineRule="auto"/>
              <w:ind w:left="0" w:right="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p w14:paraId="304C5389">
            <w:pPr>
              <w:pStyle w:val="8"/>
              <w:keepNext w:val="0"/>
              <w:keepLines w:val="0"/>
              <w:suppressLineNumbers w:val="0"/>
              <w:adjustRightInd w:val="0"/>
              <w:snapToGrid w:val="0"/>
              <w:spacing w:before="0" w:beforeLines="0" w:beforeAutospacing="0" w:after="0" w:afterLines="0" w:afterAutospacing="0" w:line="240" w:lineRule="auto"/>
              <w:ind w:left="0" w:right="0"/>
              <w:jc w:val="left"/>
              <w:rPr>
                <w:rFonts w:hint="eastAsia" w:ascii="宋体" w:hAnsi="宋体" w:eastAsia="宋体" w:cs="宋体"/>
                <w:b/>
                <w:bCs/>
                <w:color w:val="auto"/>
                <w:sz w:val="24"/>
                <w:szCs w:val="24"/>
                <w:highlight w:val="none"/>
                <w:lang w:eastAsia="zh-CN"/>
              </w:rPr>
            </w:pPr>
            <w:r>
              <w:rPr>
                <w:rFonts w:hint="eastAsia" w:ascii="宋体" w:hAnsi="宋体" w:eastAsia="宋体" w:cs="宋体"/>
                <w:color w:val="auto"/>
                <w:sz w:val="24"/>
                <w:szCs w:val="24"/>
                <w:highlight w:val="none"/>
              </w:rPr>
              <w:t>▲</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val="en-US" w:eastAsia="zh-CN"/>
              </w:rPr>
              <w:t>3</w:t>
            </w:r>
            <w:r>
              <w:rPr>
                <w:rFonts w:hint="eastAsia" w:ascii="宋体" w:hAnsi="宋体" w:eastAsia="宋体" w:cs="宋体"/>
                <w:b/>
                <w:bCs/>
                <w:color w:val="auto"/>
                <w:sz w:val="24"/>
                <w:szCs w:val="24"/>
                <w:highlight w:val="none"/>
              </w:rPr>
              <w:t>）</w:t>
            </w:r>
            <w:r>
              <w:rPr>
                <w:rFonts w:ascii="宋体" w:hAnsi="宋体" w:cs="宋体"/>
                <w:b/>
                <w:bCs/>
                <w:color w:val="auto"/>
                <w:sz w:val="24"/>
                <w:highlight w:val="none"/>
              </w:rPr>
              <w:t>采购人拟采购的产品属于政府强制采购的节能产品品目清单范围的，投标人相应的投标产品未获得国家确定的认证机构出具的、处于有效期之内的节能产品认证证书的</w:t>
            </w:r>
            <w:r>
              <w:rPr>
                <w:rFonts w:hint="eastAsia" w:hAnsi="宋体" w:cs="宋体"/>
                <w:b/>
                <w:bCs/>
                <w:color w:val="auto"/>
                <w:sz w:val="24"/>
                <w:highlight w:val="none"/>
                <w:lang w:val="en-US" w:eastAsia="zh-CN"/>
              </w:rPr>
              <w:t>或未提供投标产品认证证明材料的</w:t>
            </w:r>
            <w:r>
              <w:rPr>
                <w:rFonts w:ascii="宋体" w:hAnsi="宋体" w:cs="宋体"/>
                <w:b/>
                <w:bCs/>
                <w:color w:val="auto"/>
                <w:sz w:val="24"/>
                <w:highlight w:val="none"/>
              </w:rPr>
              <w:t>，投标无效</w:t>
            </w:r>
            <w:r>
              <w:rPr>
                <w:rFonts w:hint="eastAsia" w:hAnsi="宋体" w:cs="宋体"/>
                <w:b/>
                <w:bCs/>
                <w:color w:val="auto"/>
                <w:sz w:val="24"/>
                <w:highlight w:val="none"/>
                <w:lang w:eastAsia="zh-CN"/>
              </w:rPr>
              <w:t>。</w:t>
            </w:r>
          </w:p>
          <w:p w14:paraId="36C4F5EC">
            <w:pPr>
              <w:pStyle w:val="50"/>
              <w:pageBreakBefore w:val="0"/>
              <w:kinsoku/>
              <w:wordWrap/>
              <w:overflowPunct/>
              <w:topLinePunct w:val="0"/>
              <w:bidi w:val="0"/>
              <w:spacing w:line="240" w:lineRule="auto"/>
              <w:ind w:left="0" w:leftChars="0" w:firstLine="0" w:firstLineChars="0"/>
              <w:textAlignment w:val="auto"/>
              <w:rPr>
                <w:rFonts w:hint="eastAsia" w:ascii="宋体" w:hAnsi="宋体" w:eastAsia="宋体" w:cs="宋体"/>
                <w:color w:val="auto"/>
                <w:kern w:val="0"/>
                <w:sz w:val="24"/>
                <w:szCs w:val="24"/>
                <w:highlight w:val="none"/>
                <w:lang w:eastAsia="zh-CN"/>
              </w:rPr>
            </w:pP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lang w:val="en-US" w:eastAsia="zh-CN"/>
              </w:rPr>
              <w:t>4</w:t>
            </w: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rPr>
              <w:t>属于政府优先采购产品类别的，须按照要求提供依据国家确定的认证机构出具的、处于有效期之内的节能产品或环境标志产品认证</w:t>
            </w:r>
            <w:r>
              <w:rPr>
                <w:rFonts w:hint="eastAsia" w:ascii="宋体" w:hAnsi="宋体" w:eastAsia="宋体" w:cs="宋体"/>
                <w:b w:val="0"/>
                <w:bCs w:val="0"/>
                <w:color w:val="auto"/>
                <w:sz w:val="24"/>
                <w:szCs w:val="24"/>
                <w:highlight w:val="none"/>
                <w:lang w:val="en-US" w:eastAsia="zh-CN"/>
              </w:rPr>
              <w:t>证明材料</w:t>
            </w:r>
            <w:r>
              <w:rPr>
                <w:rFonts w:hint="eastAsia" w:ascii="宋体" w:hAnsi="宋体" w:eastAsia="宋体" w:cs="宋体"/>
                <w:b w:val="0"/>
                <w:bCs w:val="0"/>
                <w:color w:val="auto"/>
                <w:sz w:val="24"/>
                <w:szCs w:val="24"/>
                <w:highlight w:val="none"/>
              </w:rPr>
              <w:t>，否则不予认定。</w:t>
            </w:r>
          </w:p>
        </w:tc>
      </w:tr>
      <w:tr w14:paraId="381EFC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jc w:val="center"/>
        </w:trPr>
        <w:tc>
          <w:tcPr>
            <w:tcW w:w="629" w:type="dxa"/>
            <w:tcBorders>
              <w:top w:val="single" w:color="auto" w:sz="4" w:space="0"/>
              <w:left w:val="single" w:color="000000" w:sz="8" w:space="0"/>
              <w:bottom w:val="single" w:color="auto" w:sz="4" w:space="0"/>
              <w:right w:val="single" w:color="000000" w:sz="2" w:space="0"/>
            </w:tcBorders>
            <w:vAlign w:val="center"/>
          </w:tcPr>
          <w:p w14:paraId="7E66EDE7">
            <w:pPr>
              <w:pageBreakBefore w:val="0"/>
              <w:kinsoku/>
              <w:wordWrap/>
              <w:overflowPunct/>
              <w:topLinePunct w:val="0"/>
              <w:bidi w:val="0"/>
              <w:snapToGrid w:val="0"/>
              <w:spacing w:line="24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9</w:t>
            </w:r>
          </w:p>
        </w:tc>
        <w:tc>
          <w:tcPr>
            <w:tcW w:w="1843" w:type="dxa"/>
            <w:tcBorders>
              <w:top w:val="single" w:color="000000" w:sz="8" w:space="0"/>
              <w:left w:val="single" w:color="000000" w:sz="2" w:space="0"/>
              <w:bottom w:val="single" w:color="000000" w:sz="8" w:space="0"/>
              <w:right w:val="single" w:color="000000" w:sz="8" w:space="0"/>
            </w:tcBorders>
            <w:vAlign w:val="center"/>
          </w:tcPr>
          <w:p w14:paraId="29F3F4AB">
            <w:pPr>
              <w:pageBreakBefore w:val="0"/>
              <w:kinsoku/>
              <w:wordWrap/>
              <w:overflowPunct/>
              <w:topLinePunct w:val="0"/>
              <w:bidi w:val="0"/>
              <w:snapToGrid w:val="0"/>
              <w:spacing w:line="24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报价要求</w:t>
            </w:r>
          </w:p>
        </w:tc>
        <w:tc>
          <w:tcPr>
            <w:tcW w:w="7633" w:type="dxa"/>
            <w:tcBorders>
              <w:top w:val="single" w:color="000000" w:sz="8" w:space="0"/>
              <w:left w:val="single" w:color="000000" w:sz="2" w:space="0"/>
              <w:bottom w:val="single" w:color="000000" w:sz="8" w:space="0"/>
              <w:right w:val="single" w:color="000000" w:sz="8" w:space="0"/>
            </w:tcBorders>
            <w:vAlign w:val="center"/>
          </w:tcPr>
          <w:p w14:paraId="4241CA23">
            <w:pPr>
              <w:pageBreakBefore w:val="0"/>
              <w:kinsoku/>
              <w:wordWrap/>
              <w:overflowPunct/>
              <w:topLinePunct w:val="0"/>
              <w:bidi w:val="0"/>
              <w:snapToGrid w:val="0"/>
              <w:spacing w:line="240" w:lineRule="auto"/>
              <w:jc w:val="left"/>
              <w:textAlignment w:val="auto"/>
              <w:rPr>
                <w:rFonts w:hint="eastAsia" w:ascii="宋体" w:hAnsi="宋体" w:eastAsia="宋体" w:cs="宋体"/>
                <w:b/>
                <w:color w:val="auto"/>
                <w:kern w:val="0"/>
                <w:sz w:val="24"/>
                <w:szCs w:val="24"/>
                <w:highlight w:val="none"/>
                <w:lang w:val="zh-CN"/>
              </w:rPr>
            </w:pPr>
            <w:r>
              <w:rPr>
                <w:rFonts w:hint="eastAsia" w:ascii="宋体" w:hAnsi="宋体" w:eastAsia="宋体" w:cs="宋体"/>
                <w:color w:val="auto"/>
                <w:kern w:val="0"/>
                <w:sz w:val="24"/>
                <w:szCs w:val="24"/>
                <w:highlight w:val="none"/>
                <w:lang w:val="zh-CN"/>
              </w:rPr>
              <w:t>有关本项目实施所需的所有费用（含税费）均计入报价。</w:t>
            </w:r>
            <w:r>
              <w:rPr>
                <w:rFonts w:hint="eastAsia" w:ascii="宋体" w:hAnsi="宋体" w:eastAsia="宋体" w:cs="宋体"/>
                <w:b/>
                <w:bCs/>
                <w:color w:val="auto"/>
                <w:kern w:val="0"/>
                <w:sz w:val="24"/>
                <w:szCs w:val="24"/>
                <w:highlight w:val="none"/>
                <w:lang w:val="zh-CN"/>
              </w:rPr>
              <w:t>投标文件</w:t>
            </w:r>
            <w:r>
              <w:rPr>
                <w:rFonts w:hint="eastAsia" w:ascii="宋体" w:hAnsi="宋体" w:eastAsia="宋体" w:cs="宋体"/>
                <w:b/>
                <w:bCs/>
                <w:color w:val="auto"/>
                <w:sz w:val="24"/>
                <w:szCs w:val="24"/>
                <w:highlight w:val="none"/>
              </w:rPr>
              <w:t>开标一览表（报价表）是报价的唯一载体，如投标人在政府采购云平台填写的投标报价与投标文件报价文件中开标一览表（报价表）不一致的，以报价文件中开标一览表（报价表）为准。</w:t>
            </w:r>
            <w:r>
              <w:rPr>
                <w:rFonts w:hint="eastAsia" w:ascii="宋体" w:hAnsi="宋体" w:eastAsia="宋体" w:cs="宋体"/>
                <w:color w:val="auto"/>
                <w:kern w:val="0"/>
                <w:sz w:val="24"/>
                <w:szCs w:val="24"/>
                <w:highlight w:val="none"/>
                <w:lang w:val="zh-CN"/>
              </w:rPr>
              <w:t>投标文件中价格全部采用人民币报价。招标文件未列明，而投标人认为必需的费用也需列入报价。</w:t>
            </w:r>
          </w:p>
          <w:p w14:paraId="003F7949">
            <w:pPr>
              <w:pageBreakBefore w:val="0"/>
              <w:kinsoku/>
              <w:wordWrap/>
              <w:overflowPunct/>
              <w:topLinePunct w:val="0"/>
              <w:bidi w:val="0"/>
              <w:snapToGrid w:val="0"/>
              <w:spacing w:line="240" w:lineRule="auto"/>
              <w:jc w:val="left"/>
              <w:textAlignment w:val="auto"/>
              <w:rPr>
                <w:rFonts w:hint="eastAsia" w:ascii="宋体" w:hAnsi="宋体" w:eastAsia="宋体" w:cs="宋体"/>
                <w:b/>
                <w:color w:val="auto"/>
                <w:kern w:val="0"/>
                <w:sz w:val="24"/>
                <w:szCs w:val="24"/>
                <w:highlight w:val="none"/>
                <w:lang w:val="zh-CN"/>
              </w:rPr>
            </w:pPr>
            <w:r>
              <w:rPr>
                <w:rFonts w:hint="eastAsia" w:ascii="宋体" w:hAnsi="宋体" w:eastAsia="宋体" w:cs="宋体"/>
                <w:b/>
                <w:color w:val="auto"/>
                <w:kern w:val="0"/>
                <w:sz w:val="24"/>
                <w:szCs w:val="24"/>
                <w:highlight w:val="none"/>
                <w:lang w:val="zh-CN"/>
              </w:rPr>
              <w:t>投标报价出现下列情形的，投标无效：</w:t>
            </w:r>
          </w:p>
          <w:p w14:paraId="1F5DEBEE">
            <w:pPr>
              <w:pageBreakBefore w:val="0"/>
              <w:kinsoku/>
              <w:wordWrap/>
              <w:overflowPunct/>
              <w:topLinePunct w:val="0"/>
              <w:bidi w:val="0"/>
              <w:snapToGrid w:val="0"/>
              <w:spacing w:line="240" w:lineRule="auto"/>
              <w:ind w:firstLine="241" w:firstLineChars="100"/>
              <w:jc w:val="left"/>
              <w:textAlignment w:val="auto"/>
              <w:rPr>
                <w:rFonts w:hint="eastAsia" w:ascii="宋体" w:hAnsi="宋体" w:eastAsia="宋体" w:cs="宋体"/>
                <w:b/>
                <w:color w:val="auto"/>
                <w:kern w:val="0"/>
                <w:sz w:val="24"/>
                <w:szCs w:val="24"/>
                <w:highlight w:val="none"/>
                <w:lang w:val="zh-CN"/>
              </w:rPr>
            </w:pPr>
            <w:r>
              <w:rPr>
                <w:rFonts w:hint="eastAsia" w:ascii="宋体" w:hAnsi="宋体" w:eastAsia="宋体" w:cs="宋体"/>
                <w:b/>
                <w:color w:val="auto"/>
                <w:kern w:val="0"/>
                <w:sz w:val="24"/>
                <w:szCs w:val="24"/>
                <w:highlight w:val="none"/>
                <w:lang w:val="zh-CN"/>
              </w:rPr>
              <w:t>投标文件出现不是唯一的、有选择性投标报价的；</w:t>
            </w:r>
          </w:p>
          <w:p w14:paraId="083C46CE">
            <w:pPr>
              <w:pageBreakBefore w:val="0"/>
              <w:kinsoku/>
              <w:wordWrap/>
              <w:overflowPunct/>
              <w:topLinePunct w:val="0"/>
              <w:bidi w:val="0"/>
              <w:snapToGrid w:val="0"/>
              <w:spacing w:line="240" w:lineRule="auto"/>
              <w:ind w:firstLine="241" w:firstLineChars="100"/>
              <w:jc w:val="left"/>
              <w:textAlignment w:val="auto"/>
              <w:rPr>
                <w:rFonts w:hint="eastAsia" w:ascii="宋体" w:hAnsi="宋体" w:eastAsia="宋体" w:cs="宋体"/>
                <w:color w:val="auto"/>
                <w:kern w:val="0"/>
                <w:sz w:val="24"/>
                <w:szCs w:val="24"/>
                <w:highlight w:val="none"/>
                <w:lang w:val="zh-CN"/>
              </w:rPr>
            </w:pPr>
            <w:r>
              <w:rPr>
                <w:rFonts w:hint="eastAsia" w:ascii="宋体" w:hAnsi="宋体" w:eastAsia="宋体" w:cs="宋体"/>
                <w:b/>
                <w:color w:val="auto"/>
                <w:kern w:val="0"/>
                <w:sz w:val="24"/>
                <w:szCs w:val="24"/>
                <w:highlight w:val="none"/>
                <w:lang w:val="zh-CN"/>
              </w:rPr>
              <w:t>投标报价超过招标文件中规定的预算金额或者最高限价的;</w:t>
            </w:r>
          </w:p>
          <w:p w14:paraId="3F3A6EC7">
            <w:pPr>
              <w:pageBreakBefore w:val="0"/>
              <w:kinsoku/>
              <w:wordWrap/>
              <w:overflowPunct/>
              <w:topLinePunct w:val="0"/>
              <w:bidi w:val="0"/>
              <w:spacing w:line="240" w:lineRule="auto"/>
              <w:ind w:firstLine="241" w:firstLineChars="10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kern w:val="0"/>
                <w:sz w:val="24"/>
                <w:szCs w:val="24"/>
                <w:highlight w:val="none"/>
              </w:rPr>
              <w:t>报价明显低于其他通过符合性审查投标人的报价，有可能影响产品质量或者不能诚信履约的，未能按要求提供书面说明或者提交相关证明材料证明其报价合理性的</w:t>
            </w:r>
            <w:r>
              <w:rPr>
                <w:rFonts w:hint="eastAsia" w:ascii="宋体" w:hAnsi="宋体" w:eastAsia="宋体" w:cs="宋体"/>
                <w:b/>
                <w:color w:val="auto"/>
                <w:sz w:val="24"/>
                <w:szCs w:val="24"/>
                <w:highlight w:val="none"/>
              </w:rPr>
              <w:t>;</w:t>
            </w:r>
          </w:p>
          <w:p w14:paraId="1FB092CB">
            <w:pPr>
              <w:pageBreakBefore w:val="0"/>
              <w:kinsoku/>
              <w:wordWrap/>
              <w:overflowPunct/>
              <w:topLinePunct w:val="0"/>
              <w:bidi w:val="0"/>
              <w:spacing w:line="240" w:lineRule="auto"/>
              <w:ind w:firstLine="241" w:firstLineChars="100"/>
              <w:textAlignment w:val="auto"/>
              <w:rPr>
                <w:rFonts w:hint="eastAsia" w:ascii="宋体" w:hAnsi="宋体" w:eastAsia="宋体" w:cs="宋体"/>
                <w:color w:val="auto"/>
                <w:sz w:val="24"/>
                <w:szCs w:val="24"/>
                <w:highlight w:val="none"/>
              </w:rPr>
            </w:pPr>
            <w:r>
              <w:rPr>
                <w:rFonts w:hint="eastAsia" w:ascii="宋体" w:hAnsi="宋体" w:eastAsia="宋体" w:cs="宋体"/>
                <w:b/>
                <w:color w:val="auto"/>
                <w:kern w:val="0"/>
                <w:sz w:val="24"/>
                <w:szCs w:val="24"/>
                <w:highlight w:val="none"/>
              </w:rPr>
              <w:t>投标人对根据修正原则修正后的报价不确认的</w:t>
            </w:r>
            <w:r>
              <w:rPr>
                <w:rFonts w:hint="eastAsia" w:ascii="宋体" w:hAnsi="宋体" w:eastAsia="宋体" w:cs="宋体"/>
                <w:b/>
                <w:color w:val="auto"/>
                <w:sz w:val="24"/>
                <w:szCs w:val="24"/>
                <w:highlight w:val="none"/>
              </w:rPr>
              <w:t>。</w:t>
            </w:r>
          </w:p>
        </w:tc>
      </w:tr>
      <w:tr w14:paraId="00796E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362" w:hRule="atLeast"/>
          <w:tblHeader/>
          <w:jc w:val="center"/>
        </w:trPr>
        <w:tc>
          <w:tcPr>
            <w:tcW w:w="629" w:type="dxa"/>
            <w:tcBorders>
              <w:top w:val="single" w:color="auto" w:sz="4" w:space="0"/>
              <w:left w:val="single" w:color="000000" w:sz="8" w:space="0"/>
              <w:bottom w:val="single" w:color="auto" w:sz="4" w:space="0"/>
              <w:right w:val="single" w:color="000000" w:sz="2" w:space="0"/>
            </w:tcBorders>
            <w:vAlign w:val="center"/>
          </w:tcPr>
          <w:p w14:paraId="1A020F62">
            <w:pPr>
              <w:pageBreakBefore w:val="0"/>
              <w:kinsoku/>
              <w:wordWrap/>
              <w:overflowPunct/>
              <w:topLinePunct w:val="0"/>
              <w:bidi w:val="0"/>
              <w:snapToGrid w:val="0"/>
              <w:spacing w:line="24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w:t>
            </w:r>
            <w:r>
              <w:rPr>
                <w:rFonts w:hint="eastAsia" w:ascii="宋体" w:hAnsi="宋体" w:cs="宋体"/>
                <w:color w:val="auto"/>
                <w:sz w:val="24"/>
                <w:szCs w:val="24"/>
                <w:highlight w:val="none"/>
                <w:lang w:val="en-US" w:eastAsia="zh-CN"/>
              </w:rPr>
              <w:t>0</w:t>
            </w:r>
          </w:p>
        </w:tc>
        <w:tc>
          <w:tcPr>
            <w:tcW w:w="1843" w:type="dxa"/>
            <w:tcBorders>
              <w:top w:val="single" w:color="000000" w:sz="8" w:space="0"/>
              <w:left w:val="single" w:color="000000" w:sz="2" w:space="0"/>
              <w:bottom w:val="single" w:color="auto" w:sz="4" w:space="0"/>
              <w:right w:val="single" w:color="000000" w:sz="8" w:space="0"/>
            </w:tcBorders>
            <w:vAlign w:val="center"/>
          </w:tcPr>
          <w:p w14:paraId="4F2F9A23">
            <w:pPr>
              <w:pageBreakBefore w:val="0"/>
              <w:kinsoku/>
              <w:wordWrap/>
              <w:overflowPunct/>
              <w:topLinePunct w:val="0"/>
              <w:bidi w:val="0"/>
              <w:snapToGrid w:val="0"/>
              <w:spacing w:line="24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备份投标文件送达地点和签收人员 </w:t>
            </w:r>
          </w:p>
        </w:tc>
        <w:tc>
          <w:tcPr>
            <w:tcW w:w="7633" w:type="dxa"/>
            <w:tcBorders>
              <w:top w:val="single" w:color="000000" w:sz="8" w:space="0"/>
              <w:left w:val="single" w:color="000000" w:sz="2" w:space="0"/>
              <w:bottom w:val="single" w:color="auto" w:sz="4" w:space="0"/>
              <w:right w:val="single" w:color="000000" w:sz="8" w:space="0"/>
            </w:tcBorders>
            <w:vAlign w:val="center"/>
          </w:tcPr>
          <w:p w14:paraId="683DA17E">
            <w:pPr>
              <w:pStyle w:val="8"/>
              <w:pageBreakBefore w:val="0"/>
              <w:kinsoku/>
              <w:wordWrap/>
              <w:overflowPunct/>
              <w:topLinePunct w:val="0"/>
              <w:bidi w:val="0"/>
              <w:spacing w:beforeLines="0" w:afterLines="0" w:line="240" w:lineRule="auto"/>
              <w:textAlignment w:val="auto"/>
              <w:rPr>
                <w:rFonts w:hint="eastAsia" w:ascii="宋体" w:hAnsi="宋体" w:eastAsia="宋体" w:cs="宋体"/>
                <w:color w:val="auto"/>
                <w:kern w:val="28"/>
                <w:sz w:val="24"/>
                <w:szCs w:val="24"/>
                <w:highlight w:val="none"/>
              </w:rPr>
            </w:pPr>
            <w:r>
              <w:rPr>
                <w:rFonts w:hint="eastAsia" w:ascii="宋体" w:hAnsi="宋体" w:eastAsia="宋体" w:cs="宋体"/>
                <w:color w:val="auto"/>
                <w:kern w:val="28"/>
                <w:sz w:val="24"/>
                <w:szCs w:val="24"/>
                <w:highlight w:val="none"/>
              </w:rPr>
              <w:t>备份投标文件送达地点：</w:t>
            </w:r>
            <w:r>
              <w:rPr>
                <w:rFonts w:hint="eastAsia" w:ascii="宋体" w:hAnsi="宋体" w:eastAsia="宋体" w:cs="宋体"/>
                <w:b/>
                <w:bCs/>
                <w:color w:val="auto"/>
                <w:sz w:val="24"/>
                <w:szCs w:val="24"/>
                <w:highlight w:val="none"/>
                <w:u w:val="single"/>
                <w:lang w:val="en-US" w:eastAsia="zh-CN"/>
              </w:rPr>
              <w:t>浙江省杭州市大关路179号远洋国际中心A座1705</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kern w:val="28"/>
                <w:sz w:val="24"/>
                <w:szCs w:val="24"/>
                <w:highlight w:val="none"/>
              </w:rPr>
              <w:t>；备份投标文件签收人员联系电话：</w:t>
            </w:r>
            <w:r>
              <w:rPr>
                <w:rFonts w:hint="eastAsia" w:cs="宋体" w:asciiTheme="minorEastAsia" w:hAnsiTheme="minorEastAsia" w:eastAsiaTheme="minorEastAsia"/>
                <w:color w:val="auto"/>
                <w:kern w:val="28"/>
                <w:sz w:val="24"/>
                <w:szCs w:val="24"/>
                <w:highlight w:val="none"/>
              </w:rPr>
              <w:t>：</w:t>
            </w:r>
            <w:r>
              <w:rPr>
                <w:rFonts w:hint="eastAsia" w:hAnsi="宋体" w:cs="宋体"/>
                <w:b/>
                <w:bCs/>
                <w:color w:val="auto"/>
                <w:kern w:val="28"/>
                <w:sz w:val="24"/>
                <w:szCs w:val="24"/>
                <w:highlight w:val="none"/>
                <w:u w:val="single"/>
                <w:lang w:val="en-US" w:eastAsia="zh-CN"/>
              </w:rPr>
              <w:t>陈梦菲</w:t>
            </w:r>
            <w:r>
              <w:rPr>
                <w:rFonts w:hint="eastAsia" w:ascii="宋体" w:hAnsi="宋体" w:eastAsia="宋体" w:cs="宋体"/>
                <w:b/>
                <w:bCs/>
                <w:color w:val="auto"/>
                <w:kern w:val="28"/>
                <w:sz w:val="24"/>
                <w:szCs w:val="24"/>
                <w:highlight w:val="none"/>
                <w:u w:val="single"/>
              </w:rPr>
              <w:t>0571-56321030、87981527</w:t>
            </w:r>
            <w:r>
              <w:rPr>
                <w:rFonts w:hint="eastAsia" w:ascii="宋体" w:hAnsi="宋体" w:eastAsia="宋体" w:cs="宋体"/>
                <w:color w:val="auto"/>
                <w:sz w:val="24"/>
                <w:szCs w:val="24"/>
                <w:highlight w:val="none"/>
              </w:rPr>
              <w:t>。</w:t>
            </w:r>
            <w:r>
              <w:rPr>
                <w:rFonts w:hint="eastAsia" w:ascii="宋体" w:hAnsi="宋体" w:eastAsia="宋体" w:cs="宋体"/>
                <w:b/>
                <w:color w:val="auto"/>
                <w:sz w:val="24"/>
                <w:szCs w:val="24"/>
                <w:highlight w:val="none"/>
              </w:rPr>
              <w:t>采购人、</w:t>
            </w:r>
            <w:r>
              <w:rPr>
                <w:rFonts w:hint="eastAsia" w:ascii="宋体" w:hAnsi="宋体" w:eastAsia="宋体" w:cs="宋体"/>
                <w:b/>
                <w:color w:val="auto"/>
                <w:sz w:val="24"/>
                <w:szCs w:val="24"/>
                <w:highlight w:val="none"/>
                <w:lang w:eastAsia="zh-CN"/>
              </w:rPr>
              <w:t>采购代理机构</w:t>
            </w:r>
            <w:r>
              <w:rPr>
                <w:rFonts w:hint="eastAsia" w:ascii="宋体" w:hAnsi="宋体" w:eastAsia="宋体" w:cs="宋体"/>
                <w:b/>
                <w:color w:val="auto"/>
                <w:sz w:val="24"/>
                <w:szCs w:val="24"/>
                <w:highlight w:val="none"/>
              </w:rPr>
              <w:t>不强制或变相强制投标人提交备份投标文件。</w:t>
            </w:r>
          </w:p>
        </w:tc>
      </w:tr>
      <w:tr w14:paraId="1BB497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jc w:val="center"/>
        </w:trPr>
        <w:tc>
          <w:tcPr>
            <w:tcW w:w="629" w:type="dxa"/>
            <w:vMerge w:val="restart"/>
            <w:tcBorders>
              <w:top w:val="single" w:color="auto" w:sz="4" w:space="0"/>
              <w:left w:val="single" w:color="auto" w:sz="4" w:space="0"/>
              <w:bottom w:val="single" w:color="auto" w:sz="4" w:space="0"/>
              <w:right w:val="single" w:color="auto" w:sz="4" w:space="0"/>
            </w:tcBorders>
            <w:vAlign w:val="center"/>
          </w:tcPr>
          <w:p w14:paraId="064DFF77">
            <w:pPr>
              <w:pageBreakBefore w:val="0"/>
              <w:kinsoku/>
              <w:wordWrap/>
              <w:overflowPunct/>
              <w:topLinePunct w:val="0"/>
              <w:bidi w:val="0"/>
              <w:snapToGrid w:val="0"/>
              <w:spacing w:line="240" w:lineRule="auto"/>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ascii="宋体" w:hAnsi="宋体" w:cs="宋体"/>
                <w:color w:val="auto"/>
                <w:sz w:val="24"/>
                <w:szCs w:val="24"/>
                <w:highlight w:val="none"/>
                <w:lang w:val="en-US" w:eastAsia="zh-CN"/>
              </w:rPr>
              <w:t>1</w:t>
            </w:r>
          </w:p>
        </w:tc>
        <w:tc>
          <w:tcPr>
            <w:tcW w:w="1843" w:type="dxa"/>
            <w:vMerge w:val="restart"/>
            <w:tcBorders>
              <w:top w:val="single" w:color="auto" w:sz="4" w:space="0"/>
              <w:left w:val="single" w:color="auto" w:sz="4" w:space="0"/>
              <w:bottom w:val="single" w:color="auto" w:sz="4" w:space="0"/>
              <w:right w:val="single" w:color="auto" w:sz="4" w:space="0"/>
            </w:tcBorders>
            <w:vAlign w:val="center"/>
          </w:tcPr>
          <w:p w14:paraId="5026C2DB">
            <w:pPr>
              <w:pageBreakBefore w:val="0"/>
              <w:kinsoku/>
              <w:wordWrap/>
              <w:overflowPunct/>
              <w:topLinePunct w:val="0"/>
              <w:bidi w:val="0"/>
              <w:snapToGrid w:val="0"/>
              <w:spacing w:line="24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特别说明</w:t>
            </w:r>
          </w:p>
        </w:tc>
        <w:tc>
          <w:tcPr>
            <w:tcW w:w="7633" w:type="dxa"/>
            <w:tcBorders>
              <w:top w:val="single" w:color="auto" w:sz="4" w:space="0"/>
              <w:left w:val="single" w:color="auto" w:sz="4" w:space="0"/>
              <w:bottom w:val="single" w:color="auto" w:sz="4" w:space="0"/>
              <w:right w:val="single" w:color="auto" w:sz="4" w:space="0"/>
            </w:tcBorders>
            <w:vAlign w:val="center"/>
          </w:tcPr>
          <w:p w14:paraId="0401115A">
            <w:pPr>
              <w:pageBreakBefore w:val="0"/>
              <w:kinsoku/>
              <w:wordWrap/>
              <w:overflowPunct/>
              <w:topLinePunct w:val="0"/>
              <w:bidi w:val="0"/>
              <w:spacing w:line="240" w:lineRule="auto"/>
              <w:textAlignment w:val="auto"/>
              <w:rPr>
                <w:rFonts w:hint="eastAsia" w:ascii="宋体" w:hAnsi="宋体" w:eastAsia="宋体" w:cs="宋体"/>
                <w:snapToGrid w:val="0"/>
                <w:color w:val="auto"/>
                <w:kern w:val="28"/>
                <w:sz w:val="24"/>
                <w:szCs w:val="24"/>
                <w:highlight w:val="none"/>
              </w:rPr>
            </w:pPr>
            <w:r>
              <w:rPr>
                <w:rFonts w:hint="eastAsia" w:ascii="宋体" w:hAnsi="宋体" w:eastAsia="宋体" w:cs="宋体"/>
                <w:snapToGrid w:val="0"/>
                <w:color w:val="auto"/>
                <w:kern w:val="28"/>
                <w:sz w:val="24"/>
                <w:szCs w:val="24"/>
                <w:highlight w:val="none"/>
              </w:rPr>
              <w:t>联合体投标的，联合体各方分别提供与联合体协议中规定的分工内容相应的业绩证明材料，业绩数量以提供材料较少的一方为准。</w:t>
            </w:r>
          </w:p>
        </w:tc>
      </w:tr>
      <w:tr w14:paraId="032D46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385" w:hRule="atLeast"/>
          <w:tblHeader/>
          <w:jc w:val="center"/>
        </w:trPr>
        <w:tc>
          <w:tcPr>
            <w:tcW w:w="629" w:type="dxa"/>
            <w:vMerge w:val="continue"/>
            <w:tcBorders>
              <w:top w:val="single" w:color="auto" w:sz="4" w:space="0"/>
              <w:left w:val="single" w:color="auto" w:sz="4" w:space="0"/>
              <w:bottom w:val="single" w:color="auto" w:sz="4" w:space="0"/>
              <w:right w:val="single" w:color="auto" w:sz="4" w:space="0"/>
            </w:tcBorders>
            <w:vAlign w:val="center"/>
          </w:tcPr>
          <w:p w14:paraId="5D037440">
            <w:pPr>
              <w:pageBreakBefore w:val="0"/>
              <w:kinsoku/>
              <w:wordWrap/>
              <w:overflowPunct/>
              <w:topLinePunct w:val="0"/>
              <w:bidi w:val="0"/>
              <w:snapToGrid w:val="0"/>
              <w:spacing w:line="240" w:lineRule="auto"/>
              <w:jc w:val="center"/>
              <w:textAlignment w:val="auto"/>
              <w:rPr>
                <w:rFonts w:hint="eastAsia" w:ascii="宋体" w:hAnsi="宋体" w:eastAsia="宋体" w:cs="宋体"/>
                <w:color w:val="auto"/>
                <w:sz w:val="24"/>
                <w:szCs w:val="24"/>
                <w:highlight w:val="none"/>
              </w:rPr>
            </w:pPr>
          </w:p>
        </w:tc>
        <w:tc>
          <w:tcPr>
            <w:tcW w:w="1843" w:type="dxa"/>
            <w:vMerge w:val="continue"/>
            <w:tcBorders>
              <w:top w:val="single" w:color="auto" w:sz="4" w:space="0"/>
              <w:left w:val="single" w:color="auto" w:sz="4" w:space="0"/>
              <w:bottom w:val="single" w:color="auto" w:sz="4" w:space="0"/>
              <w:right w:val="single" w:color="auto" w:sz="4" w:space="0"/>
            </w:tcBorders>
            <w:vAlign w:val="center"/>
          </w:tcPr>
          <w:p w14:paraId="3D164D1B">
            <w:pPr>
              <w:pageBreakBefore w:val="0"/>
              <w:kinsoku/>
              <w:wordWrap/>
              <w:overflowPunct/>
              <w:topLinePunct w:val="0"/>
              <w:bidi w:val="0"/>
              <w:snapToGrid w:val="0"/>
              <w:spacing w:line="240" w:lineRule="auto"/>
              <w:jc w:val="center"/>
              <w:textAlignment w:val="auto"/>
              <w:rPr>
                <w:rFonts w:hint="eastAsia" w:ascii="宋体" w:hAnsi="宋体" w:eastAsia="宋体" w:cs="宋体"/>
                <w:b/>
                <w:color w:val="auto"/>
                <w:sz w:val="24"/>
                <w:szCs w:val="24"/>
                <w:highlight w:val="none"/>
              </w:rPr>
            </w:pPr>
          </w:p>
        </w:tc>
        <w:tc>
          <w:tcPr>
            <w:tcW w:w="7633" w:type="dxa"/>
            <w:tcBorders>
              <w:top w:val="single" w:color="auto" w:sz="4" w:space="0"/>
              <w:left w:val="single" w:color="auto" w:sz="4" w:space="0"/>
              <w:bottom w:val="single" w:color="auto" w:sz="4" w:space="0"/>
              <w:right w:val="single" w:color="auto" w:sz="4" w:space="0"/>
            </w:tcBorders>
            <w:vAlign w:val="center"/>
          </w:tcPr>
          <w:p w14:paraId="7B4CA211">
            <w:pPr>
              <w:pageBreakBefore w:val="0"/>
              <w:kinsoku/>
              <w:wordWrap/>
              <w:overflowPunct/>
              <w:topLinePunct w:val="0"/>
              <w:bidi w:val="0"/>
              <w:spacing w:line="240" w:lineRule="auto"/>
              <w:textAlignment w:val="auto"/>
              <w:rPr>
                <w:rFonts w:hint="eastAsia" w:ascii="宋体" w:hAnsi="宋体" w:eastAsia="宋体" w:cs="宋体"/>
                <w:snapToGrid w:val="0"/>
                <w:color w:val="auto"/>
                <w:kern w:val="28"/>
                <w:sz w:val="24"/>
                <w:szCs w:val="24"/>
                <w:highlight w:val="none"/>
              </w:rPr>
            </w:pPr>
            <w:sdt>
              <w:sdtPr>
                <w:rPr>
                  <w:rFonts w:hint="eastAsia" w:ascii="宋体" w:hAnsi="宋体" w:eastAsia="宋体" w:cs="宋体"/>
                  <w:color w:val="auto"/>
                  <w:kern w:val="0"/>
                  <w:sz w:val="24"/>
                  <w:szCs w:val="24"/>
                  <w:highlight w:val="none"/>
                </w:rPr>
                <w:id w:val="-369766551"/>
                <w14:checkbox>
                  <w14:checked w14:val="0"/>
                  <w14:checkedState w14:val="00FE" w14:font="Wingdings"/>
                  <w14:uncheckedState w14:val="2610" w14:font="MS Gothic"/>
                </w14:checkbox>
              </w:sdtPr>
              <w:sdtEndPr>
                <w:rPr>
                  <w:rFonts w:hint="eastAsia" w:ascii="宋体" w:hAnsi="宋体" w:eastAsia="宋体" w:cs="宋体"/>
                  <w:color w:val="auto"/>
                  <w:kern w:val="0"/>
                  <w:sz w:val="24"/>
                  <w:szCs w:val="24"/>
                  <w:highlight w:val="none"/>
                </w:rPr>
              </w:sdtEndPr>
              <w:sdtContent>
                <w:r>
                  <w:rPr>
                    <w:rFonts w:hint="eastAsia" w:ascii="宋体" w:hAnsi="宋体" w:eastAsia="宋体" w:cs="宋体"/>
                    <w:color w:val="auto"/>
                    <w:kern w:val="0"/>
                    <w:sz w:val="24"/>
                    <w:szCs w:val="24"/>
                    <w:highlight w:val="none"/>
                  </w:rPr>
                  <w:t>☐</w:t>
                </w:r>
              </w:sdtContent>
            </w:sdt>
            <w:r>
              <w:rPr>
                <w:rFonts w:hint="eastAsia" w:ascii="宋体" w:hAnsi="宋体" w:eastAsia="宋体" w:cs="宋体"/>
                <w:snapToGrid w:val="0"/>
                <w:color w:val="auto"/>
                <w:kern w:val="28"/>
                <w:sz w:val="24"/>
                <w:szCs w:val="24"/>
                <w:highlight w:val="none"/>
              </w:rPr>
              <w:t>联合体投标的，联合体各方均需按招标文件第</w:t>
            </w:r>
            <w:r>
              <w:rPr>
                <w:rFonts w:hint="eastAsia" w:ascii="宋体" w:hAnsi="宋体" w:cs="宋体"/>
                <w:snapToGrid w:val="0"/>
                <w:color w:val="auto"/>
                <w:kern w:val="28"/>
                <w:sz w:val="24"/>
                <w:szCs w:val="24"/>
                <w:highlight w:val="none"/>
                <w:lang w:val="en-US" w:eastAsia="zh-CN"/>
              </w:rPr>
              <w:t>三</w:t>
            </w:r>
            <w:r>
              <w:rPr>
                <w:rFonts w:hint="eastAsia" w:ascii="宋体" w:hAnsi="宋体" w:eastAsia="宋体" w:cs="宋体"/>
                <w:snapToGrid w:val="0"/>
                <w:color w:val="auto"/>
                <w:kern w:val="28"/>
                <w:sz w:val="24"/>
                <w:szCs w:val="24"/>
                <w:highlight w:val="none"/>
              </w:rPr>
              <w:t>部分评标标准要求提供资信证明文件，否则视为不符合相关要求。</w:t>
            </w:r>
          </w:p>
          <w:p w14:paraId="1C5EA9A3">
            <w:pPr>
              <w:pageBreakBefore w:val="0"/>
              <w:kinsoku/>
              <w:wordWrap/>
              <w:overflowPunct/>
              <w:topLinePunct w:val="0"/>
              <w:bidi w:val="0"/>
              <w:spacing w:line="240" w:lineRule="auto"/>
              <w:textAlignment w:val="auto"/>
              <w:rPr>
                <w:rFonts w:hint="eastAsia" w:ascii="宋体" w:hAnsi="宋体" w:eastAsia="宋体" w:cs="宋体"/>
                <w:snapToGrid w:val="0"/>
                <w:color w:val="auto"/>
                <w:kern w:val="28"/>
                <w:sz w:val="24"/>
                <w:szCs w:val="24"/>
                <w:highlight w:val="none"/>
              </w:rPr>
            </w:pPr>
            <w:sdt>
              <w:sdtPr>
                <w:rPr>
                  <w:rFonts w:hint="eastAsia" w:ascii="宋体" w:hAnsi="宋体" w:eastAsia="宋体" w:cs="宋体"/>
                  <w:color w:val="auto"/>
                  <w:kern w:val="0"/>
                  <w:sz w:val="24"/>
                  <w:szCs w:val="24"/>
                  <w:highlight w:val="none"/>
                </w:rPr>
                <w:id w:val="1052570136"/>
                <w14:checkbox>
                  <w14:checked w14:val="1"/>
                  <w14:checkedState w14:val="00FE" w14:font="Wingdings"/>
                  <w14:uncheckedState w14:val="2610" w14:font="MS Gothic"/>
                </w14:checkbox>
              </w:sdtPr>
              <w:sdtEndPr>
                <w:rPr>
                  <w:rFonts w:hint="eastAsia" w:ascii="宋体" w:hAnsi="宋体" w:eastAsia="宋体" w:cs="宋体"/>
                  <w:color w:val="auto"/>
                  <w:kern w:val="0"/>
                  <w:sz w:val="24"/>
                  <w:szCs w:val="24"/>
                  <w:highlight w:val="none"/>
                </w:rPr>
              </w:sdtEndPr>
              <w:sdtContent>
                <w:r>
                  <w:rPr>
                    <w:rFonts w:hint="eastAsia" w:ascii="宋体" w:hAnsi="宋体" w:eastAsia="宋体" w:cs="宋体"/>
                    <w:color w:val="auto"/>
                    <w:kern w:val="0"/>
                    <w:sz w:val="24"/>
                    <w:szCs w:val="24"/>
                    <w:highlight w:val="none"/>
                  </w:rPr>
                  <w:sym w:font="Wingdings" w:char="F0FE"/>
                </w:r>
              </w:sdtContent>
            </w:sdt>
            <w:r>
              <w:rPr>
                <w:rFonts w:hint="eastAsia" w:ascii="宋体" w:hAnsi="宋体" w:eastAsia="宋体" w:cs="宋体"/>
                <w:snapToGrid w:val="0"/>
                <w:color w:val="auto"/>
                <w:kern w:val="28"/>
                <w:sz w:val="24"/>
                <w:szCs w:val="24"/>
                <w:highlight w:val="none"/>
              </w:rPr>
              <w:t>联合体投标的，联合体中有一方或者联合体成员根据分工按招标文件第</w:t>
            </w:r>
            <w:r>
              <w:rPr>
                <w:rFonts w:hint="eastAsia" w:ascii="宋体" w:hAnsi="宋体" w:cs="宋体"/>
                <w:snapToGrid w:val="0"/>
                <w:color w:val="auto"/>
                <w:kern w:val="28"/>
                <w:sz w:val="24"/>
                <w:szCs w:val="24"/>
                <w:highlight w:val="none"/>
                <w:lang w:val="en-US" w:eastAsia="zh-CN"/>
              </w:rPr>
              <w:t>三</w:t>
            </w:r>
            <w:r>
              <w:rPr>
                <w:rFonts w:hint="eastAsia" w:ascii="宋体" w:hAnsi="宋体" w:eastAsia="宋体" w:cs="宋体"/>
                <w:snapToGrid w:val="0"/>
                <w:color w:val="auto"/>
                <w:kern w:val="28"/>
                <w:sz w:val="24"/>
                <w:szCs w:val="24"/>
                <w:highlight w:val="none"/>
              </w:rPr>
              <w:t>部分评标标准要求提供资信证明文件的，视为符合了相关要求。</w:t>
            </w:r>
          </w:p>
        </w:tc>
      </w:tr>
      <w:tr w14:paraId="1D11AA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841" w:hRule="atLeast"/>
          <w:tblHeader/>
          <w:jc w:val="center"/>
        </w:trPr>
        <w:tc>
          <w:tcPr>
            <w:tcW w:w="629" w:type="dxa"/>
            <w:tcBorders>
              <w:top w:val="single" w:color="auto" w:sz="4" w:space="0"/>
              <w:left w:val="single" w:color="auto" w:sz="4" w:space="0"/>
              <w:bottom w:val="single" w:color="auto" w:sz="4" w:space="0"/>
              <w:right w:val="single" w:color="auto" w:sz="4" w:space="0"/>
            </w:tcBorders>
            <w:vAlign w:val="center"/>
          </w:tcPr>
          <w:p w14:paraId="075D9E95">
            <w:pPr>
              <w:pageBreakBefore w:val="0"/>
              <w:kinsoku/>
              <w:wordWrap/>
              <w:overflowPunct/>
              <w:topLinePunct w:val="0"/>
              <w:bidi w:val="0"/>
              <w:snapToGrid w:val="0"/>
              <w:spacing w:line="240" w:lineRule="auto"/>
              <w:jc w:val="center"/>
              <w:textAlignment w:val="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12</w:t>
            </w:r>
          </w:p>
        </w:tc>
        <w:tc>
          <w:tcPr>
            <w:tcW w:w="1843" w:type="dxa"/>
            <w:tcBorders>
              <w:top w:val="single" w:color="auto" w:sz="4" w:space="0"/>
              <w:left w:val="single" w:color="auto" w:sz="4" w:space="0"/>
              <w:bottom w:val="single" w:color="auto" w:sz="4" w:space="0"/>
              <w:right w:val="single" w:color="auto" w:sz="4" w:space="0"/>
            </w:tcBorders>
            <w:vAlign w:val="center"/>
          </w:tcPr>
          <w:p w14:paraId="66D47B8B">
            <w:pPr>
              <w:pageBreakBefore w:val="0"/>
              <w:kinsoku/>
              <w:wordWrap/>
              <w:overflowPunct/>
              <w:topLinePunct w:val="0"/>
              <w:bidi w:val="0"/>
              <w:snapToGrid w:val="0"/>
              <w:spacing w:line="240" w:lineRule="auto"/>
              <w:jc w:val="center"/>
              <w:textAlignment w:val="auto"/>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val="en" w:eastAsia="zh-CN"/>
              </w:rPr>
              <w:t>中标候选人数量</w:t>
            </w:r>
          </w:p>
        </w:tc>
        <w:tc>
          <w:tcPr>
            <w:tcW w:w="7633" w:type="dxa"/>
            <w:tcBorders>
              <w:top w:val="single" w:color="auto" w:sz="4" w:space="0"/>
              <w:left w:val="single" w:color="auto" w:sz="4" w:space="0"/>
              <w:bottom w:val="single" w:color="auto" w:sz="4" w:space="0"/>
              <w:right w:val="single" w:color="auto" w:sz="4" w:space="0"/>
            </w:tcBorders>
            <w:vAlign w:val="center"/>
          </w:tcPr>
          <w:p w14:paraId="35277CE8">
            <w:pPr>
              <w:pageBreakBefore w:val="0"/>
              <w:kinsoku/>
              <w:wordWrap/>
              <w:overflowPunct/>
              <w:topLinePunct w:val="0"/>
              <w:bidi w:val="0"/>
              <w:spacing w:line="240" w:lineRule="auto"/>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 w:eastAsia="zh-CN"/>
              </w:rPr>
              <w:t>本项目推荐的中标候选人数量：</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cs="宋体"/>
                <w:color w:val="auto"/>
                <w:kern w:val="0"/>
                <w:sz w:val="24"/>
                <w:szCs w:val="24"/>
                <w:highlight w:val="none"/>
                <w:u w:val="single"/>
                <w:lang w:val="en-US" w:eastAsia="zh-CN"/>
              </w:rPr>
              <w:t>1名</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lang w:val="en" w:eastAsia="zh-CN"/>
              </w:rPr>
              <w:t>。</w:t>
            </w:r>
          </w:p>
        </w:tc>
      </w:tr>
      <w:tr w14:paraId="73ECBD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444" w:hRule="atLeast"/>
          <w:tblHeader/>
          <w:jc w:val="center"/>
        </w:trPr>
        <w:tc>
          <w:tcPr>
            <w:tcW w:w="629" w:type="dxa"/>
            <w:tcBorders>
              <w:top w:val="single" w:color="auto" w:sz="4" w:space="0"/>
              <w:left w:val="single" w:color="auto" w:sz="4" w:space="0"/>
              <w:bottom w:val="single" w:color="auto" w:sz="4" w:space="0"/>
              <w:right w:val="single" w:color="auto" w:sz="4" w:space="0"/>
            </w:tcBorders>
            <w:vAlign w:val="center"/>
          </w:tcPr>
          <w:p w14:paraId="5E017088">
            <w:pPr>
              <w:pageBreakBefore w:val="0"/>
              <w:kinsoku/>
              <w:wordWrap/>
              <w:overflowPunct/>
              <w:topLinePunct w:val="0"/>
              <w:bidi w:val="0"/>
              <w:snapToGrid w:val="0"/>
              <w:spacing w:line="240" w:lineRule="auto"/>
              <w:jc w:val="center"/>
              <w:textAlignment w:val="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13</w:t>
            </w:r>
          </w:p>
        </w:tc>
        <w:tc>
          <w:tcPr>
            <w:tcW w:w="1843" w:type="dxa"/>
            <w:tcBorders>
              <w:top w:val="single" w:color="auto" w:sz="4" w:space="0"/>
              <w:left w:val="single" w:color="auto" w:sz="4" w:space="0"/>
              <w:bottom w:val="single" w:color="auto" w:sz="4" w:space="0"/>
              <w:right w:val="single" w:color="auto" w:sz="4" w:space="0"/>
            </w:tcBorders>
            <w:vAlign w:val="center"/>
          </w:tcPr>
          <w:p w14:paraId="2B7201C5">
            <w:pPr>
              <w:pageBreakBefore w:val="0"/>
              <w:kinsoku/>
              <w:wordWrap/>
              <w:overflowPunct/>
              <w:topLinePunct w:val="0"/>
              <w:bidi w:val="0"/>
              <w:snapToGrid w:val="0"/>
              <w:spacing w:line="240" w:lineRule="auto"/>
              <w:jc w:val="center"/>
              <w:textAlignment w:val="auto"/>
              <w:rPr>
                <w:rFonts w:hint="default"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采购代理服务费</w:t>
            </w:r>
          </w:p>
        </w:tc>
        <w:tc>
          <w:tcPr>
            <w:tcW w:w="7633" w:type="dxa"/>
            <w:tcBorders>
              <w:top w:val="single" w:color="auto" w:sz="4" w:space="0"/>
              <w:left w:val="single" w:color="auto" w:sz="4" w:space="0"/>
              <w:bottom w:val="single" w:color="auto" w:sz="4" w:space="0"/>
              <w:right w:val="single" w:color="auto" w:sz="4" w:space="0"/>
            </w:tcBorders>
            <w:vAlign w:val="center"/>
          </w:tcPr>
          <w:p w14:paraId="0BE28792">
            <w:pPr>
              <w:pageBreakBefore w:val="0"/>
              <w:kinsoku/>
              <w:wordWrap/>
              <w:overflowPunct/>
              <w:topLinePunct w:val="0"/>
              <w:bidi w:val="0"/>
              <w:spacing w:line="240" w:lineRule="auto"/>
              <w:textAlignment w:val="auto"/>
              <w:rPr>
                <w:rFonts w:hint="eastAsia" w:ascii="宋体" w:hAnsi="宋体" w:eastAsia="宋体" w:cs="宋体"/>
                <w:color w:val="auto"/>
                <w:kern w:val="0"/>
                <w:sz w:val="24"/>
                <w:szCs w:val="24"/>
                <w:highlight w:val="none"/>
                <w:lang w:val="en" w:eastAsia="zh-CN"/>
              </w:rPr>
            </w:pPr>
            <w:r>
              <w:rPr>
                <w:rFonts w:hint="eastAsia" w:cs="Arial" w:asciiTheme="minorEastAsia" w:hAnsiTheme="minorEastAsia" w:eastAsiaTheme="minorEastAsia"/>
                <w:color w:val="auto"/>
                <w:kern w:val="0"/>
                <w:sz w:val="24"/>
                <w:highlight w:val="none"/>
              </w:rPr>
              <w:t>本次采购代理服务费按成交价作为基数，以每标项为一个计费单位，以原国家计算委《招标代理服务收费管理办法》（计价格[2002]1980号）、国家发展改革委员会办公厅关于招标代理服务收费有关问题的通知（发改办价格[2003]857号）规定和发改价格[2011]534号的收费标准为参照基础，按此基准的80%进行计算（不足3000元时按3000元）。由成交供应商在领取中标通知书时一次性向代理机构支付。该费用在投标文件中不单列，由供应商在投标总报价中综合考虑。</w:t>
            </w:r>
          </w:p>
        </w:tc>
      </w:tr>
      <w:tr w14:paraId="73B315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jc w:val="center"/>
        </w:trPr>
        <w:tc>
          <w:tcPr>
            <w:tcW w:w="629" w:type="dxa"/>
            <w:tcBorders>
              <w:top w:val="single" w:color="auto" w:sz="4" w:space="0"/>
              <w:left w:val="single" w:color="auto" w:sz="4" w:space="0"/>
              <w:bottom w:val="single" w:color="auto" w:sz="4" w:space="0"/>
              <w:right w:val="single" w:color="auto" w:sz="4" w:space="0"/>
            </w:tcBorders>
            <w:vAlign w:val="center"/>
          </w:tcPr>
          <w:p w14:paraId="4C74C3D5">
            <w:pPr>
              <w:pageBreakBefore w:val="0"/>
              <w:kinsoku/>
              <w:wordWrap/>
              <w:overflowPunct/>
              <w:topLinePunct w:val="0"/>
              <w:bidi w:val="0"/>
              <w:snapToGrid w:val="0"/>
              <w:spacing w:line="240" w:lineRule="auto"/>
              <w:jc w:val="center"/>
              <w:textAlignment w:val="auto"/>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14</w:t>
            </w:r>
          </w:p>
        </w:tc>
        <w:tc>
          <w:tcPr>
            <w:tcW w:w="1843" w:type="dxa"/>
            <w:tcBorders>
              <w:top w:val="single" w:color="auto" w:sz="4" w:space="0"/>
              <w:left w:val="single" w:color="auto" w:sz="4" w:space="0"/>
              <w:bottom w:val="single" w:color="auto" w:sz="4" w:space="0"/>
              <w:right w:val="single" w:color="auto" w:sz="4" w:space="0"/>
            </w:tcBorders>
            <w:vAlign w:val="center"/>
          </w:tcPr>
          <w:p w14:paraId="216C211D">
            <w:pPr>
              <w:keepNext w:val="0"/>
              <w:keepLines w:val="0"/>
              <w:pageBreakBefore w:val="0"/>
              <w:suppressLineNumbers w:val="0"/>
              <w:kinsoku/>
              <w:wordWrap/>
              <w:overflowPunct/>
              <w:topLinePunct w:val="0"/>
              <w:bidi w:val="0"/>
              <w:snapToGrid w:val="0"/>
              <w:spacing w:before="0" w:beforeLines="0" w:beforeAutospacing="0" w:after="0" w:afterLines="0" w:afterAutospacing="0" w:line="300" w:lineRule="exact"/>
              <w:ind w:left="0" w:leftChars="0" w:right="0" w:rightChars="0"/>
              <w:jc w:val="center"/>
              <w:textAlignment w:val="auto"/>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lang w:val="en-US" w:eastAsia="zh-CN"/>
              </w:rPr>
              <w:t>特别提醒</w:t>
            </w:r>
          </w:p>
        </w:tc>
        <w:tc>
          <w:tcPr>
            <w:tcW w:w="7633" w:type="dxa"/>
            <w:tcBorders>
              <w:top w:val="single" w:color="auto" w:sz="4" w:space="0"/>
              <w:left w:val="single" w:color="auto" w:sz="4" w:space="0"/>
              <w:bottom w:val="single" w:color="auto" w:sz="4" w:space="0"/>
              <w:right w:val="single" w:color="auto" w:sz="4" w:space="0"/>
            </w:tcBorders>
            <w:vAlign w:val="center"/>
          </w:tcPr>
          <w:p w14:paraId="2127A30E">
            <w:pPr>
              <w:keepNext w:val="0"/>
              <w:keepLines w:val="0"/>
              <w:pageBreakBefore w:val="0"/>
              <w:suppressLineNumbers w:val="0"/>
              <w:kinsoku/>
              <w:wordWrap/>
              <w:overflowPunct/>
              <w:topLinePunct w:val="0"/>
              <w:bidi w:val="0"/>
              <w:snapToGrid w:val="0"/>
              <w:spacing w:before="0" w:beforeLines="0" w:beforeAutospacing="0" w:after="0" w:afterLines="0" w:afterAutospacing="0" w:line="300" w:lineRule="exact"/>
              <w:ind w:left="0" w:leftChars="0" w:right="0" w:rightChars="0"/>
              <w:textAlignment w:val="auto"/>
              <w:rPr>
                <w:rFonts w:hint="eastAsia" w:ascii="宋体" w:hAnsi="宋体" w:eastAsia="宋体" w:cs="宋体"/>
                <w:color w:val="auto"/>
                <w:kern w:val="0"/>
                <w:sz w:val="24"/>
                <w:szCs w:val="24"/>
                <w:highlight w:val="none"/>
                <w:lang w:val="en" w:eastAsia="zh-CN"/>
              </w:rPr>
            </w:pPr>
            <w:r>
              <w:rPr>
                <w:rFonts w:hint="eastAsia" w:ascii="宋体" w:hAnsi="宋体" w:cs="宋体"/>
                <w:b/>
                <w:bCs/>
                <w:color w:val="FF0000"/>
                <w:sz w:val="24"/>
                <w:highlight w:val="none"/>
                <w:u w:val="single"/>
                <w:lang w:val="en-US" w:eastAsia="zh-CN"/>
              </w:rPr>
              <w:t>供应商</w:t>
            </w:r>
            <w:r>
              <w:rPr>
                <w:rFonts w:hint="eastAsia" w:ascii="宋体" w:hAnsi="宋体" w:cs="宋体"/>
                <w:b/>
                <w:bCs/>
                <w:color w:val="FF0000"/>
                <w:sz w:val="24"/>
                <w:highlight w:val="none"/>
                <w:u w:val="single"/>
              </w:rPr>
              <w:t>对</w:t>
            </w:r>
            <w:r>
              <w:rPr>
                <w:rFonts w:hint="eastAsia" w:ascii="宋体" w:hAnsi="宋体" w:cs="宋体"/>
                <w:b/>
                <w:bCs/>
                <w:color w:val="FF0000"/>
                <w:sz w:val="24"/>
                <w:highlight w:val="none"/>
                <w:u w:val="single"/>
                <w:lang w:val="en-US" w:eastAsia="zh-CN"/>
              </w:rPr>
              <w:t>响应</w:t>
            </w:r>
            <w:r>
              <w:rPr>
                <w:rFonts w:hint="eastAsia" w:ascii="宋体" w:hAnsi="宋体" w:cs="宋体"/>
                <w:b/>
                <w:bCs/>
                <w:color w:val="FF0000"/>
                <w:sz w:val="24"/>
                <w:highlight w:val="none"/>
                <w:u w:val="single"/>
              </w:rPr>
              <w:t>文件中材料的真实性、合法性负责</w:t>
            </w:r>
            <w:r>
              <w:rPr>
                <w:rFonts w:hint="eastAsia" w:ascii="宋体" w:hAnsi="宋体" w:cs="宋体"/>
                <w:b/>
                <w:bCs/>
                <w:color w:val="FF0000"/>
                <w:sz w:val="24"/>
                <w:highlight w:val="none"/>
                <w:u w:val="single"/>
                <w:lang w:eastAsia="zh-CN"/>
              </w:rPr>
              <w:t>，</w:t>
            </w:r>
            <w:r>
              <w:rPr>
                <w:rFonts w:hint="eastAsia" w:ascii="宋体" w:hAnsi="宋体" w:cs="宋体"/>
                <w:b/>
                <w:bCs/>
                <w:color w:val="FF0000"/>
                <w:sz w:val="24"/>
                <w:highlight w:val="none"/>
                <w:u w:val="single"/>
                <w:lang w:val="en-US" w:eastAsia="zh-CN"/>
              </w:rPr>
              <w:t>须</w:t>
            </w:r>
            <w:r>
              <w:rPr>
                <w:rFonts w:hint="eastAsia" w:ascii="宋体" w:hAnsi="宋体" w:cs="宋体"/>
                <w:b/>
                <w:bCs/>
                <w:color w:val="FF0000"/>
                <w:sz w:val="24"/>
                <w:highlight w:val="none"/>
                <w:u w:val="single"/>
                <w:lang w:eastAsia="zh-CN"/>
              </w:rPr>
              <w:t>积极配合采购人、采购代理机构复核响应文件中的资料。</w:t>
            </w:r>
          </w:p>
        </w:tc>
      </w:tr>
    </w:tbl>
    <w:p w14:paraId="1F83F490">
      <w:pPr>
        <w:rPr>
          <w:rFonts w:hint="default" w:ascii="宋体" w:hAnsi="宋体" w:cs="宋体"/>
          <w:color w:val="auto"/>
          <w:highlight w:val="none"/>
        </w:rPr>
      </w:pPr>
      <w:r>
        <w:rPr>
          <w:rFonts w:ascii="宋体" w:hAnsi="宋体" w:cs="宋体"/>
          <w:color w:val="auto"/>
          <w:highlight w:val="none"/>
        </w:rPr>
        <w:br w:type="page"/>
      </w:r>
    </w:p>
    <w:p w14:paraId="269D6B47">
      <w:pPr>
        <w:pStyle w:val="8"/>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jc w:val="center"/>
        <w:textAlignment w:val="auto"/>
        <w:rPr>
          <w:rFonts w:hint="default" w:hAnsi="宋体" w:cs="宋体"/>
          <w:b/>
          <w:color w:val="auto"/>
          <w:sz w:val="28"/>
          <w:szCs w:val="28"/>
          <w:highlight w:val="none"/>
        </w:rPr>
      </w:pPr>
      <w:r>
        <w:rPr>
          <w:rFonts w:hAnsi="宋体" w:cs="宋体"/>
          <w:b/>
          <w:color w:val="auto"/>
          <w:sz w:val="28"/>
          <w:szCs w:val="28"/>
          <w:highlight w:val="none"/>
        </w:rPr>
        <w:t>一、总则</w:t>
      </w:r>
    </w:p>
    <w:p w14:paraId="53026BA9">
      <w:pPr>
        <w:adjustRightInd w:val="0"/>
        <w:snapToGrid w:val="0"/>
        <w:spacing w:line="360" w:lineRule="auto"/>
        <w:ind w:firstLine="354" w:firstLineChars="147"/>
        <w:jc w:val="left"/>
        <w:outlineLvl w:val="1"/>
        <w:rPr>
          <w:rFonts w:hint="default" w:ascii="宋体" w:hAnsi="宋体" w:cs="宋体"/>
          <w:b/>
          <w:color w:val="auto"/>
          <w:sz w:val="24"/>
          <w:highlight w:val="none"/>
        </w:rPr>
      </w:pPr>
      <w:r>
        <w:rPr>
          <w:rFonts w:ascii="宋体" w:hAnsi="宋体" w:cs="宋体"/>
          <w:b/>
          <w:color w:val="auto"/>
          <w:sz w:val="24"/>
          <w:highlight w:val="none"/>
        </w:rPr>
        <w:t>（一）适用范围</w:t>
      </w:r>
    </w:p>
    <w:p w14:paraId="27F9C9C6">
      <w:pPr>
        <w:adjustRightInd w:val="0"/>
        <w:snapToGrid w:val="0"/>
        <w:spacing w:line="360" w:lineRule="auto"/>
        <w:ind w:firstLine="480" w:firstLineChars="200"/>
        <w:jc w:val="left"/>
        <w:rPr>
          <w:rFonts w:hint="default" w:ascii="宋体" w:hAnsi="宋体" w:cs="宋体"/>
          <w:color w:val="auto"/>
          <w:sz w:val="24"/>
          <w:highlight w:val="none"/>
        </w:rPr>
      </w:pPr>
      <w:r>
        <w:rPr>
          <w:rFonts w:ascii="宋体" w:hAnsi="宋体" w:cs="宋体"/>
          <w:color w:val="auto"/>
          <w:sz w:val="24"/>
          <w:highlight w:val="none"/>
        </w:rPr>
        <w:t>本招标文件适用于本次采购项目的招标、投标、评标、定标、验收、合同履约、付款等行为（法律、法规另有规定的，从其规定）。</w:t>
      </w:r>
    </w:p>
    <w:p w14:paraId="7D7C59A3">
      <w:pPr>
        <w:adjustRightInd w:val="0"/>
        <w:snapToGrid w:val="0"/>
        <w:spacing w:line="360" w:lineRule="auto"/>
        <w:ind w:firstLine="354" w:firstLineChars="147"/>
        <w:jc w:val="left"/>
        <w:outlineLvl w:val="1"/>
        <w:rPr>
          <w:rFonts w:hint="default" w:ascii="宋体" w:hAnsi="宋体" w:cs="宋体"/>
          <w:b/>
          <w:color w:val="auto"/>
          <w:sz w:val="24"/>
          <w:highlight w:val="none"/>
        </w:rPr>
      </w:pPr>
      <w:r>
        <w:rPr>
          <w:rFonts w:ascii="宋体" w:hAnsi="宋体" w:cs="宋体"/>
          <w:b/>
          <w:color w:val="auto"/>
          <w:sz w:val="24"/>
          <w:highlight w:val="none"/>
        </w:rPr>
        <w:t>（二）定义</w:t>
      </w:r>
    </w:p>
    <w:p w14:paraId="3B772CD9">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sz w:val="24"/>
          <w:highlight w:val="none"/>
          <w:lang w:eastAsia="zh-CN"/>
        </w:rPr>
        <w:t>.</w:t>
      </w:r>
      <w:r>
        <w:rPr>
          <w:rFonts w:hint="eastAsia" w:ascii="宋体" w:hAnsi="宋体" w:cs="宋体"/>
          <w:color w:val="auto"/>
          <w:sz w:val="24"/>
          <w:highlight w:val="none"/>
        </w:rPr>
        <w:t>“采购人”系指招标公告中载明的本项目的采购人。</w:t>
      </w:r>
    </w:p>
    <w:p w14:paraId="094FCC3F">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lang w:eastAsia="zh-CN"/>
        </w:rPr>
        <w:t>.</w:t>
      </w:r>
      <w:r>
        <w:rPr>
          <w:rFonts w:hint="eastAsia" w:ascii="宋体" w:hAnsi="宋体" w:cs="宋体"/>
          <w:color w:val="auto"/>
          <w:sz w:val="24"/>
          <w:highlight w:val="none"/>
        </w:rPr>
        <w:t>“</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”系指招标公告中载明的本项目的</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w:t>
      </w:r>
    </w:p>
    <w:p w14:paraId="2206FF17">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w:t>
      </w:r>
      <w:r>
        <w:rPr>
          <w:rFonts w:hint="eastAsia" w:ascii="宋体" w:hAnsi="宋体" w:cs="宋体"/>
          <w:color w:val="auto"/>
          <w:sz w:val="24"/>
          <w:highlight w:val="none"/>
          <w:lang w:eastAsia="zh-CN"/>
        </w:rPr>
        <w:t>.</w:t>
      </w:r>
      <w:r>
        <w:rPr>
          <w:rFonts w:hint="eastAsia" w:ascii="宋体" w:hAnsi="宋体" w:cs="宋体"/>
          <w:color w:val="auto"/>
          <w:sz w:val="24"/>
          <w:highlight w:val="none"/>
        </w:rPr>
        <w:t>“投标人”系指响应招标、参加投标竞争的法人、其他组织或者自然人。</w:t>
      </w:r>
    </w:p>
    <w:p w14:paraId="2B2EA5D2">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w:t>
      </w:r>
      <w:r>
        <w:rPr>
          <w:rFonts w:hint="eastAsia" w:ascii="宋体" w:hAnsi="宋体" w:cs="宋体"/>
          <w:color w:val="auto"/>
          <w:sz w:val="24"/>
          <w:highlight w:val="none"/>
          <w:lang w:eastAsia="zh-CN"/>
        </w:rPr>
        <w:t>.</w:t>
      </w:r>
      <w:r>
        <w:rPr>
          <w:rFonts w:hint="eastAsia" w:ascii="宋体" w:hAnsi="宋体" w:cs="宋体"/>
          <w:color w:val="auto"/>
          <w:sz w:val="24"/>
          <w:highlight w:val="none"/>
        </w:rPr>
        <w:t>“负责人”系指法人企业的法定负责人，或其他组织为法律、行政法规规定代表单位行使职权的主要负责人，或自然人本人。</w:t>
      </w:r>
    </w:p>
    <w:p w14:paraId="6CAE0BF9">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w:t>
      </w:r>
      <w:r>
        <w:rPr>
          <w:rFonts w:hint="eastAsia" w:ascii="宋体" w:hAnsi="宋体" w:cs="宋体"/>
          <w:color w:val="auto"/>
          <w:sz w:val="24"/>
          <w:highlight w:val="none"/>
          <w:lang w:eastAsia="zh-CN"/>
        </w:rPr>
        <w:t>.</w:t>
      </w:r>
      <w:r>
        <w:rPr>
          <w:rFonts w:hint="eastAsia" w:ascii="宋体" w:hAnsi="宋体" w:cs="宋体"/>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w:t>
      </w:r>
    </w:p>
    <w:p w14:paraId="09FAFFF6">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w:t>
      </w:r>
      <w:r>
        <w:rPr>
          <w:rFonts w:hint="eastAsia" w:ascii="宋体" w:hAnsi="宋体" w:cs="宋体"/>
          <w:color w:val="auto"/>
          <w:sz w:val="24"/>
          <w:highlight w:val="none"/>
          <w:lang w:eastAsia="zh-CN"/>
        </w:rPr>
        <w:t>.</w:t>
      </w:r>
      <w:r>
        <w:rPr>
          <w:rFonts w:hint="eastAsia" w:ascii="宋体" w:hAnsi="宋体" w:cs="宋体"/>
          <w:color w:val="auto"/>
          <w:sz w:val="24"/>
          <w:highlight w:val="none"/>
        </w:rPr>
        <w:t>“电子交易平台”</w:t>
      </w:r>
      <w:r>
        <w:rPr>
          <w:rFonts w:hint="eastAsia" w:ascii="宋体" w:hAnsi="宋体" w:cs="宋体"/>
          <w:color w:val="auto"/>
          <w:sz w:val="24"/>
          <w:highlight w:val="none"/>
          <w:lang w:val="en-US" w:eastAsia="zh-CN"/>
        </w:rPr>
        <w:t>系</w:t>
      </w:r>
      <w:r>
        <w:rPr>
          <w:rFonts w:hint="eastAsia" w:ascii="宋体" w:hAnsi="宋体" w:cs="宋体"/>
          <w:color w:val="auto"/>
          <w:sz w:val="24"/>
          <w:highlight w:val="none"/>
        </w:rPr>
        <w:t>指本项目政府采购活动所依托的政府采购云平台（https://www.zcygov.cn/）。</w:t>
      </w:r>
    </w:p>
    <w:p w14:paraId="5BD6957C">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7</w:t>
      </w:r>
      <w:r>
        <w:rPr>
          <w:rFonts w:hint="eastAsia" w:ascii="宋体" w:hAnsi="宋体" w:cs="宋体"/>
          <w:color w:val="auto"/>
          <w:sz w:val="24"/>
          <w:highlight w:val="none"/>
          <w:lang w:eastAsia="zh-CN"/>
        </w:rPr>
        <w:t>.</w:t>
      </w:r>
      <w:r>
        <w:rPr>
          <w:rFonts w:hint="eastAsia" w:ascii="宋体" w:hAnsi="宋体" w:cs="宋体"/>
          <w:color w:val="auto"/>
          <w:sz w:val="24"/>
          <w:highlight w:val="none"/>
        </w:rPr>
        <w:t>“▲” 系指实质性要求条款，“</w:t>
      </w:r>
      <w:sdt>
        <w:sdtPr>
          <w:rPr>
            <w:rFonts w:hint="eastAsia" w:ascii="宋体" w:hAnsi="宋体" w:cs="宋体"/>
            <w:color w:val="auto"/>
            <w:kern w:val="0"/>
            <w:sz w:val="24"/>
            <w:highlight w:val="none"/>
          </w:rPr>
          <w:id w:val="512970236"/>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宋体" w:cs="宋体"/>
              <w:color w:val="auto"/>
              <w:kern w:val="0"/>
              <w:sz w:val="24"/>
              <w:highlight w:val="none"/>
              <w:lang w:val="en-US" w:eastAsia="zh-CN" w:bidi="ar-SA"/>
            </w:rPr>
            <w:t>þ</w:t>
          </w:r>
        </w:sdtContent>
      </w:sdt>
      <w:r>
        <w:rPr>
          <w:rFonts w:hint="eastAsia" w:ascii="宋体" w:hAnsi="宋体" w:cs="宋体"/>
          <w:color w:val="auto"/>
          <w:sz w:val="24"/>
          <w:highlight w:val="none"/>
        </w:rPr>
        <w:t>” 系指适用本项目的要求，“</w:t>
      </w:r>
      <w:sdt>
        <w:sdtPr>
          <w:rPr>
            <w:rFonts w:hint="eastAsia" w:ascii="宋体" w:hAnsi="宋体" w:cs="宋体"/>
            <w:color w:val="auto"/>
            <w:kern w:val="0"/>
            <w:sz w:val="24"/>
            <w:highlight w:val="none"/>
          </w:rPr>
          <w:id w:val="404888855"/>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 系指不适用本项目的要求。</w:t>
      </w:r>
    </w:p>
    <w:p w14:paraId="1CC50E7A">
      <w:pPr>
        <w:adjustRightInd w:val="0"/>
        <w:snapToGrid w:val="0"/>
        <w:spacing w:line="360" w:lineRule="auto"/>
        <w:ind w:firstLine="472" w:firstLineChars="196"/>
        <w:outlineLvl w:val="1"/>
        <w:rPr>
          <w:rFonts w:hint="default" w:ascii="宋体" w:hAnsi="宋体" w:cs="宋体"/>
          <w:b/>
          <w:color w:val="auto"/>
          <w:sz w:val="24"/>
          <w:highlight w:val="none"/>
        </w:rPr>
      </w:pPr>
      <w:r>
        <w:rPr>
          <w:rFonts w:ascii="宋体" w:hAnsi="宋体" w:cs="宋体"/>
          <w:b/>
          <w:color w:val="auto"/>
          <w:sz w:val="24"/>
          <w:highlight w:val="none"/>
        </w:rPr>
        <w:t>（</w:t>
      </w:r>
      <w:r>
        <w:rPr>
          <w:rFonts w:hint="eastAsia" w:ascii="宋体" w:hAnsi="宋体" w:cs="宋体"/>
          <w:b/>
          <w:color w:val="auto"/>
          <w:sz w:val="24"/>
          <w:highlight w:val="none"/>
          <w:lang w:val="en-US" w:eastAsia="zh-CN"/>
        </w:rPr>
        <w:t>三</w:t>
      </w:r>
      <w:r>
        <w:rPr>
          <w:rFonts w:ascii="宋体" w:hAnsi="宋体" w:cs="宋体"/>
          <w:b/>
          <w:color w:val="auto"/>
          <w:sz w:val="24"/>
          <w:highlight w:val="none"/>
        </w:rPr>
        <w:t>）采购项目需要落实的政府采购政策</w:t>
      </w:r>
    </w:p>
    <w:p w14:paraId="0B330C14">
      <w:pPr>
        <w:adjustRightInd w:val="0"/>
        <w:snapToGrid w:val="0"/>
        <w:spacing w:line="360" w:lineRule="auto"/>
        <w:ind w:firstLine="480" w:firstLineChars="200"/>
        <w:rPr>
          <w:rFonts w:hint="default" w:ascii="宋体" w:hAnsi="宋体" w:cs="宋体"/>
          <w:color w:val="auto"/>
          <w:sz w:val="24"/>
          <w:highlight w:val="none"/>
        </w:rPr>
      </w:pPr>
      <w:r>
        <w:rPr>
          <w:rFonts w:ascii="宋体" w:hAnsi="宋体" w:cs="宋体"/>
          <w:color w:val="auto"/>
          <w:sz w:val="24"/>
          <w:highlight w:val="none"/>
        </w:rPr>
        <w:t>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r>
        <w:rPr>
          <w:rFonts w:ascii="宋体" w:hAnsi="宋体" w:cs="宋体"/>
          <w:color w:val="auto"/>
          <w:kern w:val="0"/>
          <w:sz w:val="24"/>
          <w:highlight w:val="none"/>
        </w:rPr>
        <w:t>优先采购向我国企业转让技术、与我国企业签订消化吸收再创新方案的供应商的进口产品</w:t>
      </w:r>
      <w:r>
        <w:rPr>
          <w:rFonts w:ascii="宋体" w:hAnsi="宋体" w:cs="宋体"/>
          <w:color w:val="auto"/>
          <w:sz w:val="24"/>
          <w:highlight w:val="none"/>
        </w:rPr>
        <w:t>。</w:t>
      </w:r>
    </w:p>
    <w:p w14:paraId="211B32ED">
      <w:pPr>
        <w:adjustRightInd w:val="0"/>
        <w:snapToGrid w:val="0"/>
        <w:spacing w:line="360" w:lineRule="auto"/>
        <w:ind w:firstLine="480" w:firstLineChars="200"/>
        <w:rPr>
          <w:rFonts w:hint="default" w:ascii="宋体" w:hAnsi="宋体" w:cs="宋体"/>
          <w:color w:val="auto"/>
          <w:sz w:val="24"/>
          <w:highlight w:val="none"/>
        </w:rPr>
      </w:pPr>
      <w:r>
        <w:rPr>
          <w:rFonts w:ascii="宋体" w:hAnsi="宋体" w:cs="宋体"/>
          <w:color w:val="auto"/>
          <w:sz w:val="24"/>
          <w:highlight w:val="none"/>
        </w:rPr>
        <w:t>2.支持绿色发展</w:t>
      </w:r>
    </w:p>
    <w:p w14:paraId="178B2751">
      <w:pPr>
        <w:adjustRightInd w:val="0"/>
        <w:snapToGrid w:val="0"/>
        <w:spacing w:line="360" w:lineRule="auto"/>
        <w:ind w:firstLine="480" w:firstLineChars="200"/>
        <w:rPr>
          <w:rFonts w:hint="default" w:ascii="宋体" w:hAnsi="宋体" w:cs="宋体"/>
          <w:b/>
          <w:bCs/>
          <w:color w:val="auto"/>
          <w:sz w:val="24"/>
          <w:highlight w:val="none"/>
        </w:rPr>
      </w:pPr>
      <w:r>
        <w:rPr>
          <w:rFonts w:ascii="宋体" w:hAnsi="宋体" w:cs="宋体"/>
          <w:color w:val="auto"/>
          <w:sz w:val="24"/>
          <w:highlight w:val="none"/>
        </w:rPr>
        <w:t>2.1采购人拟采购的产品属于品目清单范围的，采购人及其委托的采购代理机构将依据国家确定的认证机构出具的、处于有效期之内的节能产品、环境标志产品认证证书，对获得证书的产品实施政府优先采购或强制采购。</w:t>
      </w:r>
      <w:r>
        <w:rPr>
          <w:rFonts w:ascii="宋体" w:hAnsi="宋体" w:cs="宋体"/>
          <w:b/>
          <w:bCs/>
          <w:color w:val="auto"/>
          <w:sz w:val="24"/>
          <w:highlight w:val="none"/>
        </w:rPr>
        <w:t>▲采购人拟采购的产品属于政府强制采购的节能产品品目清单范围的，投标人相应的投标产品未获得国家确定的认证机构出具的、处于有效期之内的节能产品认证证书的</w:t>
      </w:r>
      <w:r>
        <w:rPr>
          <w:rFonts w:hint="eastAsia" w:hAnsi="宋体" w:cs="宋体"/>
          <w:b/>
          <w:bCs/>
          <w:color w:val="auto"/>
          <w:sz w:val="24"/>
          <w:highlight w:val="none"/>
          <w:lang w:val="en-US" w:eastAsia="zh-CN"/>
        </w:rPr>
        <w:t>或未提供投标产品认证证明材料的</w:t>
      </w:r>
      <w:r>
        <w:rPr>
          <w:rFonts w:ascii="宋体" w:hAnsi="宋体" w:cs="宋体"/>
          <w:b/>
          <w:bCs/>
          <w:color w:val="auto"/>
          <w:sz w:val="24"/>
          <w:highlight w:val="none"/>
        </w:rPr>
        <w:t>，投标无效。</w:t>
      </w:r>
    </w:p>
    <w:p w14:paraId="2840E433">
      <w:pPr>
        <w:adjustRightInd w:val="0"/>
        <w:snapToGrid w:val="0"/>
        <w:spacing w:line="360" w:lineRule="auto"/>
        <w:ind w:firstLine="482" w:firstLineChars="200"/>
        <w:rPr>
          <w:rFonts w:hint="default" w:ascii="宋体" w:hAnsi="宋体" w:cs="宋体"/>
          <w:b/>
          <w:bCs/>
          <w:color w:val="auto"/>
          <w:sz w:val="24"/>
          <w:highlight w:val="none"/>
        </w:rPr>
      </w:pPr>
      <w:r>
        <w:rPr>
          <w:rFonts w:ascii="宋体" w:hAnsi="宋体" w:cs="宋体"/>
          <w:b/>
          <w:bCs/>
          <w:color w:val="auto"/>
          <w:sz w:val="24"/>
          <w:highlight w:val="none"/>
        </w:rPr>
        <w:t>《节能产品政府采购品目清单》详见《关于印发节能产品政府采购品目清单的通知(财库[2019]19号)》(如遇调整，按最新清单执行)。</w:t>
      </w:r>
    </w:p>
    <w:tbl>
      <w:tblPr>
        <w:tblStyle w:val="41"/>
        <w:tblW w:w="9940" w:type="dxa"/>
        <w:jc w:val="center"/>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Layout w:type="fixed"/>
        <w:tblCellMar>
          <w:top w:w="0" w:type="dxa"/>
          <w:left w:w="108" w:type="dxa"/>
          <w:bottom w:w="0" w:type="dxa"/>
          <w:right w:w="108" w:type="dxa"/>
        </w:tblCellMar>
      </w:tblPr>
      <w:tblGrid>
        <w:gridCol w:w="690"/>
        <w:gridCol w:w="1933"/>
        <w:gridCol w:w="2334"/>
        <w:gridCol w:w="1682"/>
        <w:gridCol w:w="3301"/>
      </w:tblGrid>
      <w:tr w14:paraId="5AC48EDA">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tblHeader/>
          <w:jc w:val="center"/>
        </w:trPr>
        <w:tc>
          <w:tcPr>
            <w:tcW w:w="690" w:type="dxa"/>
            <w:shd w:val="clear" w:color="auto" w:fill="DAEEF3"/>
            <w:vAlign w:val="center"/>
          </w:tcPr>
          <w:p w14:paraId="502784FE">
            <w:pPr>
              <w:jc w:val="center"/>
              <w:rPr>
                <w:rFonts w:hint="eastAsia" w:ascii="宋体" w:hAnsi="宋体" w:eastAsia="宋体" w:cs="宋体"/>
                <w:b/>
                <w:color w:val="auto"/>
                <w:w w:val="90"/>
                <w:szCs w:val="21"/>
                <w:highlight w:val="none"/>
              </w:rPr>
            </w:pPr>
            <w:r>
              <w:rPr>
                <w:rFonts w:hint="eastAsia" w:ascii="宋体" w:hAnsi="宋体" w:eastAsia="宋体" w:cs="宋体"/>
                <w:b/>
                <w:color w:val="auto"/>
                <w:w w:val="90"/>
                <w:szCs w:val="21"/>
                <w:highlight w:val="none"/>
              </w:rPr>
              <w:t>品目序号</w:t>
            </w:r>
          </w:p>
        </w:tc>
        <w:tc>
          <w:tcPr>
            <w:tcW w:w="5949" w:type="dxa"/>
            <w:gridSpan w:val="3"/>
            <w:shd w:val="clear" w:color="auto" w:fill="DAEEF3"/>
            <w:vAlign w:val="center"/>
          </w:tcPr>
          <w:p w14:paraId="6E8794A2">
            <w:pPr>
              <w:jc w:val="center"/>
              <w:rPr>
                <w:rFonts w:hint="eastAsia" w:ascii="宋体" w:hAnsi="宋体" w:eastAsia="宋体" w:cs="宋体"/>
                <w:b/>
                <w:color w:val="auto"/>
                <w:w w:val="90"/>
                <w:szCs w:val="21"/>
                <w:highlight w:val="none"/>
              </w:rPr>
            </w:pPr>
            <w:r>
              <w:rPr>
                <w:rFonts w:hint="eastAsia" w:ascii="宋体" w:hAnsi="宋体" w:eastAsia="宋体" w:cs="宋体"/>
                <w:b/>
                <w:color w:val="auto"/>
                <w:w w:val="90"/>
                <w:szCs w:val="21"/>
                <w:highlight w:val="none"/>
              </w:rPr>
              <w:t>名称（</w:t>
            </w:r>
            <w:r>
              <w:rPr>
                <w:rFonts w:hint="eastAsia" w:ascii="宋体" w:hAnsi="宋体" w:eastAsia="宋体" w:cs="宋体"/>
                <w:b/>
                <w:color w:val="auto"/>
                <w:w w:val="90"/>
                <w:szCs w:val="22"/>
                <w:highlight w:val="none"/>
              </w:rPr>
              <w:t>以“★”标注的为政府强制采购产品）</w:t>
            </w:r>
          </w:p>
        </w:tc>
        <w:tc>
          <w:tcPr>
            <w:tcW w:w="3301" w:type="dxa"/>
            <w:shd w:val="clear" w:color="auto" w:fill="DAEEF3"/>
            <w:vAlign w:val="center"/>
          </w:tcPr>
          <w:p w14:paraId="4558F56F">
            <w:pPr>
              <w:jc w:val="center"/>
              <w:rPr>
                <w:rFonts w:hint="eastAsia" w:ascii="宋体" w:hAnsi="宋体" w:eastAsia="宋体" w:cs="宋体"/>
                <w:b/>
                <w:color w:val="auto"/>
                <w:w w:val="90"/>
                <w:szCs w:val="21"/>
                <w:highlight w:val="none"/>
              </w:rPr>
            </w:pPr>
            <w:r>
              <w:rPr>
                <w:rFonts w:hint="eastAsia" w:ascii="宋体" w:hAnsi="宋体" w:eastAsia="宋体" w:cs="宋体"/>
                <w:b/>
                <w:color w:val="auto"/>
                <w:w w:val="90"/>
                <w:szCs w:val="21"/>
                <w:highlight w:val="none"/>
              </w:rPr>
              <w:t>依据的标准</w:t>
            </w:r>
          </w:p>
        </w:tc>
      </w:tr>
      <w:tr w14:paraId="649538BE">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restart"/>
            <w:vAlign w:val="center"/>
          </w:tcPr>
          <w:p w14:paraId="25ED0BB6">
            <w:pPr>
              <w:jc w:val="center"/>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1</w:t>
            </w:r>
          </w:p>
        </w:tc>
        <w:tc>
          <w:tcPr>
            <w:tcW w:w="1933" w:type="dxa"/>
            <w:vMerge w:val="restart"/>
            <w:vAlign w:val="center"/>
          </w:tcPr>
          <w:p w14:paraId="760B8CAB">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A020101计算机设备</w:t>
            </w:r>
          </w:p>
        </w:tc>
        <w:tc>
          <w:tcPr>
            <w:tcW w:w="2334" w:type="dxa"/>
            <w:vAlign w:val="center"/>
          </w:tcPr>
          <w:p w14:paraId="18FEB952">
            <w:pPr>
              <w:jc w:val="left"/>
              <w:rPr>
                <w:rFonts w:hint="eastAsia" w:ascii="宋体" w:hAnsi="宋体" w:eastAsia="宋体" w:cs="宋体"/>
                <w:b/>
                <w:color w:val="auto"/>
                <w:w w:val="90"/>
                <w:szCs w:val="21"/>
                <w:highlight w:val="none"/>
              </w:rPr>
            </w:pPr>
            <w:r>
              <w:rPr>
                <w:rFonts w:hint="eastAsia" w:ascii="宋体" w:hAnsi="宋体" w:eastAsia="宋体" w:cs="宋体"/>
                <w:color w:val="auto"/>
                <w:w w:val="90"/>
                <w:szCs w:val="21"/>
                <w:highlight w:val="none"/>
              </w:rPr>
              <w:t>★</w:t>
            </w:r>
            <w:r>
              <w:rPr>
                <w:rFonts w:hint="eastAsia" w:ascii="宋体" w:hAnsi="宋体" w:eastAsia="宋体" w:cs="宋体"/>
                <w:b/>
                <w:color w:val="auto"/>
                <w:w w:val="90"/>
                <w:szCs w:val="21"/>
                <w:highlight w:val="none"/>
              </w:rPr>
              <w:t>A02010104台式计算机</w:t>
            </w:r>
          </w:p>
        </w:tc>
        <w:tc>
          <w:tcPr>
            <w:tcW w:w="1682" w:type="dxa"/>
            <w:vAlign w:val="center"/>
          </w:tcPr>
          <w:p w14:paraId="0F05EDF8">
            <w:pPr>
              <w:jc w:val="center"/>
              <w:rPr>
                <w:rFonts w:hint="eastAsia" w:ascii="宋体" w:hAnsi="宋体" w:eastAsia="宋体" w:cs="宋体"/>
                <w:color w:val="auto"/>
                <w:w w:val="90"/>
                <w:szCs w:val="21"/>
                <w:highlight w:val="none"/>
              </w:rPr>
            </w:pPr>
          </w:p>
        </w:tc>
        <w:tc>
          <w:tcPr>
            <w:tcW w:w="3301" w:type="dxa"/>
            <w:vAlign w:val="center"/>
          </w:tcPr>
          <w:p w14:paraId="00756B97">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《微型计算机能效限定值及能效等级》（GB 28380）</w:t>
            </w:r>
          </w:p>
        </w:tc>
      </w:tr>
      <w:tr w14:paraId="1D0B5946">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continue"/>
            <w:vAlign w:val="center"/>
          </w:tcPr>
          <w:p w14:paraId="6BDC3D54">
            <w:pPr>
              <w:jc w:val="center"/>
              <w:rPr>
                <w:rFonts w:hint="eastAsia" w:ascii="宋体" w:hAnsi="宋体" w:eastAsia="宋体" w:cs="宋体"/>
                <w:color w:val="auto"/>
                <w:w w:val="90"/>
                <w:szCs w:val="21"/>
                <w:highlight w:val="none"/>
              </w:rPr>
            </w:pPr>
          </w:p>
        </w:tc>
        <w:tc>
          <w:tcPr>
            <w:tcW w:w="1933" w:type="dxa"/>
            <w:vMerge w:val="continue"/>
            <w:vAlign w:val="center"/>
          </w:tcPr>
          <w:p w14:paraId="5CB1FAE0">
            <w:pPr>
              <w:jc w:val="left"/>
              <w:rPr>
                <w:rFonts w:hint="eastAsia" w:ascii="宋体" w:hAnsi="宋体" w:eastAsia="宋体" w:cs="宋体"/>
                <w:color w:val="auto"/>
                <w:w w:val="90"/>
                <w:szCs w:val="21"/>
                <w:highlight w:val="none"/>
              </w:rPr>
            </w:pPr>
          </w:p>
        </w:tc>
        <w:tc>
          <w:tcPr>
            <w:tcW w:w="2334" w:type="dxa"/>
            <w:vAlign w:val="center"/>
          </w:tcPr>
          <w:p w14:paraId="16BDD016">
            <w:pPr>
              <w:jc w:val="left"/>
              <w:rPr>
                <w:rFonts w:hint="eastAsia" w:ascii="宋体" w:hAnsi="宋体" w:eastAsia="宋体" w:cs="宋体"/>
                <w:b/>
                <w:color w:val="auto"/>
                <w:w w:val="90"/>
                <w:szCs w:val="21"/>
                <w:highlight w:val="none"/>
              </w:rPr>
            </w:pPr>
            <w:r>
              <w:rPr>
                <w:rFonts w:hint="eastAsia" w:ascii="宋体" w:hAnsi="宋体" w:eastAsia="宋体" w:cs="宋体"/>
                <w:color w:val="auto"/>
                <w:w w:val="90"/>
                <w:szCs w:val="21"/>
                <w:highlight w:val="none"/>
              </w:rPr>
              <w:t>★</w:t>
            </w:r>
            <w:r>
              <w:rPr>
                <w:rFonts w:hint="eastAsia" w:ascii="宋体" w:hAnsi="宋体" w:eastAsia="宋体" w:cs="宋体"/>
                <w:b/>
                <w:color w:val="auto"/>
                <w:w w:val="90"/>
                <w:szCs w:val="21"/>
                <w:highlight w:val="none"/>
              </w:rPr>
              <w:t>A02010105便携式计算</w:t>
            </w:r>
          </w:p>
        </w:tc>
        <w:tc>
          <w:tcPr>
            <w:tcW w:w="1682" w:type="dxa"/>
            <w:vAlign w:val="center"/>
          </w:tcPr>
          <w:p w14:paraId="5A117D8A">
            <w:pPr>
              <w:jc w:val="center"/>
              <w:rPr>
                <w:rFonts w:hint="eastAsia" w:ascii="宋体" w:hAnsi="宋体" w:eastAsia="宋体" w:cs="宋体"/>
                <w:color w:val="auto"/>
                <w:w w:val="90"/>
                <w:szCs w:val="21"/>
                <w:highlight w:val="none"/>
              </w:rPr>
            </w:pPr>
          </w:p>
        </w:tc>
        <w:tc>
          <w:tcPr>
            <w:tcW w:w="3301" w:type="dxa"/>
            <w:vAlign w:val="center"/>
          </w:tcPr>
          <w:p w14:paraId="23101FE5">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《微型计算机能效限定值及能效等级》（GB 28380）</w:t>
            </w:r>
          </w:p>
        </w:tc>
      </w:tr>
      <w:tr w14:paraId="1ECBB5A8">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continue"/>
            <w:vAlign w:val="center"/>
          </w:tcPr>
          <w:p w14:paraId="1C7A6731">
            <w:pPr>
              <w:jc w:val="center"/>
              <w:rPr>
                <w:rFonts w:hint="eastAsia" w:ascii="宋体" w:hAnsi="宋体" w:eastAsia="宋体" w:cs="宋体"/>
                <w:color w:val="auto"/>
                <w:w w:val="90"/>
                <w:szCs w:val="21"/>
                <w:highlight w:val="none"/>
              </w:rPr>
            </w:pPr>
          </w:p>
        </w:tc>
        <w:tc>
          <w:tcPr>
            <w:tcW w:w="1933" w:type="dxa"/>
            <w:vMerge w:val="continue"/>
            <w:vAlign w:val="center"/>
          </w:tcPr>
          <w:p w14:paraId="36D083EF">
            <w:pPr>
              <w:jc w:val="left"/>
              <w:rPr>
                <w:rFonts w:hint="eastAsia" w:ascii="宋体" w:hAnsi="宋体" w:eastAsia="宋体" w:cs="宋体"/>
                <w:color w:val="auto"/>
                <w:w w:val="90"/>
                <w:szCs w:val="21"/>
                <w:highlight w:val="none"/>
              </w:rPr>
            </w:pPr>
          </w:p>
        </w:tc>
        <w:tc>
          <w:tcPr>
            <w:tcW w:w="2334" w:type="dxa"/>
            <w:vAlign w:val="center"/>
          </w:tcPr>
          <w:p w14:paraId="63604AA6">
            <w:pPr>
              <w:jc w:val="left"/>
              <w:rPr>
                <w:rFonts w:hint="eastAsia" w:ascii="宋体" w:hAnsi="宋体" w:eastAsia="宋体" w:cs="宋体"/>
                <w:b/>
                <w:color w:val="auto"/>
                <w:w w:val="90"/>
                <w:szCs w:val="21"/>
                <w:highlight w:val="none"/>
              </w:rPr>
            </w:pPr>
            <w:r>
              <w:rPr>
                <w:rFonts w:hint="eastAsia" w:ascii="宋体" w:hAnsi="宋体" w:eastAsia="宋体" w:cs="宋体"/>
                <w:color w:val="auto"/>
                <w:w w:val="90"/>
                <w:szCs w:val="21"/>
                <w:highlight w:val="none"/>
              </w:rPr>
              <w:t>★</w:t>
            </w:r>
            <w:r>
              <w:rPr>
                <w:rFonts w:hint="eastAsia" w:ascii="宋体" w:hAnsi="宋体" w:eastAsia="宋体" w:cs="宋体"/>
                <w:b/>
                <w:color w:val="auto"/>
                <w:w w:val="90"/>
                <w:szCs w:val="21"/>
                <w:highlight w:val="none"/>
              </w:rPr>
              <w:t>A02010107平板式微型计算机</w:t>
            </w:r>
          </w:p>
        </w:tc>
        <w:tc>
          <w:tcPr>
            <w:tcW w:w="1682" w:type="dxa"/>
            <w:vAlign w:val="center"/>
          </w:tcPr>
          <w:p w14:paraId="5FDE1E40">
            <w:pPr>
              <w:jc w:val="center"/>
              <w:rPr>
                <w:rFonts w:hint="eastAsia" w:ascii="宋体" w:hAnsi="宋体" w:eastAsia="宋体" w:cs="宋体"/>
                <w:color w:val="auto"/>
                <w:w w:val="90"/>
                <w:szCs w:val="21"/>
                <w:highlight w:val="none"/>
              </w:rPr>
            </w:pPr>
          </w:p>
        </w:tc>
        <w:tc>
          <w:tcPr>
            <w:tcW w:w="3301" w:type="dxa"/>
            <w:vAlign w:val="center"/>
          </w:tcPr>
          <w:p w14:paraId="249193C3">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《微型计算机能效限定值及能效等级》（GB 28380）</w:t>
            </w:r>
          </w:p>
        </w:tc>
      </w:tr>
      <w:tr w14:paraId="11E47667">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restart"/>
            <w:vAlign w:val="center"/>
          </w:tcPr>
          <w:p w14:paraId="051E3E48">
            <w:pPr>
              <w:jc w:val="center"/>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2</w:t>
            </w:r>
          </w:p>
        </w:tc>
        <w:tc>
          <w:tcPr>
            <w:tcW w:w="1933" w:type="dxa"/>
            <w:vMerge w:val="restart"/>
            <w:vAlign w:val="center"/>
          </w:tcPr>
          <w:p w14:paraId="47075606">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A020106输入输出设备</w:t>
            </w:r>
          </w:p>
        </w:tc>
        <w:tc>
          <w:tcPr>
            <w:tcW w:w="2334" w:type="dxa"/>
            <w:vMerge w:val="restart"/>
            <w:vAlign w:val="center"/>
          </w:tcPr>
          <w:p w14:paraId="059AF336">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A02010601打印设备</w:t>
            </w:r>
          </w:p>
        </w:tc>
        <w:tc>
          <w:tcPr>
            <w:tcW w:w="1682" w:type="dxa"/>
            <w:vAlign w:val="center"/>
          </w:tcPr>
          <w:p w14:paraId="08005CB3">
            <w:pPr>
              <w:jc w:val="left"/>
              <w:rPr>
                <w:rFonts w:hint="eastAsia" w:ascii="宋体" w:hAnsi="宋体" w:eastAsia="宋体" w:cs="宋体"/>
                <w:color w:val="auto"/>
                <w:w w:val="90"/>
                <w:szCs w:val="21"/>
                <w:highlight w:val="none"/>
              </w:rPr>
            </w:pPr>
            <w:r>
              <w:rPr>
                <w:rFonts w:hint="eastAsia" w:ascii="宋体" w:hAnsi="宋体" w:eastAsia="宋体" w:cs="宋体"/>
                <w:b/>
                <w:bCs/>
                <w:color w:val="auto"/>
                <w:w w:val="90"/>
                <w:szCs w:val="21"/>
                <w:highlight w:val="none"/>
              </w:rPr>
              <w:t>A0201060101喷墨打印机</w:t>
            </w:r>
          </w:p>
        </w:tc>
        <w:tc>
          <w:tcPr>
            <w:tcW w:w="3301" w:type="dxa"/>
            <w:vAlign w:val="center"/>
          </w:tcPr>
          <w:p w14:paraId="54B1A376">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《复印机、打印机和传真机能效限定值及能效等级》（GB 21521）</w:t>
            </w:r>
          </w:p>
        </w:tc>
      </w:tr>
      <w:tr w14:paraId="0425C510">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continue"/>
            <w:vAlign w:val="center"/>
          </w:tcPr>
          <w:p w14:paraId="0383C9D0">
            <w:pPr>
              <w:jc w:val="center"/>
              <w:rPr>
                <w:rFonts w:hint="eastAsia" w:ascii="宋体" w:hAnsi="宋体" w:eastAsia="宋体" w:cs="宋体"/>
                <w:color w:val="auto"/>
                <w:w w:val="90"/>
                <w:szCs w:val="21"/>
                <w:highlight w:val="none"/>
              </w:rPr>
            </w:pPr>
          </w:p>
        </w:tc>
        <w:tc>
          <w:tcPr>
            <w:tcW w:w="1933" w:type="dxa"/>
            <w:vMerge w:val="continue"/>
            <w:vAlign w:val="center"/>
          </w:tcPr>
          <w:p w14:paraId="373D548C">
            <w:pPr>
              <w:jc w:val="left"/>
              <w:rPr>
                <w:rFonts w:hint="eastAsia" w:ascii="宋体" w:hAnsi="宋体" w:eastAsia="宋体" w:cs="宋体"/>
                <w:color w:val="auto"/>
                <w:w w:val="90"/>
                <w:szCs w:val="21"/>
                <w:highlight w:val="none"/>
              </w:rPr>
            </w:pPr>
          </w:p>
        </w:tc>
        <w:tc>
          <w:tcPr>
            <w:tcW w:w="2334" w:type="dxa"/>
            <w:vMerge w:val="continue"/>
            <w:vAlign w:val="center"/>
          </w:tcPr>
          <w:p w14:paraId="09726D42">
            <w:pPr>
              <w:jc w:val="left"/>
              <w:rPr>
                <w:rFonts w:hint="eastAsia" w:ascii="宋体" w:hAnsi="宋体" w:eastAsia="宋体" w:cs="宋体"/>
                <w:color w:val="auto"/>
                <w:w w:val="90"/>
                <w:szCs w:val="21"/>
                <w:highlight w:val="none"/>
              </w:rPr>
            </w:pPr>
          </w:p>
        </w:tc>
        <w:tc>
          <w:tcPr>
            <w:tcW w:w="1682" w:type="dxa"/>
            <w:vAlign w:val="center"/>
          </w:tcPr>
          <w:p w14:paraId="43DD39FD">
            <w:pPr>
              <w:jc w:val="left"/>
              <w:rPr>
                <w:rFonts w:hint="eastAsia" w:ascii="宋体" w:hAnsi="宋体" w:eastAsia="宋体" w:cs="宋体"/>
                <w:b/>
                <w:color w:val="auto"/>
                <w:w w:val="90"/>
                <w:szCs w:val="21"/>
                <w:highlight w:val="none"/>
              </w:rPr>
            </w:pPr>
            <w:r>
              <w:rPr>
                <w:rFonts w:hint="eastAsia" w:ascii="宋体" w:hAnsi="宋体" w:eastAsia="宋体" w:cs="宋体"/>
                <w:color w:val="auto"/>
                <w:w w:val="90"/>
                <w:szCs w:val="21"/>
                <w:highlight w:val="none"/>
              </w:rPr>
              <w:t>★</w:t>
            </w:r>
            <w:r>
              <w:rPr>
                <w:rFonts w:hint="eastAsia" w:ascii="宋体" w:hAnsi="宋体" w:eastAsia="宋体" w:cs="宋体"/>
                <w:b/>
                <w:color w:val="auto"/>
                <w:w w:val="90"/>
                <w:szCs w:val="21"/>
                <w:highlight w:val="none"/>
              </w:rPr>
              <w:t>A0201060102激光打印机</w:t>
            </w:r>
          </w:p>
        </w:tc>
        <w:tc>
          <w:tcPr>
            <w:tcW w:w="3301" w:type="dxa"/>
            <w:vAlign w:val="center"/>
          </w:tcPr>
          <w:p w14:paraId="45958EDE">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《复印机、打印机和传真机能效限定值及能效等级》（GB 21521）</w:t>
            </w:r>
          </w:p>
        </w:tc>
      </w:tr>
      <w:tr w14:paraId="078C7F29">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continue"/>
            <w:vAlign w:val="center"/>
          </w:tcPr>
          <w:p w14:paraId="7F7DF867">
            <w:pPr>
              <w:jc w:val="center"/>
              <w:rPr>
                <w:rFonts w:hint="eastAsia" w:ascii="宋体" w:hAnsi="宋体" w:eastAsia="宋体" w:cs="宋体"/>
                <w:color w:val="auto"/>
                <w:w w:val="90"/>
                <w:szCs w:val="21"/>
                <w:highlight w:val="none"/>
              </w:rPr>
            </w:pPr>
          </w:p>
        </w:tc>
        <w:tc>
          <w:tcPr>
            <w:tcW w:w="1933" w:type="dxa"/>
            <w:vMerge w:val="continue"/>
            <w:vAlign w:val="center"/>
          </w:tcPr>
          <w:p w14:paraId="3BE8233D">
            <w:pPr>
              <w:jc w:val="left"/>
              <w:rPr>
                <w:rFonts w:hint="eastAsia" w:ascii="宋体" w:hAnsi="宋体" w:eastAsia="宋体" w:cs="宋体"/>
                <w:color w:val="auto"/>
                <w:w w:val="90"/>
                <w:szCs w:val="21"/>
                <w:highlight w:val="none"/>
              </w:rPr>
            </w:pPr>
          </w:p>
        </w:tc>
        <w:tc>
          <w:tcPr>
            <w:tcW w:w="2334" w:type="dxa"/>
            <w:vMerge w:val="continue"/>
            <w:vAlign w:val="center"/>
          </w:tcPr>
          <w:p w14:paraId="518A593F">
            <w:pPr>
              <w:jc w:val="left"/>
              <w:rPr>
                <w:rFonts w:hint="eastAsia" w:ascii="宋体" w:hAnsi="宋体" w:eastAsia="宋体" w:cs="宋体"/>
                <w:color w:val="auto"/>
                <w:w w:val="90"/>
                <w:szCs w:val="21"/>
                <w:highlight w:val="none"/>
              </w:rPr>
            </w:pPr>
          </w:p>
        </w:tc>
        <w:tc>
          <w:tcPr>
            <w:tcW w:w="1682" w:type="dxa"/>
            <w:vAlign w:val="center"/>
          </w:tcPr>
          <w:p w14:paraId="5E12B48E">
            <w:pPr>
              <w:jc w:val="left"/>
              <w:rPr>
                <w:rFonts w:hint="eastAsia" w:ascii="宋体" w:hAnsi="宋体" w:eastAsia="宋体" w:cs="宋体"/>
                <w:b/>
                <w:color w:val="auto"/>
                <w:w w:val="90"/>
                <w:szCs w:val="21"/>
                <w:highlight w:val="none"/>
              </w:rPr>
            </w:pPr>
            <w:r>
              <w:rPr>
                <w:rFonts w:hint="eastAsia" w:ascii="宋体" w:hAnsi="宋体" w:eastAsia="宋体" w:cs="宋体"/>
                <w:color w:val="auto"/>
                <w:w w:val="90"/>
                <w:szCs w:val="21"/>
                <w:highlight w:val="none"/>
              </w:rPr>
              <w:t>★</w:t>
            </w:r>
            <w:r>
              <w:rPr>
                <w:rFonts w:hint="eastAsia" w:ascii="宋体" w:hAnsi="宋体" w:eastAsia="宋体" w:cs="宋体"/>
                <w:b/>
                <w:color w:val="auto"/>
                <w:w w:val="90"/>
                <w:szCs w:val="21"/>
                <w:highlight w:val="none"/>
              </w:rPr>
              <w:t>A0201060104针式打印机</w:t>
            </w:r>
          </w:p>
        </w:tc>
        <w:tc>
          <w:tcPr>
            <w:tcW w:w="3301" w:type="dxa"/>
            <w:vAlign w:val="center"/>
          </w:tcPr>
          <w:p w14:paraId="077C59E2">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《复印机、打印机和传真机能效限定值及能效等级》（GB 21521）</w:t>
            </w:r>
          </w:p>
        </w:tc>
      </w:tr>
      <w:tr w14:paraId="1F8BF92E">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continue"/>
            <w:vAlign w:val="center"/>
          </w:tcPr>
          <w:p w14:paraId="11A8CBA1">
            <w:pPr>
              <w:jc w:val="center"/>
              <w:rPr>
                <w:rFonts w:hint="eastAsia" w:ascii="宋体" w:hAnsi="宋体" w:eastAsia="宋体" w:cs="宋体"/>
                <w:color w:val="auto"/>
                <w:w w:val="90"/>
                <w:szCs w:val="21"/>
                <w:highlight w:val="none"/>
              </w:rPr>
            </w:pPr>
          </w:p>
        </w:tc>
        <w:tc>
          <w:tcPr>
            <w:tcW w:w="1933" w:type="dxa"/>
            <w:vMerge w:val="continue"/>
            <w:vAlign w:val="center"/>
          </w:tcPr>
          <w:p w14:paraId="38489892">
            <w:pPr>
              <w:jc w:val="left"/>
              <w:rPr>
                <w:rFonts w:hint="eastAsia" w:ascii="宋体" w:hAnsi="宋体" w:eastAsia="宋体" w:cs="宋体"/>
                <w:color w:val="auto"/>
                <w:w w:val="90"/>
                <w:szCs w:val="21"/>
                <w:highlight w:val="none"/>
              </w:rPr>
            </w:pPr>
          </w:p>
        </w:tc>
        <w:tc>
          <w:tcPr>
            <w:tcW w:w="2334" w:type="dxa"/>
            <w:vAlign w:val="center"/>
          </w:tcPr>
          <w:p w14:paraId="72426E50">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A02010604显示设备</w:t>
            </w:r>
          </w:p>
        </w:tc>
        <w:tc>
          <w:tcPr>
            <w:tcW w:w="1682" w:type="dxa"/>
            <w:vAlign w:val="center"/>
          </w:tcPr>
          <w:p w14:paraId="51767C92">
            <w:pPr>
              <w:jc w:val="left"/>
              <w:rPr>
                <w:rFonts w:hint="eastAsia" w:ascii="宋体" w:hAnsi="宋体" w:eastAsia="宋体" w:cs="宋体"/>
                <w:b/>
                <w:color w:val="auto"/>
                <w:w w:val="90"/>
                <w:szCs w:val="21"/>
                <w:highlight w:val="none"/>
              </w:rPr>
            </w:pPr>
            <w:r>
              <w:rPr>
                <w:rFonts w:hint="eastAsia" w:ascii="宋体" w:hAnsi="宋体" w:eastAsia="宋体" w:cs="宋体"/>
                <w:color w:val="auto"/>
                <w:w w:val="90"/>
                <w:szCs w:val="21"/>
                <w:highlight w:val="none"/>
              </w:rPr>
              <w:t>★</w:t>
            </w:r>
            <w:r>
              <w:rPr>
                <w:rFonts w:hint="eastAsia" w:ascii="宋体" w:hAnsi="宋体" w:eastAsia="宋体" w:cs="宋体"/>
                <w:b/>
                <w:color w:val="auto"/>
                <w:w w:val="90"/>
                <w:szCs w:val="21"/>
                <w:highlight w:val="none"/>
              </w:rPr>
              <w:t>A0201060401液晶显示器</w:t>
            </w:r>
          </w:p>
        </w:tc>
        <w:tc>
          <w:tcPr>
            <w:tcW w:w="3301" w:type="dxa"/>
            <w:vAlign w:val="center"/>
          </w:tcPr>
          <w:p w14:paraId="3987446C">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《计算机显示器能效限定值及能效等级》（GB 21520）</w:t>
            </w:r>
          </w:p>
        </w:tc>
      </w:tr>
      <w:tr w14:paraId="46259E97">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continue"/>
            <w:vAlign w:val="center"/>
          </w:tcPr>
          <w:p w14:paraId="5FCC4007">
            <w:pPr>
              <w:jc w:val="center"/>
              <w:rPr>
                <w:rFonts w:hint="eastAsia" w:ascii="宋体" w:hAnsi="宋体" w:eastAsia="宋体" w:cs="宋体"/>
                <w:color w:val="auto"/>
                <w:w w:val="90"/>
                <w:szCs w:val="21"/>
                <w:highlight w:val="none"/>
              </w:rPr>
            </w:pPr>
          </w:p>
        </w:tc>
        <w:tc>
          <w:tcPr>
            <w:tcW w:w="1933" w:type="dxa"/>
            <w:vMerge w:val="continue"/>
            <w:vAlign w:val="center"/>
          </w:tcPr>
          <w:p w14:paraId="4C3D76DD">
            <w:pPr>
              <w:jc w:val="left"/>
              <w:rPr>
                <w:rFonts w:hint="eastAsia" w:ascii="宋体" w:hAnsi="宋体" w:eastAsia="宋体" w:cs="宋体"/>
                <w:color w:val="auto"/>
                <w:w w:val="90"/>
                <w:szCs w:val="21"/>
                <w:highlight w:val="none"/>
              </w:rPr>
            </w:pPr>
          </w:p>
        </w:tc>
        <w:tc>
          <w:tcPr>
            <w:tcW w:w="2334" w:type="dxa"/>
            <w:vAlign w:val="center"/>
          </w:tcPr>
          <w:p w14:paraId="74A14010">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A02010609图形图像输入设备</w:t>
            </w:r>
          </w:p>
        </w:tc>
        <w:tc>
          <w:tcPr>
            <w:tcW w:w="1682" w:type="dxa"/>
            <w:vAlign w:val="center"/>
          </w:tcPr>
          <w:p w14:paraId="494B4AFD">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A0201060901扫描仪</w:t>
            </w:r>
          </w:p>
        </w:tc>
        <w:tc>
          <w:tcPr>
            <w:tcW w:w="3301" w:type="dxa"/>
            <w:vAlign w:val="center"/>
          </w:tcPr>
          <w:p w14:paraId="5CD347A4">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参照《复印机、打印机和传真机能效限定值及能效等级》（GB 21521中打印速度为 15 页/分的针式打印机相关要求</w:t>
            </w:r>
          </w:p>
        </w:tc>
      </w:tr>
      <w:tr w14:paraId="1C6A6CAA">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Align w:val="center"/>
          </w:tcPr>
          <w:p w14:paraId="4BC6F3CE">
            <w:pPr>
              <w:jc w:val="center"/>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3</w:t>
            </w:r>
          </w:p>
        </w:tc>
        <w:tc>
          <w:tcPr>
            <w:tcW w:w="1933" w:type="dxa"/>
            <w:vAlign w:val="center"/>
          </w:tcPr>
          <w:p w14:paraId="2F67EC35">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A020202投影仪</w:t>
            </w:r>
          </w:p>
        </w:tc>
        <w:tc>
          <w:tcPr>
            <w:tcW w:w="2334" w:type="dxa"/>
            <w:vAlign w:val="center"/>
          </w:tcPr>
          <w:p w14:paraId="478255F6">
            <w:pPr>
              <w:jc w:val="left"/>
              <w:rPr>
                <w:rFonts w:hint="eastAsia" w:ascii="宋体" w:hAnsi="宋体" w:eastAsia="宋体" w:cs="宋体"/>
                <w:color w:val="auto"/>
                <w:w w:val="90"/>
                <w:szCs w:val="21"/>
                <w:highlight w:val="none"/>
              </w:rPr>
            </w:pPr>
          </w:p>
        </w:tc>
        <w:tc>
          <w:tcPr>
            <w:tcW w:w="1682" w:type="dxa"/>
            <w:vAlign w:val="center"/>
          </w:tcPr>
          <w:p w14:paraId="6A04E678">
            <w:pPr>
              <w:jc w:val="center"/>
              <w:rPr>
                <w:rFonts w:hint="eastAsia" w:ascii="宋体" w:hAnsi="宋体" w:eastAsia="宋体" w:cs="宋体"/>
                <w:color w:val="auto"/>
                <w:w w:val="90"/>
                <w:szCs w:val="21"/>
                <w:highlight w:val="none"/>
              </w:rPr>
            </w:pPr>
          </w:p>
        </w:tc>
        <w:tc>
          <w:tcPr>
            <w:tcW w:w="3301" w:type="dxa"/>
            <w:vAlign w:val="center"/>
          </w:tcPr>
          <w:p w14:paraId="0B64B29B">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《投影机能效限定值及能效等级（GB 32028）</w:t>
            </w:r>
          </w:p>
        </w:tc>
      </w:tr>
      <w:tr w14:paraId="3A888F99">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Align w:val="center"/>
          </w:tcPr>
          <w:p w14:paraId="1ABB5293">
            <w:pPr>
              <w:jc w:val="center"/>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4</w:t>
            </w:r>
          </w:p>
        </w:tc>
        <w:tc>
          <w:tcPr>
            <w:tcW w:w="1933" w:type="dxa"/>
            <w:vAlign w:val="center"/>
          </w:tcPr>
          <w:p w14:paraId="729E47E7">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A020204352多功能一体机</w:t>
            </w:r>
          </w:p>
        </w:tc>
        <w:tc>
          <w:tcPr>
            <w:tcW w:w="2334" w:type="dxa"/>
            <w:vAlign w:val="center"/>
          </w:tcPr>
          <w:p w14:paraId="6C1A201B">
            <w:pPr>
              <w:jc w:val="left"/>
              <w:rPr>
                <w:rFonts w:hint="eastAsia" w:ascii="宋体" w:hAnsi="宋体" w:eastAsia="宋体" w:cs="宋体"/>
                <w:color w:val="auto"/>
                <w:w w:val="90"/>
                <w:szCs w:val="21"/>
                <w:highlight w:val="none"/>
              </w:rPr>
            </w:pPr>
          </w:p>
        </w:tc>
        <w:tc>
          <w:tcPr>
            <w:tcW w:w="1682" w:type="dxa"/>
            <w:vAlign w:val="center"/>
          </w:tcPr>
          <w:p w14:paraId="71A15DC0">
            <w:pPr>
              <w:jc w:val="center"/>
              <w:rPr>
                <w:rFonts w:hint="eastAsia" w:ascii="宋体" w:hAnsi="宋体" w:eastAsia="宋体" w:cs="宋体"/>
                <w:color w:val="auto"/>
                <w:w w:val="90"/>
                <w:szCs w:val="21"/>
                <w:highlight w:val="none"/>
              </w:rPr>
            </w:pPr>
          </w:p>
        </w:tc>
        <w:tc>
          <w:tcPr>
            <w:tcW w:w="3301" w:type="dxa"/>
            <w:vAlign w:val="center"/>
          </w:tcPr>
          <w:p w14:paraId="3B506447">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《复印机、打印机和传真机能效限定值及能效等级》（GB 21521）</w:t>
            </w:r>
          </w:p>
        </w:tc>
      </w:tr>
      <w:tr w14:paraId="136ABDE3">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Align w:val="center"/>
          </w:tcPr>
          <w:p w14:paraId="086E5750">
            <w:pPr>
              <w:jc w:val="center"/>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5</w:t>
            </w:r>
          </w:p>
        </w:tc>
        <w:tc>
          <w:tcPr>
            <w:tcW w:w="1933" w:type="dxa"/>
            <w:vAlign w:val="center"/>
          </w:tcPr>
          <w:p w14:paraId="0FB2AA3D">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A020519泵</w:t>
            </w:r>
          </w:p>
        </w:tc>
        <w:tc>
          <w:tcPr>
            <w:tcW w:w="2334" w:type="dxa"/>
            <w:vAlign w:val="center"/>
          </w:tcPr>
          <w:p w14:paraId="7162CEE9">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A02051901离心泵</w:t>
            </w:r>
          </w:p>
        </w:tc>
        <w:tc>
          <w:tcPr>
            <w:tcW w:w="1682" w:type="dxa"/>
            <w:vAlign w:val="center"/>
          </w:tcPr>
          <w:p w14:paraId="027D28FA">
            <w:pPr>
              <w:jc w:val="center"/>
              <w:rPr>
                <w:rFonts w:hint="eastAsia" w:ascii="宋体" w:hAnsi="宋体" w:eastAsia="宋体" w:cs="宋体"/>
                <w:color w:val="auto"/>
                <w:w w:val="90"/>
                <w:szCs w:val="21"/>
                <w:highlight w:val="none"/>
              </w:rPr>
            </w:pPr>
          </w:p>
        </w:tc>
        <w:tc>
          <w:tcPr>
            <w:tcW w:w="3301" w:type="dxa"/>
            <w:vAlign w:val="center"/>
          </w:tcPr>
          <w:p w14:paraId="1C453740">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《清水离心泵能效限定值及节能评价值》（GB 19762）</w:t>
            </w:r>
          </w:p>
        </w:tc>
      </w:tr>
      <w:tr w14:paraId="165A75FA">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restart"/>
            <w:vAlign w:val="center"/>
          </w:tcPr>
          <w:p w14:paraId="5663FF25">
            <w:pPr>
              <w:jc w:val="center"/>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6</w:t>
            </w:r>
          </w:p>
        </w:tc>
        <w:tc>
          <w:tcPr>
            <w:tcW w:w="1933" w:type="dxa"/>
            <w:vMerge w:val="restart"/>
            <w:vAlign w:val="center"/>
          </w:tcPr>
          <w:p w14:paraId="6A1DB4F1">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A020523制冷空调设备</w:t>
            </w:r>
          </w:p>
        </w:tc>
        <w:tc>
          <w:tcPr>
            <w:tcW w:w="2334" w:type="dxa"/>
            <w:vMerge w:val="restart"/>
            <w:vAlign w:val="center"/>
          </w:tcPr>
          <w:p w14:paraId="6473E2E0">
            <w:pPr>
              <w:jc w:val="left"/>
              <w:rPr>
                <w:rFonts w:hint="eastAsia" w:ascii="宋体" w:hAnsi="宋体" w:eastAsia="宋体" w:cs="宋体"/>
                <w:b/>
                <w:color w:val="auto"/>
                <w:w w:val="90"/>
                <w:szCs w:val="21"/>
                <w:highlight w:val="none"/>
              </w:rPr>
            </w:pPr>
            <w:r>
              <w:rPr>
                <w:rFonts w:hint="eastAsia" w:ascii="宋体" w:hAnsi="宋体" w:eastAsia="宋体" w:cs="宋体"/>
                <w:color w:val="auto"/>
                <w:w w:val="90"/>
                <w:szCs w:val="21"/>
                <w:highlight w:val="none"/>
              </w:rPr>
              <w:t>★</w:t>
            </w:r>
            <w:r>
              <w:rPr>
                <w:rFonts w:hint="eastAsia" w:ascii="宋体" w:hAnsi="宋体" w:eastAsia="宋体" w:cs="宋体"/>
                <w:b/>
                <w:color w:val="auto"/>
                <w:w w:val="90"/>
                <w:szCs w:val="21"/>
                <w:highlight w:val="none"/>
              </w:rPr>
              <w:t>A02052301制冷压缩机</w:t>
            </w:r>
          </w:p>
        </w:tc>
        <w:tc>
          <w:tcPr>
            <w:tcW w:w="1682" w:type="dxa"/>
            <w:vAlign w:val="center"/>
          </w:tcPr>
          <w:p w14:paraId="6F0F50EE">
            <w:pPr>
              <w:jc w:val="left"/>
              <w:rPr>
                <w:rFonts w:hint="eastAsia" w:ascii="宋体" w:hAnsi="宋体" w:eastAsia="宋体" w:cs="宋体"/>
                <w:b/>
                <w:color w:val="auto"/>
                <w:w w:val="90"/>
                <w:szCs w:val="21"/>
                <w:highlight w:val="none"/>
              </w:rPr>
            </w:pPr>
            <w:r>
              <w:rPr>
                <w:rFonts w:hint="eastAsia" w:ascii="宋体" w:hAnsi="宋体" w:eastAsia="宋体" w:cs="宋体"/>
                <w:b/>
                <w:color w:val="auto"/>
                <w:w w:val="90"/>
                <w:szCs w:val="21"/>
                <w:highlight w:val="none"/>
              </w:rPr>
              <w:t>冷水机组</w:t>
            </w:r>
          </w:p>
        </w:tc>
        <w:tc>
          <w:tcPr>
            <w:tcW w:w="3301" w:type="dxa"/>
            <w:vAlign w:val="center"/>
          </w:tcPr>
          <w:p w14:paraId="56CB5815">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《冷水机组能效限定值及能效等级》（GB 19577），《低环境温度空气源热泵（冷水）机组能效限定值及能效等级》（GB 37480）</w:t>
            </w:r>
          </w:p>
        </w:tc>
      </w:tr>
      <w:tr w14:paraId="51A0215A">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continue"/>
            <w:vAlign w:val="center"/>
          </w:tcPr>
          <w:p w14:paraId="0F8A16F3">
            <w:pPr>
              <w:jc w:val="center"/>
              <w:rPr>
                <w:rFonts w:hint="eastAsia" w:ascii="宋体" w:hAnsi="宋体" w:eastAsia="宋体" w:cs="宋体"/>
                <w:color w:val="auto"/>
                <w:w w:val="90"/>
                <w:szCs w:val="21"/>
                <w:highlight w:val="none"/>
              </w:rPr>
            </w:pPr>
          </w:p>
        </w:tc>
        <w:tc>
          <w:tcPr>
            <w:tcW w:w="1933" w:type="dxa"/>
            <w:vMerge w:val="continue"/>
            <w:vAlign w:val="center"/>
          </w:tcPr>
          <w:p w14:paraId="2F2E74DD">
            <w:pPr>
              <w:jc w:val="left"/>
              <w:rPr>
                <w:rFonts w:hint="eastAsia" w:ascii="宋体" w:hAnsi="宋体" w:eastAsia="宋体" w:cs="宋体"/>
                <w:color w:val="auto"/>
                <w:w w:val="90"/>
                <w:szCs w:val="21"/>
                <w:highlight w:val="none"/>
              </w:rPr>
            </w:pPr>
          </w:p>
        </w:tc>
        <w:tc>
          <w:tcPr>
            <w:tcW w:w="2334" w:type="dxa"/>
            <w:vMerge w:val="continue"/>
            <w:vAlign w:val="center"/>
          </w:tcPr>
          <w:p w14:paraId="02983433">
            <w:pPr>
              <w:jc w:val="left"/>
              <w:rPr>
                <w:rFonts w:hint="eastAsia" w:ascii="宋体" w:hAnsi="宋体" w:eastAsia="宋体" w:cs="宋体"/>
                <w:b/>
                <w:color w:val="auto"/>
                <w:w w:val="90"/>
                <w:szCs w:val="21"/>
                <w:highlight w:val="none"/>
              </w:rPr>
            </w:pPr>
          </w:p>
        </w:tc>
        <w:tc>
          <w:tcPr>
            <w:tcW w:w="1682" w:type="dxa"/>
            <w:vAlign w:val="center"/>
          </w:tcPr>
          <w:p w14:paraId="5D167E93">
            <w:pPr>
              <w:jc w:val="left"/>
              <w:rPr>
                <w:rFonts w:hint="eastAsia" w:ascii="宋体" w:hAnsi="宋体" w:eastAsia="宋体" w:cs="宋体"/>
                <w:b/>
                <w:color w:val="auto"/>
                <w:w w:val="90"/>
                <w:szCs w:val="21"/>
                <w:highlight w:val="none"/>
              </w:rPr>
            </w:pPr>
            <w:r>
              <w:rPr>
                <w:rFonts w:hint="eastAsia" w:ascii="宋体" w:hAnsi="宋体" w:eastAsia="宋体" w:cs="宋体"/>
                <w:b/>
                <w:color w:val="auto"/>
                <w:w w:val="90"/>
                <w:szCs w:val="21"/>
                <w:highlight w:val="none"/>
              </w:rPr>
              <w:t>水源热泵机组</w:t>
            </w:r>
          </w:p>
        </w:tc>
        <w:tc>
          <w:tcPr>
            <w:tcW w:w="3301" w:type="dxa"/>
            <w:vAlign w:val="center"/>
          </w:tcPr>
          <w:p w14:paraId="5D729586">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《水（地）源热泵机组能效限定值及能效等级》（GB 30721）</w:t>
            </w:r>
          </w:p>
        </w:tc>
      </w:tr>
      <w:tr w14:paraId="4D490615">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continue"/>
            <w:vAlign w:val="center"/>
          </w:tcPr>
          <w:p w14:paraId="4952DA7D">
            <w:pPr>
              <w:jc w:val="center"/>
              <w:rPr>
                <w:rFonts w:hint="eastAsia" w:ascii="宋体" w:hAnsi="宋体" w:eastAsia="宋体" w:cs="宋体"/>
                <w:color w:val="auto"/>
                <w:w w:val="90"/>
                <w:szCs w:val="21"/>
                <w:highlight w:val="none"/>
              </w:rPr>
            </w:pPr>
          </w:p>
        </w:tc>
        <w:tc>
          <w:tcPr>
            <w:tcW w:w="1933" w:type="dxa"/>
            <w:vMerge w:val="continue"/>
            <w:vAlign w:val="center"/>
          </w:tcPr>
          <w:p w14:paraId="548025FF">
            <w:pPr>
              <w:jc w:val="left"/>
              <w:rPr>
                <w:rFonts w:hint="eastAsia" w:ascii="宋体" w:hAnsi="宋体" w:eastAsia="宋体" w:cs="宋体"/>
                <w:color w:val="auto"/>
                <w:w w:val="90"/>
                <w:szCs w:val="21"/>
                <w:highlight w:val="none"/>
              </w:rPr>
            </w:pPr>
          </w:p>
        </w:tc>
        <w:tc>
          <w:tcPr>
            <w:tcW w:w="2334" w:type="dxa"/>
            <w:vMerge w:val="continue"/>
            <w:vAlign w:val="center"/>
          </w:tcPr>
          <w:p w14:paraId="0B7FCDC4">
            <w:pPr>
              <w:jc w:val="left"/>
              <w:rPr>
                <w:rFonts w:hint="eastAsia" w:ascii="宋体" w:hAnsi="宋体" w:eastAsia="宋体" w:cs="宋体"/>
                <w:b/>
                <w:color w:val="auto"/>
                <w:w w:val="90"/>
                <w:szCs w:val="21"/>
                <w:highlight w:val="none"/>
              </w:rPr>
            </w:pPr>
          </w:p>
        </w:tc>
        <w:tc>
          <w:tcPr>
            <w:tcW w:w="1682" w:type="dxa"/>
            <w:vAlign w:val="center"/>
          </w:tcPr>
          <w:p w14:paraId="1F7C0164">
            <w:pPr>
              <w:jc w:val="left"/>
              <w:rPr>
                <w:rFonts w:hint="eastAsia" w:ascii="宋体" w:hAnsi="宋体" w:eastAsia="宋体" w:cs="宋体"/>
                <w:b/>
                <w:color w:val="auto"/>
                <w:w w:val="90"/>
                <w:szCs w:val="21"/>
                <w:highlight w:val="none"/>
              </w:rPr>
            </w:pPr>
            <w:r>
              <w:rPr>
                <w:rFonts w:hint="eastAsia" w:ascii="宋体" w:hAnsi="宋体" w:eastAsia="宋体" w:cs="宋体"/>
                <w:b/>
                <w:color w:val="auto"/>
                <w:w w:val="90"/>
                <w:szCs w:val="21"/>
                <w:highlight w:val="none"/>
              </w:rPr>
              <w:t>溴化锂吸收式冷水机组</w:t>
            </w:r>
          </w:p>
        </w:tc>
        <w:tc>
          <w:tcPr>
            <w:tcW w:w="3301" w:type="dxa"/>
            <w:vAlign w:val="center"/>
          </w:tcPr>
          <w:p w14:paraId="2E03E991">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《溴化锂吸收式冷水机组能效限定值及能效等级》（GB 29540）</w:t>
            </w:r>
          </w:p>
        </w:tc>
      </w:tr>
      <w:tr w14:paraId="3A9F566C">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continue"/>
            <w:vAlign w:val="center"/>
          </w:tcPr>
          <w:p w14:paraId="08E9CD91">
            <w:pPr>
              <w:jc w:val="center"/>
              <w:rPr>
                <w:rFonts w:hint="eastAsia" w:ascii="宋体" w:hAnsi="宋体" w:eastAsia="宋体" w:cs="宋体"/>
                <w:color w:val="auto"/>
                <w:w w:val="90"/>
                <w:szCs w:val="21"/>
                <w:highlight w:val="none"/>
              </w:rPr>
            </w:pPr>
          </w:p>
        </w:tc>
        <w:tc>
          <w:tcPr>
            <w:tcW w:w="1933" w:type="dxa"/>
            <w:vMerge w:val="continue"/>
            <w:vAlign w:val="center"/>
          </w:tcPr>
          <w:p w14:paraId="6B8BBD58">
            <w:pPr>
              <w:jc w:val="left"/>
              <w:rPr>
                <w:rFonts w:hint="eastAsia" w:ascii="宋体" w:hAnsi="宋体" w:eastAsia="宋体" w:cs="宋体"/>
                <w:color w:val="auto"/>
                <w:w w:val="90"/>
                <w:szCs w:val="21"/>
                <w:highlight w:val="none"/>
              </w:rPr>
            </w:pPr>
          </w:p>
        </w:tc>
        <w:tc>
          <w:tcPr>
            <w:tcW w:w="2334" w:type="dxa"/>
            <w:vMerge w:val="restart"/>
            <w:vAlign w:val="center"/>
          </w:tcPr>
          <w:p w14:paraId="5984D7C1">
            <w:pPr>
              <w:jc w:val="left"/>
              <w:rPr>
                <w:rFonts w:hint="eastAsia" w:ascii="宋体" w:hAnsi="宋体" w:eastAsia="宋体" w:cs="宋体"/>
                <w:b/>
                <w:color w:val="auto"/>
                <w:w w:val="90"/>
                <w:szCs w:val="21"/>
                <w:highlight w:val="none"/>
              </w:rPr>
            </w:pPr>
            <w:r>
              <w:rPr>
                <w:rFonts w:hint="eastAsia" w:ascii="宋体" w:hAnsi="宋体" w:eastAsia="宋体" w:cs="宋体"/>
                <w:color w:val="auto"/>
                <w:w w:val="90"/>
                <w:szCs w:val="21"/>
                <w:highlight w:val="none"/>
              </w:rPr>
              <w:t>★</w:t>
            </w:r>
            <w:r>
              <w:rPr>
                <w:rFonts w:hint="eastAsia" w:ascii="宋体" w:hAnsi="宋体" w:eastAsia="宋体" w:cs="宋体"/>
                <w:b/>
                <w:color w:val="auto"/>
                <w:w w:val="90"/>
                <w:szCs w:val="21"/>
                <w:highlight w:val="none"/>
              </w:rPr>
              <w:t>A02052305空调机组</w:t>
            </w:r>
          </w:p>
        </w:tc>
        <w:tc>
          <w:tcPr>
            <w:tcW w:w="1682" w:type="dxa"/>
            <w:vAlign w:val="center"/>
          </w:tcPr>
          <w:p w14:paraId="5A6E054F">
            <w:pPr>
              <w:jc w:val="left"/>
              <w:rPr>
                <w:rFonts w:hint="eastAsia" w:ascii="宋体" w:hAnsi="宋体" w:eastAsia="宋体" w:cs="宋体"/>
                <w:b/>
                <w:color w:val="auto"/>
                <w:w w:val="90"/>
                <w:szCs w:val="21"/>
                <w:highlight w:val="none"/>
              </w:rPr>
            </w:pPr>
            <w:r>
              <w:rPr>
                <w:rFonts w:hint="eastAsia" w:ascii="宋体" w:hAnsi="宋体" w:eastAsia="宋体" w:cs="宋体"/>
                <w:b/>
                <w:color w:val="auto"/>
                <w:w w:val="90"/>
                <w:szCs w:val="21"/>
                <w:highlight w:val="none"/>
              </w:rPr>
              <w:t>多联式空调（热泵）机组(制冷量&gt;14000W)</w:t>
            </w:r>
          </w:p>
        </w:tc>
        <w:tc>
          <w:tcPr>
            <w:tcW w:w="3301" w:type="dxa"/>
            <w:vAlign w:val="center"/>
          </w:tcPr>
          <w:p w14:paraId="66D73FA3">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《多联式空调（热泵）机组能效限定值及能源效率等级》（GB 21454）</w:t>
            </w:r>
          </w:p>
        </w:tc>
      </w:tr>
      <w:tr w14:paraId="67AFC388">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continue"/>
            <w:vAlign w:val="center"/>
          </w:tcPr>
          <w:p w14:paraId="5956D2CD">
            <w:pPr>
              <w:jc w:val="center"/>
              <w:rPr>
                <w:rFonts w:hint="eastAsia" w:ascii="宋体" w:hAnsi="宋体" w:eastAsia="宋体" w:cs="宋体"/>
                <w:color w:val="auto"/>
                <w:w w:val="90"/>
                <w:szCs w:val="21"/>
                <w:highlight w:val="none"/>
              </w:rPr>
            </w:pPr>
          </w:p>
        </w:tc>
        <w:tc>
          <w:tcPr>
            <w:tcW w:w="1933" w:type="dxa"/>
            <w:vMerge w:val="continue"/>
            <w:vAlign w:val="center"/>
          </w:tcPr>
          <w:p w14:paraId="7BE248AA">
            <w:pPr>
              <w:jc w:val="left"/>
              <w:rPr>
                <w:rFonts w:hint="eastAsia" w:ascii="宋体" w:hAnsi="宋体" w:eastAsia="宋体" w:cs="宋体"/>
                <w:color w:val="auto"/>
                <w:w w:val="90"/>
                <w:szCs w:val="21"/>
                <w:highlight w:val="none"/>
              </w:rPr>
            </w:pPr>
          </w:p>
        </w:tc>
        <w:tc>
          <w:tcPr>
            <w:tcW w:w="2334" w:type="dxa"/>
            <w:vMerge w:val="continue"/>
            <w:vAlign w:val="center"/>
          </w:tcPr>
          <w:p w14:paraId="4F9F3B89">
            <w:pPr>
              <w:jc w:val="left"/>
              <w:rPr>
                <w:rFonts w:hint="eastAsia" w:ascii="宋体" w:hAnsi="宋体" w:eastAsia="宋体" w:cs="宋体"/>
                <w:b/>
                <w:color w:val="auto"/>
                <w:w w:val="90"/>
                <w:szCs w:val="21"/>
                <w:highlight w:val="none"/>
              </w:rPr>
            </w:pPr>
          </w:p>
        </w:tc>
        <w:tc>
          <w:tcPr>
            <w:tcW w:w="1682" w:type="dxa"/>
            <w:vAlign w:val="center"/>
          </w:tcPr>
          <w:p w14:paraId="1CFE281A">
            <w:pPr>
              <w:jc w:val="left"/>
              <w:rPr>
                <w:rFonts w:hint="eastAsia" w:ascii="宋体" w:hAnsi="宋体" w:eastAsia="宋体" w:cs="宋体"/>
                <w:b/>
                <w:color w:val="auto"/>
                <w:w w:val="90"/>
                <w:szCs w:val="21"/>
                <w:highlight w:val="none"/>
              </w:rPr>
            </w:pPr>
            <w:r>
              <w:rPr>
                <w:rFonts w:hint="eastAsia" w:ascii="宋体" w:hAnsi="宋体" w:eastAsia="宋体" w:cs="宋体"/>
                <w:b/>
                <w:color w:val="auto"/>
                <w:w w:val="90"/>
                <w:szCs w:val="21"/>
                <w:highlight w:val="none"/>
              </w:rPr>
              <w:t>单元式空气调节机(制冷量&gt;14000W)</w:t>
            </w:r>
          </w:p>
        </w:tc>
        <w:tc>
          <w:tcPr>
            <w:tcW w:w="3301" w:type="dxa"/>
            <w:vAlign w:val="center"/>
          </w:tcPr>
          <w:p w14:paraId="2AC487B7">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《单元式空气调节机能效限定值及能效等级》（GB 19576）《风管送风式空调机组能效限定值及能效等级》（GB 37479）</w:t>
            </w:r>
          </w:p>
        </w:tc>
      </w:tr>
      <w:tr w14:paraId="1B3DD59A">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continue"/>
            <w:vAlign w:val="center"/>
          </w:tcPr>
          <w:p w14:paraId="4D0F0D9F">
            <w:pPr>
              <w:jc w:val="center"/>
              <w:rPr>
                <w:rFonts w:hint="eastAsia" w:ascii="宋体" w:hAnsi="宋体" w:eastAsia="宋体" w:cs="宋体"/>
                <w:color w:val="auto"/>
                <w:w w:val="90"/>
                <w:szCs w:val="21"/>
                <w:highlight w:val="none"/>
              </w:rPr>
            </w:pPr>
          </w:p>
        </w:tc>
        <w:tc>
          <w:tcPr>
            <w:tcW w:w="1933" w:type="dxa"/>
            <w:vMerge w:val="continue"/>
            <w:vAlign w:val="center"/>
          </w:tcPr>
          <w:p w14:paraId="7B9F1F36">
            <w:pPr>
              <w:jc w:val="left"/>
              <w:rPr>
                <w:rFonts w:hint="eastAsia" w:ascii="宋体" w:hAnsi="宋体" w:eastAsia="宋体" w:cs="宋体"/>
                <w:color w:val="auto"/>
                <w:w w:val="90"/>
                <w:szCs w:val="21"/>
                <w:highlight w:val="none"/>
              </w:rPr>
            </w:pPr>
          </w:p>
        </w:tc>
        <w:tc>
          <w:tcPr>
            <w:tcW w:w="2334" w:type="dxa"/>
            <w:vAlign w:val="center"/>
          </w:tcPr>
          <w:p w14:paraId="7A33632B">
            <w:pPr>
              <w:jc w:val="left"/>
              <w:rPr>
                <w:rFonts w:hint="eastAsia" w:ascii="宋体" w:hAnsi="宋体" w:eastAsia="宋体" w:cs="宋体"/>
                <w:b/>
                <w:color w:val="auto"/>
                <w:w w:val="90"/>
                <w:szCs w:val="21"/>
                <w:highlight w:val="none"/>
              </w:rPr>
            </w:pPr>
            <w:r>
              <w:rPr>
                <w:rFonts w:hint="eastAsia" w:ascii="宋体" w:hAnsi="宋体" w:eastAsia="宋体" w:cs="宋体"/>
                <w:color w:val="auto"/>
                <w:w w:val="90"/>
                <w:szCs w:val="21"/>
                <w:highlight w:val="none"/>
              </w:rPr>
              <w:t>★</w:t>
            </w:r>
            <w:r>
              <w:rPr>
                <w:rFonts w:hint="eastAsia" w:ascii="宋体" w:hAnsi="宋体" w:eastAsia="宋体" w:cs="宋体"/>
                <w:b/>
                <w:color w:val="auto"/>
                <w:w w:val="90"/>
                <w:szCs w:val="21"/>
                <w:highlight w:val="none"/>
              </w:rPr>
              <w:t>A02052309专用制冷、空调设备</w:t>
            </w:r>
          </w:p>
        </w:tc>
        <w:tc>
          <w:tcPr>
            <w:tcW w:w="1682" w:type="dxa"/>
            <w:vAlign w:val="center"/>
          </w:tcPr>
          <w:p w14:paraId="6D58FCF6">
            <w:pPr>
              <w:jc w:val="left"/>
              <w:rPr>
                <w:rFonts w:hint="eastAsia" w:ascii="宋体" w:hAnsi="宋体" w:eastAsia="宋体" w:cs="宋体"/>
                <w:b/>
                <w:color w:val="auto"/>
                <w:w w:val="90"/>
                <w:szCs w:val="21"/>
                <w:highlight w:val="none"/>
              </w:rPr>
            </w:pPr>
            <w:r>
              <w:rPr>
                <w:rFonts w:hint="eastAsia" w:ascii="宋体" w:hAnsi="宋体" w:eastAsia="宋体" w:cs="宋体"/>
                <w:b/>
                <w:color w:val="auto"/>
                <w:w w:val="90"/>
                <w:szCs w:val="21"/>
                <w:highlight w:val="none"/>
              </w:rPr>
              <w:t>机房空调</w:t>
            </w:r>
          </w:p>
        </w:tc>
        <w:tc>
          <w:tcPr>
            <w:tcW w:w="3301" w:type="dxa"/>
            <w:vAlign w:val="center"/>
          </w:tcPr>
          <w:p w14:paraId="6D8BBD0A">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《单元式空气调节机能效限定值及能效等级》（GB 19576）</w:t>
            </w:r>
          </w:p>
        </w:tc>
      </w:tr>
      <w:tr w14:paraId="79238E0A">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continue"/>
            <w:vAlign w:val="center"/>
          </w:tcPr>
          <w:p w14:paraId="7B5DA9E5">
            <w:pPr>
              <w:jc w:val="center"/>
              <w:rPr>
                <w:rFonts w:hint="eastAsia" w:ascii="宋体" w:hAnsi="宋体" w:eastAsia="宋体" w:cs="宋体"/>
                <w:color w:val="auto"/>
                <w:w w:val="90"/>
                <w:szCs w:val="21"/>
                <w:highlight w:val="none"/>
              </w:rPr>
            </w:pPr>
          </w:p>
        </w:tc>
        <w:tc>
          <w:tcPr>
            <w:tcW w:w="1933" w:type="dxa"/>
            <w:vMerge w:val="continue"/>
            <w:vAlign w:val="center"/>
          </w:tcPr>
          <w:p w14:paraId="3EF183EA">
            <w:pPr>
              <w:jc w:val="left"/>
              <w:rPr>
                <w:rFonts w:hint="eastAsia" w:ascii="宋体" w:hAnsi="宋体" w:eastAsia="宋体" w:cs="宋体"/>
                <w:color w:val="auto"/>
                <w:w w:val="90"/>
                <w:szCs w:val="21"/>
                <w:highlight w:val="none"/>
              </w:rPr>
            </w:pPr>
          </w:p>
        </w:tc>
        <w:tc>
          <w:tcPr>
            <w:tcW w:w="2334" w:type="dxa"/>
            <w:vAlign w:val="center"/>
          </w:tcPr>
          <w:p w14:paraId="15CBE2EE">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A02052399其他制冷空调设备</w:t>
            </w:r>
          </w:p>
        </w:tc>
        <w:tc>
          <w:tcPr>
            <w:tcW w:w="1682" w:type="dxa"/>
            <w:vAlign w:val="center"/>
          </w:tcPr>
          <w:p w14:paraId="6C69EBD8">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冷却塔</w:t>
            </w:r>
          </w:p>
        </w:tc>
        <w:tc>
          <w:tcPr>
            <w:tcW w:w="3301" w:type="dxa"/>
            <w:vAlign w:val="center"/>
          </w:tcPr>
          <w:p w14:paraId="5E9DD885">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《机械通风冷却塔 第 1 部分：中小型开式冷却塔》（GB/T 7190.1）</w:t>
            </w:r>
          </w:p>
          <w:p w14:paraId="3A82A189">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《机械通风冷却塔 第 2 部分：大型开式冷却塔》（GB/T 7190.2）</w:t>
            </w:r>
          </w:p>
        </w:tc>
      </w:tr>
      <w:tr w14:paraId="57EB660D">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Align w:val="center"/>
          </w:tcPr>
          <w:p w14:paraId="10A9057D">
            <w:pPr>
              <w:jc w:val="center"/>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7</w:t>
            </w:r>
          </w:p>
        </w:tc>
        <w:tc>
          <w:tcPr>
            <w:tcW w:w="1933" w:type="dxa"/>
            <w:vAlign w:val="center"/>
          </w:tcPr>
          <w:p w14:paraId="5B8193BB">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A020601电机</w:t>
            </w:r>
          </w:p>
        </w:tc>
        <w:tc>
          <w:tcPr>
            <w:tcW w:w="2334" w:type="dxa"/>
            <w:vAlign w:val="center"/>
          </w:tcPr>
          <w:p w14:paraId="4A1A3161">
            <w:pPr>
              <w:jc w:val="left"/>
              <w:rPr>
                <w:rFonts w:hint="eastAsia" w:ascii="宋体" w:hAnsi="宋体" w:eastAsia="宋体" w:cs="宋体"/>
                <w:color w:val="auto"/>
                <w:w w:val="90"/>
                <w:szCs w:val="21"/>
                <w:highlight w:val="none"/>
              </w:rPr>
            </w:pPr>
          </w:p>
        </w:tc>
        <w:tc>
          <w:tcPr>
            <w:tcW w:w="1682" w:type="dxa"/>
            <w:vAlign w:val="center"/>
          </w:tcPr>
          <w:p w14:paraId="6596369B">
            <w:pPr>
              <w:jc w:val="center"/>
              <w:rPr>
                <w:rFonts w:hint="eastAsia" w:ascii="宋体" w:hAnsi="宋体" w:eastAsia="宋体" w:cs="宋体"/>
                <w:color w:val="auto"/>
                <w:w w:val="90"/>
                <w:szCs w:val="21"/>
                <w:highlight w:val="none"/>
              </w:rPr>
            </w:pPr>
          </w:p>
        </w:tc>
        <w:tc>
          <w:tcPr>
            <w:tcW w:w="3301" w:type="dxa"/>
            <w:vAlign w:val="center"/>
          </w:tcPr>
          <w:p w14:paraId="65E46948">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《中小型三相异步电动机能效限定值及能效等级》（GB 18613）</w:t>
            </w:r>
          </w:p>
        </w:tc>
      </w:tr>
      <w:tr w14:paraId="7686369B">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Align w:val="center"/>
          </w:tcPr>
          <w:p w14:paraId="6F3FD7F7">
            <w:pPr>
              <w:jc w:val="center"/>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8</w:t>
            </w:r>
          </w:p>
        </w:tc>
        <w:tc>
          <w:tcPr>
            <w:tcW w:w="1933" w:type="dxa"/>
            <w:vAlign w:val="center"/>
          </w:tcPr>
          <w:p w14:paraId="4D37DC51">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A020602变压器</w:t>
            </w:r>
          </w:p>
        </w:tc>
        <w:tc>
          <w:tcPr>
            <w:tcW w:w="2334" w:type="dxa"/>
            <w:vAlign w:val="center"/>
          </w:tcPr>
          <w:p w14:paraId="59F63355">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配电变压器</w:t>
            </w:r>
          </w:p>
        </w:tc>
        <w:tc>
          <w:tcPr>
            <w:tcW w:w="1682" w:type="dxa"/>
            <w:vAlign w:val="center"/>
          </w:tcPr>
          <w:p w14:paraId="69FF757B">
            <w:pPr>
              <w:jc w:val="center"/>
              <w:rPr>
                <w:rFonts w:hint="eastAsia" w:ascii="宋体" w:hAnsi="宋体" w:eastAsia="宋体" w:cs="宋体"/>
                <w:color w:val="auto"/>
                <w:w w:val="90"/>
                <w:szCs w:val="21"/>
                <w:highlight w:val="none"/>
              </w:rPr>
            </w:pPr>
          </w:p>
        </w:tc>
        <w:tc>
          <w:tcPr>
            <w:tcW w:w="3301" w:type="dxa"/>
            <w:vAlign w:val="center"/>
          </w:tcPr>
          <w:p w14:paraId="5C430DF9">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《三相配电变压器能效限定值及能效等级》（GB 20052）</w:t>
            </w:r>
          </w:p>
        </w:tc>
      </w:tr>
      <w:tr w14:paraId="37717515">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Align w:val="center"/>
          </w:tcPr>
          <w:p w14:paraId="1998F561">
            <w:pPr>
              <w:jc w:val="center"/>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9</w:t>
            </w:r>
          </w:p>
        </w:tc>
        <w:tc>
          <w:tcPr>
            <w:tcW w:w="1933" w:type="dxa"/>
            <w:vAlign w:val="center"/>
          </w:tcPr>
          <w:p w14:paraId="60DCB84E">
            <w:pPr>
              <w:jc w:val="left"/>
              <w:rPr>
                <w:rFonts w:hint="eastAsia" w:ascii="宋体" w:hAnsi="宋体" w:eastAsia="宋体" w:cs="宋体"/>
                <w:b/>
                <w:color w:val="auto"/>
                <w:w w:val="90"/>
                <w:szCs w:val="21"/>
                <w:highlight w:val="none"/>
              </w:rPr>
            </w:pPr>
            <w:r>
              <w:rPr>
                <w:rFonts w:hint="eastAsia" w:ascii="宋体" w:hAnsi="宋体" w:eastAsia="宋体" w:cs="宋体"/>
                <w:color w:val="auto"/>
                <w:w w:val="90"/>
                <w:szCs w:val="21"/>
                <w:highlight w:val="none"/>
              </w:rPr>
              <w:t>★</w:t>
            </w:r>
            <w:r>
              <w:rPr>
                <w:rFonts w:hint="eastAsia" w:ascii="宋体" w:hAnsi="宋体" w:eastAsia="宋体" w:cs="宋体"/>
                <w:b/>
                <w:color w:val="auto"/>
                <w:w w:val="90"/>
                <w:szCs w:val="21"/>
                <w:highlight w:val="none"/>
              </w:rPr>
              <w:t>A020609镇流器</w:t>
            </w:r>
          </w:p>
        </w:tc>
        <w:tc>
          <w:tcPr>
            <w:tcW w:w="2334" w:type="dxa"/>
            <w:vAlign w:val="center"/>
          </w:tcPr>
          <w:p w14:paraId="670BB2A6">
            <w:pPr>
              <w:jc w:val="left"/>
              <w:rPr>
                <w:rFonts w:hint="eastAsia" w:ascii="宋体" w:hAnsi="宋体" w:eastAsia="宋体" w:cs="宋体"/>
                <w:b/>
                <w:color w:val="auto"/>
                <w:w w:val="90"/>
                <w:szCs w:val="21"/>
                <w:highlight w:val="none"/>
              </w:rPr>
            </w:pPr>
            <w:r>
              <w:rPr>
                <w:rFonts w:hint="eastAsia" w:ascii="宋体" w:hAnsi="宋体" w:eastAsia="宋体" w:cs="宋体"/>
                <w:b/>
                <w:color w:val="auto"/>
                <w:w w:val="90"/>
                <w:szCs w:val="21"/>
                <w:highlight w:val="none"/>
              </w:rPr>
              <w:t>管型荧光灯镇流器</w:t>
            </w:r>
          </w:p>
        </w:tc>
        <w:tc>
          <w:tcPr>
            <w:tcW w:w="1682" w:type="dxa"/>
            <w:vAlign w:val="center"/>
          </w:tcPr>
          <w:p w14:paraId="1E6CF325">
            <w:pPr>
              <w:jc w:val="center"/>
              <w:rPr>
                <w:rFonts w:hint="eastAsia" w:ascii="宋体" w:hAnsi="宋体" w:eastAsia="宋体" w:cs="宋体"/>
                <w:color w:val="auto"/>
                <w:w w:val="90"/>
                <w:szCs w:val="21"/>
                <w:highlight w:val="none"/>
              </w:rPr>
            </w:pPr>
          </w:p>
        </w:tc>
        <w:tc>
          <w:tcPr>
            <w:tcW w:w="3301" w:type="dxa"/>
            <w:vAlign w:val="center"/>
          </w:tcPr>
          <w:p w14:paraId="793C9EFD">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《管形荧光灯镇流器能效限定值及能效等级》（GB 17896）</w:t>
            </w:r>
          </w:p>
        </w:tc>
      </w:tr>
      <w:tr w14:paraId="44BCACDF">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restart"/>
            <w:vAlign w:val="center"/>
          </w:tcPr>
          <w:p w14:paraId="23AF3417">
            <w:pPr>
              <w:jc w:val="center"/>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10</w:t>
            </w:r>
          </w:p>
        </w:tc>
        <w:tc>
          <w:tcPr>
            <w:tcW w:w="1933" w:type="dxa"/>
            <w:vMerge w:val="restart"/>
            <w:vAlign w:val="center"/>
          </w:tcPr>
          <w:p w14:paraId="5A83CA90">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A020618 生活用电器</w:t>
            </w:r>
          </w:p>
        </w:tc>
        <w:tc>
          <w:tcPr>
            <w:tcW w:w="2334" w:type="dxa"/>
            <w:vAlign w:val="center"/>
          </w:tcPr>
          <w:p w14:paraId="3CF5390E">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A0206180101电冰箱</w:t>
            </w:r>
          </w:p>
        </w:tc>
        <w:tc>
          <w:tcPr>
            <w:tcW w:w="1682" w:type="dxa"/>
            <w:vAlign w:val="center"/>
          </w:tcPr>
          <w:p w14:paraId="612EF853">
            <w:pPr>
              <w:jc w:val="center"/>
              <w:rPr>
                <w:rFonts w:hint="eastAsia" w:ascii="宋体" w:hAnsi="宋体" w:eastAsia="宋体" w:cs="宋体"/>
                <w:color w:val="auto"/>
                <w:w w:val="90"/>
                <w:szCs w:val="21"/>
                <w:highlight w:val="none"/>
              </w:rPr>
            </w:pPr>
          </w:p>
        </w:tc>
        <w:tc>
          <w:tcPr>
            <w:tcW w:w="3301" w:type="dxa"/>
            <w:vAlign w:val="center"/>
          </w:tcPr>
          <w:p w14:paraId="6E77B98F">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《家用电冰箱耗电量限定值及能效等级》（GB</w:t>
            </w:r>
            <w:r>
              <w:rPr>
                <w:rFonts w:hint="eastAsia" w:ascii="宋体" w:hAnsi="宋体" w:eastAsia="宋体" w:cs="宋体"/>
                <w:color w:val="auto"/>
                <w:w w:val="90"/>
                <w:szCs w:val="21"/>
                <w:highlight w:val="none"/>
              </w:rPr>
              <w:tab/>
            </w:r>
            <w:r>
              <w:rPr>
                <w:rFonts w:hint="eastAsia" w:ascii="宋体" w:hAnsi="宋体" w:eastAsia="宋体" w:cs="宋体"/>
                <w:color w:val="auto"/>
                <w:w w:val="90"/>
                <w:szCs w:val="21"/>
                <w:highlight w:val="none"/>
              </w:rPr>
              <w:t>12021.2）</w:t>
            </w:r>
          </w:p>
        </w:tc>
      </w:tr>
      <w:tr w14:paraId="270BF7D8">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continue"/>
            <w:vAlign w:val="center"/>
          </w:tcPr>
          <w:p w14:paraId="4E419DE0">
            <w:pPr>
              <w:jc w:val="center"/>
              <w:rPr>
                <w:rFonts w:hint="eastAsia" w:ascii="宋体" w:hAnsi="宋体" w:eastAsia="宋体" w:cs="宋体"/>
                <w:color w:val="auto"/>
                <w:w w:val="90"/>
                <w:szCs w:val="21"/>
                <w:highlight w:val="none"/>
              </w:rPr>
            </w:pPr>
          </w:p>
        </w:tc>
        <w:tc>
          <w:tcPr>
            <w:tcW w:w="1933" w:type="dxa"/>
            <w:vMerge w:val="continue"/>
            <w:vAlign w:val="center"/>
          </w:tcPr>
          <w:p w14:paraId="23A47070">
            <w:pPr>
              <w:jc w:val="left"/>
              <w:rPr>
                <w:rFonts w:hint="eastAsia" w:ascii="宋体" w:hAnsi="宋体" w:eastAsia="宋体" w:cs="宋体"/>
                <w:color w:val="auto"/>
                <w:w w:val="90"/>
                <w:szCs w:val="21"/>
                <w:highlight w:val="none"/>
              </w:rPr>
            </w:pPr>
          </w:p>
        </w:tc>
        <w:tc>
          <w:tcPr>
            <w:tcW w:w="2334" w:type="dxa"/>
            <w:vMerge w:val="restart"/>
            <w:vAlign w:val="center"/>
          </w:tcPr>
          <w:p w14:paraId="2241C10C">
            <w:pPr>
              <w:jc w:val="left"/>
              <w:rPr>
                <w:rFonts w:hint="eastAsia" w:ascii="宋体" w:hAnsi="宋体" w:eastAsia="宋体" w:cs="宋体"/>
                <w:b/>
                <w:color w:val="auto"/>
                <w:w w:val="90"/>
                <w:szCs w:val="21"/>
                <w:highlight w:val="none"/>
              </w:rPr>
            </w:pPr>
            <w:r>
              <w:rPr>
                <w:rFonts w:hint="eastAsia" w:ascii="宋体" w:hAnsi="宋体" w:eastAsia="宋体" w:cs="宋体"/>
                <w:color w:val="auto"/>
                <w:w w:val="90"/>
                <w:szCs w:val="21"/>
                <w:highlight w:val="none"/>
              </w:rPr>
              <w:t>★</w:t>
            </w:r>
            <w:r>
              <w:rPr>
                <w:rFonts w:hint="eastAsia" w:ascii="宋体" w:hAnsi="宋体" w:eastAsia="宋体" w:cs="宋体"/>
                <w:b/>
                <w:color w:val="auto"/>
                <w:w w:val="90"/>
                <w:szCs w:val="21"/>
                <w:highlight w:val="none"/>
              </w:rPr>
              <w:t>A0206180203空调机</w:t>
            </w:r>
          </w:p>
        </w:tc>
        <w:tc>
          <w:tcPr>
            <w:tcW w:w="1682" w:type="dxa"/>
            <w:vAlign w:val="center"/>
          </w:tcPr>
          <w:p w14:paraId="07026EA0">
            <w:pPr>
              <w:jc w:val="left"/>
              <w:rPr>
                <w:rFonts w:hint="eastAsia" w:ascii="宋体" w:hAnsi="宋体" w:eastAsia="宋体" w:cs="宋体"/>
                <w:b/>
                <w:color w:val="auto"/>
                <w:w w:val="90"/>
                <w:szCs w:val="21"/>
                <w:highlight w:val="none"/>
              </w:rPr>
            </w:pPr>
            <w:r>
              <w:rPr>
                <w:rFonts w:hint="eastAsia" w:ascii="宋体" w:hAnsi="宋体" w:eastAsia="宋体" w:cs="宋体"/>
                <w:b/>
                <w:color w:val="auto"/>
                <w:w w:val="90"/>
                <w:szCs w:val="21"/>
                <w:highlight w:val="none"/>
              </w:rPr>
              <w:t>房间空气调节器</w:t>
            </w:r>
          </w:p>
        </w:tc>
        <w:tc>
          <w:tcPr>
            <w:tcW w:w="3301" w:type="dxa"/>
            <w:vAlign w:val="center"/>
          </w:tcPr>
          <w:p w14:paraId="4EFBEFDA">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《转速可控型房间空气调节器能效限定值及能效等级》（GB 21455-2013），待2019年修订发布后，按《房间空气调节器能效限定值及能效等级》（GB21455-2019）实施。</w:t>
            </w:r>
          </w:p>
        </w:tc>
      </w:tr>
      <w:tr w14:paraId="0A8B2E21">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continue"/>
            <w:vAlign w:val="center"/>
          </w:tcPr>
          <w:p w14:paraId="75F38F91">
            <w:pPr>
              <w:jc w:val="center"/>
              <w:rPr>
                <w:rFonts w:hint="eastAsia" w:ascii="宋体" w:hAnsi="宋体" w:eastAsia="宋体" w:cs="宋体"/>
                <w:color w:val="auto"/>
                <w:w w:val="90"/>
                <w:szCs w:val="21"/>
                <w:highlight w:val="none"/>
              </w:rPr>
            </w:pPr>
          </w:p>
        </w:tc>
        <w:tc>
          <w:tcPr>
            <w:tcW w:w="1933" w:type="dxa"/>
            <w:vMerge w:val="continue"/>
            <w:vAlign w:val="center"/>
          </w:tcPr>
          <w:p w14:paraId="082FFFAD">
            <w:pPr>
              <w:jc w:val="left"/>
              <w:rPr>
                <w:rFonts w:hint="eastAsia" w:ascii="宋体" w:hAnsi="宋体" w:eastAsia="宋体" w:cs="宋体"/>
                <w:color w:val="auto"/>
                <w:w w:val="90"/>
                <w:szCs w:val="21"/>
                <w:highlight w:val="none"/>
              </w:rPr>
            </w:pPr>
          </w:p>
        </w:tc>
        <w:tc>
          <w:tcPr>
            <w:tcW w:w="2334" w:type="dxa"/>
            <w:vMerge w:val="continue"/>
            <w:vAlign w:val="center"/>
          </w:tcPr>
          <w:p w14:paraId="118D1F59">
            <w:pPr>
              <w:jc w:val="left"/>
              <w:rPr>
                <w:rFonts w:hint="eastAsia" w:ascii="宋体" w:hAnsi="宋体" w:eastAsia="宋体" w:cs="宋体"/>
                <w:b/>
                <w:color w:val="auto"/>
                <w:w w:val="90"/>
                <w:szCs w:val="21"/>
                <w:highlight w:val="none"/>
              </w:rPr>
            </w:pPr>
          </w:p>
        </w:tc>
        <w:tc>
          <w:tcPr>
            <w:tcW w:w="1682" w:type="dxa"/>
            <w:vAlign w:val="center"/>
          </w:tcPr>
          <w:p w14:paraId="2051678A">
            <w:pPr>
              <w:jc w:val="left"/>
              <w:rPr>
                <w:rFonts w:hint="eastAsia" w:ascii="宋体" w:hAnsi="宋体" w:eastAsia="宋体" w:cs="宋体"/>
                <w:b/>
                <w:color w:val="auto"/>
                <w:w w:val="90"/>
                <w:szCs w:val="21"/>
                <w:highlight w:val="none"/>
              </w:rPr>
            </w:pPr>
            <w:r>
              <w:rPr>
                <w:rFonts w:hint="eastAsia" w:ascii="宋体" w:hAnsi="宋体" w:eastAsia="宋体" w:cs="宋体"/>
                <w:b/>
                <w:color w:val="auto"/>
                <w:w w:val="90"/>
                <w:szCs w:val="21"/>
                <w:highlight w:val="none"/>
              </w:rPr>
              <w:t>多联式空调（热泵）机组（制冷量≤ 14000W）</w:t>
            </w:r>
          </w:p>
        </w:tc>
        <w:tc>
          <w:tcPr>
            <w:tcW w:w="3301" w:type="dxa"/>
            <w:vAlign w:val="center"/>
          </w:tcPr>
          <w:p w14:paraId="104B780C">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《多联式空调（热泵）机组能效限定值及能源效率等级》（GB 21454）</w:t>
            </w:r>
          </w:p>
        </w:tc>
      </w:tr>
      <w:tr w14:paraId="4547F666">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continue"/>
            <w:vAlign w:val="center"/>
          </w:tcPr>
          <w:p w14:paraId="7CF44436">
            <w:pPr>
              <w:jc w:val="center"/>
              <w:rPr>
                <w:rFonts w:hint="eastAsia" w:ascii="宋体" w:hAnsi="宋体" w:eastAsia="宋体" w:cs="宋体"/>
                <w:color w:val="auto"/>
                <w:w w:val="90"/>
                <w:szCs w:val="21"/>
                <w:highlight w:val="none"/>
              </w:rPr>
            </w:pPr>
          </w:p>
        </w:tc>
        <w:tc>
          <w:tcPr>
            <w:tcW w:w="1933" w:type="dxa"/>
            <w:vMerge w:val="continue"/>
            <w:vAlign w:val="center"/>
          </w:tcPr>
          <w:p w14:paraId="0BF6F7C9">
            <w:pPr>
              <w:jc w:val="left"/>
              <w:rPr>
                <w:rFonts w:hint="eastAsia" w:ascii="宋体" w:hAnsi="宋体" w:eastAsia="宋体" w:cs="宋体"/>
                <w:color w:val="auto"/>
                <w:w w:val="90"/>
                <w:szCs w:val="21"/>
                <w:highlight w:val="none"/>
              </w:rPr>
            </w:pPr>
          </w:p>
        </w:tc>
        <w:tc>
          <w:tcPr>
            <w:tcW w:w="2334" w:type="dxa"/>
            <w:vMerge w:val="continue"/>
            <w:vAlign w:val="center"/>
          </w:tcPr>
          <w:p w14:paraId="0FA83EB2">
            <w:pPr>
              <w:jc w:val="left"/>
              <w:rPr>
                <w:rFonts w:hint="eastAsia" w:ascii="宋体" w:hAnsi="宋体" w:eastAsia="宋体" w:cs="宋体"/>
                <w:b/>
                <w:color w:val="auto"/>
                <w:w w:val="90"/>
                <w:szCs w:val="21"/>
                <w:highlight w:val="none"/>
              </w:rPr>
            </w:pPr>
          </w:p>
        </w:tc>
        <w:tc>
          <w:tcPr>
            <w:tcW w:w="1682" w:type="dxa"/>
            <w:vAlign w:val="center"/>
          </w:tcPr>
          <w:p w14:paraId="7A8D5085">
            <w:pPr>
              <w:jc w:val="left"/>
              <w:rPr>
                <w:rFonts w:hint="eastAsia" w:ascii="宋体" w:hAnsi="宋体" w:eastAsia="宋体" w:cs="宋体"/>
                <w:b/>
                <w:color w:val="auto"/>
                <w:w w:val="90"/>
                <w:szCs w:val="21"/>
                <w:highlight w:val="none"/>
              </w:rPr>
            </w:pPr>
            <w:r>
              <w:rPr>
                <w:rFonts w:hint="eastAsia" w:ascii="宋体" w:hAnsi="宋体" w:eastAsia="宋体" w:cs="宋体"/>
                <w:b/>
                <w:color w:val="auto"/>
                <w:w w:val="90"/>
                <w:szCs w:val="21"/>
                <w:highlight w:val="none"/>
              </w:rPr>
              <w:t>单元式空气调节机(制冷量≤14000W)</w:t>
            </w:r>
          </w:p>
        </w:tc>
        <w:tc>
          <w:tcPr>
            <w:tcW w:w="3301" w:type="dxa"/>
            <w:vAlign w:val="center"/>
          </w:tcPr>
          <w:p w14:paraId="2FF03E8B">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《单元式空气调节机能效限定值及能源效率等级》（GB 19576）《风管送风式空调机组能效限定值及能效等级》（GB 37479）</w:t>
            </w:r>
          </w:p>
        </w:tc>
      </w:tr>
      <w:tr w14:paraId="65E725D0">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continue"/>
            <w:vAlign w:val="center"/>
          </w:tcPr>
          <w:p w14:paraId="1FCC69D1">
            <w:pPr>
              <w:jc w:val="center"/>
              <w:rPr>
                <w:rFonts w:hint="eastAsia" w:ascii="宋体" w:hAnsi="宋体" w:eastAsia="宋体" w:cs="宋体"/>
                <w:color w:val="auto"/>
                <w:w w:val="90"/>
                <w:szCs w:val="21"/>
                <w:highlight w:val="none"/>
              </w:rPr>
            </w:pPr>
          </w:p>
        </w:tc>
        <w:tc>
          <w:tcPr>
            <w:tcW w:w="1933" w:type="dxa"/>
            <w:vMerge w:val="continue"/>
            <w:vAlign w:val="center"/>
          </w:tcPr>
          <w:p w14:paraId="6BC8AC0B">
            <w:pPr>
              <w:jc w:val="left"/>
              <w:rPr>
                <w:rFonts w:hint="eastAsia" w:ascii="宋体" w:hAnsi="宋体" w:eastAsia="宋体" w:cs="宋体"/>
                <w:color w:val="auto"/>
                <w:w w:val="90"/>
                <w:szCs w:val="21"/>
                <w:highlight w:val="none"/>
              </w:rPr>
            </w:pPr>
          </w:p>
        </w:tc>
        <w:tc>
          <w:tcPr>
            <w:tcW w:w="2334" w:type="dxa"/>
            <w:vAlign w:val="center"/>
          </w:tcPr>
          <w:p w14:paraId="7B69D899">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A0206180301洗衣机</w:t>
            </w:r>
          </w:p>
        </w:tc>
        <w:tc>
          <w:tcPr>
            <w:tcW w:w="1682" w:type="dxa"/>
            <w:vAlign w:val="center"/>
          </w:tcPr>
          <w:p w14:paraId="7EA53F25">
            <w:pPr>
              <w:jc w:val="left"/>
              <w:rPr>
                <w:rFonts w:hint="eastAsia" w:ascii="宋体" w:hAnsi="宋体" w:eastAsia="宋体" w:cs="宋体"/>
                <w:color w:val="auto"/>
                <w:w w:val="90"/>
                <w:szCs w:val="21"/>
                <w:highlight w:val="none"/>
              </w:rPr>
            </w:pPr>
          </w:p>
        </w:tc>
        <w:tc>
          <w:tcPr>
            <w:tcW w:w="3301" w:type="dxa"/>
            <w:vAlign w:val="center"/>
          </w:tcPr>
          <w:p w14:paraId="6C57A116">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《电动洗衣机能效水效限定值及等级》（GB 12021.4）</w:t>
            </w:r>
          </w:p>
        </w:tc>
      </w:tr>
      <w:tr w14:paraId="055E11C4">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continue"/>
            <w:vAlign w:val="center"/>
          </w:tcPr>
          <w:p w14:paraId="21563F6F">
            <w:pPr>
              <w:jc w:val="center"/>
              <w:rPr>
                <w:rFonts w:hint="eastAsia" w:ascii="宋体" w:hAnsi="宋体" w:eastAsia="宋体" w:cs="宋体"/>
                <w:color w:val="auto"/>
                <w:w w:val="90"/>
                <w:szCs w:val="21"/>
                <w:highlight w:val="none"/>
              </w:rPr>
            </w:pPr>
          </w:p>
        </w:tc>
        <w:tc>
          <w:tcPr>
            <w:tcW w:w="1933" w:type="dxa"/>
            <w:vMerge w:val="continue"/>
            <w:vAlign w:val="center"/>
          </w:tcPr>
          <w:p w14:paraId="1AB93737">
            <w:pPr>
              <w:jc w:val="left"/>
              <w:rPr>
                <w:rFonts w:hint="eastAsia" w:ascii="宋体" w:hAnsi="宋体" w:eastAsia="宋体" w:cs="宋体"/>
                <w:color w:val="auto"/>
                <w:w w:val="90"/>
                <w:szCs w:val="21"/>
                <w:highlight w:val="none"/>
              </w:rPr>
            </w:pPr>
          </w:p>
        </w:tc>
        <w:tc>
          <w:tcPr>
            <w:tcW w:w="2334" w:type="dxa"/>
            <w:vMerge w:val="restart"/>
            <w:vAlign w:val="center"/>
          </w:tcPr>
          <w:p w14:paraId="6EFDF7CB">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A02061808热水器</w:t>
            </w:r>
          </w:p>
        </w:tc>
        <w:tc>
          <w:tcPr>
            <w:tcW w:w="1682" w:type="dxa"/>
            <w:vAlign w:val="center"/>
          </w:tcPr>
          <w:p w14:paraId="4FA16A09">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w:t>
            </w:r>
            <w:r>
              <w:rPr>
                <w:rFonts w:hint="eastAsia" w:ascii="宋体" w:hAnsi="宋体" w:eastAsia="宋体" w:cs="宋体"/>
                <w:b/>
                <w:color w:val="auto"/>
                <w:w w:val="90"/>
                <w:szCs w:val="21"/>
                <w:highlight w:val="none"/>
              </w:rPr>
              <w:t>电热水器</w:t>
            </w:r>
          </w:p>
        </w:tc>
        <w:tc>
          <w:tcPr>
            <w:tcW w:w="3301" w:type="dxa"/>
            <w:vAlign w:val="center"/>
          </w:tcPr>
          <w:p w14:paraId="6A45F576">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《储水式电热水器能效限定值及能效等级》（GB 21519）</w:t>
            </w:r>
          </w:p>
        </w:tc>
      </w:tr>
      <w:tr w14:paraId="6AB613B0">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continue"/>
            <w:vAlign w:val="center"/>
          </w:tcPr>
          <w:p w14:paraId="5202D146">
            <w:pPr>
              <w:jc w:val="center"/>
              <w:rPr>
                <w:rFonts w:hint="eastAsia" w:ascii="宋体" w:hAnsi="宋体" w:eastAsia="宋体" w:cs="宋体"/>
                <w:color w:val="auto"/>
                <w:w w:val="90"/>
                <w:szCs w:val="21"/>
                <w:highlight w:val="none"/>
              </w:rPr>
            </w:pPr>
          </w:p>
        </w:tc>
        <w:tc>
          <w:tcPr>
            <w:tcW w:w="1933" w:type="dxa"/>
            <w:vMerge w:val="continue"/>
            <w:vAlign w:val="center"/>
          </w:tcPr>
          <w:p w14:paraId="566FE412">
            <w:pPr>
              <w:jc w:val="left"/>
              <w:rPr>
                <w:rFonts w:hint="eastAsia" w:ascii="宋体" w:hAnsi="宋体" w:eastAsia="宋体" w:cs="宋体"/>
                <w:color w:val="auto"/>
                <w:w w:val="90"/>
                <w:szCs w:val="21"/>
                <w:highlight w:val="none"/>
              </w:rPr>
            </w:pPr>
          </w:p>
        </w:tc>
        <w:tc>
          <w:tcPr>
            <w:tcW w:w="2334" w:type="dxa"/>
            <w:vMerge w:val="continue"/>
            <w:vAlign w:val="center"/>
          </w:tcPr>
          <w:p w14:paraId="79337A67">
            <w:pPr>
              <w:jc w:val="left"/>
              <w:rPr>
                <w:rFonts w:hint="eastAsia" w:ascii="宋体" w:hAnsi="宋体" w:eastAsia="宋体" w:cs="宋体"/>
                <w:color w:val="auto"/>
                <w:w w:val="90"/>
                <w:szCs w:val="21"/>
                <w:highlight w:val="none"/>
              </w:rPr>
            </w:pPr>
          </w:p>
        </w:tc>
        <w:tc>
          <w:tcPr>
            <w:tcW w:w="1682" w:type="dxa"/>
            <w:vAlign w:val="center"/>
          </w:tcPr>
          <w:p w14:paraId="66D39A1F">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燃气热水器</w:t>
            </w:r>
          </w:p>
        </w:tc>
        <w:tc>
          <w:tcPr>
            <w:tcW w:w="3301" w:type="dxa"/>
            <w:vAlign w:val="center"/>
          </w:tcPr>
          <w:p w14:paraId="1858371C">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《家用燃气快速热水器和燃气采暖热水炉能效限定值及能效等级（GB 20665）</w:t>
            </w:r>
          </w:p>
        </w:tc>
      </w:tr>
      <w:tr w14:paraId="72FD2365">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continue"/>
            <w:vAlign w:val="center"/>
          </w:tcPr>
          <w:p w14:paraId="52C8E3B7">
            <w:pPr>
              <w:jc w:val="center"/>
              <w:rPr>
                <w:rFonts w:hint="eastAsia" w:ascii="宋体" w:hAnsi="宋体" w:eastAsia="宋体" w:cs="宋体"/>
                <w:color w:val="auto"/>
                <w:w w:val="90"/>
                <w:szCs w:val="21"/>
                <w:highlight w:val="none"/>
              </w:rPr>
            </w:pPr>
          </w:p>
        </w:tc>
        <w:tc>
          <w:tcPr>
            <w:tcW w:w="1933" w:type="dxa"/>
            <w:vMerge w:val="continue"/>
            <w:vAlign w:val="center"/>
          </w:tcPr>
          <w:p w14:paraId="4213B515">
            <w:pPr>
              <w:jc w:val="left"/>
              <w:rPr>
                <w:rFonts w:hint="eastAsia" w:ascii="宋体" w:hAnsi="宋体" w:eastAsia="宋体" w:cs="宋体"/>
                <w:color w:val="auto"/>
                <w:w w:val="90"/>
                <w:szCs w:val="21"/>
                <w:highlight w:val="none"/>
              </w:rPr>
            </w:pPr>
          </w:p>
        </w:tc>
        <w:tc>
          <w:tcPr>
            <w:tcW w:w="2334" w:type="dxa"/>
            <w:vMerge w:val="continue"/>
            <w:vAlign w:val="center"/>
          </w:tcPr>
          <w:p w14:paraId="20C57C14">
            <w:pPr>
              <w:jc w:val="left"/>
              <w:rPr>
                <w:rFonts w:hint="eastAsia" w:ascii="宋体" w:hAnsi="宋体" w:eastAsia="宋体" w:cs="宋体"/>
                <w:color w:val="auto"/>
                <w:w w:val="90"/>
                <w:szCs w:val="21"/>
                <w:highlight w:val="none"/>
              </w:rPr>
            </w:pPr>
          </w:p>
        </w:tc>
        <w:tc>
          <w:tcPr>
            <w:tcW w:w="1682" w:type="dxa"/>
            <w:vAlign w:val="center"/>
          </w:tcPr>
          <w:p w14:paraId="19E80870">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热泵热水器</w:t>
            </w:r>
          </w:p>
        </w:tc>
        <w:tc>
          <w:tcPr>
            <w:tcW w:w="3301" w:type="dxa"/>
            <w:vAlign w:val="center"/>
          </w:tcPr>
          <w:p w14:paraId="3CC7DD8E">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《热泵热水机（器）能效限定值及能效等级》（GB 29541）</w:t>
            </w:r>
          </w:p>
        </w:tc>
      </w:tr>
      <w:tr w14:paraId="0C6A11D1">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continue"/>
            <w:vAlign w:val="center"/>
          </w:tcPr>
          <w:p w14:paraId="4AB246A8">
            <w:pPr>
              <w:jc w:val="center"/>
              <w:rPr>
                <w:rFonts w:hint="eastAsia" w:ascii="宋体" w:hAnsi="宋体" w:eastAsia="宋体" w:cs="宋体"/>
                <w:color w:val="auto"/>
                <w:w w:val="90"/>
                <w:szCs w:val="21"/>
                <w:highlight w:val="none"/>
              </w:rPr>
            </w:pPr>
          </w:p>
        </w:tc>
        <w:tc>
          <w:tcPr>
            <w:tcW w:w="1933" w:type="dxa"/>
            <w:vMerge w:val="continue"/>
            <w:vAlign w:val="center"/>
          </w:tcPr>
          <w:p w14:paraId="6CD09084">
            <w:pPr>
              <w:jc w:val="left"/>
              <w:rPr>
                <w:rFonts w:hint="eastAsia" w:ascii="宋体" w:hAnsi="宋体" w:eastAsia="宋体" w:cs="宋体"/>
                <w:color w:val="auto"/>
                <w:w w:val="90"/>
                <w:szCs w:val="21"/>
                <w:highlight w:val="none"/>
              </w:rPr>
            </w:pPr>
          </w:p>
        </w:tc>
        <w:tc>
          <w:tcPr>
            <w:tcW w:w="2334" w:type="dxa"/>
            <w:vMerge w:val="continue"/>
            <w:vAlign w:val="center"/>
          </w:tcPr>
          <w:p w14:paraId="42182B2E">
            <w:pPr>
              <w:jc w:val="left"/>
              <w:rPr>
                <w:rFonts w:hint="eastAsia" w:ascii="宋体" w:hAnsi="宋体" w:eastAsia="宋体" w:cs="宋体"/>
                <w:color w:val="auto"/>
                <w:w w:val="90"/>
                <w:szCs w:val="21"/>
                <w:highlight w:val="none"/>
              </w:rPr>
            </w:pPr>
          </w:p>
        </w:tc>
        <w:tc>
          <w:tcPr>
            <w:tcW w:w="1682" w:type="dxa"/>
            <w:vAlign w:val="center"/>
          </w:tcPr>
          <w:p w14:paraId="4605894D">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太阳能热水系统</w:t>
            </w:r>
          </w:p>
        </w:tc>
        <w:tc>
          <w:tcPr>
            <w:tcW w:w="3301" w:type="dxa"/>
            <w:vAlign w:val="center"/>
          </w:tcPr>
          <w:p w14:paraId="0FD6BB7A">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《家用太阳能热水系统能效限定值及能效等级》（GB 26969）</w:t>
            </w:r>
          </w:p>
        </w:tc>
      </w:tr>
      <w:tr w14:paraId="38CCA84A">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restart"/>
            <w:vAlign w:val="center"/>
          </w:tcPr>
          <w:p w14:paraId="2A554FDE">
            <w:pPr>
              <w:jc w:val="center"/>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11</w:t>
            </w:r>
          </w:p>
        </w:tc>
        <w:tc>
          <w:tcPr>
            <w:tcW w:w="1933" w:type="dxa"/>
            <w:vMerge w:val="restart"/>
            <w:vAlign w:val="center"/>
          </w:tcPr>
          <w:p w14:paraId="197A0387">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A020619 照明设备</w:t>
            </w:r>
          </w:p>
        </w:tc>
        <w:tc>
          <w:tcPr>
            <w:tcW w:w="2334" w:type="dxa"/>
            <w:vAlign w:val="center"/>
          </w:tcPr>
          <w:p w14:paraId="41C52754">
            <w:pPr>
              <w:jc w:val="left"/>
              <w:rPr>
                <w:rFonts w:hint="eastAsia" w:ascii="宋体" w:hAnsi="宋体" w:eastAsia="宋体" w:cs="宋体"/>
                <w:b/>
                <w:color w:val="auto"/>
                <w:w w:val="90"/>
                <w:szCs w:val="21"/>
                <w:highlight w:val="none"/>
              </w:rPr>
            </w:pPr>
            <w:r>
              <w:rPr>
                <w:rFonts w:hint="eastAsia" w:ascii="宋体" w:hAnsi="宋体" w:eastAsia="宋体" w:cs="宋体"/>
                <w:color w:val="auto"/>
                <w:w w:val="90"/>
                <w:szCs w:val="21"/>
                <w:highlight w:val="none"/>
              </w:rPr>
              <w:t>★</w:t>
            </w:r>
            <w:r>
              <w:rPr>
                <w:rFonts w:hint="eastAsia" w:ascii="宋体" w:hAnsi="宋体" w:eastAsia="宋体" w:cs="宋体"/>
                <w:b/>
                <w:color w:val="auto"/>
                <w:w w:val="90"/>
                <w:szCs w:val="21"/>
                <w:highlight w:val="none"/>
              </w:rPr>
              <w:t>普通照明用双端荧光灯</w:t>
            </w:r>
          </w:p>
        </w:tc>
        <w:tc>
          <w:tcPr>
            <w:tcW w:w="1682" w:type="dxa"/>
            <w:vAlign w:val="center"/>
          </w:tcPr>
          <w:p w14:paraId="348E0808">
            <w:pPr>
              <w:jc w:val="center"/>
              <w:rPr>
                <w:rFonts w:hint="eastAsia" w:ascii="宋体" w:hAnsi="宋体" w:eastAsia="宋体" w:cs="宋体"/>
                <w:color w:val="auto"/>
                <w:w w:val="90"/>
                <w:szCs w:val="21"/>
                <w:highlight w:val="none"/>
              </w:rPr>
            </w:pPr>
          </w:p>
        </w:tc>
        <w:tc>
          <w:tcPr>
            <w:tcW w:w="3301" w:type="dxa"/>
            <w:vAlign w:val="center"/>
          </w:tcPr>
          <w:p w14:paraId="0A7883EE">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《普通照明用双端荧光灯能效限定值及能效等级》（GB 19043）</w:t>
            </w:r>
          </w:p>
        </w:tc>
      </w:tr>
      <w:tr w14:paraId="23AD3957">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continue"/>
            <w:vAlign w:val="center"/>
          </w:tcPr>
          <w:p w14:paraId="0EF8DB0C">
            <w:pPr>
              <w:jc w:val="center"/>
              <w:rPr>
                <w:rFonts w:hint="eastAsia" w:ascii="宋体" w:hAnsi="宋体" w:eastAsia="宋体" w:cs="宋体"/>
                <w:color w:val="auto"/>
                <w:w w:val="90"/>
                <w:szCs w:val="21"/>
                <w:highlight w:val="none"/>
              </w:rPr>
            </w:pPr>
          </w:p>
        </w:tc>
        <w:tc>
          <w:tcPr>
            <w:tcW w:w="1933" w:type="dxa"/>
            <w:vMerge w:val="continue"/>
            <w:vAlign w:val="center"/>
          </w:tcPr>
          <w:p w14:paraId="1620E967">
            <w:pPr>
              <w:jc w:val="left"/>
              <w:rPr>
                <w:rFonts w:hint="eastAsia" w:ascii="宋体" w:hAnsi="宋体" w:eastAsia="宋体" w:cs="宋体"/>
                <w:color w:val="auto"/>
                <w:w w:val="90"/>
                <w:szCs w:val="21"/>
                <w:highlight w:val="none"/>
              </w:rPr>
            </w:pPr>
          </w:p>
        </w:tc>
        <w:tc>
          <w:tcPr>
            <w:tcW w:w="2334" w:type="dxa"/>
            <w:vAlign w:val="center"/>
          </w:tcPr>
          <w:p w14:paraId="729F402C">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LED道路/隧道照明产品</w:t>
            </w:r>
          </w:p>
        </w:tc>
        <w:tc>
          <w:tcPr>
            <w:tcW w:w="1682" w:type="dxa"/>
            <w:vAlign w:val="center"/>
          </w:tcPr>
          <w:p w14:paraId="2A720474">
            <w:pPr>
              <w:jc w:val="center"/>
              <w:rPr>
                <w:rFonts w:hint="eastAsia" w:ascii="宋体" w:hAnsi="宋体" w:eastAsia="宋体" w:cs="宋体"/>
                <w:color w:val="auto"/>
                <w:w w:val="90"/>
                <w:szCs w:val="21"/>
                <w:highlight w:val="none"/>
              </w:rPr>
            </w:pPr>
          </w:p>
        </w:tc>
        <w:tc>
          <w:tcPr>
            <w:tcW w:w="3301" w:type="dxa"/>
            <w:vAlign w:val="center"/>
          </w:tcPr>
          <w:p w14:paraId="5ABC39CB">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《道路和隧道照明用LED灯具能效限定值及能效等级》（GB 37478）</w:t>
            </w:r>
          </w:p>
        </w:tc>
      </w:tr>
      <w:tr w14:paraId="7478A3D7">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continue"/>
            <w:vAlign w:val="center"/>
          </w:tcPr>
          <w:p w14:paraId="6122A86F">
            <w:pPr>
              <w:jc w:val="center"/>
              <w:rPr>
                <w:rFonts w:hint="eastAsia" w:ascii="宋体" w:hAnsi="宋体" w:eastAsia="宋体" w:cs="宋体"/>
                <w:color w:val="auto"/>
                <w:w w:val="90"/>
                <w:szCs w:val="21"/>
                <w:highlight w:val="none"/>
              </w:rPr>
            </w:pPr>
          </w:p>
        </w:tc>
        <w:tc>
          <w:tcPr>
            <w:tcW w:w="1933" w:type="dxa"/>
            <w:vMerge w:val="continue"/>
            <w:vAlign w:val="center"/>
          </w:tcPr>
          <w:p w14:paraId="75BB092E">
            <w:pPr>
              <w:jc w:val="left"/>
              <w:rPr>
                <w:rFonts w:hint="eastAsia" w:ascii="宋体" w:hAnsi="宋体" w:eastAsia="宋体" w:cs="宋体"/>
                <w:color w:val="auto"/>
                <w:w w:val="90"/>
                <w:szCs w:val="21"/>
                <w:highlight w:val="none"/>
              </w:rPr>
            </w:pPr>
          </w:p>
        </w:tc>
        <w:tc>
          <w:tcPr>
            <w:tcW w:w="2334" w:type="dxa"/>
            <w:vAlign w:val="center"/>
          </w:tcPr>
          <w:p w14:paraId="10C0A880">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LED筒灯</w:t>
            </w:r>
          </w:p>
        </w:tc>
        <w:tc>
          <w:tcPr>
            <w:tcW w:w="1682" w:type="dxa"/>
            <w:vAlign w:val="center"/>
          </w:tcPr>
          <w:p w14:paraId="62DBDD43">
            <w:pPr>
              <w:jc w:val="center"/>
              <w:rPr>
                <w:rFonts w:hint="eastAsia" w:ascii="宋体" w:hAnsi="宋体" w:eastAsia="宋体" w:cs="宋体"/>
                <w:color w:val="auto"/>
                <w:w w:val="90"/>
                <w:szCs w:val="21"/>
                <w:highlight w:val="none"/>
              </w:rPr>
            </w:pPr>
          </w:p>
        </w:tc>
        <w:tc>
          <w:tcPr>
            <w:tcW w:w="3301" w:type="dxa"/>
            <w:vAlign w:val="center"/>
          </w:tcPr>
          <w:p w14:paraId="56B118D3">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《室内照明用LED产品能效限定值及能效等级》（GB 30255）</w:t>
            </w:r>
          </w:p>
        </w:tc>
      </w:tr>
      <w:tr w14:paraId="52BC459C">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continue"/>
            <w:vAlign w:val="center"/>
          </w:tcPr>
          <w:p w14:paraId="711CA12C">
            <w:pPr>
              <w:jc w:val="center"/>
              <w:rPr>
                <w:rFonts w:hint="eastAsia" w:ascii="宋体" w:hAnsi="宋体" w:eastAsia="宋体" w:cs="宋体"/>
                <w:color w:val="auto"/>
                <w:w w:val="90"/>
                <w:szCs w:val="21"/>
                <w:highlight w:val="none"/>
              </w:rPr>
            </w:pPr>
          </w:p>
        </w:tc>
        <w:tc>
          <w:tcPr>
            <w:tcW w:w="1933" w:type="dxa"/>
            <w:vMerge w:val="continue"/>
            <w:vAlign w:val="center"/>
          </w:tcPr>
          <w:p w14:paraId="06121EDB">
            <w:pPr>
              <w:jc w:val="left"/>
              <w:rPr>
                <w:rFonts w:hint="eastAsia" w:ascii="宋体" w:hAnsi="宋体" w:eastAsia="宋体" w:cs="宋体"/>
                <w:color w:val="auto"/>
                <w:w w:val="90"/>
                <w:szCs w:val="21"/>
                <w:highlight w:val="none"/>
              </w:rPr>
            </w:pPr>
          </w:p>
        </w:tc>
        <w:tc>
          <w:tcPr>
            <w:tcW w:w="2334" w:type="dxa"/>
            <w:vAlign w:val="center"/>
          </w:tcPr>
          <w:p w14:paraId="15A11FF1">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普通照明用非定向自镇流LED灯</w:t>
            </w:r>
          </w:p>
        </w:tc>
        <w:tc>
          <w:tcPr>
            <w:tcW w:w="1682" w:type="dxa"/>
            <w:vAlign w:val="center"/>
          </w:tcPr>
          <w:p w14:paraId="47AE1BFE">
            <w:pPr>
              <w:jc w:val="center"/>
              <w:rPr>
                <w:rFonts w:hint="eastAsia" w:ascii="宋体" w:hAnsi="宋体" w:eastAsia="宋体" w:cs="宋体"/>
                <w:color w:val="auto"/>
                <w:w w:val="90"/>
                <w:szCs w:val="21"/>
                <w:highlight w:val="none"/>
              </w:rPr>
            </w:pPr>
          </w:p>
        </w:tc>
        <w:tc>
          <w:tcPr>
            <w:tcW w:w="3301" w:type="dxa"/>
            <w:vAlign w:val="center"/>
          </w:tcPr>
          <w:p w14:paraId="468DE70E">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《室内照明用LED产品能效限定值及能效等级》（GB 30255）</w:t>
            </w:r>
          </w:p>
        </w:tc>
      </w:tr>
      <w:tr w14:paraId="1DAA251B">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Align w:val="center"/>
          </w:tcPr>
          <w:p w14:paraId="020870AC">
            <w:pPr>
              <w:jc w:val="center"/>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12</w:t>
            </w:r>
          </w:p>
        </w:tc>
        <w:tc>
          <w:tcPr>
            <w:tcW w:w="1933" w:type="dxa"/>
            <w:vAlign w:val="center"/>
          </w:tcPr>
          <w:p w14:paraId="6481BE35">
            <w:pPr>
              <w:jc w:val="left"/>
              <w:rPr>
                <w:rFonts w:hint="eastAsia" w:ascii="宋体" w:hAnsi="宋体" w:eastAsia="宋体" w:cs="宋体"/>
                <w:b/>
                <w:color w:val="auto"/>
                <w:w w:val="90"/>
                <w:szCs w:val="21"/>
                <w:highlight w:val="none"/>
              </w:rPr>
            </w:pPr>
            <w:r>
              <w:rPr>
                <w:rFonts w:hint="eastAsia" w:ascii="宋体" w:hAnsi="宋体" w:eastAsia="宋体" w:cs="宋体"/>
                <w:color w:val="auto"/>
                <w:w w:val="90"/>
                <w:szCs w:val="21"/>
                <w:highlight w:val="none"/>
              </w:rPr>
              <w:t>★</w:t>
            </w:r>
            <w:r>
              <w:rPr>
                <w:rFonts w:hint="eastAsia" w:ascii="宋体" w:hAnsi="宋体" w:eastAsia="宋体" w:cs="宋体"/>
                <w:b/>
                <w:color w:val="auto"/>
                <w:w w:val="90"/>
                <w:szCs w:val="21"/>
                <w:highlight w:val="none"/>
              </w:rPr>
              <w:t>A020910电视设备</w:t>
            </w:r>
          </w:p>
        </w:tc>
        <w:tc>
          <w:tcPr>
            <w:tcW w:w="2334" w:type="dxa"/>
            <w:vAlign w:val="center"/>
          </w:tcPr>
          <w:p w14:paraId="2EFF90EC">
            <w:pPr>
              <w:jc w:val="left"/>
              <w:rPr>
                <w:rFonts w:hint="eastAsia" w:ascii="宋体" w:hAnsi="宋体" w:eastAsia="宋体" w:cs="宋体"/>
                <w:b/>
                <w:color w:val="auto"/>
                <w:w w:val="90"/>
                <w:szCs w:val="21"/>
                <w:highlight w:val="none"/>
              </w:rPr>
            </w:pPr>
            <w:r>
              <w:rPr>
                <w:rFonts w:hint="eastAsia" w:ascii="宋体" w:hAnsi="宋体" w:eastAsia="宋体" w:cs="宋体"/>
                <w:b/>
                <w:color w:val="auto"/>
                <w:w w:val="90"/>
                <w:szCs w:val="21"/>
                <w:highlight w:val="none"/>
              </w:rPr>
              <w:t>A02091001普通电视设备（电视机）</w:t>
            </w:r>
          </w:p>
        </w:tc>
        <w:tc>
          <w:tcPr>
            <w:tcW w:w="1682" w:type="dxa"/>
            <w:vAlign w:val="center"/>
          </w:tcPr>
          <w:p w14:paraId="4A1449E3">
            <w:pPr>
              <w:jc w:val="center"/>
              <w:rPr>
                <w:rFonts w:hint="eastAsia" w:ascii="宋体" w:hAnsi="宋体" w:eastAsia="宋体" w:cs="宋体"/>
                <w:color w:val="auto"/>
                <w:w w:val="90"/>
                <w:szCs w:val="21"/>
                <w:highlight w:val="none"/>
              </w:rPr>
            </w:pPr>
          </w:p>
        </w:tc>
        <w:tc>
          <w:tcPr>
            <w:tcW w:w="3301" w:type="dxa"/>
            <w:vAlign w:val="center"/>
          </w:tcPr>
          <w:p w14:paraId="5D9B76D6">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《平板电视能效限定值及能效等级》（GB 24850）</w:t>
            </w:r>
          </w:p>
        </w:tc>
      </w:tr>
      <w:tr w14:paraId="6167E92A">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Align w:val="center"/>
          </w:tcPr>
          <w:p w14:paraId="0C16E939">
            <w:pPr>
              <w:jc w:val="center"/>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13</w:t>
            </w:r>
          </w:p>
        </w:tc>
        <w:tc>
          <w:tcPr>
            <w:tcW w:w="1933" w:type="dxa"/>
            <w:vAlign w:val="center"/>
          </w:tcPr>
          <w:p w14:paraId="62318347">
            <w:pPr>
              <w:jc w:val="left"/>
              <w:rPr>
                <w:rFonts w:hint="eastAsia" w:ascii="宋体" w:hAnsi="宋体" w:eastAsia="宋体" w:cs="宋体"/>
                <w:b/>
                <w:color w:val="auto"/>
                <w:w w:val="90"/>
                <w:szCs w:val="21"/>
                <w:highlight w:val="none"/>
              </w:rPr>
            </w:pPr>
            <w:r>
              <w:rPr>
                <w:rFonts w:hint="eastAsia" w:ascii="宋体" w:hAnsi="宋体" w:eastAsia="宋体" w:cs="宋体"/>
                <w:color w:val="auto"/>
                <w:w w:val="90"/>
                <w:szCs w:val="21"/>
                <w:highlight w:val="none"/>
              </w:rPr>
              <w:t>★</w:t>
            </w:r>
            <w:r>
              <w:rPr>
                <w:rFonts w:hint="eastAsia" w:ascii="宋体" w:hAnsi="宋体" w:eastAsia="宋体" w:cs="宋体"/>
                <w:b/>
                <w:color w:val="auto"/>
                <w:w w:val="90"/>
                <w:szCs w:val="21"/>
                <w:highlight w:val="none"/>
              </w:rPr>
              <w:t>A020911视频设备</w:t>
            </w:r>
          </w:p>
        </w:tc>
        <w:tc>
          <w:tcPr>
            <w:tcW w:w="2334" w:type="dxa"/>
            <w:vAlign w:val="center"/>
          </w:tcPr>
          <w:p w14:paraId="1CCA3C0B">
            <w:pPr>
              <w:jc w:val="left"/>
              <w:rPr>
                <w:rFonts w:hint="eastAsia" w:ascii="宋体" w:hAnsi="宋体" w:eastAsia="宋体" w:cs="宋体"/>
                <w:b/>
                <w:color w:val="auto"/>
                <w:w w:val="90"/>
                <w:szCs w:val="21"/>
                <w:highlight w:val="none"/>
              </w:rPr>
            </w:pPr>
            <w:r>
              <w:rPr>
                <w:rFonts w:hint="eastAsia" w:ascii="宋体" w:hAnsi="宋体" w:eastAsia="宋体" w:cs="宋体"/>
                <w:b/>
                <w:color w:val="auto"/>
                <w:w w:val="90"/>
                <w:szCs w:val="21"/>
                <w:highlight w:val="none"/>
              </w:rPr>
              <w:t>A02091107视频监控设备</w:t>
            </w:r>
          </w:p>
        </w:tc>
        <w:tc>
          <w:tcPr>
            <w:tcW w:w="1682" w:type="dxa"/>
            <w:vAlign w:val="center"/>
          </w:tcPr>
          <w:p w14:paraId="4CCA2EBC">
            <w:pPr>
              <w:jc w:val="center"/>
              <w:rPr>
                <w:rFonts w:hint="eastAsia" w:ascii="宋体" w:hAnsi="宋体" w:eastAsia="宋体" w:cs="宋体"/>
                <w:b/>
                <w:color w:val="auto"/>
                <w:w w:val="90"/>
                <w:szCs w:val="21"/>
                <w:highlight w:val="none"/>
              </w:rPr>
            </w:pPr>
            <w:r>
              <w:rPr>
                <w:rFonts w:hint="eastAsia" w:ascii="宋体" w:hAnsi="宋体" w:eastAsia="宋体" w:cs="宋体"/>
                <w:b/>
                <w:color w:val="auto"/>
                <w:w w:val="90"/>
                <w:szCs w:val="21"/>
                <w:highlight w:val="none"/>
              </w:rPr>
              <w:t>监视器</w:t>
            </w:r>
          </w:p>
        </w:tc>
        <w:tc>
          <w:tcPr>
            <w:tcW w:w="3301" w:type="dxa"/>
            <w:vAlign w:val="center"/>
          </w:tcPr>
          <w:p w14:paraId="7A2DA64E">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以射频信号为主要信号输入的监视器应符合《平板电视能效限定值及能效等级》（GB 24850），以数字信号为主要信号输入的监视器应符合《计算机显示器能效限定值及能效等级》（GB 21520）</w:t>
            </w:r>
          </w:p>
        </w:tc>
      </w:tr>
      <w:tr w14:paraId="6832BCB3">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Align w:val="center"/>
          </w:tcPr>
          <w:p w14:paraId="569B3AB4">
            <w:pPr>
              <w:jc w:val="center"/>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14</w:t>
            </w:r>
          </w:p>
        </w:tc>
        <w:tc>
          <w:tcPr>
            <w:tcW w:w="1933" w:type="dxa"/>
            <w:vAlign w:val="center"/>
          </w:tcPr>
          <w:p w14:paraId="3A06935F">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A031210饮食炊事机械</w:t>
            </w:r>
          </w:p>
        </w:tc>
        <w:tc>
          <w:tcPr>
            <w:tcW w:w="2334" w:type="dxa"/>
            <w:vAlign w:val="center"/>
          </w:tcPr>
          <w:p w14:paraId="54DF6661">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商用燃气灶具</w:t>
            </w:r>
          </w:p>
        </w:tc>
        <w:tc>
          <w:tcPr>
            <w:tcW w:w="1682" w:type="dxa"/>
            <w:vAlign w:val="center"/>
          </w:tcPr>
          <w:p w14:paraId="6B7B9777">
            <w:pPr>
              <w:jc w:val="center"/>
              <w:rPr>
                <w:rFonts w:hint="eastAsia" w:ascii="宋体" w:hAnsi="宋体" w:eastAsia="宋体" w:cs="宋体"/>
                <w:color w:val="auto"/>
                <w:w w:val="90"/>
                <w:szCs w:val="21"/>
                <w:highlight w:val="none"/>
              </w:rPr>
            </w:pPr>
          </w:p>
        </w:tc>
        <w:tc>
          <w:tcPr>
            <w:tcW w:w="3301" w:type="dxa"/>
            <w:vAlign w:val="center"/>
          </w:tcPr>
          <w:p w14:paraId="50334F6E">
            <w:pPr>
              <w:jc w:val="left"/>
              <w:rPr>
                <w:rFonts w:hint="eastAsia" w:ascii="宋体" w:hAnsi="宋体" w:eastAsia="宋体" w:cs="宋体"/>
                <w:color w:val="auto"/>
                <w:w w:val="90"/>
                <w:szCs w:val="21"/>
                <w:highlight w:val="none"/>
              </w:rPr>
            </w:pPr>
          </w:p>
        </w:tc>
      </w:tr>
      <w:tr w14:paraId="3B189EB2">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restart"/>
            <w:vAlign w:val="center"/>
          </w:tcPr>
          <w:p w14:paraId="750E36F3">
            <w:pPr>
              <w:jc w:val="center"/>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15</w:t>
            </w:r>
          </w:p>
        </w:tc>
        <w:tc>
          <w:tcPr>
            <w:tcW w:w="1933" w:type="dxa"/>
            <w:vMerge w:val="restart"/>
            <w:vAlign w:val="center"/>
          </w:tcPr>
          <w:p w14:paraId="47D41E78">
            <w:pPr>
              <w:jc w:val="left"/>
              <w:rPr>
                <w:rFonts w:hint="eastAsia" w:ascii="宋体" w:hAnsi="宋体" w:eastAsia="宋体" w:cs="宋体"/>
                <w:b/>
                <w:color w:val="auto"/>
                <w:w w:val="90"/>
                <w:szCs w:val="21"/>
                <w:highlight w:val="none"/>
              </w:rPr>
            </w:pPr>
            <w:r>
              <w:rPr>
                <w:rFonts w:hint="eastAsia" w:ascii="宋体" w:hAnsi="宋体" w:eastAsia="宋体" w:cs="宋体"/>
                <w:color w:val="auto"/>
                <w:w w:val="90"/>
                <w:szCs w:val="21"/>
                <w:highlight w:val="none"/>
              </w:rPr>
              <w:t>★</w:t>
            </w:r>
            <w:r>
              <w:rPr>
                <w:rFonts w:hint="eastAsia" w:ascii="宋体" w:hAnsi="宋体" w:eastAsia="宋体" w:cs="宋体"/>
                <w:b/>
                <w:color w:val="auto"/>
                <w:w w:val="90"/>
                <w:szCs w:val="21"/>
                <w:highlight w:val="none"/>
              </w:rPr>
              <w:t>A060805便器</w:t>
            </w:r>
          </w:p>
        </w:tc>
        <w:tc>
          <w:tcPr>
            <w:tcW w:w="2334" w:type="dxa"/>
            <w:vAlign w:val="center"/>
          </w:tcPr>
          <w:p w14:paraId="6C0E2C4D">
            <w:pPr>
              <w:jc w:val="left"/>
              <w:rPr>
                <w:rFonts w:hint="eastAsia" w:ascii="宋体" w:hAnsi="宋体" w:eastAsia="宋体" w:cs="宋体"/>
                <w:b/>
                <w:color w:val="auto"/>
                <w:w w:val="90"/>
                <w:szCs w:val="21"/>
                <w:highlight w:val="none"/>
              </w:rPr>
            </w:pPr>
            <w:r>
              <w:rPr>
                <w:rFonts w:hint="eastAsia" w:ascii="宋体" w:hAnsi="宋体" w:eastAsia="宋体" w:cs="宋体"/>
                <w:b/>
                <w:color w:val="auto"/>
                <w:w w:val="90"/>
                <w:szCs w:val="21"/>
                <w:highlight w:val="none"/>
              </w:rPr>
              <w:t>坐便器</w:t>
            </w:r>
          </w:p>
        </w:tc>
        <w:tc>
          <w:tcPr>
            <w:tcW w:w="1682" w:type="dxa"/>
            <w:vAlign w:val="center"/>
          </w:tcPr>
          <w:p w14:paraId="02E21928">
            <w:pPr>
              <w:jc w:val="center"/>
              <w:rPr>
                <w:rFonts w:hint="eastAsia" w:ascii="宋体" w:hAnsi="宋体" w:eastAsia="宋体" w:cs="宋体"/>
                <w:color w:val="auto"/>
                <w:w w:val="90"/>
                <w:szCs w:val="21"/>
                <w:highlight w:val="none"/>
              </w:rPr>
            </w:pPr>
          </w:p>
        </w:tc>
        <w:tc>
          <w:tcPr>
            <w:tcW w:w="3301" w:type="dxa"/>
            <w:vAlign w:val="center"/>
          </w:tcPr>
          <w:p w14:paraId="55F265A5">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《坐便器水效限定值及水效等级</w:t>
            </w:r>
          </w:p>
          <w:p w14:paraId="4A3CB7C9">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（GB 25502）</w:t>
            </w:r>
          </w:p>
        </w:tc>
      </w:tr>
      <w:tr w14:paraId="7249485D">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continue"/>
            <w:vAlign w:val="center"/>
          </w:tcPr>
          <w:p w14:paraId="7C8799E5">
            <w:pPr>
              <w:jc w:val="center"/>
              <w:rPr>
                <w:rFonts w:hint="eastAsia" w:ascii="宋体" w:hAnsi="宋体" w:eastAsia="宋体" w:cs="宋体"/>
                <w:color w:val="auto"/>
                <w:w w:val="90"/>
                <w:szCs w:val="21"/>
                <w:highlight w:val="none"/>
              </w:rPr>
            </w:pPr>
          </w:p>
        </w:tc>
        <w:tc>
          <w:tcPr>
            <w:tcW w:w="1933" w:type="dxa"/>
            <w:vMerge w:val="continue"/>
            <w:vAlign w:val="center"/>
          </w:tcPr>
          <w:p w14:paraId="68B4F2B1">
            <w:pPr>
              <w:jc w:val="left"/>
              <w:rPr>
                <w:rFonts w:hint="eastAsia" w:ascii="宋体" w:hAnsi="宋体" w:eastAsia="宋体" w:cs="宋体"/>
                <w:b/>
                <w:color w:val="auto"/>
                <w:w w:val="90"/>
                <w:szCs w:val="21"/>
                <w:highlight w:val="none"/>
              </w:rPr>
            </w:pPr>
          </w:p>
        </w:tc>
        <w:tc>
          <w:tcPr>
            <w:tcW w:w="2334" w:type="dxa"/>
            <w:vAlign w:val="center"/>
          </w:tcPr>
          <w:p w14:paraId="3555ED4B">
            <w:pPr>
              <w:jc w:val="left"/>
              <w:rPr>
                <w:rFonts w:hint="eastAsia" w:ascii="宋体" w:hAnsi="宋体" w:eastAsia="宋体" w:cs="宋体"/>
                <w:b/>
                <w:color w:val="auto"/>
                <w:w w:val="90"/>
                <w:szCs w:val="21"/>
                <w:highlight w:val="none"/>
              </w:rPr>
            </w:pPr>
            <w:r>
              <w:rPr>
                <w:rFonts w:hint="eastAsia" w:ascii="宋体" w:hAnsi="宋体" w:eastAsia="宋体" w:cs="宋体"/>
                <w:b/>
                <w:color w:val="auto"/>
                <w:w w:val="90"/>
                <w:szCs w:val="21"/>
                <w:highlight w:val="none"/>
              </w:rPr>
              <w:t>蹲便器</w:t>
            </w:r>
          </w:p>
        </w:tc>
        <w:tc>
          <w:tcPr>
            <w:tcW w:w="1682" w:type="dxa"/>
            <w:vAlign w:val="center"/>
          </w:tcPr>
          <w:p w14:paraId="17276BBC">
            <w:pPr>
              <w:jc w:val="center"/>
              <w:rPr>
                <w:rFonts w:hint="eastAsia" w:ascii="宋体" w:hAnsi="宋体" w:eastAsia="宋体" w:cs="宋体"/>
                <w:color w:val="auto"/>
                <w:w w:val="90"/>
                <w:szCs w:val="21"/>
                <w:highlight w:val="none"/>
              </w:rPr>
            </w:pPr>
          </w:p>
        </w:tc>
        <w:tc>
          <w:tcPr>
            <w:tcW w:w="3301" w:type="dxa"/>
            <w:vAlign w:val="center"/>
          </w:tcPr>
          <w:p w14:paraId="67ED69EB">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《蹲便器用水效率限定值及用水效率等级》（GB 30717）</w:t>
            </w:r>
          </w:p>
        </w:tc>
      </w:tr>
      <w:tr w14:paraId="3D2BB0D8">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continue"/>
            <w:vAlign w:val="center"/>
          </w:tcPr>
          <w:p w14:paraId="71B322BA">
            <w:pPr>
              <w:jc w:val="center"/>
              <w:rPr>
                <w:rFonts w:hint="eastAsia" w:ascii="宋体" w:hAnsi="宋体" w:eastAsia="宋体" w:cs="宋体"/>
                <w:color w:val="auto"/>
                <w:w w:val="90"/>
                <w:szCs w:val="21"/>
                <w:highlight w:val="none"/>
              </w:rPr>
            </w:pPr>
          </w:p>
        </w:tc>
        <w:tc>
          <w:tcPr>
            <w:tcW w:w="1933" w:type="dxa"/>
            <w:vMerge w:val="continue"/>
            <w:vAlign w:val="center"/>
          </w:tcPr>
          <w:p w14:paraId="5DC56C7B">
            <w:pPr>
              <w:jc w:val="left"/>
              <w:rPr>
                <w:rFonts w:hint="eastAsia" w:ascii="宋体" w:hAnsi="宋体" w:eastAsia="宋体" w:cs="宋体"/>
                <w:b/>
                <w:color w:val="auto"/>
                <w:w w:val="90"/>
                <w:szCs w:val="21"/>
                <w:highlight w:val="none"/>
              </w:rPr>
            </w:pPr>
          </w:p>
        </w:tc>
        <w:tc>
          <w:tcPr>
            <w:tcW w:w="2334" w:type="dxa"/>
            <w:vAlign w:val="center"/>
          </w:tcPr>
          <w:p w14:paraId="4C894497">
            <w:pPr>
              <w:jc w:val="left"/>
              <w:rPr>
                <w:rFonts w:hint="eastAsia" w:ascii="宋体" w:hAnsi="宋体" w:eastAsia="宋体" w:cs="宋体"/>
                <w:b/>
                <w:color w:val="auto"/>
                <w:w w:val="90"/>
                <w:szCs w:val="21"/>
                <w:highlight w:val="none"/>
              </w:rPr>
            </w:pPr>
            <w:r>
              <w:rPr>
                <w:rFonts w:hint="eastAsia" w:ascii="宋体" w:hAnsi="宋体" w:eastAsia="宋体" w:cs="宋体"/>
                <w:b/>
                <w:color w:val="auto"/>
                <w:w w:val="90"/>
                <w:szCs w:val="21"/>
                <w:highlight w:val="none"/>
              </w:rPr>
              <w:t>小便器</w:t>
            </w:r>
          </w:p>
        </w:tc>
        <w:tc>
          <w:tcPr>
            <w:tcW w:w="1682" w:type="dxa"/>
            <w:vAlign w:val="center"/>
          </w:tcPr>
          <w:p w14:paraId="10A8E081">
            <w:pPr>
              <w:jc w:val="center"/>
              <w:rPr>
                <w:rFonts w:hint="eastAsia" w:ascii="宋体" w:hAnsi="宋体" w:eastAsia="宋体" w:cs="宋体"/>
                <w:color w:val="auto"/>
                <w:w w:val="90"/>
                <w:szCs w:val="21"/>
                <w:highlight w:val="none"/>
              </w:rPr>
            </w:pPr>
          </w:p>
        </w:tc>
        <w:tc>
          <w:tcPr>
            <w:tcW w:w="3301" w:type="dxa"/>
            <w:vAlign w:val="center"/>
          </w:tcPr>
          <w:p w14:paraId="0F1B1A85">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《小便器用水效率限定值及用水效率等级》（GB 28377）</w:t>
            </w:r>
          </w:p>
        </w:tc>
      </w:tr>
      <w:tr w14:paraId="3E69C0D4">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Align w:val="center"/>
          </w:tcPr>
          <w:p w14:paraId="3640410F">
            <w:pPr>
              <w:jc w:val="center"/>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16</w:t>
            </w:r>
          </w:p>
        </w:tc>
        <w:tc>
          <w:tcPr>
            <w:tcW w:w="1933" w:type="dxa"/>
            <w:vAlign w:val="center"/>
          </w:tcPr>
          <w:p w14:paraId="09D0E0F8">
            <w:pPr>
              <w:jc w:val="left"/>
              <w:rPr>
                <w:rFonts w:hint="eastAsia" w:ascii="宋体" w:hAnsi="宋体" w:eastAsia="宋体" w:cs="宋体"/>
                <w:b/>
                <w:color w:val="auto"/>
                <w:w w:val="90"/>
                <w:szCs w:val="21"/>
                <w:highlight w:val="none"/>
              </w:rPr>
            </w:pPr>
            <w:r>
              <w:rPr>
                <w:rFonts w:hint="eastAsia" w:ascii="宋体" w:hAnsi="宋体" w:eastAsia="宋体" w:cs="宋体"/>
                <w:color w:val="auto"/>
                <w:w w:val="90"/>
                <w:szCs w:val="21"/>
                <w:highlight w:val="none"/>
              </w:rPr>
              <w:t>★</w:t>
            </w:r>
            <w:r>
              <w:rPr>
                <w:rFonts w:hint="eastAsia" w:ascii="宋体" w:hAnsi="宋体" w:eastAsia="宋体" w:cs="宋体"/>
                <w:b/>
                <w:color w:val="auto"/>
                <w:w w:val="90"/>
                <w:szCs w:val="21"/>
                <w:highlight w:val="none"/>
              </w:rPr>
              <w:t>A060806水嘴</w:t>
            </w:r>
          </w:p>
        </w:tc>
        <w:tc>
          <w:tcPr>
            <w:tcW w:w="2334" w:type="dxa"/>
            <w:vAlign w:val="center"/>
          </w:tcPr>
          <w:p w14:paraId="7C5EB689">
            <w:pPr>
              <w:jc w:val="left"/>
              <w:rPr>
                <w:rFonts w:hint="eastAsia" w:ascii="宋体" w:hAnsi="宋体" w:eastAsia="宋体" w:cs="宋体"/>
                <w:color w:val="auto"/>
                <w:w w:val="90"/>
                <w:szCs w:val="21"/>
                <w:highlight w:val="none"/>
              </w:rPr>
            </w:pPr>
          </w:p>
        </w:tc>
        <w:tc>
          <w:tcPr>
            <w:tcW w:w="1682" w:type="dxa"/>
            <w:vAlign w:val="center"/>
          </w:tcPr>
          <w:p w14:paraId="24B95DCB">
            <w:pPr>
              <w:jc w:val="center"/>
              <w:rPr>
                <w:rFonts w:hint="eastAsia" w:ascii="宋体" w:hAnsi="宋体" w:eastAsia="宋体" w:cs="宋体"/>
                <w:color w:val="auto"/>
                <w:w w:val="90"/>
                <w:szCs w:val="21"/>
                <w:highlight w:val="none"/>
              </w:rPr>
            </w:pPr>
          </w:p>
        </w:tc>
        <w:tc>
          <w:tcPr>
            <w:tcW w:w="3301" w:type="dxa"/>
            <w:vAlign w:val="center"/>
          </w:tcPr>
          <w:p w14:paraId="78810F4B">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《水嘴用水效率限定值及用水效率等级》（GB 25501）</w:t>
            </w:r>
          </w:p>
        </w:tc>
      </w:tr>
      <w:tr w14:paraId="14C3A9B2">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Align w:val="center"/>
          </w:tcPr>
          <w:p w14:paraId="29CC2D6E">
            <w:pPr>
              <w:jc w:val="center"/>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17</w:t>
            </w:r>
          </w:p>
        </w:tc>
        <w:tc>
          <w:tcPr>
            <w:tcW w:w="1933" w:type="dxa"/>
            <w:vAlign w:val="center"/>
          </w:tcPr>
          <w:p w14:paraId="39DFF88A">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A060807便器冲洗阀</w:t>
            </w:r>
          </w:p>
        </w:tc>
        <w:tc>
          <w:tcPr>
            <w:tcW w:w="2334" w:type="dxa"/>
            <w:vAlign w:val="center"/>
          </w:tcPr>
          <w:p w14:paraId="3EB4EC70">
            <w:pPr>
              <w:jc w:val="left"/>
              <w:rPr>
                <w:rFonts w:hint="eastAsia" w:ascii="宋体" w:hAnsi="宋体" w:eastAsia="宋体" w:cs="宋体"/>
                <w:color w:val="auto"/>
                <w:w w:val="90"/>
                <w:szCs w:val="21"/>
                <w:highlight w:val="none"/>
              </w:rPr>
            </w:pPr>
          </w:p>
        </w:tc>
        <w:tc>
          <w:tcPr>
            <w:tcW w:w="1682" w:type="dxa"/>
            <w:vAlign w:val="center"/>
          </w:tcPr>
          <w:p w14:paraId="20346BF2">
            <w:pPr>
              <w:jc w:val="center"/>
              <w:rPr>
                <w:rFonts w:hint="eastAsia" w:ascii="宋体" w:hAnsi="宋体" w:eastAsia="宋体" w:cs="宋体"/>
                <w:color w:val="auto"/>
                <w:w w:val="90"/>
                <w:szCs w:val="21"/>
                <w:highlight w:val="none"/>
              </w:rPr>
            </w:pPr>
          </w:p>
        </w:tc>
        <w:tc>
          <w:tcPr>
            <w:tcW w:w="3301" w:type="dxa"/>
            <w:vAlign w:val="center"/>
          </w:tcPr>
          <w:p w14:paraId="141DD020">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《便器冲洗阀用水效率限定值及用水效率等级》（GB 28379）</w:t>
            </w:r>
          </w:p>
        </w:tc>
      </w:tr>
      <w:tr w14:paraId="03304AD1">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Align w:val="center"/>
          </w:tcPr>
          <w:p w14:paraId="03048B21">
            <w:pPr>
              <w:jc w:val="center"/>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18</w:t>
            </w:r>
          </w:p>
        </w:tc>
        <w:tc>
          <w:tcPr>
            <w:tcW w:w="1933" w:type="dxa"/>
            <w:vAlign w:val="center"/>
          </w:tcPr>
          <w:p w14:paraId="107FBBC2">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A060810淋浴器</w:t>
            </w:r>
          </w:p>
        </w:tc>
        <w:tc>
          <w:tcPr>
            <w:tcW w:w="2334" w:type="dxa"/>
            <w:vAlign w:val="center"/>
          </w:tcPr>
          <w:p w14:paraId="28A13B45">
            <w:pPr>
              <w:jc w:val="left"/>
              <w:rPr>
                <w:rFonts w:hint="eastAsia" w:ascii="宋体" w:hAnsi="宋体" w:eastAsia="宋体" w:cs="宋体"/>
                <w:color w:val="auto"/>
                <w:w w:val="90"/>
                <w:szCs w:val="21"/>
                <w:highlight w:val="none"/>
              </w:rPr>
            </w:pPr>
          </w:p>
        </w:tc>
        <w:tc>
          <w:tcPr>
            <w:tcW w:w="1682" w:type="dxa"/>
            <w:vAlign w:val="center"/>
          </w:tcPr>
          <w:p w14:paraId="2F344F2A">
            <w:pPr>
              <w:jc w:val="center"/>
              <w:rPr>
                <w:rFonts w:hint="eastAsia" w:ascii="宋体" w:hAnsi="宋体" w:eastAsia="宋体" w:cs="宋体"/>
                <w:color w:val="auto"/>
                <w:w w:val="90"/>
                <w:szCs w:val="21"/>
                <w:highlight w:val="none"/>
              </w:rPr>
            </w:pPr>
          </w:p>
        </w:tc>
        <w:tc>
          <w:tcPr>
            <w:tcW w:w="3301" w:type="dxa"/>
            <w:vAlign w:val="center"/>
          </w:tcPr>
          <w:p w14:paraId="06947E51">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《淋浴器用水效率限定值及用水效率等级》（GB 28378）</w:t>
            </w:r>
          </w:p>
        </w:tc>
      </w:tr>
    </w:tbl>
    <w:p w14:paraId="3093A334">
      <w:pPr>
        <w:adjustRightInd w:val="0"/>
        <w:snapToGrid w:val="0"/>
        <w:spacing w:line="360" w:lineRule="auto"/>
        <w:ind w:firstLine="480" w:firstLineChars="200"/>
        <w:rPr>
          <w:rFonts w:hint="default" w:ascii="宋体" w:hAnsi="宋体" w:cs="宋体"/>
          <w:color w:val="auto"/>
          <w:sz w:val="24"/>
          <w:highlight w:val="none"/>
        </w:rPr>
      </w:pPr>
    </w:p>
    <w:p w14:paraId="73F0175D">
      <w:pPr>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2.2 纳入政府采购管理的修缮、装修类项目采购建材的，鼓励采购单位将绿色建材性能、指标等作为实质性条件纳入采购文件和合同，具体性能指标要求参考相关绿色建材政府采购需求标准。</w:t>
      </w:r>
    </w:p>
    <w:p w14:paraId="76699416">
      <w:pPr>
        <w:adjustRightInd w:val="0"/>
        <w:snapToGrid w:val="0"/>
        <w:spacing w:line="360" w:lineRule="auto"/>
        <w:ind w:firstLine="480" w:firstLineChars="200"/>
        <w:rPr>
          <w:rFonts w:hint="default" w:ascii="宋体" w:hAnsi="宋体" w:cs="宋体"/>
          <w:color w:val="auto"/>
          <w:sz w:val="24"/>
          <w:highlight w:val="none"/>
        </w:rPr>
      </w:pPr>
      <w:r>
        <w:rPr>
          <w:rFonts w:ascii="宋体" w:hAnsi="宋体" w:cs="宋体"/>
          <w:color w:val="auto"/>
          <w:sz w:val="24"/>
          <w:highlight w:val="none"/>
        </w:rPr>
        <w:t>2.</w:t>
      </w:r>
      <w:r>
        <w:rPr>
          <w:rFonts w:hint="eastAsia" w:ascii="宋体" w:hAnsi="宋体" w:cs="宋体"/>
          <w:color w:val="auto"/>
          <w:sz w:val="24"/>
          <w:highlight w:val="none"/>
          <w:lang w:val="en-US" w:eastAsia="zh-CN"/>
        </w:rPr>
        <w:t>3</w:t>
      </w:r>
      <w:r>
        <w:rPr>
          <w:rFonts w:ascii="宋体" w:hAnsi="宋体" w:cs="宋体"/>
          <w:color w:val="auto"/>
          <w:sz w:val="24"/>
          <w:highlight w:val="none"/>
        </w:rPr>
        <w:t>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鼓励采购单位优先采购秸秆环保板材等资源综合利用产品。鼓励采购单位优先采购绿色物流配送服务、提供新能源交通工具的租赁服务。</w:t>
      </w:r>
    </w:p>
    <w:p w14:paraId="6FE73274">
      <w:pPr>
        <w:spacing w:line="360" w:lineRule="auto"/>
        <w:ind w:firstLine="480" w:firstLineChars="200"/>
        <w:rPr>
          <w:rFonts w:hint="default" w:ascii="宋体" w:hAnsi="宋体" w:cs="宋体"/>
          <w:color w:val="auto"/>
          <w:sz w:val="24"/>
          <w:highlight w:val="none"/>
        </w:rPr>
      </w:pPr>
      <w:r>
        <w:rPr>
          <w:rFonts w:ascii="宋体" w:hAnsi="宋体" w:cs="宋体"/>
          <w:color w:val="auto"/>
          <w:sz w:val="24"/>
          <w:highlight w:val="none"/>
        </w:rPr>
        <w:t>2.</w:t>
      </w:r>
      <w:r>
        <w:rPr>
          <w:rFonts w:hint="eastAsia" w:ascii="宋体" w:hAnsi="宋体" w:cs="宋体"/>
          <w:color w:val="auto"/>
          <w:sz w:val="24"/>
          <w:highlight w:val="none"/>
          <w:lang w:val="en-US" w:eastAsia="zh-CN"/>
        </w:rPr>
        <w:t>4</w:t>
      </w:r>
      <w:r>
        <w:rPr>
          <w:rFonts w:ascii="宋体" w:hAnsi="宋体" w:cs="宋体"/>
          <w:color w:val="auto"/>
          <w:sz w:val="24"/>
          <w:highlight w:val="none"/>
        </w:rPr>
        <w:t>鼓励供应商在参加政府采购过程中开展绿色设计、选择绿色材料、打造绿色制造工艺、开展绿色运输、做好废弃产品回收处理，实现产品全周期的绿色环保。鼓励采购单位对其提高预付款比例、免收履约保证金。</w:t>
      </w:r>
    </w:p>
    <w:p w14:paraId="689FCCB5">
      <w:pPr>
        <w:spacing w:line="360" w:lineRule="auto"/>
        <w:ind w:firstLine="480" w:firstLineChars="200"/>
        <w:rPr>
          <w:rFonts w:hint="default" w:ascii="宋体" w:hAnsi="宋体" w:cs="宋体"/>
          <w:color w:val="auto"/>
          <w:sz w:val="24"/>
          <w:highlight w:val="none"/>
        </w:rPr>
      </w:pPr>
      <w:r>
        <w:rPr>
          <w:rFonts w:ascii="宋体" w:hAnsi="宋体" w:cs="宋体"/>
          <w:color w:val="auto"/>
          <w:sz w:val="24"/>
          <w:highlight w:val="none"/>
        </w:rPr>
        <w:t>3.支持中小企业发展</w:t>
      </w:r>
    </w:p>
    <w:p w14:paraId="3EA238FF">
      <w:pPr>
        <w:spacing w:line="360" w:lineRule="auto"/>
        <w:ind w:firstLine="480" w:firstLineChars="200"/>
        <w:rPr>
          <w:rFonts w:hint="default" w:ascii="宋体" w:hAnsi="宋体" w:cs="宋体"/>
          <w:color w:val="auto"/>
          <w:sz w:val="24"/>
          <w:highlight w:val="none"/>
        </w:rPr>
      </w:pPr>
      <w:r>
        <w:rPr>
          <w:rFonts w:ascii="宋体" w:hAnsi="宋体" w:cs="宋体"/>
          <w:color w:val="auto"/>
          <w:sz w:val="24"/>
          <w:highlight w:val="none"/>
        </w:rPr>
        <w:t>3.1中小企业，是指在中华人民共和国境内依法设立，依据国务院批准的中小企业划分标准确定的中型企业、小型企业和微型企业，但与大企业的负责人为同一人，或者与大企业存在直接控股、管理关系的除外。</w:t>
      </w:r>
    </w:p>
    <w:p w14:paraId="5FC0910A">
      <w:pPr>
        <w:spacing w:line="360" w:lineRule="auto"/>
        <w:ind w:firstLine="480" w:firstLineChars="200"/>
        <w:rPr>
          <w:rFonts w:hint="default" w:ascii="宋体" w:hAnsi="宋体" w:cs="宋体"/>
          <w:color w:val="auto"/>
          <w:sz w:val="24"/>
          <w:highlight w:val="none"/>
        </w:rPr>
      </w:pPr>
      <w:r>
        <w:rPr>
          <w:rFonts w:ascii="宋体" w:hAnsi="宋体" w:cs="宋体"/>
          <w:color w:val="auto"/>
          <w:sz w:val="24"/>
          <w:highlight w:val="none"/>
        </w:rPr>
        <w:t>符合中小企业划分标准的个体工商户，在政府采购活动中视同中小企业。</w:t>
      </w:r>
    </w:p>
    <w:p w14:paraId="5B78520E">
      <w:pPr>
        <w:widowControl/>
        <w:spacing w:line="360" w:lineRule="auto"/>
        <w:ind w:firstLine="480" w:firstLineChars="200"/>
        <w:rPr>
          <w:rFonts w:hint="default" w:ascii="宋体" w:hAnsi="宋体" w:cs="宋体"/>
          <w:color w:val="auto"/>
          <w:kern w:val="0"/>
          <w:sz w:val="24"/>
          <w:highlight w:val="none"/>
        </w:rPr>
      </w:pPr>
      <w:r>
        <w:rPr>
          <w:rFonts w:ascii="宋体" w:hAnsi="宋体" w:cs="宋体"/>
          <w:bCs/>
          <w:color w:val="auto"/>
          <w:sz w:val="24"/>
          <w:highlight w:val="none"/>
        </w:rPr>
        <w:t>3.2</w:t>
      </w:r>
      <w:r>
        <w:rPr>
          <w:rFonts w:hint="eastAsia" w:ascii="宋体" w:hAnsi="宋体" w:cs="宋体"/>
          <w:bCs/>
          <w:color w:val="auto"/>
          <w:sz w:val="24"/>
          <w:highlight w:val="none"/>
        </w:rPr>
        <w:t>在政府采购活动中，投标人提供的货物、工程或者服务符合下列情形的，享受中小企业扶持政策：在服务采购项目中，服务由中小企业承接，即提供服务的人员为中小企业依照《中华人民共和国劳动合同法》订立劳动合同的从业人员</w:t>
      </w:r>
      <w:r>
        <w:rPr>
          <w:rFonts w:hint="eastAsia" w:ascii="宋体" w:hAnsi="宋体" w:cs="宋体"/>
          <w:color w:val="auto"/>
          <w:kern w:val="0"/>
          <w:sz w:val="24"/>
          <w:highlight w:val="none"/>
        </w:rPr>
        <w:t>。</w:t>
      </w:r>
    </w:p>
    <w:p w14:paraId="51F4977C">
      <w:pPr>
        <w:widowControl/>
        <w:spacing w:line="360" w:lineRule="auto"/>
        <w:ind w:firstLine="480" w:firstLineChars="200"/>
        <w:rPr>
          <w:rFonts w:hint="default" w:ascii="宋体" w:hAnsi="宋体" w:cs="宋体"/>
          <w:color w:val="auto"/>
          <w:kern w:val="0"/>
          <w:sz w:val="24"/>
          <w:highlight w:val="none"/>
        </w:rPr>
      </w:pPr>
      <w:r>
        <w:rPr>
          <w:rFonts w:ascii="宋体" w:hAnsi="宋体" w:cs="宋体"/>
          <w:color w:val="auto"/>
          <w:kern w:val="0"/>
          <w:sz w:val="24"/>
          <w:highlight w:val="none"/>
        </w:rPr>
        <w:t>以联合体形式参加政府采购活动，联合体各方均为中小企业的，联合体视同中小企业。其中，联合体各方均为小微企业的，联合体视同小微企业。</w:t>
      </w:r>
    </w:p>
    <w:p w14:paraId="015007D1">
      <w:pPr>
        <w:spacing w:line="360" w:lineRule="auto"/>
        <w:ind w:firstLine="480" w:firstLineChars="200"/>
        <w:rPr>
          <w:rFonts w:hint="default" w:ascii="宋体" w:hAnsi="宋体" w:cs="宋体"/>
          <w:color w:val="auto"/>
          <w:sz w:val="24"/>
          <w:highlight w:val="none"/>
        </w:rPr>
      </w:pPr>
      <w:r>
        <w:rPr>
          <w:rFonts w:ascii="宋体" w:hAnsi="宋体" w:cs="宋体"/>
          <w:color w:val="auto"/>
          <w:sz w:val="24"/>
          <w:highlight w:val="none"/>
        </w:rPr>
        <w:t>3.3</w:t>
      </w:r>
      <w:r>
        <w:rPr>
          <w:rFonts w:hint="eastAsia" w:ascii="宋体" w:hAnsi="宋体" w:cs="宋体"/>
          <w:color w:val="auto"/>
          <w:sz w:val="24"/>
          <w:highlight w:val="none"/>
        </w:rPr>
        <w:t>对于未预留份额专门面向中小企业的政府采购服务项目，以及预留份额政府采购服务项目中的非预留部分标项，对小型和微型企业的投标报价给予10%-</w:t>
      </w:r>
      <w:r>
        <w:rPr>
          <w:rFonts w:ascii="宋体" w:hAnsi="宋体" w:cs="宋体"/>
          <w:color w:val="auto"/>
          <w:sz w:val="24"/>
          <w:highlight w:val="none"/>
        </w:rPr>
        <w:t>20</w:t>
      </w:r>
      <w:r>
        <w:rPr>
          <w:rFonts w:hint="eastAsia" w:ascii="宋体" w:hAnsi="宋体" w:cs="宋体"/>
          <w:color w:val="auto"/>
          <w:sz w:val="24"/>
          <w:highlight w:val="none"/>
        </w:rPr>
        <w:t>%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w:t>
      </w:r>
      <w:r>
        <w:rPr>
          <w:rFonts w:ascii="宋体" w:hAnsi="宋体" w:cs="宋体"/>
          <w:color w:val="auto"/>
          <w:sz w:val="24"/>
          <w:highlight w:val="none"/>
        </w:rPr>
        <w:t>6</w:t>
      </w:r>
      <w:r>
        <w:rPr>
          <w:rFonts w:hint="eastAsia" w:ascii="宋体" w:hAnsi="宋体" w:cs="宋体"/>
          <w:color w:val="auto"/>
          <w:sz w:val="24"/>
          <w:highlight w:val="none"/>
        </w:rPr>
        <w:t>%的扣除，用扣除后的价格参加评审。组成联合体或者接受分包的小微企业与联合体内其他企业、分包企业之间存在直接控股、管理关系的，不享受价格扣除优惠政策</w:t>
      </w:r>
      <w:r>
        <w:rPr>
          <w:rFonts w:ascii="宋体" w:hAnsi="宋体" w:cs="宋体"/>
          <w:color w:val="auto"/>
          <w:sz w:val="24"/>
          <w:highlight w:val="none"/>
        </w:rPr>
        <w:t>。</w:t>
      </w:r>
    </w:p>
    <w:p w14:paraId="2EC49F46">
      <w:pPr>
        <w:spacing w:line="360" w:lineRule="auto"/>
        <w:ind w:firstLine="480" w:firstLineChars="200"/>
        <w:rPr>
          <w:rFonts w:hint="default" w:ascii="宋体" w:hAnsi="宋体" w:cs="宋体"/>
          <w:color w:val="auto"/>
          <w:sz w:val="24"/>
          <w:highlight w:val="none"/>
        </w:rPr>
      </w:pPr>
      <w:r>
        <w:rPr>
          <w:rFonts w:ascii="宋体" w:hAnsi="宋体" w:cs="宋体"/>
          <w:color w:val="auto"/>
          <w:sz w:val="24"/>
          <w:highlight w:val="none"/>
        </w:rPr>
        <w:t>3.4符合《关于促进残疾人就业政府采购政策的通知》（财库〔2017〕141号）规定的条件并提供《残疾人福利性单位声明函》的残疾人福利性单位视同小型、微型企业；</w:t>
      </w:r>
    </w:p>
    <w:p w14:paraId="78934798">
      <w:pPr>
        <w:spacing w:line="360" w:lineRule="auto"/>
        <w:ind w:firstLine="480" w:firstLineChars="200"/>
        <w:rPr>
          <w:rFonts w:hint="default" w:ascii="宋体" w:hAnsi="宋体" w:cs="宋体"/>
          <w:color w:val="auto"/>
          <w:sz w:val="24"/>
          <w:highlight w:val="none"/>
        </w:rPr>
      </w:pPr>
      <w:r>
        <w:rPr>
          <w:rFonts w:ascii="宋体" w:hAnsi="宋体" w:cs="宋体"/>
          <w:color w:val="auto"/>
          <w:sz w:val="24"/>
          <w:highlight w:val="none"/>
        </w:rPr>
        <w:t>3.5符合《关于政府采购支持监狱企业发展有关问题的通知》（财库[2014]68号）规定的监狱企业并提供由省级以上监狱管理局、戒毒管理局（含新疆生产建设兵团）出具的属于监狱企业证明文件的，视同为小型、微型企业。</w:t>
      </w:r>
    </w:p>
    <w:p w14:paraId="77FCEAFF">
      <w:pPr>
        <w:spacing w:line="360" w:lineRule="auto"/>
        <w:ind w:firstLine="480" w:firstLineChars="200"/>
        <w:rPr>
          <w:rFonts w:hint="default" w:ascii="宋体" w:hAnsi="宋体" w:cs="宋体"/>
          <w:color w:val="auto"/>
          <w:sz w:val="24"/>
          <w:highlight w:val="none"/>
        </w:rPr>
      </w:pPr>
      <w:r>
        <w:rPr>
          <w:rFonts w:ascii="宋体" w:hAnsi="宋体" w:cs="宋体"/>
          <w:color w:val="auto"/>
          <w:sz w:val="24"/>
          <w:highlight w:val="none"/>
        </w:rPr>
        <w:t>3.6</w:t>
      </w:r>
      <w:r>
        <w:rPr>
          <w:rFonts w:hint="eastAsia" w:ascii="宋体" w:hAnsi="宋体" w:cs="宋体"/>
          <w:color w:val="auto"/>
          <w:sz w:val="24"/>
          <w:highlight w:val="none"/>
          <w:lang w:val="en" w:eastAsia="zh-CN"/>
        </w:rPr>
        <w:t>可享受中小企业扶持政策的投标人应按照招标文件格式要求提供《中小企业声明函》，《中小企业声明函》填写企业类型错误，导致该企业享受本不能享受的中小企业扶持政策，投标无效并依法承担法律责任</w:t>
      </w:r>
      <w:r>
        <w:rPr>
          <w:rFonts w:ascii="宋体" w:hAnsi="宋体" w:cs="宋体"/>
          <w:color w:val="auto"/>
          <w:sz w:val="24"/>
          <w:highlight w:val="none"/>
        </w:rPr>
        <w:t>。</w:t>
      </w:r>
    </w:p>
    <w:p w14:paraId="6E26EA4F">
      <w:pPr>
        <w:spacing w:line="360" w:lineRule="auto"/>
        <w:ind w:firstLine="480" w:firstLineChars="200"/>
        <w:rPr>
          <w:rFonts w:hint="default" w:ascii="宋体" w:hAnsi="宋体" w:cs="宋体"/>
          <w:color w:val="auto"/>
          <w:sz w:val="24"/>
          <w:highlight w:val="none"/>
        </w:rPr>
      </w:pPr>
      <w:r>
        <w:rPr>
          <w:rFonts w:ascii="宋体" w:hAnsi="宋体" w:cs="宋体"/>
          <w:color w:val="auto"/>
          <w:sz w:val="24"/>
          <w:highlight w:val="none"/>
        </w:rPr>
        <w:t>3.7中小企业享受扶持政策获得政府采购合同的，小微企业不得将合同分包给大中型企业，中型企业不得将合同分包给大型企业。</w:t>
      </w:r>
    </w:p>
    <w:p w14:paraId="42E589E4">
      <w:pPr>
        <w:spacing w:line="360" w:lineRule="auto"/>
        <w:ind w:firstLine="480" w:firstLineChars="200"/>
        <w:rPr>
          <w:rFonts w:hint="default" w:ascii="宋体" w:hAnsi="宋体" w:cs="宋体"/>
          <w:color w:val="auto"/>
          <w:sz w:val="24"/>
          <w:highlight w:val="none"/>
        </w:rPr>
      </w:pPr>
      <w:r>
        <w:rPr>
          <w:rFonts w:ascii="宋体" w:hAnsi="宋体" w:cs="宋体"/>
          <w:color w:val="auto"/>
          <w:sz w:val="24"/>
          <w:highlight w:val="none"/>
        </w:rPr>
        <w:t>4.</w:t>
      </w:r>
      <w:r>
        <w:rPr>
          <w:rFonts w:ascii="宋体" w:hAnsi="宋体" w:cs="宋体"/>
          <w:bCs/>
          <w:color w:val="auto"/>
          <w:sz w:val="24"/>
          <w:highlight w:val="none"/>
        </w:rPr>
        <w:t>支持创新发展</w:t>
      </w:r>
    </w:p>
    <w:p w14:paraId="72F72F19">
      <w:pPr>
        <w:spacing w:line="360" w:lineRule="auto"/>
        <w:ind w:firstLine="480" w:firstLineChars="200"/>
        <w:rPr>
          <w:rFonts w:hint="default" w:ascii="宋体" w:hAnsi="宋体" w:cs="宋体"/>
          <w:color w:val="auto"/>
          <w:sz w:val="24"/>
          <w:highlight w:val="none"/>
        </w:rPr>
      </w:pPr>
      <w:r>
        <w:rPr>
          <w:rFonts w:ascii="宋体" w:hAnsi="宋体" w:cs="宋体"/>
          <w:color w:val="auto"/>
          <w:sz w:val="24"/>
          <w:highlight w:val="none"/>
        </w:rPr>
        <w:t xml:space="preserve">4.1 </w:t>
      </w:r>
      <w:r>
        <w:rPr>
          <w:rFonts w:hint="eastAsia" w:ascii="宋体" w:hAnsi="宋体" w:cs="宋体"/>
          <w:color w:val="auto"/>
          <w:sz w:val="24"/>
          <w:highlight w:val="none"/>
          <w:lang w:eastAsia="zh-CN"/>
        </w:rPr>
        <w:t>首台套、“制造精品”、“专精特新”等创新产品按规定享受政府采购支持政策</w:t>
      </w:r>
      <w:r>
        <w:rPr>
          <w:rFonts w:ascii="宋体" w:hAnsi="宋体" w:cs="宋体"/>
          <w:color w:val="auto"/>
          <w:sz w:val="24"/>
          <w:highlight w:val="none"/>
        </w:rPr>
        <w:t>。</w:t>
      </w:r>
    </w:p>
    <w:p w14:paraId="2593B76E">
      <w:pPr>
        <w:spacing w:line="360" w:lineRule="auto"/>
        <w:ind w:firstLine="480" w:firstLineChars="200"/>
        <w:rPr>
          <w:rFonts w:ascii="宋体" w:hAnsi="宋体" w:cs="宋体"/>
          <w:color w:val="auto"/>
          <w:sz w:val="24"/>
          <w:highlight w:val="none"/>
        </w:rPr>
      </w:pPr>
      <w:r>
        <w:rPr>
          <w:rFonts w:hint="eastAsia" w:ascii="宋体" w:hAnsi="宋体" w:eastAsia="宋体" w:cs="仿宋"/>
          <w:b w:val="0"/>
          <w:bCs w:val="0"/>
          <w:color w:val="auto"/>
          <w:sz w:val="24"/>
          <w:szCs w:val="24"/>
          <w:highlight w:val="none"/>
          <w:lang w:val="en-US" w:eastAsia="zh-CN"/>
        </w:rPr>
        <w:t>4</w:t>
      </w:r>
      <w:r>
        <w:rPr>
          <w:rFonts w:hint="eastAsia" w:ascii="宋体" w:hAnsi="宋体" w:eastAsia="宋体" w:cs="仿宋"/>
          <w:b w:val="0"/>
          <w:bCs w:val="0"/>
          <w:color w:val="auto"/>
          <w:sz w:val="24"/>
          <w:szCs w:val="24"/>
          <w:highlight w:val="none"/>
          <w:lang w:val="en-US"/>
        </w:rPr>
        <w:t>.</w:t>
      </w:r>
      <w:r>
        <w:rPr>
          <w:rFonts w:hint="eastAsia" w:ascii="宋体" w:hAnsi="宋体" w:cs="仿宋"/>
          <w:b w:val="0"/>
          <w:bCs w:val="0"/>
          <w:color w:val="auto"/>
          <w:sz w:val="24"/>
          <w:szCs w:val="24"/>
          <w:highlight w:val="none"/>
          <w:lang w:val="en-US" w:eastAsia="zh-CN"/>
        </w:rPr>
        <w:t>2</w:t>
      </w:r>
      <w:r>
        <w:rPr>
          <w:rFonts w:hint="eastAsia" w:ascii="宋体" w:hAnsi="宋体" w:eastAsia="宋体" w:cs="仿宋"/>
          <w:b w:val="0"/>
          <w:bCs w:val="0"/>
          <w:color w:val="auto"/>
          <w:sz w:val="24"/>
          <w:szCs w:val="24"/>
          <w:highlight w:val="none"/>
          <w:lang w:val="en-US"/>
        </w:rPr>
        <w:t xml:space="preserve"> </w:t>
      </w:r>
      <w:r>
        <w:rPr>
          <w:rFonts w:hint="eastAsia" w:ascii="宋体" w:hAnsi="宋体" w:eastAsia="宋体" w:cs="仿宋"/>
          <w:b w:val="0"/>
          <w:bCs w:val="0"/>
          <w:color w:val="auto"/>
          <w:sz w:val="24"/>
          <w:szCs w:val="24"/>
          <w:highlight w:val="none"/>
          <w:u w:val="none"/>
          <w:lang w:val="en-US" w:eastAsia="zh-CN"/>
        </w:rPr>
        <w:t>采购人应当贯彻落实知识产权保护相关法律法规，</w:t>
      </w:r>
      <w:r>
        <w:rPr>
          <w:rFonts w:hint="eastAsia" w:ascii="宋体" w:hAnsi="宋体" w:eastAsia="宋体" w:cs="仿宋"/>
          <w:b w:val="0"/>
          <w:bCs w:val="0"/>
          <w:color w:val="auto"/>
          <w:sz w:val="24"/>
          <w:szCs w:val="24"/>
          <w:highlight w:val="none"/>
          <w:u w:val="none"/>
          <w:lang w:val="en-US"/>
        </w:rPr>
        <w:t>应当采购使用正版软件</w:t>
      </w:r>
      <w:r>
        <w:rPr>
          <w:rFonts w:hint="eastAsia" w:ascii="宋体" w:hAnsi="宋体" w:eastAsia="宋体" w:cs="仿宋"/>
          <w:b w:val="0"/>
          <w:bCs w:val="0"/>
          <w:color w:val="auto"/>
          <w:sz w:val="24"/>
          <w:szCs w:val="24"/>
          <w:highlight w:val="none"/>
          <w:lang w:val="en-US"/>
        </w:rPr>
        <w:t>。</w:t>
      </w:r>
    </w:p>
    <w:p w14:paraId="371EC511">
      <w:pPr>
        <w:spacing w:line="360" w:lineRule="auto"/>
        <w:ind w:firstLine="480" w:firstLineChars="200"/>
        <w:rPr>
          <w:rFonts w:hint="default" w:ascii="宋体" w:hAnsi="宋体" w:cs="宋体"/>
          <w:color w:val="auto"/>
          <w:sz w:val="24"/>
          <w:highlight w:val="none"/>
        </w:rPr>
      </w:pPr>
      <w:r>
        <w:rPr>
          <w:rFonts w:ascii="宋体" w:hAnsi="宋体" w:cs="宋体"/>
          <w:color w:val="auto"/>
          <w:sz w:val="24"/>
          <w:highlight w:val="none"/>
        </w:rPr>
        <w:t>5.平等对待内外资企业和符合条件的破产重整企业</w:t>
      </w:r>
    </w:p>
    <w:p w14:paraId="27B355E5">
      <w:pPr>
        <w:adjustRightInd w:val="0"/>
        <w:snapToGrid w:val="0"/>
        <w:spacing w:line="360" w:lineRule="auto"/>
        <w:ind w:firstLine="470" w:firstLineChars="196"/>
        <w:outlineLvl w:val="1"/>
        <w:rPr>
          <w:rFonts w:hint="default" w:ascii="宋体" w:hAnsi="宋体" w:cs="宋体"/>
          <w:b/>
          <w:color w:val="auto"/>
          <w:sz w:val="24"/>
          <w:highlight w:val="none"/>
        </w:rPr>
      </w:pPr>
      <w:r>
        <w:rPr>
          <w:rFonts w:ascii="宋体" w:hAnsi="宋体" w:cs="宋体"/>
          <w:color w:val="auto"/>
          <w:sz w:val="24"/>
          <w:highlight w:val="none"/>
        </w:rPr>
        <w:t>平等对待内外资企业和符合条件的破产重整企业，切实保障企业公平竞争，平等维护企业的合法利益。</w:t>
      </w:r>
    </w:p>
    <w:p w14:paraId="1A589523">
      <w:pPr>
        <w:adjustRightInd w:val="0"/>
        <w:snapToGrid w:val="0"/>
        <w:spacing w:line="360" w:lineRule="auto"/>
        <w:ind w:firstLine="472" w:firstLineChars="196"/>
        <w:outlineLvl w:val="1"/>
        <w:rPr>
          <w:rFonts w:hint="default" w:ascii="宋体" w:hAnsi="宋体" w:cs="宋体"/>
          <w:b/>
          <w:color w:val="auto"/>
          <w:sz w:val="24"/>
          <w:highlight w:val="none"/>
        </w:rPr>
      </w:pPr>
      <w:r>
        <w:rPr>
          <w:rFonts w:ascii="宋体" w:hAnsi="宋体" w:cs="宋体"/>
          <w:b/>
          <w:color w:val="auto"/>
          <w:sz w:val="24"/>
          <w:highlight w:val="none"/>
        </w:rPr>
        <w:t>（</w:t>
      </w:r>
      <w:r>
        <w:rPr>
          <w:rFonts w:hint="eastAsia" w:ascii="宋体" w:hAnsi="宋体" w:cs="宋体"/>
          <w:b/>
          <w:color w:val="auto"/>
          <w:sz w:val="24"/>
          <w:highlight w:val="none"/>
          <w:lang w:val="en-US" w:eastAsia="zh-CN"/>
        </w:rPr>
        <w:t>四</w:t>
      </w:r>
      <w:r>
        <w:rPr>
          <w:rFonts w:ascii="宋体" w:hAnsi="宋体" w:cs="宋体"/>
          <w:b/>
          <w:color w:val="auto"/>
          <w:sz w:val="24"/>
          <w:highlight w:val="none"/>
        </w:rPr>
        <w:t>）特别说明：</w:t>
      </w:r>
    </w:p>
    <w:p w14:paraId="6B29EDA4">
      <w:pPr>
        <w:adjustRightInd w:val="0"/>
        <w:snapToGrid w:val="0"/>
        <w:spacing w:line="360" w:lineRule="auto"/>
        <w:ind w:firstLine="470" w:firstLineChars="196"/>
        <w:outlineLvl w:val="1"/>
        <w:rPr>
          <w:rFonts w:hint="default" w:ascii="宋体" w:hAnsi="宋体" w:cs="宋体"/>
          <w:color w:val="auto"/>
          <w:sz w:val="24"/>
          <w:highlight w:val="none"/>
        </w:rPr>
      </w:pPr>
      <w:r>
        <w:rPr>
          <w:rFonts w:ascii="宋体" w:hAnsi="宋体" w:cs="宋体"/>
          <w:color w:val="auto"/>
          <w:sz w:val="24"/>
          <w:highlight w:val="none"/>
        </w:rPr>
        <w:t>1.根据政府采购相关法律、法规、规章、文件规定并满足采购文件规定资格条件的区域性分支机构、个体工商户、个人独资企业、合伙企业参加本项目投标并由单位负责人签署的相关投标资料与本采购文件规定由法定代表人签署的的文件材料具有同等效力。</w:t>
      </w:r>
    </w:p>
    <w:p w14:paraId="5531B30A">
      <w:pPr>
        <w:widowControl/>
        <w:numPr>
          <w:ilvl w:val="0"/>
          <w:numId w:val="0"/>
        </w:numPr>
        <w:adjustRightInd w:val="0"/>
        <w:snapToGrid w:val="0"/>
        <w:spacing w:line="360" w:lineRule="auto"/>
        <w:ind w:firstLine="480" w:firstLineChars="200"/>
        <w:jc w:val="left"/>
        <w:rPr>
          <w:rFonts w:hint="default" w:ascii="宋体" w:hAnsi="宋体" w:cs="宋体"/>
          <w:color w:val="auto"/>
          <w:sz w:val="24"/>
          <w:highlight w:val="none"/>
        </w:rPr>
      </w:pPr>
      <w:r>
        <w:rPr>
          <w:rFonts w:hint="eastAsia" w:ascii="宋体" w:hAnsi="宋体" w:cs="宋体"/>
          <w:color w:val="auto"/>
          <w:sz w:val="24"/>
          <w:highlight w:val="none"/>
          <w:lang w:val="en-US" w:eastAsia="zh-CN"/>
        </w:rPr>
        <w:t>2.</w:t>
      </w:r>
      <w:r>
        <w:rPr>
          <w:rFonts w:ascii="宋体" w:hAnsi="宋体" w:cs="宋体"/>
          <w:color w:val="auto"/>
          <w:sz w:val="24"/>
          <w:highlight w:val="none"/>
        </w:rPr>
        <w:t>供应商须对所投产品、方案、技术、服务等拥有合法的占有、使用、收益、处分的权利，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14:paraId="44105D13">
      <w:pPr>
        <w:pStyle w:val="8"/>
        <w:adjustRightInd w:val="0"/>
        <w:snapToGrid w:val="0"/>
        <w:spacing w:beforeLines="0" w:afterLines="0" w:line="360" w:lineRule="auto"/>
        <w:ind w:firstLine="472" w:firstLineChars="196"/>
        <w:outlineLvl w:val="1"/>
        <w:rPr>
          <w:rFonts w:hint="default" w:hAnsi="宋体" w:cs="宋体"/>
          <w:b/>
          <w:bCs/>
          <w:color w:val="auto"/>
          <w:highlight w:val="none"/>
        </w:rPr>
      </w:pPr>
      <w:r>
        <w:rPr>
          <w:rFonts w:hAnsi="宋体" w:cs="宋体"/>
          <w:b/>
          <w:bCs/>
          <w:color w:val="auto"/>
          <w:highlight w:val="none"/>
        </w:rPr>
        <w:t>（</w:t>
      </w:r>
      <w:r>
        <w:rPr>
          <w:rFonts w:hint="eastAsia" w:hAnsi="宋体" w:cs="宋体"/>
          <w:b/>
          <w:bCs/>
          <w:color w:val="auto"/>
          <w:highlight w:val="none"/>
          <w:lang w:val="en-US" w:eastAsia="zh-CN"/>
        </w:rPr>
        <w:t>五</w:t>
      </w:r>
      <w:r>
        <w:rPr>
          <w:rFonts w:hAnsi="宋体" w:cs="宋体"/>
          <w:b/>
          <w:bCs/>
          <w:color w:val="auto"/>
          <w:highlight w:val="none"/>
        </w:rPr>
        <w:t>）质疑和投诉</w:t>
      </w:r>
    </w:p>
    <w:p w14:paraId="3B2B4A0C">
      <w:pPr>
        <w:widowControl/>
        <w:adjustRightInd w:val="0"/>
        <w:snapToGrid w:val="0"/>
        <w:spacing w:line="360" w:lineRule="auto"/>
        <w:ind w:firstLine="480" w:firstLineChars="200"/>
        <w:rPr>
          <w:rFonts w:ascii="宋体" w:hAnsi="宋体" w:cs="宋体"/>
          <w:color w:val="auto"/>
          <w:sz w:val="24"/>
          <w:highlight w:val="none"/>
          <w:lang w:val="zh-CN"/>
        </w:rPr>
      </w:pPr>
      <w:r>
        <w:rPr>
          <w:rFonts w:ascii="宋体" w:hAnsi="宋体" w:cs="宋体"/>
          <w:color w:val="auto"/>
          <w:sz w:val="24"/>
          <w:highlight w:val="none"/>
          <w:lang w:val="zh-CN"/>
        </w:rPr>
        <w:t>1.在线询问、质疑、投诉。</w:t>
      </w:r>
    </w:p>
    <w:p w14:paraId="17733E68">
      <w:pPr>
        <w:widowControl/>
        <w:adjustRightInd w:val="0"/>
        <w:snapToGrid w:val="0"/>
        <w:spacing w:line="360" w:lineRule="auto"/>
        <w:ind w:firstLine="480" w:firstLineChars="200"/>
        <w:rPr>
          <w:rFonts w:hint="default" w:ascii="宋体" w:hAnsi="宋体" w:cs="宋体"/>
          <w:color w:val="auto"/>
          <w:sz w:val="24"/>
          <w:highlight w:val="none"/>
          <w:lang w:val="zh-CN"/>
        </w:rPr>
      </w:pPr>
      <w:r>
        <w:rPr>
          <w:rFonts w:ascii="宋体" w:hAnsi="宋体" w:cs="宋体"/>
          <w:color w:val="auto"/>
          <w:sz w:val="24"/>
          <w:highlight w:val="none"/>
          <w:lang w:val="zh-CN"/>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5DC766B8">
      <w:pPr>
        <w:widowControl/>
        <w:adjustRightInd w:val="0"/>
        <w:snapToGrid w:val="0"/>
        <w:spacing w:line="360" w:lineRule="auto"/>
        <w:ind w:firstLine="480" w:firstLineChars="200"/>
        <w:rPr>
          <w:rFonts w:hint="default" w:ascii="宋体" w:hAnsi="宋体" w:cs="宋体"/>
          <w:color w:val="auto"/>
          <w:sz w:val="24"/>
          <w:highlight w:val="none"/>
          <w:lang w:val="zh-CN"/>
        </w:rPr>
      </w:pPr>
      <w:r>
        <w:rPr>
          <w:rFonts w:ascii="宋体" w:hAnsi="宋体" w:cs="宋体"/>
          <w:color w:val="auto"/>
          <w:sz w:val="24"/>
          <w:highlight w:val="none"/>
          <w:lang w:val="zh-CN"/>
        </w:rPr>
        <w:t>2</w:t>
      </w:r>
      <w:r>
        <w:rPr>
          <w:rFonts w:hint="eastAsia" w:ascii="宋体" w:hAnsi="宋体" w:cs="宋体"/>
          <w:color w:val="auto"/>
          <w:sz w:val="24"/>
          <w:highlight w:val="none"/>
          <w:lang w:val="zh-CN"/>
        </w:rPr>
        <w:t>.</w:t>
      </w:r>
      <w:r>
        <w:rPr>
          <w:rFonts w:ascii="宋体" w:hAnsi="宋体" w:cs="宋体"/>
          <w:color w:val="auto"/>
          <w:sz w:val="24"/>
          <w:highlight w:val="none"/>
          <w:lang w:val="zh-CN"/>
        </w:rPr>
        <w:t>供应商询问</w:t>
      </w:r>
    </w:p>
    <w:p w14:paraId="1FBF17A3">
      <w:pPr>
        <w:widowControl/>
        <w:adjustRightInd w:val="0"/>
        <w:snapToGrid w:val="0"/>
        <w:spacing w:line="360" w:lineRule="auto"/>
        <w:ind w:firstLine="480" w:firstLineChars="200"/>
        <w:rPr>
          <w:rFonts w:hint="default" w:ascii="宋体" w:hAnsi="宋体" w:cs="宋体"/>
          <w:color w:val="auto"/>
          <w:sz w:val="24"/>
          <w:highlight w:val="none"/>
          <w:lang w:val="zh-CN"/>
        </w:rPr>
      </w:pPr>
      <w:r>
        <w:rPr>
          <w:rFonts w:ascii="宋体" w:hAnsi="宋体" w:cs="宋体"/>
          <w:color w:val="auto"/>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5654D2C9">
      <w:pPr>
        <w:widowControl/>
        <w:adjustRightInd w:val="0"/>
        <w:snapToGrid w:val="0"/>
        <w:spacing w:line="360" w:lineRule="auto"/>
        <w:ind w:firstLine="480" w:firstLineChars="200"/>
        <w:rPr>
          <w:rFonts w:hint="default" w:ascii="宋体" w:hAnsi="宋体" w:cs="宋体"/>
          <w:color w:val="auto"/>
          <w:sz w:val="24"/>
          <w:highlight w:val="none"/>
          <w:lang w:val="zh-CN"/>
        </w:rPr>
      </w:pPr>
      <w:r>
        <w:rPr>
          <w:rFonts w:ascii="宋体" w:hAnsi="宋体" w:cs="宋体"/>
          <w:color w:val="auto"/>
          <w:sz w:val="24"/>
          <w:highlight w:val="none"/>
          <w:lang w:val="zh-CN"/>
        </w:rPr>
        <w:t>3</w:t>
      </w:r>
      <w:r>
        <w:rPr>
          <w:rFonts w:hint="eastAsia" w:ascii="宋体" w:hAnsi="宋体" w:cs="宋体"/>
          <w:color w:val="auto"/>
          <w:sz w:val="24"/>
          <w:highlight w:val="none"/>
          <w:lang w:val="zh-CN"/>
        </w:rPr>
        <w:t>.</w:t>
      </w:r>
      <w:r>
        <w:rPr>
          <w:rFonts w:ascii="宋体" w:hAnsi="宋体" w:cs="宋体"/>
          <w:color w:val="auto"/>
          <w:sz w:val="24"/>
          <w:highlight w:val="none"/>
          <w:lang w:val="zh-CN"/>
        </w:rPr>
        <w:t>供应商质疑</w:t>
      </w:r>
    </w:p>
    <w:p w14:paraId="45BD4CB4">
      <w:pPr>
        <w:widowControl/>
        <w:adjustRightInd w:val="0"/>
        <w:snapToGrid w:val="0"/>
        <w:spacing w:line="360" w:lineRule="auto"/>
        <w:ind w:firstLine="480" w:firstLineChars="200"/>
        <w:rPr>
          <w:rFonts w:hint="default" w:ascii="宋体" w:hAnsi="宋体" w:cs="宋体"/>
          <w:color w:val="auto"/>
          <w:sz w:val="24"/>
          <w:highlight w:val="none"/>
          <w:lang w:val="zh-CN"/>
        </w:rPr>
      </w:pPr>
      <w:r>
        <w:rPr>
          <w:rFonts w:ascii="宋体" w:hAnsi="宋体" w:cs="宋体"/>
          <w:color w:val="auto"/>
          <w:sz w:val="24"/>
          <w:highlight w:val="none"/>
          <w:lang w:val="zh-CN"/>
        </w:rPr>
        <w:t>3.1提出质疑的供应商应当是参与所质疑项目采购活动的供应商。潜在供应商已依法获取其可质疑的招标文件的，可以对该文件提出质疑。</w:t>
      </w:r>
    </w:p>
    <w:p w14:paraId="443121B1">
      <w:pPr>
        <w:widowControl/>
        <w:adjustRightInd w:val="0"/>
        <w:snapToGrid w:val="0"/>
        <w:spacing w:line="360" w:lineRule="auto"/>
        <w:ind w:firstLine="480" w:firstLineChars="200"/>
        <w:rPr>
          <w:rFonts w:hint="default" w:ascii="宋体" w:hAnsi="宋体" w:cs="宋体"/>
          <w:color w:val="auto"/>
          <w:sz w:val="24"/>
          <w:highlight w:val="none"/>
          <w:lang w:val="zh-CN"/>
        </w:rPr>
      </w:pPr>
      <w:r>
        <w:rPr>
          <w:rFonts w:ascii="宋体" w:hAnsi="宋体" w:cs="宋体"/>
          <w:color w:val="auto"/>
          <w:sz w:val="24"/>
          <w:highlight w:val="none"/>
          <w:lang w:val="zh-CN"/>
        </w:rPr>
        <w:t>3.2供应商认为招标文件、采购过程和中标结果使自己的权益受到损害的，可以在知道或者应知其权益受到损害之日起七个工作日内，以书面形式向采购人或者采购代理机构提出质疑，否则，采购人或者采购代理机构不予受理：</w:t>
      </w:r>
    </w:p>
    <w:p w14:paraId="4E009C18">
      <w:pPr>
        <w:widowControl/>
        <w:adjustRightInd w:val="0"/>
        <w:snapToGrid w:val="0"/>
        <w:spacing w:line="360" w:lineRule="auto"/>
        <w:ind w:firstLine="480" w:firstLineChars="200"/>
        <w:rPr>
          <w:rFonts w:hint="default" w:ascii="宋体" w:hAnsi="宋体" w:cs="宋体"/>
          <w:color w:val="auto"/>
          <w:sz w:val="24"/>
          <w:highlight w:val="none"/>
          <w:lang w:val="zh-CN"/>
        </w:rPr>
      </w:pPr>
      <w:r>
        <w:rPr>
          <w:rFonts w:ascii="宋体" w:hAnsi="宋体" w:cs="宋体"/>
          <w:color w:val="auto"/>
          <w:sz w:val="24"/>
          <w:highlight w:val="none"/>
          <w:lang w:val="zh-CN"/>
        </w:rPr>
        <w:t>3.2.1对招标文件提出质疑的，质疑期限为供应商获得招标文件之日或者招标文件公告期限届满之日起计算。</w:t>
      </w:r>
    </w:p>
    <w:p w14:paraId="15598DB3">
      <w:pPr>
        <w:widowControl/>
        <w:adjustRightInd w:val="0"/>
        <w:snapToGrid w:val="0"/>
        <w:spacing w:line="360" w:lineRule="auto"/>
        <w:ind w:firstLine="480" w:firstLineChars="200"/>
        <w:rPr>
          <w:rFonts w:hint="default" w:ascii="宋体" w:hAnsi="宋体" w:cs="宋体"/>
          <w:color w:val="auto"/>
          <w:sz w:val="24"/>
          <w:highlight w:val="none"/>
          <w:lang w:val="zh-CN"/>
        </w:rPr>
      </w:pPr>
      <w:r>
        <w:rPr>
          <w:rFonts w:ascii="宋体" w:hAnsi="宋体" w:cs="宋体"/>
          <w:color w:val="auto"/>
          <w:sz w:val="24"/>
          <w:highlight w:val="none"/>
          <w:lang w:val="zh-CN"/>
        </w:rPr>
        <w:t>3.2.2对采购过程提出质疑的，质疑期限为各采购程序环节结束之日起计算。</w:t>
      </w:r>
    </w:p>
    <w:p w14:paraId="120A78EF">
      <w:pPr>
        <w:widowControl/>
        <w:adjustRightInd w:val="0"/>
        <w:snapToGrid w:val="0"/>
        <w:spacing w:line="360" w:lineRule="auto"/>
        <w:ind w:firstLine="480" w:firstLineChars="200"/>
        <w:rPr>
          <w:rFonts w:hint="default" w:ascii="宋体" w:hAnsi="宋体" w:cs="宋体"/>
          <w:color w:val="auto"/>
          <w:sz w:val="24"/>
          <w:highlight w:val="none"/>
          <w:lang w:val="zh-CN"/>
        </w:rPr>
      </w:pPr>
      <w:r>
        <w:rPr>
          <w:rFonts w:ascii="宋体" w:hAnsi="宋体" w:cs="宋体"/>
          <w:color w:val="auto"/>
          <w:sz w:val="24"/>
          <w:highlight w:val="none"/>
          <w:lang w:val="zh-CN"/>
        </w:rPr>
        <w:t>3.2.3对采购结果提出质疑的，质疑期限自采购结果公告期限届满之日起计算。</w:t>
      </w:r>
    </w:p>
    <w:p w14:paraId="13EE5071">
      <w:pPr>
        <w:widowControl/>
        <w:adjustRightInd w:val="0"/>
        <w:snapToGrid w:val="0"/>
        <w:spacing w:line="360" w:lineRule="auto"/>
        <w:ind w:firstLine="480" w:firstLineChars="200"/>
        <w:rPr>
          <w:rFonts w:hint="default" w:ascii="宋体" w:hAnsi="宋体" w:cs="宋体"/>
          <w:color w:val="auto"/>
          <w:sz w:val="24"/>
          <w:highlight w:val="none"/>
          <w:lang w:val="zh-CN"/>
        </w:rPr>
      </w:pPr>
      <w:r>
        <w:rPr>
          <w:rFonts w:ascii="宋体" w:hAnsi="宋体" w:cs="宋体"/>
          <w:color w:val="auto"/>
          <w:sz w:val="24"/>
          <w:highlight w:val="none"/>
          <w:lang w:val="zh-CN"/>
        </w:rPr>
        <w:t>3.3供应商提出质疑应当提交质疑函和必要的证明材料。质疑函应当包括下列内容：</w:t>
      </w:r>
    </w:p>
    <w:p w14:paraId="7229E9E8">
      <w:pPr>
        <w:widowControl/>
        <w:adjustRightInd w:val="0"/>
        <w:snapToGrid w:val="0"/>
        <w:spacing w:line="360" w:lineRule="auto"/>
        <w:ind w:firstLine="480" w:firstLineChars="200"/>
        <w:rPr>
          <w:rFonts w:hint="default" w:ascii="宋体" w:hAnsi="宋体" w:cs="宋体"/>
          <w:color w:val="auto"/>
          <w:sz w:val="24"/>
          <w:highlight w:val="none"/>
          <w:lang w:val="zh-CN"/>
        </w:rPr>
      </w:pPr>
      <w:r>
        <w:rPr>
          <w:rFonts w:ascii="宋体" w:hAnsi="宋体" w:cs="宋体"/>
          <w:color w:val="auto"/>
          <w:sz w:val="24"/>
          <w:highlight w:val="none"/>
          <w:lang w:val="zh-CN"/>
        </w:rPr>
        <w:t>3.3.1供应商的姓名或者名称、地址、邮编、联系人及联系电话；</w:t>
      </w:r>
    </w:p>
    <w:p w14:paraId="05A71C62">
      <w:pPr>
        <w:widowControl/>
        <w:adjustRightInd w:val="0"/>
        <w:snapToGrid w:val="0"/>
        <w:spacing w:line="360" w:lineRule="auto"/>
        <w:ind w:firstLine="480" w:firstLineChars="200"/>
        <w:rPr>
          <w:rFonts w:hint="default" w:ascii="宋体" w:hAnsi="宋体" w:cs="宋体"/>
          <w:color w:val="auto"/>
          <w:sz w:val="24"/>
          <w:highlight w:val="none"/>
          <w:lang w:val="zh-CN"/>
        </w:rPr>
      </w:pPr>
      <w:r>
        <w:rPr>
          <w:rFonts w:ascii="宋体" w:hAnsi="宋体" w:cs="宋体"/>
          <w:color w:val="auto"/>
          <w:sz w:val="24"/>
          <w:highlight w:val="none"/>
          <w:lang w:val="zh-CN"/>
        </w:rPr>
        <w:t>3.3.2质疑项目的名称、编号；</w:t>
      </w:r>
    </w:p>
    <w:p w14:paraId="3A3782CE">
      <w:pPr>
        <w:widowControl/>
        <w:adjustRightInd w:val="0"/>
        <w:snapToGrid w:val="0"/>
        <w:spacing w:line="360" w:lineRule="auto"/>
        <w:ind w:firstLine="480" w:firstLineChars="200"/>
        <w:rPr>
          <w:rFonts w:hint="default" w:ascii="宋体" w:hAnsi="宋体" w:cs="宋体"/>
          <w:color w:val="auto"/>
          <w:sz w:val="24"/>
          <w:highlight w:val="none"/>
          <w:lang w:val="zh-CN"/>
        </w:rPr>
      </w:pPr>
      <w:r>
        <w:rPr>
          <w:rFonts w:ascii="宋体" w:hAnsi="宋体" w:cs="宋体"/>
          <w:color w:val="auto"/>
          <w:sz w:val="24"/>
          <w:highlight w:val="none"/>
          <w:lang w:val="zh-CN"/>
        </w:rPr>
        <w:t>3.3.3具体、明确的质疑事项和与质疑事项相关的请求；</w:t>
      </w:r>
    </w:p>
    <w:p w14:paraId="15B58C7F">
      <w:pPr>
        <w:widowControl/>
        <w:adjustRightInd w:val="0"/>
        <w:snapToGrid w:val="0"/>
        <w:spacing w:line="360" w:lineRule="auto"/>
        <w:ind w:firstLine="480" w:firstLineChars="200"/>
        <w:rPr>
          <w:rFonts w:hint="default" w:ascii="宋体" w:hAnsi="宋体" w:cs="宋体"/>
          <w:color w:val="auto"/>
          <w:sz w:val="24"/>
          <w:highlight w:val="none"/>
          <w:lang w:val="zh-CN"/>
        </w:rPr>
      </w:pPr>
      <w:r>
        <w:rPr>
          <w:rFonts w:ascii="宋体" w:hAnsi="宋体" w:cs="宋体"/>
          <w:color w:val="auto"/>
          <w:sz w:val="24"/>
          <w:highlight w:val="none"/>
          <w:lang w:val="zh-CN"/>
        </w:rPr>
        <w:t>3.3.4事实依据；</w:t>
      </w:r>
    </w:p>
    <w:p w14:paraId="3ADF00B5">
      <w:pPr>
        <w:widowControl/>
        <w:adjustRightInd w:val="0"/>
        <w:snapToGrid w:val="0"/>
        <w:spacing w:line="360" w:lineRule="auto"/>
        <w:ind w:firstLine="480" w:firstLineChars="200"/>
        <w:rPr>
          <w:rFonts w:hint="default" w:ascii="宋体" w:hAnsi="宋体" w:cs="宋体"/>
          <w:color w:val="auto"/>
          <w:sz w:val="24"/>
          <w:highlight w:val="none"/>
          <w:lang w:val="zh-CN"/>
        </w:rPr>
      </w:pPr>
      <w:r>
        <w:rPr>
          <w:rFonts w:ascii="宋体" w:hAnsi="宋体" w:cs="宋体"/>
          <w:color w:val="auto"/>
          <w:sz w:val="24"/>
          <w:highlight w:val="none"/>
          <w:lang w:val="zh-CN"/>
        </w:rPr>
        <w:t>3.3.5必要的法律依据；</w:t>
      </w:r>
    </w:p>
    <w:p w14:paraId="20ED5BB7">
      <w:pPr>
        <w:widowControl/>
        <w:adjustRightInd w:val="0"/>
        <w:snapToGrid w:val="0"/>
        <w:spacing w:line="360" w:lineRule="auto"/>
        <w:ind w:firstLine="480" w:firstLineChars="200"/>
        <w:rPr>
          <w:rFonts w:hint="default" w:ascii="宋体" w:hAnsi="宋体" w:cs="宋体"/>
          <w:color w:val="auto"/>
          <w:sz w:val="24"/>
          <w:highlight w:val="none"/>
          <w:lang w:val="zh-CN"/>
        </w:rPr>
      </w:pPr>
      <w:r>
        <w:rPr>
          <w:rFonts w:ascii="宋体" w:hAnsi="宋体" w:cs="宋体"/>
          <w:color w:val="auto"/>
          <w:sz w:val="24"/>
          <w:highlight w:val="none"/>
          <w:lang w:val="zh-CN"/>
        </w:rPr>
        <w:t>3.3.6提出质疑的日期。</w:t>
      </w:r>
    </w:p>
    <w:p w14:paraId="3CF7E554">
      <w:pPr>
        <w:widowControl/>
        <w:adjustRightInd w:val="0"/>
        <w:snapToGrid w:val="0"/>
        <w:spacing w:line="360" w:lineRule="auto"/>
        <w:ind w:firstLine="480" w:firstLineChars="200"/>
        <w:rPr>
          <w:rFonts w:hint="default" w:ascii="宋体" w:hAnsi="宋体" w:cs="宋体"/>
          <w:color w:val="auto"/>
          <w:sz w:val="24"/>
          <w:highlight w:val="none"/>
          <w:lang w:val="zh-CN"/>
        </w:rPr>
      </w:pPr>
      <w:r>
        <w:rPr>
          <w:rFonts w:ascii="宋体" w:hAnsi="宋体" w:cs="宋体"/>
          <w:color w:val="auto"/>
          <w:sz w:val="24"/>
          <w:highlight w:val="none"/>
          <w:lang w:val="zh-CN"/>
        </w:rPr>
        <w:t>供应商提交的质疑函需一式三份。供应商为自然人的，应当由本人签字；供应商为法人或者其他组织的，应当由法定代表人、主要负责人，或者其授权代表签字或者盖章，并加盖公章。</w:t>
      </w:r>
    </w:p>
    <w:p w14:paraId="275D95D9">
      <w:pPr>
        <w:widowControl/>
        <w:adjustRightInd w:val="0"/>
        <w:snapToGrid w:val="0"/>
        <w:spacing w:line="360" w:lineRule="auto"/>
        <w:ind w:firstLine="480" w:firstLineChars="200"/>
        <w:rPr>
          <w:rFonts w:hint="default" w:ascii="宋体" w:hAnsi="宋体" w:cs="宋体"/>
          <w:color w:val="auto"/>
          <w:sz w:val="24"/>
          <w:highlight w:val="none"/>
          <w:lang w:val="zh-CN"/>
        </w:rPr>
      </w:pPr>
      <w:r>
        <w:rPr>
          <w:rFonts w:ascii="宋体" w:hAnsi="宋体" w:cs="宋体"/>
          <w:color w:val="auto"/>
          <w:sz w:val="24"/>
          <w:highlight w:val="none"/>
          <w:lang w:val="zh-CN"/>
        </w:rPr>
        <w:t>3.4对同一采购程序环节的质疑，供应商须在法定质疑期内一次性提出。</w:t>
      </w:r>
    </w:p>
    <w:p w14:paraId="3C068EC0">
      <w:pPr>
        <w:widowControl/>
        <w:adjustRightInd w:val="0"/>
        <w:snapToGrid w:val="0"/>
        <w:spacing w:line="360" w:lineRule="auto"/>
        <w:ind w:firstLine="480" w:firstLineChars="200"/>
        <w:rPr>
          <w:rFonts w:hint="default" w:ascii="宋体" w:hAnsi="宋体" w:cs="宋体"/>
          <w:color w:val="auto"/>
          <w:sz w:val="24"/>
          <w:highlight w:val="none"/>
          <w:lang w:val="zh-CN"/>
        </w:rPr>
      </w:pPr>
      <w:r>
        <w:rPr>
          <w:rFonts w:ascii="宋体" w:hAnsi="宋体" w:cs="宋体"/>
          <w:color w:val="auto"/>
          <w:sz w:val="24"/>
          <w:highlight w:val="none"/>
          <w:lang w:val="zh-CN"/>
        </w:rPr>
        <w:t>3.5采购人或者采购代理机构应当在收到供应商的书面质疑后七个工作日内作出答复，并以书面形式通知质疑供应商和其他与质疑处理结果有利害关系的政府采购当事人，但答复的内容不得涉及商业秘密。</w:t>
      </w:r>
    </w:p>
    <w:p w14:paraId="461220D8">
      <w:pPr>
        <w:widowControl/>
        <w:adjustRightInd w:val="0"/>
        <w:snapToGrid w:val="0"/>
        <w:spacing w:line="360" w:lineRule="auto"/>
        <w:ind w:firstLine="480" w:firstLineChars="200"/>
        <w:rPr>
          <w:rFonts w:hint="default" w:ascii="宋体" w:hAnsi="宋体" w:cs="宋体"/>
          <w:color w:val="auto"/>
          <w:sz w:val="24"/>
          <w:highlight w:val="none"/>
          <w:lang w:val="zh-CN"/>
        </w:rPr>
      </w:pPr>
      <w:r>
        <w:rPr>
          <w:rFonts w:ascii="宋体" w:hAnsi="宋体" w:cs="宋体"/>
          <w:color w:val="auto"/>
          <w:sz w:val="24"/>
          <w:highlight w:val="none"/>
          <w:lang w:val="zh-CN"/>
        </w:rPr>
        <w:t>3.6询问或者质疑事项可能影响采购结果的，采购人应当暂停签订合同，已经签订合同的，应当中止履行合同。</w:t>
      </w:r>
    </w:p>
    <w:p w14:paraId="733B5B8D">
      <w:pPr>
        <w:widowControl/>
        <w:adjustRightInd w:val="0"/>
        <w:snapToGrid w:val="0"/>
        <w:spacing w:line="360" w:lineRule="auto"/>
        <w:ind w:firstLine="480" w:firstLineChars="200"/>
        <w:rPr>
          <w:rFonts w:hint="default" w:ascii="宋体" w:hAnsi="宋体" w:cs="宋体"/>
          <w:color w:val="auto"/>
          <w:sz w:val="24"/>
          <w:highlight w:val="none"/>
          <w:lang w:val="zh-CN"/>
        </w:rPr>
      </w:pPr>
      <w:r>
        <w:rPr>
          <w:rFonts w:ascii="宋体" w:hAnsi="宋体" w:cs="宋体"/>
          <w:color w:val="auto"/>
          <w:sz w:val="24"/>
          <w:highlight w:val="none"/>
          <w:lang w:val="zh-CN"/>
        </w:rPr>
        <w:t>4.4供应商投诉</w:t>
      </w:r>
    </w:p>
    <w:p w14:paraId="6AA5C6DF">
      <w:pPr>
        <w:widowControl/>
        <w:adjustRightInd w:val="0"/>
        <w:snapToGrid w:val="0"/>
        <w:spacing w:line="360" w:lineRule="auto"/>
        <w:ind w:firstLine="480" w:firstLineChars="200"/>
        <w:rPr>
          <w:rFonts w:hint="default" w:ascii="宋体" w:hAnsi="宋体" w:cs="宋体"/>
          <w:color w:val="auto"/>
          <w:sz w:val="24"/>
          <w:highlight w:val="none"/>
          <w:lang w:val="zh-CN"/>
        </w:rPr>
      </w:pPr>
      <w:r>
        <w:rPr>
          <w:rFonts w:ascii="宋体" w:hAnsi="宋体" w:cs="宋体"/>
          <w:color w:val="auto"/>
          <w:sz w:val="24"/>
          <w:highlight w:val="none"/>
          <w:lang w:val="zh-CN"/>
        </w:rPr>
        <w:t>4.4.1质疑供应商对采购人、采购代理机构的答复不满意或者采购人、采购代理机构未在规定的时间内作出答复的，可以在答复期满后十五个工作日内向</w:t>
      </w:r>
      <w:r>
        <w:rPr>
          <w:rFonts w:hAnsi="宋体" w:cs="宋体"/>
          <w:color w:val="auto"/>
          <w:sz w:val="24"/>
          <w:highlight w:val="none"/>
        </w:rPr>
        <w:t>同级政府采购监督管理部门</w:t>
      </w:r>
      <w:r>
        <w:rPr>
          <w:rFonts w:ascii="宋体" w:hAnsi="宋体" w:cs="宋体"/>
          <w:color w:val="auto"/>
          <w:sz w:val="24"/>
          <w:highlight w:val="none"/>
          <w:lang w:val="zh-CN"/>
        </w:rPr>
        <w:t>提出投诉。</w:t>
      </w:r>
    </w:p>
    <w:p w14:paraId="14C07F68">
      <w:pPr>
        <w:widowControl/>
        <w:adjustRightInd w:val="0"/>
        <w:snapToGrid w:val="0"/>
        <w:spacing w:line="360" w:lineRule="auto"/>
        <w:ind w:firstLine="480" w:firstLineChars="200"/>
        <w:rPr>
          <w:rFonts w:hint="default" w:ascii="宋体" w:hAnsi="宋体" w:cs="宋体"/>
          <w:color w:val="auto"/>
          <w:sz w:val="24"/>
          <w:highlight w:val="none"/>
          <w:lang w:val="zh-CN"/>
        </w:rPr>
      </w:pPr>
      <w:r>
        <w:rPr>
          <w:rFonts w:ascii="宋体" w:hAnsi="宋体" w:cs="宋体"/>
          <w:color w:val="auto"/>
          <w:sz w:val="24"/>
          <w:highlight w:val="none"/>
          <w:lang w:val="zh-CN"/>
        </w:rPr>
        <w:t>4.4.2供应商投诉的事项不得超出已质疑事项的范围，基于质疑答复内容提出的投诉事项除外。</w:t>
      </w:r>
    </w:p>
    <w:p w14:paraId="534EF468">
      <w:pPr>
        <w:widowControl/>
        <w:adjustRightInd w:val="0"/>
        <w:snapToGrid w:val="0"/>
        <w:spacing w:line="360" w:lineRule="auto"/>
        <w:ind w:firstLine="480" w:firstLineChars="200"/>
        <w:rPr>
          <w:rFonts w:hint="default" w:ascii="宋体" w:hAnsi="宋体" w:cs="宋体"/>
          <w:color w:val="auto"/>
          <w:sz w:val="24"/>
          <w:highlight w:val="none"/>
          <w:lang w:val="zh-CN"/>
        </w:rPr>
      </w:pPr>
      <w:r>
        <w:rPr>
          <w:rFonts w:ascii="宋体" w:hAnsi="宋体" w:cs="宋体"/>
          <w:color w:val="auto"/>
          <w:sz w:val="24"/>
          <w:highlight w:val="none"/>
          <w:lang w:val="zh-CN"/>
        </w:rPr>
        <w:t>4.4.3供应商投诉应当有明确的请求和必要的证明材料。</w:t>
      </w:r>
    </w:p>
    <w:p w14:paraId="50A5AB25">
      <w:pPr>
        <w:widowControl/>
        <w:adjustRightInd w:val="0"/>
        <w:snapToGrid w:val="0"/>
        <w:spacing w:line="360" w:lineRule="auto"/>
        <w:ind w:firstLine="480" w:firstLineChars="200"/>
        <w:rPr>
          <w:rFonts w:hint="default" w:ascii="宋体" w:hAnsi="宋体" w:cs="宋体"/>
          <w:color w:val="auto"/>
          <w:sz w:val="24"/>
          <w:highlight w:val="none"/>
          <w:lang w:val="zh-CN"/>
        </w:rPr>
      </w:pPr>
      <w:r>
        <w:rPr>
          <w:rFonts w:ascii="宋体" w:hAnsi="宋体" w:cs="宋体"/>
          <w:color w:val="auto"/>
          <w:sz w:val="24"/>
          <w:highlight w:val="none"/>
          <w:lang w:val="zh-CN"/>
        </w:rPr>
        <w:t>4.4.4以联合体形式参加政府采购活动的，其投诉应当由组成联合体的所有供应商共同提出。</w:t>
      </w:r>
    </w:p>
    <w:p w14:paraId="1F18B02A">
      <w:pPr>
        <w:pStyle w:val="8"/>
        <w:keepNext w:val="0"/>
        <w:keepLines w:val="0"/>
        <w:pageBreakBefore w:val="0"/>
        <w:widowControl w:val="0"/>
        <w:tabs>
          <w:tab w:val="left" w:pos="7317"/>
        </w:tabs>
        <w:kinsoku/>
        <w:wordWrap/>
        <w:overflowPunct/>
        <w:topLinePunct w:val="0"/>
        <w:autoSpaceDE/>
        <w:autoSpaceDN/>
        <w:bidi w:val="0"/>
        <w:adjustRightInd w:val="0"/>
        <w:snapToGrid w:val="0"/>
        <w:spacing w:before="157" w:beforeLines="50" w:after="157" w:afterLines="50" w:line="360" w:lineRule="auto"/>
        <w:jc w:val="center"/>
        <w:textAlignment w:val="auto"/>
        <w:outlineLvl w:val="0"/>
        <w:rPr>
          <w:rFonts w:hint="default" w:hAnsi="宋体" w:cs="宋体"/>
          <w:b/>
          <w:color w:val="auto"/>
          <w:sz w:val="28"/>
          <w:szCs w:val="28"/>
          <w:highlight w:val="none"/>
        </w:rPr>
      </w:pPr>
      <w:bookmarkStart w:id="18" w:name="_Toc10520"/>
      <w:bookmarkStart w:id="19" w:name="_Toc4495"/>
      <w:bookmarkStart w:id="20" w:name="_Toc30349"/>
      <w:bookmarkStart w:id="21" w:name="_Toc27257"/>
      <w:bookmarkStart w:id="22" w:name="_Toc16944"/>
      <w:bookmarkStart w:id="23" w:name="_Toc31283"/>
      <w:r>
        <w:rPr>
          <w:rFonts w:hAnsi="宋体" w:cs="宋体"/>
          <w:b/>
          <w:color w:val="auto"/>
          <w:sz w:val="28"/>
          <w:szCs w:val="28"/>
          <w:highlight w:val="none"/>
        </w:rPr>
        <w:t>二、</w:t>
      </w:r>
      <w:bookmarkEnd w:id="18"/>
      <w:bookmarkEnd w:id="19"/>
      <w:bookmarkEnd w:id="20"/>
      <w:bookmarkEnd w:id="21"/>
      <w:bookmarkEnd w:id="22"/>
      <w:bookmarkEnd w:id="23"/>
      <w:r>
        <w:rPr>
          <w:rFonts w:hint="eastAsia" w:hAnsi="宋体" w:cs="宋体"/>
          <w:b/>
          <w:color w:val="auto"/>
          <w:sz w:val="28"/>
          <w:szCs w:val="28"/>
          <w:highlight w:val="none"/>
        </w:rPr>
        <w:t>招标文件的构成、澄清、修改</w:t>
      </w:r>
    </w:p>
    <w:p w14:paraId="56740E40">
      <w:pPr>
        <w:adjustRightInd w:val="0"/>
        <w:snapToGrid w:val="0"/>
        <w:spacing w:line="360" w:lineRule="auto"/>
        <w:ind w:firstLine="472" w:firstLineChars="196"/>
        <w:jc w:val="left"/>
        <w:rPr>
          <w:rFonts w:hint="default" w:ascii="宋体" w:hAnsi="宋体" w:cs="宋体"/>
          <w:b/>
          <w:color w:val="auto"/>
          <w:sz w:val="24"/>
          <w:highlight w:val="none"/>
        </w:rPr>
      </w:pPr>
      <w:r>
        <w:rPr>
          <w:rFonts w:ascii="宋体" w:hAnsi="宋体" w:cs="宋体"/>
          <w:b/>
          <w:color w:val="auto"/>
          <w:sz w:val="24"/>
          <w:highlight w:val="none"/>
        </w:rPr>
        <w:t>（一）招标文件的构成。本招标文件由以下部份组成：</w:t>
      </w:r>
    </w:p>
    <w:p w14:paraId="489E8BAD">
      <w:pPr>
        <w:adjustRightInd w:val="0"/>
        <w:snapToGrid w:val="0"/>
        <w:spacing w:line="360" w:lineRule="auto"/>
        <w:ind w:firstLine="480" w:firstLineChars="200"/>
        <w:jc w:val="left"/>
        <w:rPr>
          <w:rFonts w:hint="default" w:ascii="宋体" w:hAnsi="宋体" w:cs="宋体"/>
          <w:color w:val="auto"/>
          <w:sz w:val="24"/>
          <w:highlight w:val="none"/>
        </w:rPr>
      </w:pPr>
      <w:r>
        <w:rPr>
          <w:rFonts w:ascii="宋体" w:hAnsi="宋体" w:cs="宋体"/>
          <w:color w:val="auto"/>
          <w:sz w:val="24"/>
          <w:highlight w:val="none"/>
        </w:rPr>
        <w:t>1.招标公告</w:t>
      </w:r>
    </w:p>
    <w:p w14:paraId="4938350E">
      <w:pPr>
        <w:adjustRightInd w:val="0"/>
        <w:snapToGrid w:val="0"/>
        <w:spacing w:line="360" w:lineRule="auto"/>
        <w:ind w:firstLine="480" w:firstLineChars="200"/>
        <w:jc w:val="left"/>
        <w:rPr>
          <w:rFonts w:hint="default" w:ascii="宋体" w:hAnsi="宋体" w:cs="宋体"/>
          <w:color w:val="auto"/>
          <w:sz w:val="24"/>
          <w:highlight w:val="none"/>
        </w:rPr>
      </w:pPr>
      <w:r>
        <w:rPr>
          <w:rFonts w:ascii="宋体" w:hAnsi="宋体" w:cs="宋体"/>
          <w:color w:val="auto"/>
          <w:sz w:val="24"/>
          <w:highlight w:val="none"/>
        </w:rPr>
        <w:t>2.投标人须知</w:t>
      </w:r>
    </w:p>
    <w:p w14:paraId="6B5083F3">
      <w:pPr>
        <w:adjustRightInd w:val="0"/>
        <w:snapToGrid w:val="0"/>
        <w:spacing w:line="360" w:lineRule="auto"/>
        <w:ind w:firstLine="480" w:firstLineChars="200"/>
        <w:jc w:val="left"/>
        <w:rPr>
          <w:rFonts w:hint="default" w:ascii="宋体" w:hAnsi="宋体" w:cs="宋体"/>
          <w:color w:val="auto"/>
          <w:sz w:val="24"/>
          <w:highlight w:val="none"/>
        </w:rPr>
      </w:pPr>
      <w:r>
        <w:rPr>
          <w:rFonts w:ascii="宋体" w:hAnsi="宋体" w:cs="宋体"/>
          <w:color w:val="auto"/>
          <w:sz w:val="24"/>
          <w:highlight w:val="none"/>
        </w:rPr>
        <w:t>3.评标办法</w:t>
      </w:r>
    </w:p>
    <w:p w14:paraId="48189DFC">
      <w:pPr>
        <w:adjustRightInd w:val="0"/>
        <w:snapToGrid w:val="0"/>
        <w:spacing w:line="360" w:lineRule="auto"/>
        <w:ind w:firstLine="480" w:firstLineChars="200"/>
        <w:rPr>
          <w:rFonts w:hint="default" w:ascii="宋体" w:hAnsi="宋体" w:cs="宋体"/>
          <w:color w:val="auto"/>
          <w:sz w:val="24"/>
          <w:highlight w:val="none"/>
        </w:rPr>
      </w:pPr>
      <w:r>
        <w:rPr>
          <w:rFonts w:ascii="宋体" w:hAnsi="宋体" w:cs="宋体"/>
          <w:color w:val="auto"/>
          <w:sz w:val="24"/>
          <w:highlight w:val="none"/>
        </w:rPr>
        <w:t>4.采购内容及需求</w:t>
      </w:r>
    </w:p>
    <w:p w14:paraId="672E2786">
      <w:pPr>
        <w:adjustRightInd w:val="0"/>
        <w:snapToGrid w:val="0"/>
        <w:spacing w:line="360" w:lineRule="auto"/>
        <w:ind w:firstLine="480" w:firstLineChars="200"/>
        <w:jc w:val="left"/>
        <w:rPr>
          <w:rFonts w:hint="default" w:ascii="宋体" w:hAnsi="宋体" w:cs="宋体"/>
          <w:color w:val="auto"/>
          <w:sz w:val="24"/>
          <w:highlight w:val="none"/>
        </w:rPr>
      </w:pPr>
      <w:r>
        <w:rPr>
          <w:rFonts w:ascii="宋体" w:hAnsi="宋体" w:cs="宋体"/>
          <w:color w:val="auto"/>
          <w:sz w:val="24"/>
          <w:highlight w:val="none"/>
        </w:rPr>
        <w:t>5.合同主要条款</w:t>
      </w:r>
    </w:p>
    <w:p w14:paraId="5D2A885E">
      <w:pPr>
        <w:adjustRightInd w:val="0"/>
        <w:snapToGrid w:val="0"/>
        <w:spacing w:line="360" w:lineRule="auto"/>
        <w:ind w:firstLine="480" w:firstLineChars="200"/>
        <w:jc w:val="left"/>
        <w:rPr>
          <w:rFonts w:hint="default" w:ascii="宋体" w:hAnsi="宋体" w:cs="宋体"/>
          <w:color w:val="auto"/>
          <w:sz w:val="24"/>
          <w:highlight w:val="none"/>
        </w:rPr>
      </w:pPr>
      <w:r>
        <w:rPr>
          <w:rFonts w:ascii="宋体" w:hAnsi="宋体" w:cs="宋体"/>
          <w:color w:val="auto"/>
          <w:sz w:val="24"/>
          <w:highlight w:val="none"/>
        </w:rPr>
        <w:t>6.投标文件格式</w:t>
      </w:r>
    </w:p>
    <w:p w14:paraId="58C95672">
      <w:pPr>
        <w:adjustRightInd w:val="0"/>
        <w:snapToGrid w:val="0"/>
        <w:spacing w:line="360" w:lineRule="auto"/>
        <w:ind w:firstLine="480" w:firstLineChars="200"/>
        <w:jc w:val="left"/>
        <w:rPr>
          <w:rFonts w:hint="default" w:ascii="宋体" w:hAnsi="宋体" w:cs="宋体"/>
          <w:color w:val="auto"/>
          <w:sz w:val="24"/>
          <w:highlight w:val="none"/>
        </w:rPr>
      </w:pPr>
      <w:r>
        <w:rPr>
          <w:rFonts w:ascii="宋体" w:hAnsi="宋体" w:cs="宋体"/>
          <w:color w:val="auto"/>
          <w:sz w:val="24"/>
          <w:highlight w:val="none"/>
        </w:rPr>
        <w:t>7.本项目招标文件的澄清、修改内容（如有）</w:t>
      </w:r>
    </w:p>
    <w:p w14:paraId="6D7F4C83">
      <w:pPr>
        <w:adjustRightInd w:val="0"/>
        <w:snapToGrid w:val="0"/>
        <w:spacing w:line="360" w:lineRule="auto"/>
        <w:ind w:firstLine="472" w:firstLineChars="196"/>
        <w:jc w:val="left"/>
        <w:rPr>
          <w:rFonts w:ascii="宋体" w:hAnsi="宋体" w:eastAsia="宋体" w:cs="宋体"/>
          <w:b/>
          <w:color w:val="auto"/>
          <w:sz w:val="24"/>
          <w:highlight w:val="none"/>
        </w:rPr>
      </w:pP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lang w:val="en-US" w:eastAsia="zh-CN"/>
        </w:rPr>
        <w:t>二</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招标文件的澄清、修改</w:t>
      </w:r>
    </w:p>
    <w:p w14:paraId="61C4D761">
      <w:pPr>
        <w:pStyle w:val="123"/>
        <w:snapToGrid w:val="0"/>
        <w:spacing w:before="0"/>
        <w:ind w:firstLine="480"/>
        <w:rPr>
          <w:rFonts w:ascii="宋体" w:hAnsi="宋体" w:cs="宋体"/>
          <w:color w:val="auto"/>
          <w:highlight w:val="none"/>
        </w:rPr>
      </w:pPr>
      <w:r>
        <w:rPr>
          <w:rFonts w:hint="eastAsia" w:ascii="宋体" w:hAnsi="宋体" w:cs="宋体"/>
          <w:color w:val="auto"/>
          <w:highlight w:val="none"/>
        </w:rPr>
        <w:t>1</w:t>
      </w:r>
      <w:r>
        <w:rPr>
          <w:rFonts w:hint="eastAsia" w:ascii="宋体" w:hAnsi="宋体" w:cs="宋体"/>
          <w:color w:val="auto"/>
          <w:highlight w:val="none"/>
          <w:lang w:eastAsia="zh-CN"/>
        </w:rPr>
        <w:t>.</w:t>
      </w:r>
      <w:r>
        <w:rPr>
          <w:rFonts w:hint="eastAsia" w:ascii="宋体" w:hAnsi="宋体" w:cs="宋体"/>
          <w:color w:val="auto"/>
          <w:highlight w:val="none"/>
        </w:rPr>
        <w:t>已获取招标文件的潜在投标人，若有问题需要澄清，应于投标截止时间前，以书面形式向</w:t>
      </w:r>
      <w:r>
        <w:rPr>
          <w:rFonts w:hint="eastAsia" w:ascii="宋体" w:hAnsi="宋体" w:cs="宋体"/>
          <w:color w:val="auto"/>
          <w:highlight w:val="none"/>
          <w:lang w:eastAsia="zh-CN"/>
        </w:rPr>
        <w:t>采购代理机构</w:t>
      </w:r>
      <w:r>
        <w:rPr>
          <w:rFonts w:hint="eastAsia" w:ascii="宋体" w:hAnsi="宋体" w:cs="宋体"/>
          <w:color w:val="auto"/>
          <w:highlight w:val="none"/>
        </w:rPr>
        <w:t>提出。</w:t>
      </w:r>
    </w:p>
    <w:p w14:paraId="073B8F32">
      <w:pPr>
        <w:pStyle w:val="123"/>
        <w:snapToGrid w:val="0"/>
        <w:spacing w:before="0"/>
        <w:ind w:firstLine="480"/>
        <w:rPr>
          <w:rFonts w:ascii="宋体" w:hAnsi="宋体" w:cs="宋体"/>
          <w:color w:val="auto"/>
          <w:highlight w:val="none"/>
        </w:rPr>
      </w:pPr>
      <w:r>
        <w:rPr>
          <w:rFonts w:hint="eastAsia" w:ascii="宋体" w:hAnsi="宋体" w:cs="宋体"/>
          <w:color w:val="auto"/>
          <w:highlight w:val="none"/>
        </w:rPr>
        <w:t>2</w:t>
      </w:r>
      <w:r>
        <w:rPr>
          <w:rFonts w:hint="eastAsia" w:ascii="宋体" w:hAnsi="宋体" w:cs="宋体"/>
          <w:color w:val="auto"/>
          <w:highlight w:val="none"/>
          <w:lang w:eastAsia="zh-CN"/>
        </w:rPr>
        <w:t>.采购代理机构</w:t>
      </w:r>
      <w:r>
        <w:rPr>
          <w:rFonts w:hint="eastAsia" w:ascii="宋体" w:hAnsi="宋体" w:cs="宋体"/>
          <w:color w:val="auto"/>
          <w:highlight w:val="none"/>
        </w:rPr>
        <w:t>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602E36C5">
      <w:pPr>
        <w:pStyle w:val="8"/>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jc w:val="center"/>
        <w:textAlignment w:val="auto"/>
        <w:outlineLvl w:val="1"/>
        <w:rPr>
          <w:rFonts w:hint="default" w:hAnsi="宋体" w:cs="宋体"/>
          <w:b/>
          <w:color w:val="auto"/>
          <w:sz w:val="28"/>
          <w:szCs w:val="28"/>
          <w:highlight w:val="none"/>
        </w:rPr>
      </w:pPr>
      <w:r>
        <w:rPr>
          <w:rFonts w:hAnsi="宋体" w:cs="宋体"/>
          <w:b/>
          <w:color w:val="auto"/>
          <w:sz w:val="28"/>
          <w:szCs w:val="28"/>
          <w:highlight w:val="none"/>
        </w:rPr>
        <w:t>三、投标</w:t>
      </w:r>
    </w:p>
    <w:p w14:paraId="749338F7">
      <w:pPr>
        <w:pStyle w:val="8"/>
        <w:keepNext w:val="0"/>
        <w:keepLines w:val="0"/>
        <w:pageBreakBefore w:val="0"/>
        <w:widowControl w:val="0"/>
        <w:kinsoku/>
        <w:wordWrap/>
        <w:overflowPunct/>
        <w:topLinePunct w:val="0"/>
        <w:bidi w:val="0"/>
        <w:adjustRightInd w:val="0"/>
        <w:snapToGrid w:val="0"/>
        <w:spacing w:beforeLines="0" w:afterLines="0" w:line="360" w:lineRule="auto"/>
        <w:textAlignment w:val="auto"/>
        <w:rPr>
          <w:rFonts w:hAnsi="宋体" w:cs="宋体"/>
          <w:b/>
          <w:color w:val="auto"/>
          <w:sz w:val="24"/>
          <w:szCs w:val="24"/>
          <w:highlight w:val="none"/>
        </w:rPr>
      </w:pPr>
      <w:r>
        <w:rPr>
          <w:rFonts w:hint="eastAsia" w:hAnsi="宋体" w:cs="宋体"/>
          <w:b/>
          <w:color w:val="auto"/>
          <w:sz w:val="24"/>
          <w:szCs w:val="24"/>
          <w:highlight w:val="none"/>
          <w:lang w:eastAsia="zh-CN"/>
        </w:rPr>
        <w:t>（</w:t>
      </w:r>
      <w:r>
        <w:rPr>
          <w:rFonts w:hint="eastAsia" w:hAnsi="宋体" w:cs="宋体"/>
          <w:b/>
          <w:color w:val="auto"/>
          <w:sz w:val="24"/>
          <w:szCs w:val="24"/>
          <w:highlight w:val="none"/>
          <w:lang w:val="en-US" w:eastAsia="zh-CN"/>
        </w:rPr>
        <w:t>一</w:t>
      </w:r>
      <w:r>
        <w:rPr>
          <w:rFonts w:hint="eastAsia" w:hAnsi="宋体" w:cs="宋体"/>
          <w:b/>
          <w:color w:val="auto"/>
          <w:sz w:val="24"/>
          <w:szCs w:val="24"/>
          <w:highlight w:val="none"/>
          <w:lang w:eastAsia="zh-CN"/>
        </w:rPr>
        <w:t>）</w:t>
      </w:r>
      <w:r>
        <w:rPr>
          <w:rFonts w:hint="eastAsia" w:hAnsi="宋体" w:cs="宋体"/>
          <w:b/>
          <w:color w:val="auto"/>
          <w:sz w:val="24"/>
          <w:szCs w:val="24"/>
          <w:highlight w:val="none"/>
        </w:rPr>
        <w:t>招标文件的获取</w:t>
      </w:r>
    </w:p>
    <w:p w14:paraId="4D184FB0">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详见招标公告中获取招标文件的时间期限、地点、方式及招标文件售价。</w:t>
      </w:r>
    </w:p>
    <w:p w14:paraId="36ECB74B">
      <w:pPr>
        <w:pStyle w:val="8"/>
        <w:keepNext w:val="0"/>
        <w:keepLines w:val="0"/>
        <w:pageBreakBefore w:val="0"/>
        <w:widowControl w:val="0"/>
        <w:kinsoku/>
        <w:wordWrap/>
        <w:overflowPunct/>
        <w:topLinePunct w:val="0"/>
        <w:bidi w:val="0"/>
        <w:adjustRightInd w:val="0"/>
        <w:snapToGrid w:val="0"/>
        <w:spacing w:beforeLines="0" w:afterLines="0" w:line="360" w:lineRule="auto"/>
        <w:textAlignment w:val="auto"/>
        <w:rPr>
          <w:rFonts w:hAnsi="宋体" w:cs="宋体"/>
          <w:b/>
          <w:color w:val="auto"/>
          <w:sz w:val="24"/>
          <w:szCs w:val="24"/>
          <w:highlight w:val="none"/>
        </w:rPr>
      </w:pPr>
      <w:r>
        <w:rPr>
          <w:rFonts w:hint="eastAsia" w:hAnsi="宋体" w:cs="宋体"/>
          <w:b/>
          <w:color w:val="auto"/>
          <w:sz w:val="24"/>
          <w:szCs w:val="24"/>
          <w:highlight w:val="none"/>
          <w:lang w:eastAsia="zh-CN"/>
        </w:rPr>
        <w:t>（</w:t>
      </w:r>
      <w:r>
        <w:rPr>
          <w:rFonts w:hint="eastAsia" w:hAnsi="宋体" w:cs="宋体"/>
          <w:b/>
          <w:color w:val="auto"/>
          <w:sz w:val="24"/>
          <w:szCs w:val="24"/>
          <w:highlight w:val="none"/>
          <w:lang w:val="en-US" w:eastAsia="zh-CN"/>
        </w:rPr>
        <w:t>二</w:t>
      </w:r>
      <w:r>
        <w:rPr>
          <w:rFonts w:hint="eastAsia" w:hAnsi="宋体" w:cs="宋体"/>
          <w:b/>
          <w:color w:val="auto"/>
          <w:sz w:val="24"/>
          <w:szCs w:val="24"/>
          <w:highlight w:val="none"/>
          <w:lang w:eastAsia="zh-CN"/>
        </w:rPr>
        <w:t>）</w:t>
      </w:r>
      <w:r>
        <w:rPr>
          <w:rFonts w:hint="eastAsia" w:hAnsi="宋体" w:cs="宋体"/>
          <w:b/>
          <w:color w:val="auto"/>
          <w:sz w:val="24"/>
          <w:szCs w:val="24"/>
          <w:highlight w:val="none"/>
        </w:rPr>
        <w:t>开标前答疑会或现场考察</w:t>
      </w:r>
    </w:p>
    <w:p w14:paraId="7EC4631E">
      <w:pPr>
        <w:pStyle w:val="8"/>
        <w:keepNext w:val="0"/>
        <w:keepLines w:val="0"/>
        <w:pageBreakBefore w:val="0"/>
        <w:widowControl w:val="0"/>
        <w:kinsoku/>
        <w:wordWrap/>
        <w:overflowPunct/>
        <w:topLinePunct w:val="0"/>
        <w:bidi w:val="0"/>
        <w:adjustRightInd w:val="0"/>
        <w:snapToGrid w:val="0"/>
        <w:spacing w:beforeLines="0" w:afterLines="0" w:line="360" w:lineRule="auto"/>
        <w:ind w:firstLine="480" w:firstLineChars="200"/>
        <w:textAlignment w:val="auto"/>
        <w:rPr>
          <w:rFonts w:hAnsi="宋体" w:cs="宋体"/>
          <w:color w:val="auto"/>
          <w:sz w:val="24"/>
          <w:szCs w:val="24"/>
          <w:highlight w:val="none"/>
        </w:rPr>
      </w:pPr>
      <w:r>
        <w:rPr>
          <w:rFonts w:hint="eastAsia" w:hAnsi="宋体" w:cs="宋体"/>
          <w:color w:val="auto"/>
          <w:sz w:val="24"/>
          <w:szCs w:val="24"/>
          <w:highlight w:val="none"/>
        </w:rPr>
        <w:t>采购人组织潜在投标人现场考察或者召开开标前答疑会的，潜在投标人按第二部分投标人须知前附表的规定参加现场考察或者开标前答疑会。</w:t>
      </w:r>
    </w:p>
    <w:p w14:paraId="4079FF6C">
      <w:pPr>
        <w:pStyle w:val="8"/>
        <w:keepNext w:val="0"/>
        <w:keepLines w:val="0"/>
        <w:pageBreakBefore w:val="0"/>
        <w:widowControl w:val="0"/>
        <w:kinsoku/>
        <w:wordWrap/>
        <w:overflowPunct/>
        <w:topLinePunct w:val="0"/>
        <w:bidi w:val="0"/>
        <w:adjustRightInd w:val="0"/>
        <w:snapToGrid w:val="0"/>
        <w:spacing w:beforeLines="0" w:afterLines="0" w:line="360" w:lineRule="auto"/>
        <w:textAlignment w:val="auto"/>
        <w:rPr>
          <w:rFonts w:hAnsi="宋体" w:cs="宋体"/>
          <w:b/>
          <w:color w:val="auto"/>
          <w:szCs w:val="24"/>
          <w:highlight w:val="none"/>
        </w:rPr>
      </w:pPr>
      <w:r>
        <w:rPr>
          <w:rFonts w:hint="eastAsia" w:hAnsi="宋体" w:cs="宋体"/>
          <w:b/>
          <w:color w:val="auto"/>
          <w:kern w:val="28"/>
          <w:sz w:val="24"/>
          <w:szCs w:val="24"/>
          <w:highlight w:val="none"/>
          <w:lang w:eastAsia="zh-CN"/>
        </w:rPr>
        <w:t>（</w:t>
      </w:r>
      <w:r>
        <w:rPr>
          <w:rFonts w:hint="eastAsia" w:hAnsi="宋体" w:cs="宋体"/>
          <w:b/>
          <w:color w:val="auto"/>
          <w:kern w:val="28"/>
          <w:sz w:val="24"/>
          <w:szCs w:val="24"/>
          <w:highlight w:val="none"/>
          <w:lang w:val="en-US" w:eastAsia="zh-CN"/>
        </w:rPr>
        <w:t>三</w:t>
      </w:r>
      <w:r>
        <w:rPr>
          <w:rFonts w:hint="eastAsia" w:hAnsi="宋体" w:cs="宋体"/>
          <w:b/>
          <w:color w:val="auto"/>
          <w:kern w:val="28"/>
          <w:sz w:val="24"/>
          <w:szCs w:val="24"/>
          <w:highlight w:val="none"/>
          <w:lang w:eastAsia="zh-CN"/>
        </w:rPr>
        <w:t>）</w:t>
      </w:r>
      <w:r>
        <w:rPr>
          <w:rFonts w:hint="eastAsia" w:hAnsi="宋体" w:cs="宋体"/>
          <w:b/>
          <w:color w:val="auto"/>
          <w:kern w:val="28"/>
          <w:sz w:val="24"/>
          <w:szCs w:val="24"/>
          <w:highlight w:val="none"/>
        </w:rPr>
        <w:t>投标保证金</w:t>
      </w:r>
    </w:p>
    <w:p w14:paraId="56DE0756">
      <w:pPr>
        <w:pStyle w:val="12"/>
        <w:keepNext w:val="0"/>
        <w:keepLines w:val="0"/>
        <w:pageBreakBefore w:val="0"/>
        <w:widowControl w:val="0"/>
        <w:kinsoku/>
        <w:wordWrap/>
        <w:overflowPunct/>
        <w:topLinePunct w:val="0"/>
        <w:bidi w:val="0"/>
        <w:adjustRightInd w:val="0"/>
        <w:snapToGrid w:val="0"/>
        <w:spacing w:line="360" w:lineRule="auto"/>
        <w:ind w:firstLine="470" w:firstLineChars="196"/>
        <w:textAlignment w:val="auto"/>
        <w:rPr>
          <w:rFonts w:hAnsi="宋体" w:cs="宋体"/>
          <w:color w:val="auto"/>
          <w:sz w:val="24"/>
          <w:highlight w:val="none"/>
        </w:rPr>
      </w:pPr>
      <w:r>
        <w:rPr>
          <w:rFonts w:hint="eastAsia" w:hAnsi="宋体" w:cs="宋体"/>
          <w:color w:val="auto"/>
          <w:sz w:val="24"/>
          <w:highlight w:val="none"/>
        </w:rPr>
        <w:t>本项目不需缴纳投标保证金。</w:t>
      </w:r>
    </w:p>
    <w:p w14:paraId="642F3065">
      <w:pPr>
        <w:pStyle w:val="8"/>
        <w:keepNext w:val="0"/>
        <w:keepLines w:val="0"/>
        <w:pageBreakBefore w:val="0"/>
        <w:widowControl w:val="0"/>
        <w:kinsoku/>
        <w:wordWrap/>
        <w:overflowPunct/>
        <w:topLinePunct w:val="0"/>
        <w:bidi w:val="0"/>
        <w:adjustRightInd w:val="0"/>
        <w:snapToGrid w:val="0"/>
        <w:spacing w:beforeLines="0" w:afterLines="0" w:line="360" w:lineRule="auto"/>
        <w:textAlignment w:val="auto"/>
        <w:rPr>
          <w:rFonts w:hAnsi="宋体" w:cs="宋体"/>
          <w:b/>
          <w:color w:val="auto"/>
          <w:sz w:val="24"/>
          <w:szCs w:val="24"/>
          <w:highlight w:val="none"/>
        </w:rPr>
      </w:pPr>
      <w:r>
        <w:rPr>
          <w:rFonts w:hint="eastAsia" w:hAnsi="宋体" w:cs="宋体"/>
          <w:b/>
          <w:color w:val="auto"/>
          <w:sz w:val="24"/>
          <w:szCs w:val="24"/>
          <w:highlight w:val="none"/>
          <w:lang w:eastAsia="zh-CN"/>
        </w:rPr>
        <w:t>（</w:t>
      </w:r>
      <w:r>
        <w:rPr>
          <w:rFonts w:hint="eastAsia" w:hAnsi="宋体" w:cs="宋体"/>
          <w:b/>
          <w:color w:val="auto"/>
          <w:sz w:val="24"/>
          <w:szCs w:val="24"/>
          <w:highlight w:val="none"/>
          <w:lang w:val="en-US" w:eastAsia="zh-CN"/>
        </w:rPr>
        <w:t>四</w:t>
      </w:r>
      <w:r>
        <w:rPr>
          <w:rFonts w:hint="eastAsia" w:hAnsi="宋体" w:cs="宋体"/>
          <w:b/>
          <w:color w:val="auto"/>
          <w:sz w:val="24"/>
          <w:szCs w:val="24"/>
          <w:highlight w:val="none"/>
          <w:lang w:eastAsia="zh-CN"/>
        </w:rPr>
        <w:t>）</w:t>
      </w:r>
      <w:r>
        <w:rPr>
          <w:rFonts w:hint="eastAsia" w:hAnsi="宋体" w:cs="宋体"/>
          <w:b/>
          <w:color w:val="auto"/>
          <w:sz w:val="24"/>
          <w:szCs w:val="24"/>
          <w:highlight w:val="none"/>
        </w:rPr>
        <w:t>投标文件的语言</w:t>
      </w:r>
    </w:p>
    <w:p w14:paraId="07CA86CE">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ascii="宋体" w:hAnsi="宋体" w:cs="宋体"/>
          <w:color w:val="auto"/>
          <w:sz w:val="24"/>
          <w:highlight w:val="none"/>
          <w:lang w:val="zh-CN"/>
        </w:rPr>
      </w:pPr>
      <w:r>
        <w:rPr>
          <w:rFonts w:hint="eastAsia" w:ascii="宋体" w:hAnsi="宋体" w:cs="宋体"/>
          <w:color w:val="auto"/>
          <w:sz w:val="24"/>
          <w:highlight w:val="none"/>
        </w:rPr>
        <w:t>投标文件及投标人与采购有关的来往通知、函件和文件均应使用中文。</w:t>
      </w:r>
    </w:p>
    <w:p w14:paraId="7AD1D43A">
      <w:pPr>
        <w:pStyle w:val="8"/>
        <w:keepNext w:val="0"/>
        <w:keepLines w:val="0"/>
        <w:pageBreakBefore w:val="0"/>
        <w:widowControl w:val="0"/>
        <w:kinsoku/>
        <w:wordWrap/>
        <w:overflowPunct/>
        <w:topLinePunct w:val="0"/>
        <w:bidi w:val="0"/>
        <w:adjustRightInd w:val="0"/>
        <w:snapToGrid w:val="0"/>
        <w:spacing w:beforeLines="0" w:afterLines="0" w:line="360" w:lineRule="auto"/>
        <w:textAlignment w:val="auto"/>
        <w:rPr>
          <w:rFonts w:hAnsi="宋体" w:cs="宋体"/>
          <w:b/>
          <w:color w:val="auto"/>
          <w:sz w:val="24"/>
          <w:szCs w:val="24"/>
          <w:highlight w:val="none"/>
        </w:rPr>
      </w:pPr>
      <w:r>
        <w:rPr>
          <w:rFonts w:hint="eastAsia" w:hAnsi="宋体" w:cs="宋体"/>
          <w:b/>
          <w:color w:val="auto"/>
          <w:sz w:val="24"/>
          <w:szCs w:val="24"/>
          <w:highlight w:val="none"/>
          <w:lang w:eastAsia="zh-CN"/>
        </w:rPr>
        <w:t>（</w:t>
      </w:r>
      <w:r>
        <w:rPr>
          <w:rFonts w:hint="eastAsia" w:hAnsi="宋体" w:cs="宋体"/>
          <w:b/>
          <w:color w:val="auto"/>
          <w:sz w:val="24"/>
          <w:szCs w:val="24"/>
          <w:highlight w:val="none"/>
          <w:lang w:val="en-US" w:eastAsia="zh-CN"/>
        </w:rPr>
        <w:t>五</w:t>
      </w:r>
      <w:r>
        <w:rPr>
          <w:rFonts w:hint="eastAsia" w:hAnsi="宋体" w:cs="宋体"/>
          <w:b/>
          <w:color w:val="auto"/>
          <w:sz w:val="24"/>
          <w:szCs w:val="24"/>
          <w:highlight w:val="none"/>
          <w:lang w:eastAsia="zh-CN"/>
        </w:rPr>
        <w:t>）</w:t>
      </w:r>
      <w:r>
        <w:rPr>
          <w:rFonts w:hint="eastAsia" w:hAnsi="宋体" w:cs="宋体"/>
          <w:b/>
          <w:color w:val="auto"/>
          <w:sz w:val="24"/>
          <w:szCs w:val="24"/>
          <w:highlight w:val="none"/>
        </w:rPr>
        <w:t>投标文件的组成</w:t>
      </w:r>
    </w:p>
    <w:p w14:paraId="6CFA5C3C">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sz w:val="24"/>
          <w:highlight w:val="none"/>
          <w:lang w:eastAsia="zh-CN"/>
        </w:rPr>
        <w:t>.</w:t>
      </w:r>
      <w:r>
        <w:rPr>
          <w:rFonts w:hint="eastAsia" w:ascii="宋体" w:hAnsi="宋体" w:cs="宋体"/>
          <w:b/>
          <w:color w:val="auto"/>
          <w:sz w:val="24"/>
          <w:highlight w:val="none"/>
        </w:rPr>
        <w:t>资格文件</w:t>
      </w:r>
      <w:r>
        <w:rPr>
          <w:rFonts w:hint="eastAsia" w:ascii="宋体" w:hAnsi="宋体" w:cs="宋体"/>
          <w:color w:val="auto"/>
          <w:sz w:val="24"/>
          <w:highlight w:val="none"/>
        </w:rPr>
        <w:t>：</w:t>
      </w:r>
    </w:p>
    <w:p w14:paraId="0251AAAA">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1.1符合参加政府采购活动应当具备的一般条件的承诺函；</w:t>
      </w:r>
    </w:p>
    <w:p w14:paraId="286B1C0B">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宋体" w:hAnsi="宋体" w:cs="宋体"/>
          <w:color w:val="auto"/>
          <w:sz w:val="24"/>
          <w:highlight w:val="none"/>
        </w:rPr>
      </w:pPr>
      <w:r>
        <w:rPr>
          <w:rFonts w:ascii="宋体" w:hAnsi="宋体" w:cs="宋体"/>
          <w:color w:val="auto"/>
          <w:sz w:val="24"/>
          <w:highlight w:val="none"/>
        </w:rPr>
        <w:t>1.2</w:t>
      </w:r>
      <w:bookmarkStart w:id="24" w:name="_Hlk101259339"/>
      <w:r>
        <w:rPr>
          <w:rFonts w:hint="eastAsia" w:ascii="宋体" w:hAnsi="宋体" w:cs="宋体"/>
          <w:snapToGrid w:val="0"/>
          <w:color w:val="auto"/>
          <w:kern w:val="28"/>
          <w:sz w:val="24"/>
          <w:szCs w:val="20"/>
          <w:highlight w:val="none"/>
        </w:rPr>
        <w:t>联合协议</w:t>
      </w:r>
      <w:bookmarkEnd w:id="24"/>
      <w:r>
        <w:rPr>
          <w:rFonts w:hint="eastAsia" w:ascii="宋体" w:hAnsi="宋体" w:cs="宋体"/>
          <w:snapToGrid w:val="0"/>
          <w:color w:val="auto"/>
          <w:kern w:val="28"/>
          <w:sz w:val="24"/>
          <w:szCs w:val="20"/>
          <w:highlight w:val="none"/>
        </w:rPr>
        <w:t>（如果有)；</w:t>
      </w:r>
    </w:p>
    <w:p w14:paraId="05391D06">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3落实政府采购政策需满足的资格要求（如果有)；</w:t>
      </w:r>
    </w:p>
    <w:p w14:paraId="39A47C4C">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1.4本项目的特定资格要求（如果有)。</w:t>
      </w:r>
    </w:p>
    <w:p w14:paraId="3133AAE8">
      <w:pPr>
        <w:keepNext w:val="0"/>
        <w:keepLines w:val="0"/>
        <w:pageBreakBefore w:val="0"/>
        <w:widowControl w:val="0"/>
        <w:kinsoku/>
        <w:wordWrap/>
        <w:overflowPunct/>
        <w:topLinePunct w:val="0"/>
        <w:bidi w:val="0"/>
        <w:adjustRightInd w:val="0"/>
        <w:snapToGrid w:val="0"/>
        <w:spacing w:line="360" w:lineRule="auto"/>
        <w:ind w:firstLine="482" w:firstLineChars="200"/>
        <w:textAlignment w:val="auto"/>
        <w:rPr>
          <w:rFonts w:hint="eastAsia" w:ascii="宋体" w:hAnsi="宋体" w:eastAsia="宋体" w:cs="宋体"/>
          <w:b/>
          <w:bCs/>
          <w:color w:val="auto"/>
          <w:sz w:val="24"/>
          <w:highlight w:val="none"/>
          <w:lang w:val="zh-CN"/>
        </w:rPr>
      </w:pPr>
      <w:r>
        <w:rPr>
          <w:rFonts w:hint="eastAsia" w:ascii="宋体" w:hAnsi="宋体" w:eastAsia="宋体" w:cs="宋体"/>
          <w:b/>
          <w:bCs/>
          <w:color w:val="auto"/>
          <w:sz w:val="24"/>
          <w:highlight w:val="none"/>
        </w:rPr>
        <w:t>2</w:t>
      </w:r>
      <w:r>
        <w:rPr>
          <w:rFonts w:hint="eastAsia" w:ascii="宋体" w:hAnsi="宋体" w:eastAsia="宋体" w:cs="宋体"/>
          <w:b/>
          <w:bCs/>
          <w:color w:val="auto"/>
          <w:sz w:val="24"/>
          <w:highlight w:val="none"/>
          <w:lang w:val="zh-CN"/>
        </w:rPr>
        <w:t>.</w:t>
      </w:r>
      <w:r>
        <w:rPr>
          <w:rFonts w:hint="eastAsia" w:ascii="宋体" w:hAnsi="宋体" w:eastAsia="宋体" w:cs="宋体"/>
          <w:b/>
          <w:bCs/>
          <w:color w:val="auto"/>
          <w:sz w:val="24"/>
          <w:highlight w:val="none"/>
        </w:rPr>
        <w:t>商务技术</w:t>
      </w:r>
      <w:r>
        <w:rPr>
          <w:rFonts w:hint="eastAsia" w:ascii="宋体" w:hAnsi="宋体" w:eastAsia="宋体" w:cs="宋体"/>
          <w:b/>
          <w:bCs/>
          <w:color w:val="auto"/>
          <w:sz w:val="24"/>
          <w:highlight w:val="none"/>
          <w:lang w:val="zh-CN"/>
        </w:rPr>
        <w:t>文件：</w:t>
      </w:r>
    </w:p>
    <w:p w14:paraId="07D00FB1">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2.1投标函；</w:t>
      </w:r>
    </w:p>
    <w:p w14:paraId="2F20D263">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2.2授权委托书或法定代表人（单位负责人、自然人本人）身份证明；</w:t>
      </w:r>
    </w:p>
    <w:p w14:paraId="0F9EEB47">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2.3分包意向协议（如果有)；</w:t>
      </w:r>
    </w:p>
    <w:p w14:paraId="19EF05C9">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2.4符合性审查资料；</w:t>
      </w:r>
    </w:p>
    <w:p w14:paraId="76B4AE48">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2.5评标标准相应的商务技术资料；</w:t>
      </w:r>
    </w:p>
    <w:p w14:paraId="45DCCCE7">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2.6投标标的清单；</w:t>
      </w:r>
    </w:p>
    <w:p w14:paraId="38AC62CB">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2.7商务技术偏离表；</w:t>
      </w:r>
    </w:p>
    <w:p w14:paraId="16D1E347">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zh-CN"/>
        </w:rPr>
        <w:t>.</w:t>
      </w:r>
      <w:r>
        <w:rPr>
          <w:rFonts w:hint="eastAsia" w:ascii="宋体" w:hAnsi="宋体" w:eastAsia="宋体" w:cs="宋体"/>
          <w:color w:val="auto"/>
          <w:sz w:val="24"/>
          <w:highlight w:val="none"/>
        </w:rPr>
        <w:t>8</w:t>
      </w:r>
      <w:r>
        <w:rPr>
          <w:rFonts w:hint="eastAsia" w:ascii="宋体" w:hAnsi="宋体" w:eastAsia="宋体" w:cs="宋体"/>
          <w:color w:val="auto"/>
          <w:sz w:val="24"/>
          <w:highlight w:val="none"/>
          <w:lang w:val="zh-CN"/>
        </w:rPr>
        <w:t>政府采购供应商廉洁自律承诺书；</w:t>
      </w:r>
    </w:p>
    <w:p w14:paraId="465D4159">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宋体" w:hAnsi="宋体" w:cs="宋体"/>
          <w:color w:val="auto"/>
          <w:sz w:val="24"/>
          <w:highlight w:val="none"/>
          <w:u w:val="single"/>
          <w:lang w:val="zh-CN"/>
        </w:rPr>
      </w:pPr>
      <w:r>
        <w:rPr>
          <w:rFonts w:hint="eastAsia" w:ascii="宋体" w:hAnsi="宋体" w:cs="宋体"/>
          <w:color w:val="auto"/>
          <w:kern w:val="0"/>
          <w:sz w:val="24"/>
          <w:highlight w:val="none"/>
        </w:rPr>
        <w:t>3</w:t>
      </w:r>
      <w:r>
        <w:rPr>
          <w:rFonts w:hint="eastAsia" w:ascii="宋体" w:hAnsi="宋体" w:cs="宋体"/>
          <w:color w:val="auto"/>
          <w:kern w:val="0"/>
          <w:sz w:val="24"/>
          <w:highlight w:val="none"/>
          <w:lang w:eastAsia="zh-CN"/>
        </w:rPr>
        <w:t>.</w:t>
      </w:r>
      <w:r>
        <w:rPr>
          <w:rFonts w:hint="eastAsia" w:ascii="宋体" w:hAnsi="宋体" w:cs="宋体"/>
          <w:b/>
          <w:color w:val="auto"/>
          <w:sz w:val="24"/>
          <w:highlight w:val="none"/>
        </w:rPr>
        <w:t>报价文件：</w:t>
      </w:r>
      <w:r>
        <w:rPr>
          <w:rFonts w:hint="eastAsia" w:ascii="宋体" w:hAnsi="宋体" w:cs="宋体"/>
          <w:color w:val="auto"/>
          <w:sz w:val="24"/>
          <w:highlight w:val="none"/>
        </w:rPr>
        <w:t xml:space="preserve"> </w:t>
      </w:r>
    </w:p>
    <w:p w14:paraId="5B0766C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cs="宋体"/>
          <w:color w:val="auto"/>
          <w:sz w:val="24"/>
          <w:highlight w:val="none"/>
        </w:rPr>
      </w:pPr>
      <w:r>
        <w:rPr>
          <w:rFonts w:hint="eastAsia" w:ascii="宋体" w:hAnsi="宋体" w:cs="宋体"/>
          <w:color w:val="auto"/>
          <w:sz w:val="24"/>
          <w:highlight w:val="none"/>
        </w:rPr>
        <w:t>3.1开标一览表（报价表）；</w:t>
      </w:r>
    </w:p>
    <w:p w14:paraId="7C8127C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cs="宋体"/>
          <w:color w:val="auto"/>
          <w:sz w:val="24"/>
          <w:highlight w:val="none"/>
          <w:lang w:eastAsia="zh-CN"/>
        </w:rPr>
      </w:pPr>
      <w:r>
        <w:rPr>
          <w:rFonts w:hint="eastAsia" w:ascii="宋体" w:hAnsi="宋体" w:cs="宋体"/>
          <w:color w:val="auto"/>
          <w:sz w:val="24"/>
          <w:highlight w:val="none"/>
        </w:rPr>
        <w:t>3.</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中小企业声明函。</w:t>
      </w:r>
      <w:r>
        <w:rPr>
          <w:rFonts w:hint="eastAsia" w:ascii="宋体" w:hAnsi="宋体" w:cs="宋体"/>
          <w:color w:val="auto"/>
          <w:sz w:val="24"/>
          <w:highlight w:val="none"/>
          <w:lang w:eastAsia="zh-CN"/>
        </w:rPr>
        <w:t>（如果有）</w:t>
      </w:r>
    </w:p>
    <w:p w14:paraId="5984EB77">
      <w:pPr>
        <w:autoSpaceDE/>
        <w:autoSpaceDN/>
        <w:snapToGrid w:val="0"/>
        <w:spacing w:line="360" w:lineRule="auto"/>
        <w:ind w:firstLine="480" w:firstLineChars="200"/>
        <w:rPr>
          <w:rFonts w:ascii="宋体" w:hAnsi="宋体" w:cs="宋体"/>
          <w:color w:val="auto"/>
          <w:sz w:val="24"/>
          <w:highlight w:val="none"/>
        </w:rPr>
      </w:pPr>
      <w:r>
        <w:rPr>
          <w:rFonts w:hint="eastAsia" w:ascii="宋体" w:hAnsi="宋体" w:cs="宋体"/>
          <w:b w:val="0"/>
          <w:color w:val="auto"/>
          <w:sz w:val="24"/>
          <w:szCs w:val="20"/>
          <w:highlight w:val="none"/>
          <w:lang w:val="en-US" w:eastAsia="zh-CN"/>
        </w:rPr>
        <w:t>3.3</w:t>
      </w:r>
      <w:r>
        <w:rPr>
          <w:rFonts w:ascii="宋体" w:hAnsi="宋体" w:cs="宋体"/>
          <w:b w:val="0"/>
          <w:color w:val="auto"/>
          <w:sz w:val="24"/>
          <w:szCs w:val="20"/>
          <w:highlight w:val="none"/>
        </w:rPr>
        <w:t>代理服务费支付承诺书</w:t>
      </w:r>
    </w:p>
    <w:p w14:paraId="561533F3">
      <w:pPr>
        <w:keepNext w:val="0"/>
        <w:keepLines w:val="0"/>
        <w:pageBreakBefore w:val="0"/>
        <w:widowControl w:val="0"/>
        <w:kinsoku/>
        <w:wordWrap/>
        <w:overflowPunct/>
        <w:topLinePunct w:val="0"/>
        <w:bidi w:val="0"/>
        <w:adjustRightInd w:val="0"/>
        <w:snapToGrid w:val="0"/>
        <w:spacing w:line="360" w:lineRule="auto"/>
        <w:ind w:left="0" w:leftChars="0" w:firstLine="422" w:firstLineChars="175"/>
        <w:textAlignment w:val="auto"/>
        <w:rPr>
          <w:rFonts w:ascii="宋体" w:hAnsi="宋体" w:cs="宋体"/>
          <w:b/>
          <w:color w:val="auto"/>
          <w:sz w:val="24"/>
          <w:highlight w:val="none"/>
        </w:rPr>
      </w:pPr>
      <w:r>
        <w:rPr>
          <w:rFonts w:hint="eastAsia" w:ascii="宋体" w:hAnsi="宋体" w:cs="宋体"/>
          <w:b/>
          <w:color w:val="auto"/>
          <w:sz w:val="24"/>
          <w:highlight w:val="none"/>
        </w:rPr>
        <w:t>投标文件含有采购人不能接受的附加条件的，投标无效；</w:t>
      </w:r>
    </w:p>
    <w:p w14:paraId="5D5DE6E8">
      <w:pPr>
        <w:keepNext w:val="0"/>
        <w:keepLines w:val="0"/>
        <w:pageBreakBefore w:val="0"/>
        <w:widowControl w:val="0"/>
        <w:kinsoku/>
        <w:wordWrap/>
        <w:overflowPunct/>
        <w:topLinePunct w:val="0"/>
        <w:bidi w:val="0"/>
        <w:adjustRightInd w:val="0"/>
        <w:snapToGrid w:val="0"/>
        <w:spacing w:line="360" w:lineRule="auto"/>
        <w:ind w:left="0" w:leftChars="0" w:firstLine="422" w:firstLineChars="175"/>
        <w:textAlignment w:val="auto"/>
        <w:rPr>
          <w:rFonts w:hint="eastAsia" w:ascii="宋体" w:hAnsi="宋体" w:cs="宋体"/>
          <w:b/>
          <w:color w:val="auto"/>
          <w:sz w:val="24"/>
          <w:highlight w:val="none"/>
        </w:rPr>
      </w:pPr>
      <w:r>
        <w:rPr>
          <w:rFonts w:hint="eastAsia" w:ascii="宋体" w:hAnsi="宋体" w:cs="宋体"/>
          <w:b/>
          <w:color w:val="auto"/>
          <w:sz w:val="24"/>
          <w:highlight w:val="none"/>
        </w:rPr>
        <w:t>投标人提供虚假材料投标的，投标无效。</w:t>
      </w:r>
    </w:p>
    <w:p w14:paraId="21F1A36F">
      <w:pPr>
        <w:keepNext w:val="0"/>
        <w:keepLines w:val="0"/>
        <w:pageBreakBefore w:val="0"/>
        <w:widowControl w:val="0"/>
        <w:kinsoku/>
        <w:wordWrap/>
        <w:overflowPunct/>
        <w:topLinePunct w:val="0"/>
        <w:bidi w:val="0"/>
        <w:adjustRightInd w:val="0"/>
        <w:snapToGrid w:val="0"/>
        <w:spacing w:line="360" w:lineRule="auto"/>
        <w:ind w:left="0" w:leftChars="0" w:firstLine="420" w:firstLineChars="175"/>
        <w:textAlignment w:val="auto"/>
        <w:rPr>
          <w:rFonts w:hint="eastAsia"/>
          <w:color w:val="auto"/>
          <w:sz w:val="24"/>
          <w:szCs w:val="24"/>
          <w:highlight w:val="none"/>
          <w:shd w:val="clear" w:color="auto" w:fill="FFFFFF"/>
          <w:lang w:val="en-US" w:eastAsia="zh-CN"/>
        </w:rPr>
      </w:pPr>
      <w:r>
        <w:rPr>
          <w:rFonts w:hint="eastAsia"/>
          <w:color w:val="auto"/>
          <w:sz w:val="24"/>
          <w:szCs w:val="24"/>
          <w:highlight w:val="none"/>
          <w:shd w:val="clear" w:color="auto" w:fill="FFFFFF"/>
          <w:lang w:val="en-US" w:eastAsia="zh-CN"/>
        </w:rPr>
        <w:t>投标人应对投标文件中材料的真实性、合法性负责。投标人可事先在公开官网查询、核对相关证书和报告内容，确保投标（响应）文件资料准确无误。</w:t>
      </w:r>
    </w:p>
    <w:p w14:paraId="47012B22">
      <w:pPr>
        <w:pStyle w:val="123"/>
        <w:keepNext w:val="0"/>
        <w:keepLines w:val="0"/>
        <w:pageBreakBefore w:val="0"/>
        <w:widowControl w:val="0"/>
        <w:kinsoku/>
        <w:wordWrap/>
        <w:overflowPunct/>
        <w:topLinePunct w:val="0"/>
        <w:bidi w:val="0"/>
        <w:adjustRightInd w:val="0"/>
        <w:snapToGrid w:val="0"/>
        <w:spacing w:before="0"/>
        <w:ind w:firstLine="0" w:firstLineChars="0"/>
        <w:textAlignment w:val="auto"/>
        <w:outlineLvl w:val="0"/>
        <w:rPr>
          <w:rFonts w:ascii="宋体" w:hAnsi="宋体" w:cs="宋体"/>
          <w:b/>
          <w:color w:val="auto"/>
          <w:szCs w:val="24"/>
          <w:highlight w:val="none"/>
        </w:rPr>
      </w:pPr>
      <w:r>
        <w:rPr>
          <w:rFonts w:hint="eastAsia" w:ascii="宋体" w:hAnsi="宋体" w:cs="宋体"/>
          <w:b/>
          <w:color w:val="auto"/>
          <w:szCs w:val="24"/>
          <w:highlight w:val="none"/>
          <w:lang w:eastAsia="zh-CN"/>
        </w:rPr>
        <w:t>（</w:t>
      </w:r>
      <w:r>
        <w:rPr>
          <w:rFonts w:hint="eastAsia" w:ascii="宋体" w:hAnsi="宋体" w:cs="宋体"/>
          <w:b/>
          <w:color w:val="auto"/>
          <w:szCs w:val="24"/>
          <w:highlight w:val="none"/>
          <w:lang w:val="en-US" w:eastAsia="zh-CN"/>
        </w:rPr>
        <w:t>五</w:t>
      </w:r>
      <w:r>
        <w:rPr>
          <w:rFonts w:hint="eastAsia" w:ascii="宋体" w:hAnsi="宋体" w:cs="宋体"/>
          <w:b/>
          <w:color w:val="auto"/>
          <w:szCs w:val="24"/>
          <w:highlight w:val="none"/>
          <w:lang w:eastAsia="zh-CN"/>
        </w:rPr>
        <w:t>）</w:t>
      </w:r>
      <w:r>
        <w:rPr>
          <w:rFonts w:hint="eastAsia" w:ascii="宋体" w:hAnsi="宋体" w:cs="宋体"/>
          <w:b/>
          <w:color w:val="auto"/>
          <w:szCs w:val="24"/>
          <w:highlight w:val="none"/>
        </w:rPr>
        <w:t>投标文件的编制</w:t>
      </w:r>
    </w:p>
    <w:p w14:paraId="676EB2A7">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宋体" w:hAnsi="宋体" w:cs="宋体"/>
          <w:b/>
          <w:color w:val="auto"/>
          <w:sz w:val="24"/>
          <w:highlight w:val="none"/>
        </w:rPr>
      </w:pPr>
      <w:r>
        <w:rPr>
          <w:rFonts w:hint="eastAsia" w:ascii="宋体" w:hAnsi="宋体" w:cs="宋体"/>
          <w:color w:val="auto"/>
          <w:kern w:val="0"/>
          <w:sz w:val="24"/>
          <w:highlight w:val="none"/>
          <w:lang w:val="zh-CN"/>
        </w:rPr>
        <w:t>1</w:t>
      </w:r>
      <w:r>
        <w:rPr>
          <w:rFonts w:hint="eastAsia" w:ascii="宋体" w:hAnsi="宋体" w:cs="宋体"/>
          <w:color w:val="auto"/>
          <w:kern w:val="0"/>
          <w:sz w:val="24"/>
          <w:highlight w:val="none"/>
          <w:lang w:val="en-US" w:eastAsia="zh-CN"/>
        </w:rPr>
        <w:t>.</w:t>
      </w:r>
      <w:r>
        <w:rPr>
          <w:rFonts w:hint="eastAsia" w:ascii="宋体" w:hAnsi="宋体" w:cs="宋体"/>
          <w:color w:val="auto"/>
          <w:kern w:val="0"/>
          <w:sz w:val="24"/>
          <w:highlight w:val="none"/>
          <w:lang w:val="zh-CN"/>
        </w:rPr>
        <w:t>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0ED62FA1">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2</w:t>
      </w:r>
      <w:r>
        <w:rPr>
          <w:rFonts w:hint="eastAsia" w:ascii="宋体" w:hAnsi="宋体" w:cs="宋体"/>
          <w:color w:val="auto"/>
          <w:kern w:val="0"/>
          <w:sz w:val="24"/>
          <w:highlight w:val="none"/>
          <w:lang w:val="en-US" w:eastAsia="zh-CN"/>
        </w:rPr>
        <w:t>.</w:t>
      </w:r>
      <w:r>
        <w:rPr>
          <w:rFonts w:hint="eastAsia" w:ascii="宋体" w:hAnsi="宋体" w:cs="宋体"/>
          <w:color w:val="auto"/>
          <w:kern w:val="0"/>
          <w:sz w:val="24"/>
          <w:highlight w:val="none"/>
          <w:lang w:val="zh-CN"/>
        </w:rPr>
        <w:t>投标人进行电子投标应安装客户端软件—“政采云电子交易客户端”，并按照招标文件和电子交易平台的要求编制并加密投标文件。投标人未按规定加密的投标文件，电子交易平台将拒收并提示。</w:t>
      </w:r>
    </w:p>
    <w:p w14:paraId="00434AF8">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3</w:t>
      </w:r>
      <w:r>
        <w:rPr>
          <w:rFonts w:hint="eastAsia" w:ascii="宋体" w:hAnsi="宋体" w:cs="宋体"/>
          <w:color w:val="auto"/>
          <w:kern w:val="0"/>
          <w:sz w:val="24"/>
          <w:highlight w:val="none"/>
          <w:lang w:val="en-US" w:eastAsia="zh-CN"/>
        </w:rPr>
        <w:t>.</w:t>
      </w:r>
      <w:r>
        <w:rPr>
          <w:rFonts w:hint="eastAsia" w:ascii="宋体" w:hAnsi="宋体" w:cs="宋体"/>
          <w:color w:val="auto"/>
          <w:kern w:val="0"/>
          <w:sz w:val="24"/>
          <w:highlight w:val="none"/>
          <w:lang w:val="zh-CN"/>
        </w:rPr>
        <w:t>使用“政采云电子交易客户端”需要提前申领CA数字证书，申领流程请自行前往“浙江政府采购网-下载专区-电子交易客户端-CA驱动和申领流程”进行查阅。</w:t>
      </w:r>
    </w:p>
    <w:p w14:paraId="76AAD5A0">
      <w:pPr>
        <w:keepNext w:val="0"/>
        <w:keepLines w:val="0"/>
        <w:pageBreakBefore w:val="0"/>
        <w:widowControl w:val="0"/>
        <w:kinsoku/>
        <w:wordWrap/>
        <w:overflowPunct/>
        <w:topLinePunct w:val="0"/>
        <w:bidi w:val="0"/>
        <w:adjustRightInd w:val="0"/>
        <w:snapToGrid w:val="0"/>
        <w:spacing w:line="360" w:lineRule="auto"/>
        <w:textAlignment w:val="auto"/>
        <w:rPr>
          <w:rFonts w:ascii="宋体" w:hAnsi="宋体" w:cs="宋体"/>
          <w:b/>
          <w:color w:val="auto"/>
          <w:sz w:val="24"/>
          <w:highlight w:val="none"/>
        </w:rPr>
      </w:pPr>
      <w:r>
        <w:rPr>
          <w:rFonts w:hint="eastAsia" w:ascii="宋体" w:hAnsi="宋体" w:cs="宋体"/>
          <w:b/>
          <w:color w:val="auto"/>
          <w:sz w:val="24"/>
          <w:highlight w:val="none"/>
          <w:lang w:val="en-US" w:eastAsia="zh-CN"/>
        </w:rPr>
        <w:t>(六)</w:t>
      </w:r>
      <w:r>
        <w:rPr>
          <w:rFonts w:hint="eastAsia" w:ascii="宋体" w:hAnsi="宋体" w:cs="宋体"/>
          <w:b/>
          <w:color w:val="auto"/>
          <w:sz w:val="24"/>
          <w:highlight w:val="none"/>
        </w:rPr>
        <w:t>投标文件的签署、盖章</w:t>
      </w:r>
    </w:p>
    <w:p w14:paraId="69C01DAB">
      <w:pPr>
        <w:pStyle w:val="123"/>
        <w:keepNext w:val="0"/>
        <w:keepLines w:val="0"/>
        <w:pageBreakBefore w:val="0"/>
        <w:widowControl w:val="0"/>
        <w:kinsoku/>
        <w:wordWrap/>
        <w:overflowPunct/>
        <w:topLinePunct w:val="0"/>
        <w:bidi w:val="0"/>
        <w:adjustRightInd w:val="0"/>
        <w:snapToGrid w:val="0"/>
        <w:spacing w:before="0"/>
        <w:ind w:firstLine="480"/>
        <w:textAlignment w:val="auto"/>
        <w:rPr>
          <w:rFonts w:ascii="宋体" w:hAnsi="宋体" w:cs="宋体"/>
          <w:b/>
          <w:color w:val="auto"/>
          <w:highlight w:val="none"/>
        </w:rPr>
      </w:pPr>
      <w:r>
        <w:rPr>
          <w:rFonts w:hint="eastAsia" w:ascii="宋体" w:hAnsi="宋体" w:cs="宋体"/>
          <w:color w:val="auto"/>
          <w:szCs w:val="24"/>
          <w:highlight w:val="none"/>
          <w:lang w:val="en-US" w:eastAsia="zh-CN"/>
        </w:rPr>
        <w:t>1.</w:t>
      </w:r>
      <w:r>
        <w:rPr>
          <w:rFonts w:hint="eastAsia" w:ascii="宋体" w:hAnsi="宋体" w:cs="宋体"/>
          <w:color w:val="auto"/>
          <w:szCs w:val="24"/>
          <w:highlight w:val="none"/>
        </w:rPr>
        <w:t>投标文件按照招标文件第六部分格式要</w:t>
      </w:r>
      <w:r>
        <w:rPr>
          <w:rFonts w:hint="eastAsia" w:ascii="宋体" w:hAnsi="宋体" w:cs="宋体"/>
          <w:color w:val="auto"/>
          <w:highlight w:val="none"/>
        </w:rPr>
        <w:t>求进行签署、盖章。</w:t>
      </w:r>
      <w:r>
        <w:rPr>
          <w:rFonts w:hint="eastAsia" w:ascii="宋体" w:hAnsi="宋体" w:cs="宋体"/>
          <w:b/>
          <w:color w:val="auto"/>
          <w:highlight w:val="none"/>
        </w:rPr>
        <w:t>▲投标人的投标文件未按照招标文件要求签署、盖章的，其投标无效</w:t>
      </w:r>
      <w:r>
        <w:rPr>
          <w:rFonts w:hint="eastAsia" w:ascii="宋体" w:hAnsi="宋体" w:cs="宋体"/>
          <w:color w:val="auto"/>
          <w:szCs w:val="24"/>
          <w:highlight w:val="none"/>
        </w:rPr>
        <w:t>。</w:t>
      </w:r>
    </w:p>
    <w:p w14:paraId="3B1589FA">
      <w:pPr>
        <w:pStyle w:val="123"/>
        <w:keepNext w:val="0"/>
        <w:keepLines w:val="0"/>
        <w:pageBreakBefore w:val="0"/>
        <w:widowControl w:val="0"/>
        <w:kinsoku/>
        <w:wordWrap/>
        <w:overflowPunct/>
        <w:topLinePunct w:val="0"/>
        <w:bidi w:val="0"/>
        <w:adjustRightInd w:val="0"/>
        <w:snapToGrid w:val="0"/>
        <w:spacing w:before="0"/>
        <w:ind w:firstLine="480"/>
        <w:textAlignment w:val="auto"/>
        <w:rPr>
          <w:rFonts w:ascii="宋体" w:hAnsi="宋体" w:cs="宋体"/>
          <w:color w:val="auto"/>
          <w:highlight w:val="none"/>
        </w:rPr>
      </w:pPr>
      <w:r>
        <w:rPr>
          <w:rFonts w:hint="eastAsia" w:ascii="宋体" w:hAnsi="宋体" w:cs="宋体"/>
          <w:color w:val="auto"/>
          <w:highlight w:val="none"/>
        </w:rPr>
        <w:t>2</w:t>
      </w:r>
      <w:r>
        <w:rPr>
          <w:rFonts w:hint="eastAsia" w:ascii="宋体" w:hAnsi="宋体" w:cs="宋体"/>
          <w:color w:val="auto"/>
          <w:highlight w:val="none"/>
          <w:lang w:eastAsia="zh-CN"/>
        </w:rPr>
        <w:t>.</w:t>
      </w:r>
      <w:r>
        <w:rPr>
          <w:rFonts w:hint="eastAsia" w:ascii="宋体" w:hAnsi="宋体" w:cs="宋体"/>
          <w:color w:val="auto"/>
          <w:highlight w:val="none"/>
        </w:rPr>
        <w:t>为确保网上操作合法、有效和安全，投标人应当在投标截止时间前完成在“政府采购云平台”的身份认证，确保在电子投标过程中能够对相关数据电文进行加密和使用电子签名。</w:t>
      </w:r>
    </w:p>
    <w:p w14:paraId="111C3308">
      <w:pPr>
        <w:pStyle w:val="123"/>
        <w:keepNext w:val="0"/>
        <w:keepLines w:val="0"/>
        <w:pageBreakBefore w:val="0"/>
        <w:widowControl w:val="0"/>
        <w:kinsoku/>
        <w:wordWrap/>
        <w:overflowPunct/>
        <w:topLinePunct w:val="0"/>
        <w:autoSpaceDE/>
        <w:autoSpaceDN/>
        <w:bidi w:val="0"/>
        <w:adjustRightInd w:val="0"/>
        <w:snapToGrid w:val="0"/>
        <w:spacing w:before="0"/>
        <w:ind w:firstLine="480"/>
        <w:textAlignment w:val="auto"/>
        <w:rPr>
          <w:rFonts w:ascii="宋体" w:hAnsi="宋体" w:cs="宋体"/>
          <w:color w:val="auto"/>
          <w:sz w:val="24"/>
          <w:szCs w:val="24"/>
          <w:highlight w:val="none"/>
        </w:rPr>
      </w:pPr>
      <w:r>
        <w:rPr>
          <w:rFonts w:hint="eastAsia" w:ascii="宋体" w:hAnsi="宋体" w:cs="宋体"/>
          <w:color w:val="auto"/>
          <w:sz w:val="24"/>
          <w:szCs w:val="24"/>
          <w:highlight w:val="none"/>
        </w:rPr>
        <w:t>3</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招标文件对投标文件签署、盖章的要求适用于电子签名。</w:t>
      </w:r>
    </w:p>
    <w:p w14:paraId="1D1FA7E8">
      <w:pPr>
        <w:pStyle w:val="123"/>
        <w:keepNext w:val="0"/>
        <w:keepLines w:val="0"/>
        <w:pageBreakBefore w:val="0"/>
        <w:widowControl w:val="0"/>
        <w:kinsoku/>
        <w:wordWrap/>
        <w:overflowPunct/>
        <w:topLinePunct w:val="0"/>
        <w:autoSpaceDE/>
        <w:autoSpaceDN/>
        <w:bidi w:val="0"/>
        <w:adjustRightInd w:val="0"/>
        <w:snapToGrid w:val="0"/>
        <w:spacing w:before="0"/>
        <w:ind w:firstLine="0" w:firstLineChars="0"/>
        <w:textAlignment w:val="auto"/>
        <w:rPr>
          <w:rFonts w:ascii="宋体" w:hAnsi="宋体" w:cs="宋体"/>
          <w:b/>
          <w:color w:val="auto"/>
          <w:sz w:val="24"/>
          <w:szCs w:val="24"/>
          <w:highlight w:val="none"/>
        </w:rPr>
      </w:pPr>
      <w:r>
        <w:rPr>
          <w:rFonts w:hint="eastAsia" w:ascii="宋体" w:hAnsi="宋体" w:cs="宋体"/>
          <w:b/>
          <w:color w:val="auto"/>
          <w:sz w:val="24"/>
          <w:szCs w:val="24"/>
          <w:highlight w:val="none"/>
          <w:lang w:val="en-US" w:eastAsia="zh-CN"/>
        </w:rPr>
        <w:t>3.</w:t>
      </w:r>
      <w:r>
        <w:rPr>
          <w:rFonts w:hint="eastAsia" w:ascii="宋体" w:hAnsi="宋体" w:cs="宋体"/>
          <w:b/>
          <w:color w:val="auto"/>
          <w:sz w:val="24"/>
          <w:szCs w:val="24"/>
          <w:highlight w:val="none"/>
        </w:rPr>
        <w:t>投标文件的提交、补充、修改、撤回</w:t>
      </w:r>
    </w:p>
    <w:p w14:paraId="17805E91">
      <w:pPr>
        <w:pStyle w:val="123"/>
        <w:keepNext w:val="0"/>
        <w:keepLines w:val="0"/>
        <w:pageBreakBefore w:val="0"/>
        <w:widowControl w:val="0"/>
        <w:kinsoku/>
        <w:wordWrap/>
        <w:overflowPunct/>
        <w:topLinePunct w:val="0"/>
        <w:autoSpaceDE/>
        <w:autoSpaceDN/>
        <w:bidi w:val="0"/>
        <w:adjustRightInd w:val="0"/>
        <w:snapToGrid w:val="0"/>
        <w:spacing w:before="0"/>
        <w:ind w:firstLine="480"/>
        <w:textAlignment w:val="auto"/>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3</w:t>
      </w:r>
      <w:r>
        <w:rPr>
          <w:rFonts w:hint="eastAsia" w:ascii="宋体" w:hAnsi="宋体" w:cs="宋体"/>
          <w:color w:val="auto"/>
          <w:sz w:val="24"/>
          <w:szCs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41F78ECA">
      <w:pPr>
        <w:pStyle w:val="123"/>
        <w:keepNext w:val="0"/>
        <w:keepLines w:val="0"/>
        <w:pageBreakBefore w:val="0"/>
        <w:widowControl w:val="0"/>
        <w:kinsoku/>
        <w:wordWrap/>
        <w:overflowPunct/>
        <w:topLinePunct w:val="0"/>
        <w:autoSpaceDE/>
        <w:autoSpaceDN/>
        <w:bidi w:val="0"/>
        <w:adjustRightInd w:val="0"/>
        <w:snapToGrid w:val="0"/>
        <w:spacing w:before="0"/>
        <w:ind w:firstLine="480"/>
        <w:textAlignment w:val="auto"/>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3</w:t>
      </w:r>
      <w:r>
        <w:rPr>
          <w:rFonts w:hint="eastAsia" w:ascii="宋体" w:hAnsi="宋体" w:cs="宋体"/>
          <w:color w:val="auto"/>
          <w:sz w:val="24"/>
          <w:szCs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0F28767D">
      <w:pPr>
        <w:pStyle w:val="123"/>
        <w:keepNext w:val="0"/>
        <w:keepLines w:val="0"/>
        <w:pageBreakBefore w:val="0"/>
        <w:widowControl w:val="0"/>
        <w:kinsoku/>
        <w:wordWrap/>
        <w:overflowPunct/>
        <w:topLinePunct w:val="0"/>
        <w:autoSpaceDE/>
        <w:autoSpaceDN/>
        <w:bidi w:val="0"/>
        <w:adjustRightInd w:val="0"/>
        <w:snapToGrid w:val="0"/>
        <w:spacing w:before="0"/>
        <w:ind w:firstLine="480"/>
        <w:textAlignment w:val="auto"/>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3</w:t>
      </w:r>
      <w:r>
        <w:rPr>
          <w:rFonts w:hint="eastAsia" w:ascii="宋体" w:hAnsi="宋体" w:cs="宋体"/>
          <w:color w:val="auto"/>
          <w:sz w:val="24"/>
          <w:szCs w:val="24"/>
          <w:highlight w:val="none"/>
        </w:rPr>
        <w:t>.3采购人、</w:t>
      </w:r>
      <w:r>
        <w:rPr>
          <w:rFonts w:hint="eastAsia" w:ascii="宋体" w:hAnsi="宋体" w:cs="宋体"/>
          <w:color w:val="auto"/>
          <w:sz w:val="24"/>
          <w:szCs w:val="24"/>
          <w:highlight w:val="none"/>
          <w:lang w:eastAsia="zh-CN"/>
        </w:rPr>
        <w:t>采购代理机构</w:t>
      </w:r>
      <w:r>
        <w:rPr>
          <w:rFonts w:hint="eastAsia" w:ascii="宋体" w:hAnsi="宋体" w:cs="宋体"/>
          <w:color w:val="auto"/>
          <w:sz w:val="24"/>
          <w:szCs w:val="24"/>
          <w:highlight w:val="none"/>
        </w:rPr>
        <w:t>可以视情况延长投标文件提交的截止时间。在上述情况下，</w:t>
      </w:r>
      <w:r>
        <w:rPr>
          <w:rFonts w:hint="eastAsia" w:ascii="宋体" w:hAnsi="宋体" w:cs="宋体"/>
          <w:color w:val="auto"/>
          <w:sz w:val="24"/>
          <w:szCs w:val="24"/>
          <w:highlight w:val="none"/>
          <w:lang w:eastAsia="zh-CN"/>
        </w:rPr>
        <w:t>采购代理机构</w:t>
      </w:r>
      <w:r>
        <w:rPr>
          <w:rFonts w:hint="eastAsia" w:ascii="宋体" w:hAnsi="宋体" w:cs="宋体"/>
          <w:color w:val="auto"/>
          <w:sz w:val="24"/>
          <w:szCs w:val="24"/>
          <w:highlight w:val="none"/>
        </w:rPr>
        <w:t>与投标人以前在投标截止期方面的全部权利、责任和义务，将适用于延长至新的投标截止期。</w:t>
      </w:r>
    </w:p>
    <w:p w14:paraId="535DC169">
      <w:pPr>
        <w:pStyle w:val="8"/>
        <w:keepNext w:val="0"/>
        <w:keepLines w:val="0"/>
        <w:pageBreakBefore w:val="0"/>
        <w:widowControl w:val="0"/>
        <w:kinsoku/>
        <w:wordWrap/>
        <w:overflowPunct/>
        <w:topLinePunct w:val="0"/>
        <w:autoSpaceDE/>
        <w:autoSpaceDN/>
        <w:bidi w:val="0"/>
        <w:adjustRightInd w:val="0"/>
        <w:snapToGrid w:val="0"/>
        <w:spacing w:beforeLines="0" w:afterLines="0" w:line="360" w:lineRule="auto"/>
        <w:textAlignment w:val="auto"/>
        <w:rPr>
          <w:rFonts w:hAnsi="宋体" w:cs="宋体"/>
          <w:b/>
          <w:color w:val="auto"/>
          <w:sz w:val="24"/>
          <w:szCs w:val="24"/>
          <w:highlight w:val="none"/>
        </w:rPr>
      </w:pPr>
      <w:r>
        <w:rPr>
          <w:rFonts w:hint="eastAsia" w:hAnsi="宋体" w:cs="宋体"/>
          <w:b/>
          <w:color w:val="auto"/>
          <w:sz w:val="24"/>
          <w:szCs w:val="24"/>
          <w:highlight w:val="none"/>
          <w:lang w:val="en-US" w:eastAsia="zh-CN"/>
        </w:rPr>
        <w:t>4</w:t>
      </w:r>
      <w:r>
        <w:rPr>
          <w:rFonts w:hint="eastAsia" w:hAnsi="宋体" w:cs="宋体"/>
          <w:b/>
          <w:color w:val="auto"/>
          <w:sz w:val="24"/>
          <w:szCs w:val="24"/>
          <w:highlight w:val="none"/>
        </w:rPr>
        <w:t>.备份投标文件</w:t>
      </w:r>
    </w:p>
    <w:p w14:paraId="1B66B628">
      <w:pPr>
        <w:pStyle w:val="8"/>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360" w:firstLineChars="150"/>
        <w:textAlignment w:val="auto"/>
        <w:rPr>
          <w:rFonts w:hAnsi="宋体" w:cs="宋体"/>
          <w:b/>
          <w:color w:val="auto"/>
          <w:sz w:val="24"/>
          <w:szCs w:val="24"/>
          <w:highlight w:val="none"/>
        </w:rPr>
      </w:pPr>
      <w:r>
        <w:rPr>
          <w:rFonts w:hint="eastAsia" w:hAnsi="宋体" w:cs="宋体"/>
          <w:color w:val="auto"/>
          <w:sz w:val="24"/>
          <w:szCs w:val="24"/>
          <w:highlight w:val="none"/>
        </w:rPr>
        <w:t xml:space="preserve"> </w:t>
      </w:r>
      <w:r>
        <w:rPr>
          <w:rFonts w:hint="eastAsia" w:hAnsi="宋体" w:cs="宋体"/>
          <w:color w:val="auto"/>
          <w:sz w:val="24"/>
          <w:szCs w:val="24"/>
          <w:highlight w:val="none"/>
          <w:lang w:val="en-US" w:eastAsia="zh-CN"/>
        </w:rPr>
        <w:t>4</w:t>
      </w:r>
      <w:r>
        <w:rPr>
          <w:rFonts w:hint="eastAsia" w:hAnsi="宋体" w:cs="宋体"/>
          <w:color w:val="auto"/>
          <w:sz w:val="24"/>
          <w:szCs w:val="24"/>
          <w:highlight w:val="none"/>
        </w:rPr>
        <w:t>.1投标人在电子交易平台传输递交投标文件后，还可以在投标截止时间前直接提交或者以邮政快递方式递交备份投标文件1份，</w:t>
      </w:r>
      <w:r>
        <w:rPr>
          <w:rFonts w:hint="eastAsia" w:hAnsi="宋体" w:cs="宋体"/>
          <w:b/>
          <w:color w:val="auto"/>
          <w:sz w:val="24"/>
          <w:szCs w:val="24"/>
          <w:highlight w:val="none"/>
        </w:rPr>
        <w:t>但采购人、</w:t>
      </w:r>
      <w:r>
        <w:rPr>
          <w:rFonts w:hint="eastAsia" w:hAnsi="宋体" w:cs="宋体"/>
          <w:b/>
          <w:color w:val="auto"/>
          <w:sz w:val="24"/>
          <w:szCs w:val="24"/>
          <w:highlight w:val="none"/>
          <w:lang w:eastAsia="zh-CN"/>
        </w:rPr>
        <w:t>采购代理机构</w:t>
      </w:r>
      <w:r>
        <w:rPr>
          <w:rFonts w:hint="eastAsia" w:hAnsi="宋体" w:cs="宋体"/>
          <w:b/>
          <w:color w:val="auto"/>
          <w:sz w:val="24"/>
          <w:szCs w:val="24"/>
          <w:highlight w:val="none"/>
        </w:rPr>
        <w:t>不强制或变相强制投标人提交备份投标文件。</w:t>
      </w:r>
    </w:p>
    <w:p w14:paraId="107629C0">
      <w:pPr>
        <w:pStyle w:val="8"/>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0" w:firstLineChars="200"/>
        <w:textAlignment w:val="auto"/>
        <w:rPr>
          <w:rFonts w:hAnsi="宋体" w:cs="宋体"/>
          <w:b/>
          <w:color w:val="auto"/>
          <w:sz w:val="24"/>
          <w:szCs w:val="24"/>
          <w:highlight w:val="none"/>
        </w:rPr>
      </w:pPr>
      <w:r>
        <w:rPr>
          <w:rFonts w:hint="eastAsia" w:hAnsi="宋体" w:cs="宋体"/>
          <w:color w:val="auto"/>
          <w:sz w:val="24"/>
          <w:szCs w:val="24"/>
          <w:highlight w:val="none"/>
          <w:lang w:val="en-US" w:eastAsia="zh-CN"/>
        </w:rPr>
        <w:t>4</w:t>
      </w:r>
      <w:r>
        <w:rPr>
          <w:rFonts w:hint="eastAsia" w:hAnsi="宋体" w:cs="宋体"/>
          <w:color w:val="auto"/>
          <w:sz w:val="24"/>
          <w:szCs w:val="24"/>
          <w:highlight w:val="none"/>
        </w:rPr>
        <w:t>.2备份投标文件须在“政采云投标客户端”制作生成，并储存在DVD光盘</w:t>
      </w:r>
      <w:r>
        <w:rPr>
          <w:rFonts w:hint="eastAsia" w:hAnsi="宋体" w:cs="宋体"/>
          <w:color w:val="auto"/>
          <w:sz w:val="24"/>
          <w:szCs w:val="24"/>
          <w:highlight w:val="none"/>
          <w:lang w:val="en-US" w:eastAsia="zh-CN"/>
        </w:rPr>
        <w:t>等存储介质</w:t>
      </w:r>
      <w:r>
        <w:rPr>
          <w:rFonts w:hint="eastAsia" w:hAnsi="宋体" w:cs="宋体"/>
          <w:color w:val="auto"/>
          <w:sz w:val="24"/>
          <w:szCs w:val="24"/>
          <w:highlight w:val="none"/>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hAnsi="宋体" w:cs="宋体"/>
          <w:b/>
          <w:color w:val="auto"/>
          <w:sz w:val="24"/>
          <w:szCs w:val="24"/>
          <w:highlight w:val="none"/>
        </w:rPr>
        <w:t>不符合上述制作、存储、密封规定的备份投标文件将被视为无效或者被拒绝接收。</w:t>
      </w:r>
    </w:p>
    <w:p w14:paraId="3FC82C9D">
      <w:pPr>
        <w:pStyle w:val="8"/>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0" w:firstLineChars="200"/>
        <w:textAlignment w:val="auto"/>
        <w:rPr>
          <w:rFonts w:hAnsi="宋体" w:cs="宋体"/>
          <w:color w:val="auto"/>
          <w:sz w:val="24"/>
          <w:szCs w:val="24"/>
          <w:highlight w:val="none"/>
        </w:rPr>
      </w:pPr>
      <w:r>
        <w:rPr>
          <w:rFonts w:hint="eastAsia" w:hAnsi="宋体" w:cs="宋体"/>
          <w:color w:val="auto"/>
          <w:sz w:val="24"/>
          <w:szCs w:val="24"/>
          <w:highlight w:val="none"/>
          <w:lang w:val="en-US" w:eastAsia="zh-CN"/>
        </w:rPr>
        <w:t>4</w:t>
      </w:r>
      <w:r>
        <w:rPr>
          <w:rFonts w:hint="eastAsia" w:hAnsi="宋体" w:cs="宋体"/>
          <w:color w:val="auto"/>
          <w:sz w:val="24"/>
          <w:szCs w:val="24"/>
          <w:highlight w:val="none"/>
        </w:rPr>
        <w:t>.3直接提交备份投标文件的，投标人应于投标截止时间前在招标公告中载明的开标地点将备份投标文件提交给</w:t>
      </w:r>
      <w:r>
        <w:rPr>
          <w:rFonts w:hint="eastAsia" w:hAnsi="宋体" w:cs="宋体"/>
          <w:color w:val="auto"/>
          <w:sz w:val="24"/>
          <w:szCs w:val="24"/>
          <w:highlight w:val="none"/>
          <w:lang w:eastAsia="zh-CN"/>
        </w:rPr>
        <w:t>采购代理机构</w:t>
      </w:r>
      <w:r>
        <w:rPr>
          <w:rFonts w:hint="eastAsia" w:hAnsi="宋体" w:cs="宋体"/>
          <w:color w:val="auto"/>
          <w:sz w:val="24"/>
          <w:szCs w:val="24"/>
          <w:highlight w:val="none"/>
        </w:rPr>
        <w:t>，</w:t>
      </w:r>
      <w:r>
        <w:rPr>
          <w:rFonts w:hint="eastAsia" w:hAnsi="宋体" w:cs="宋体"/>
          <w:color w:val="auto"/>
          <w:sz w:val="24"/>
          <w:szCs w:val="24"/>
          <w:highlight w:val="none"/>
          <w:lang w:eastAsia="zh-CN"/>
        </w:rPr>
        <w:t>采购代理机构</w:t>
      </w:r>
      <w:r>
        <w:rPr>
          <w:rFonts w:hint="eastAsia" w:hAnsi="宋体" w:cs="宋体"/>
          <w:color w:val="auto"/>
          <w:sz w:val="24"/>
          <w:szCs w:val="24"/>
          <w:highlight w:val="none"/>
        </w:rPr>
        <w:t>将拒绝接受逾期送达的备份投标文件。</w:t>
      </w:r>
    </w:p>
    <w:p w14:paraId="0FF211E6">
      <w:pPr>
        <w:pStyle w:val="8"/>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0" w:firstLineChars="200"/>
        <w:textAlignment w:val="auto"/>
        <w:rPr>
          <w:rFonts w:hAnsi="宋体" w:cs="宋体"/>
          <w:color w:val="auto"/>
          <w:sz w:val="24"/>
          <w:szCs w:val="24"/>
          <w:highlight w:val="none"/>
        </w:rPr>
      </w:pPr>
      <w:r>
        <w:rPr>
          <w:rFonts w:hint="eastAsia" w:hAnsi="宋体" w:cs="宋体"/>
          <w:color w:val="auto"/>
          <w:sz w:val="24"/>
          <w:szCs w:val="24"/>
          <w:highlight w:val="none"/>
          <w:lang w:val="en-US" w:eastAsia="zh-CN"/>
        </w:rPr>
        <w:t>4</w:t>
      </w:r>
      <w:r>
        <w:rPr>
          <w:rFonts w:hint="eastAsia" w:hAnsi="宋体" w:cs="宋体"/>
          <w:color w:val="auto"/>
          <w:sz w:val="24"/>
          <w:szCs w:val="24"/>
          <w:highlight w:val="none"/>
        </w:rPr>
        <w:t>.4以邮政快递方式递交备份投标文件的，投标人应先将备份投标文件按要求密封和标记，再进行邮政快递包装后邮寄。备份投标文件须在投标截止时间之前送达</w:t>
      </w:r>
      <w:r>
        <w:rPr>
          <w:rFonts w:hint="eastAsia" w:hAnsi="宋体" w:cs="宋体"/>
          <w:snapToGrid/>
          <w:color w:val="auto"/>
          <w:sz w:val="24"/>
          <w:szCs w:val="24"/>
          <w:highlight w:val="none"/>
        </w:rPr>
        <w:t>招标文件第二部分投标人须知前附表规定的备份投标文件送达地点；</w:t>
      </w:r>
      <w:r>
        <w:rPr>
          <w:rFonts w:hint="eastAsia" w:hAnsi="宋体" w:cs="宋体"/>
          <w:color w:val="auto"/>
          <w:sz w:val="24"/>
          <w:szCs w:val="24"/>
          <w:highlight w:val="none"/>
        </w:rPr>
        <w:t>送达时间以签收人签收时间为准。</w:t>
      </w:r>
      <w:r>
        <w:rPr>
          <w:rFonts w:hint="eastAsia" w:hAnsi="宋体" w:cs="宋体"/>
          <w:color w:val="auto"/>
          <w:sz w:val="24"/>
          <w:szCs w:val="24"/>
          <w:highlight w:val="none"/>
          <w:lang w:eastAsia="zh-CN"/>
        </w:rPr>
        <w:t>采购代理机构</w:t>
      </w:r>
      <w:r>
        <w:rPr>
          <w:rFonts w:hint="eastAsia" w:hAnsi="宋体" w:cs="宋体"/>
          <w:color w:val="auto"/>
          <w:sz w:val="24"/>
          <w:szCs w:val="24"/>
          <w:highlight w:val="none"/>
        </w:rPr>
        <w:t>将拒绝接受逾期送达的备份投标文件。邮寄过程中，电子备份投标文件发生泄露、遗失、损坏或延期送达等情况的，由投标人自行负责。</w:t>
      </w:r>
    </w:p>
    <w:p w14:paraId="5866ECD0">
      <w:pPr>
        <w:pStyle w:val="8"/>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79" w:firstLineChars="199"/>
        <w:textAlignment w:val="auto"/>
        <w:rPr>
          <w:rFonts w:hAnsi="宋体" w:cs="宋体"/>
          <w:b/>
          <w:color w:val="auto"/>
          <w:sz w:val="24"/>
          <w:szCs w:val="24"/>
          <w:highlight w:val="none"/>
        </w:rPr>
      </w:pPr>
      <w:r>
        <w:rPr>
          <w:rFonts w:hint="eastAsia" w:hAnsi="宋体" w:cs="宋体"/>
          <w:b/>
          <w:color w:val="auto"/>
          <w:sz w:val="24"/>
          <w:szCs w:val="24"/>
          <w:highlight w:val="none"/>
          <w:lang w:val="en-US" w:eastAsia="zh-CN"/>
        </w:rPr>
        <w:t>4</w:t>
      </w:r>
      <w:r>
        <w:rPr>
          <w:rFonts w:hint="eastAsia" w:hAnsi="宋体" w:cs="宋体"/>
          <w:b/>
          <w:color w:val="auto"/>
          <w:sz w:val="24"/>
          <w:szCs w:val="24"/>
          <w:highlight w:val="none"/>
        </w:rPr>
        <w:t>.5投标人仅提交备份投标文件，未在电子交易平台传输递交投标文件的，投标无效。</w:t>
      </w:r>
    </w:p>
    <w:p w14:paraId="20EC2AC0">
      <w:pPr>
        <w:pStyle w:val="123"/>
        <w:keepNext w:val="0"/>
        <w:keepLines w:val="0"/>
        <w:pageBreakBefore w:val="0"/>
        <w:widowControl w:val="0"/>
        <w:kinsoku/>
        <w:wordWrap/>
        <w:overflowPunct/>
        <w:topLinePunct w:val="0"/>
        <w:autoSpaceDE/>
        <w:autoSpaceDN/>
        <w:bidi w:val="0"/>
        <w:adjustRightInd w:val="0"/>
        <w:snapToGrid w:val="0"/>
        <w:spacing w:before="0"/>
        <w:ind w:firstLine="0" w:firstLineChars="0"/>
        <w:textAlignment w:val="auto"/>
        <w:rPr>
          <w:rFonts w:ascii="宋体" w:hAnsi="宋体" w:cs="宋体"/>
          <w:b/>
          <w:color w:val="auto"/>
          <w:sz w:val="24"/>
          <w:szCs w:val="24"/>
          <w:highlight w:val="none"/>
        </w:rPr>
      </w:pPr>
      <w:r>
        <w:rPr>
          <w:rFonts w:hint="eastAsia" w:ascii="宋体" w:hAnsi="宋体" w:cs="宋体"/>
          <w:b/>
          <w:color w:val="auto"/>
          <w:sz w:val="24"/>
          <w:szCs w:val="24"/>
          <w:highlight w:val="none"/>
          <w:lang w:val="en-US" w:eastAsia="zh-CN"/>
        </w:rPr>
        <w:t>5</w:t>
      </w:r>
      <w:r>
        <w:rPr>
          <w:rFonts w:hint="eastAsia" w:ascii="宋体" w:hAnsi="宋体" w:cs="宋体"/>
          <w:b/>
          <w:color w:val="auto"/>
          <w:sz w:val="24"/>
          <w:szCs w:val="24"/>
          <w:highlight w:val="none"/>
        </w:rPr>
        <w:t>.投标文件的无效处理</w:t>
      </w:r>
    </w:p>
    <w:p w14:paraId="259727B6">
      <w:pPr>
        <w:pStyle w:val="17"/>
        <w:keepNext w:val="0"/>
        <w:keepLines w:val="0"/>
        <w:pageBreakBefore w:val="0"/>
        <w:widowControl w:val="0"/>
        <w:kinsoku/>
        <w:wordWrap/>
        <w:overflowPunct/>
        <w:topLinePunct w:val="0"/>
        <w:autoSpaceDE/>
        <w:autoSpaceDN/>
        <w:bidi w:val="0"/>
        <w:adjustRightInd w:val="0"/>
        <w:snapToGrid w:val="0"/>
        <w:spacing w:line="360" w:lineRule="auto"/>
        <w:ind w:firstLine="348" w:firstLineChars="150"/>
        <w:textAlignment w:val="auto"/>
        <w:rPr>
          <w:rFonts w:cs="宋体"/>
          <w:color w:val="auto"/>
          <w:sz w:val="24"/>
          <w:szCs w:val="24"/>
          <w:highlight w:val="none"/>
        </w:rPr>
      </w:pPr>
      <w:r>
        <w:rPr>
          <w:rFonts w:hint="eastAsia" w:cs="宋体"/>
          <w:color w:val="auto"/>
          <w:sz w:val="24"/>
          <w:szCs w:val="24"/>
          <w:highlight w:val="none"/>
        </w:rPr>
        <w:t>有招标文件第</w:t>
      </w:r>
      <w:r>
        <w:rPr>
          <w:rFonts w:hint="eastAsia" w:cs="宋体"/>
          <w:color w:val="auto"/>
          <w:sz w:val="24"/>
          <w:szCs w:val="24"/>
          <w:highlight w:val="none"/>
          <w:lang w:val="en-US" w:eastAsia="zh-CN"/>
        </w:rPr>
        <w:t>三</w:t>
      </w:r>
      <w:r>
        <w:rPr>
          <w:rFonts w:hint="eastAsia" w:cs="宋体"/>
          <w:color w:val="auto"/>
          <w:sz w:val="24"/>
          <w:szCs w:val="24"/>
          <w:highlight w:val="none"/>
        </w:rPr>
        <w:t>部分</w:t>
      </w:r>
      <w:r>
        <w:rPr>
          <w:rFonts w:cs="宋体"/>
          <w:color w:val="auto"/>
          <w:sz w:val="24"/>
          <w:szCs w:val="24"/>
          <w:highlight w:val="none"/>
        </w:rPr>
        <w:t>4.2规定</w:t>
      </w:r>
      <w:r>
        <w:rPr>
          <w:rFonts w:hint="eastAsia" w:cs="宋体"/>
          <w:color w:val="auto"/>
          <w:sz w:val="24"/>
          <w:szCs w:val="24"/>
          <w:highlight w:val="none"/>
        </w:rPr>
        <w:t>的情形之一的，投标无效：</w:t>
      </w:r>
    </w:p>
    <w:p w14:paraId="5AEE4CC2">
      <w:pPr>
        <w:pStyle w:val="123"/>
        <w:keepNext w:val="0"/>
        <w:keepLines w:val="0"/>
        <w:pageBreakBefore w:val="0"/>
        <w:widowControl w:val="0"/>
        <w:kinsoku/>
        <w:wordWrap/>
        <w:overflowPunct/>
        <w:topLinePunct w:val="0"/>
        <w:autoSpaceDE/>
        <w:autoSpaceDN/>
        <w:bidi w:val="0"/>
        <w:adjustRightInd w:val="0"/>
        <w:snapToGrid w:val="0"/>
        <w:spacing w:before="0"/>
        <w:ind w:firstLine="0" w:firstLineChars="0"/>
        <w:textAlignment w:val="auto"/>
        <w:rPr>
          <w:rFonts w:ascii="宋体" w:hAnsi="宋体" w:cs="宋体"/>
          <w:b/>
          <w:color w:val="auto"/>
          <w:sz w:val="24"/>
          <w:szCs w:val="24"/>
          <w:highlight w:val="none"/>
        </w:rPr>
      </w:pPr>
      <w:r>
        <w:rPr>
          <w:rFonts w:hint="eastAsia" w:ascii="宋体" w:hAnsi="宋体" w:cs="宋体"/>
          <w:b/>
          <w:color w:val="auto"/>
          <w:sz w:val="24"/>
          <w:szCs w:val="24"/>
          <w:highlight w:val="none"/>
          <w:lang w:val="en-US" w:eastAsia="zh-CN"/>
        </w:rPr>
        <w:t>6</w:t>
      </w:r>
      <w:r>
        <w:rPr>
          <w:rFonts w:hint="eastAsia" w:ascii="宋体" w:hAnsi="宋体" w:cs="宋体"/>
          <w:b/>
          <w:color w:val="auto"/>
          <w:sz w:val="24"/>
          <w:szCs w:val="24"/>
          <w:highlight w:val="none"/>
        </w:rPr>
        <w:t>.投标有效期</w:t>
      </w:r>
    </w:p>
    <w:p w14:paraId="6EC7945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宋体" w:hAnsi="宋体" w:cs="宋体"/>
          <w:b/>
          <w:color w:val="auto"/>
          <w:sz w:val="24"/>
          <w:szCs w:val="24"/>
          <w:highlight w:val="none"/>
        </w:rPr>
      </w:pPr>
      <w:r>
        <w:rPr>
          <w:rFonts w:hint="eastAsia" w:ascii="宋体" w:hAnsi="宋体" w:cs="宋体"/>
          <w:color w:val="auto"/>
          <w:sz w:val="24"/>
          <w:szCs w:val="24"/>
          <w:highlight w:val="none"/>
          <w:lang w:val="en-US" w:eastAsia="zh-CN"/>
        </w:rPr>
        <w:t>6</w:t>
      </w:r>
      <w:r>
        <w:rPr>
          <w:rFonts w:hint="eastAsia" w:ascii="宋体" w:hAnsi="宋体" w:cs="宋体"/>
          <w:color w:val="auto"/>
          <w:sz w:val="24"/>
          <w:szCs w:val="24"/>
          <w:highlight w:val="none"/>
        </w:rPr>
        <w:t>.1投标有效期为从提交投标文件的截止之日起90天。▲</w:t>
      </w:r>
      <w:r>
        <w:rPr>
          <w:rFonts w:hint="eastAsia" w:ascii="宋体" w:hAnsi="宋体" w:cs="宋体"/>
          <w:b/>
          <w:color w:val="auto"/>
          <w:sz w:val="24"/>
          <w:szCs w:val="24"/>
          <w:highlight w:val="none"/>
        </w:rPr>
        <w:t>投标人的投标文件中承诺的投标有效期少于招标文件中载明的投标有效期的，投标无效。</w:t>
      </w:r>
    </w:p>
    <w:p w14:paraId="1F70FD2C">
      <w:pPr>
        <w:pStyle w:val="123"/>
        <w:keepNext w:val="0"/>
        <w:keepLines w:val="0"/>
        <w:pageBreakBefore w:val="0"/>
        <w:widowControl w:val="0"/>
        <w:kinsoku/>
        <w:wordWrap/>
        <w:overflowPunct/>
        <w:topLinePunct w:val="0"/>
        <w:autoSpaceDE/>
        <w:autoSpaceDN/>
        <w:bidi w:val="0"/>
        <w:adjustRightInd w:val="0"/>
        <w:snapToGrid w:val="0"/>
        <w:spacing w:before="0"/>
        <w:ind w:firstLine="480"/>
        <w:textAlignment w:val="auto"/>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6</w:t>
      </w:r>
      <w:r>
        <w:rPr>
          <w:rFonts w:hint="eastAsia" w:ascii="宋体" w:hAnsi="宋体" w:cs="宋体"/>
          <w:color w:val="auto"/>
          <w:sz w:val="24"/>
          <w:szCs w:val="24"/>
          <w:highlight w:val="none"/>
        </w:rPr>
        <w:t>.2投标文件合格投递后，自投标截止日期起，在投标有效期内有效。</w:t>
      </w:r>
    </w:p>
    <w:p w14:paraId="3149E98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6</w:t>
      </w:r>
      <w:r>
        <w:rPr>
          <w:rFonts w:hint="eastAsia" w:ascii="宋体" w:hAnsi="宋体" w:cs="宋体"/>
          <w:color w:val="auto"/>
          <w:sz w:val="24"/>
          <w:szCs w:val="24"/>
          <w:highlight w:val="none"/>
        </w:rPr>
        <w:t>.3在原定投标有效期满之前，如果出现特殊情况，</w:t>
      </w:r>
      <w:r>
        <w:rPr>
          <w:rFonts w:hint="eastAsia" w:ascii="宋体" w:hAnsi="宋体" w:cs="宋体"/>
          <w:color w:val="auto"/>
          <w:sz w:val="24"/>
          <w:szCs w:val="24"/>
          <w:highlight w:val="none"/>
          <w:lang w:eastAsia="zh-CN"/>
        </w:rPr>
        <w:t>采购代理机构</w:t>
      </w:r>
      <w:r>
        <w:rPr>
          <w:rFonts w:hint="eastAsia" w:ascii="宋体" w:hAnsi="宋体" w:cs="宋体"/>
          <w:color w:val="auto"/>
          <w:sz w:val="24"/>
          <w:szCs w:val="24"/>
          <w:highlight w:val="none"/>
        </w:rPr>
        <w:t>可以以书面形式通知投标人延长投标有效期。投标人同意延长的，不得要求或被允许修改其投标文件，投标人拒绝延长的，其投标无效。</w:t>
      </w:r>
    </w:p>
    <w:p w14:paraId="2B49595D">
      <w:pPr>
        <w:pStyle w:val="17"/>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0"/>
        <w:jc w:val="center"/>
        <w:textAlignment w:val="auto"/>
        <w:outlineLvl w:val="1"/>
        <w:rPr>
          <w:rFonts w:hint="default" w:hAnsi="宋体" w:cs="宋体"/>
          <w:b/>
          <w:snapToGrid w:val="0"/>
          <w:color w:val="auto"/>
          <w:sz w:val="28"/>
          <w:szCs w:val="28"/>
          <w:highlight w:val="none"/>
        </w:rPr>
      </w:pPr>
      <w:r>
        <w:rPr>
          <w:rFonts w:hAnsi="宋体" w:cs="宋体"/>
          <w:b/>
          <w:color w:val="auto"/>
          <w:sz w:val="28"/>
          <w:szCs w:val="28"/>
          <w:highlight w:val="none"/>
        </w:rPr>
        <w:t>四、开标</w:t>
      </w:r>
    </w:p>
    <w:p w14:paraId="622EFF67">
      <w:pPr>
        <w:pStyle w:val="6"/>
        <w:adjustRightInd w:val="0"/>
        <w:snapToGrid w:val="0"/>
        <w:spacing w:before="0" w:after="0" w:line="360" w:lineRule="auto"/>
        <w:rPr>
          <w:rFonts w:hint="default" w:ascii="宋体" w:hAnsi="宋体" w:cs="宋体"/>
          <w:color w:val="auto"/>
          <w:sz w:val="24"/>
          <w:szCs w:val="24"/>
          <w:highlight w:val="none"/>
        </w:rPr>
      </w:pPr>
      <w:r>
        <w:rPr>
          <w:rFonts w:ascii="宋体" w:hAnsi="宋体" w:cs="宋体"/>
          <w:color w:val="auto"/>
          <w:sz w:val="24"/>
          <w:szCs w:val="24"/>
          <w:highlight w:val="none"/>
        </w:rPr>
        <w:t>（一）开标形式</w:t>
      </w:r>
    </w:p>
    <w:p w14:paraId="18F43BB2">
      <w:pPr>
        <w:pStyle w:val="152"/>
        <w:spacing w:before="0" w:line="360" w:lineRule="auto"/>
        <w:ind w:left="0"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按照招标文件规定的时间通过电子交易平台组织开标，所有投标人均应当准时在线参加。投标人不足3家的，不得开标。</w:t>
      </w:r>
    </w:p>
    <w:p w14:paraId="656032E7">
      <w:pPr>
        <w:pStyle w:val="152"/>
        <w:spacing w:before="0" w:line="360" w:lineRule="auto"/>
        <w:ind w:left="0" w:firstLine="240" w:firstLineChars="100"/>
        <w:contextualSpacing/>
        <w:rPr>
          <w:rFonts w:ascii="宋体" w:hAnsi="宋体" w:cs="宋体"/>
          <w:color w:val="auto"/>
          <w:sz w:val="24"/>
          <w:highlight w:val="none"/>
        </w:rPr>
      </w:pPr>
      <w:r>
        <w:rPr>
          <w:rFonts w:hint="eastAsia" w:ascii="宋体" w:hAnsi="宋体" w:cs="宋体"/>
          <w:color w:val="auto"/>
          <w:sz w:val="24"/>
          <w:highlight w:val="none"/>
        </w:rPr>
        <w:t>　2</w:t>
      </w:r>
      <w:r>
        <w:rPr>
          <w:rFonts w:hint="eastAsia" w:ascii="宋体" w:hAnsi="宋体" w:cs="宋体"/>
          <w:color w:val="auto"/>
          <w:sz w:val="24"/>
          <w:highlight w:val="none"/>
          <w:lang w:val="en-US" w:eastAsia="zh-CN"/>
        </w:rPr>
        <w:t>.</w:t>
      </w:r>
      <w:r>
        <w:rPr>
          <w:rFonts w:hint="eastAsia" w:ascii="宋体" w:hAnsi="宋体" w:cs="宋体"/>
          <w:color w:val="auto"/>
          <w:sz w:val="24"/>
          <w:highlight w:val="none"/>
        </w:rPr>
        <w:t>开标时，电子交易平台按开标时间自动提取所有投标文件。</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依托电子交易平台发起开始解密指令，投标人按照平台提示和招标文件的规定在半小时内完成在线解密。</w:t>
      </w:r>
    </w:p>
    <w:p w14:paraId="2C4D4991">
      <w:pPr>
        <w:pStyle w:val="152"/>
        <w:spacing w:before="0" w:line="360" w:lineRule="auto"/>
        <w:ind w:left="0" w:firstLine="482" w:firstLineChars="200"/>
        <w:contextualSpacing/>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w:t>
      </w:r>
      <w:r>
        <w:rPr>
          <w:rFonts w:hint="eastAsia" w:ascii="宋体" w:hAnsi="宋体" w:eastAsia="宋体" w:cs="宋体"/>
          <w:b/>
          <w:bCs/>
          <w:color w:val="auto"/>
          <w:sz w:val="24"/>
          <w:highlight w:val="none"/>
          <w:lang w:val="en-US" w:eastAsia="zh-CN"/>
        </w:rPr>
        <w:t>.</w:t>
      </w:r>
      <w:r>
        <w:rPr>
          <w:rFonts w:hint="eastAsia" w:ascii="宋体" w:hAnsi="宋体" w:eastAsia="宋体" w:cs="宋体"/>
          <w:b/>
          <w:bCs/>
          <w:color w:val="auto"/>
          <w:sz w:val="24"/>
          <w:highlight w:val="none"/>
        </w:rPr>
        <w:t>投标文件未按时解密，投标人提供了备份投标文件的，以备份投标文件作为依据，否则视为投标文件撤回。投标文件已按时解密的，备份投标文件自动失效。</w:t>
      </w:r>
    </w:p>
    <w:p w14:paraId="6817653C">
      <w:pPr>
        <w:pStyle w:val="6"/>
        <w:adjustRightInd w:val="0"/>
        <w:snapToGrid w:val="0"/>
        <w:spacing w:before="0" w:after="0"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(二)</w:t>
      </w:r>
      <w:r>
        <w:rPr>
          <w:rFonts w:hint="eastAsia" w:ascii="宋体" w:hAnsi="宋体" w:eastAsia="宋体" w:cs="宋体"/>
          <w:color w:val="auto"/>
          <w:sz w:val="24"/>
          <w:szCs w:val="24"/>
          <w:highlight w:val="none"/>
        </w:rPr>
        <w:t>资格审查</w:t>
      </w:r>
    </w:p>
    <w:p w14:paraId="48720685">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lang w:val="en-US" w:eastAsia="zh-CN"/>
        </w:rPr>
        <w:t>1.</w:t>
      </w:r>
      <w:r>
        <w:rPr>
          <w:rFonts w:hint="eastAsia" w:ascii="宋体" w:hAnsi="宋体" w:cs="宋体"/>
          <w:color w:val="auto"/>
          <w:sz w:val="24"/>
          <w:highlight w:val="none"/>
        </w:rPr>
        <w:t>采购人或</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依据法律法规和招标文件的规定，对投标人的资格进行审查。</w:t>
      </w:r>
    </w:p>
    <w:p w14:paraId="2C9C7FF3">
      <w:pPr>
        <w:pStyle w:val="123"/>
        <w:spacing w:before="0"/>
        <w:ind w:firstLine="480"/>
        <w:rPr>
          <w:rFonts w:ascii="宋体" w:hAnsi="宋体" w:cs="宋体"/>
          <w:color w:val="auto"/>
          <w:highlight w:val="none"/>
        </w:rPr>
      </w:pPr>
      <w:r>
        <w:rPr>
          <w:rFonts w:hint="eastAsia" w:ascii="宋体" w:hAnsi="宋体" w:cs="宋体"/>
          <w:color w:val="auto"/>
          <w:kern w:val="0"/>
          <w:szCs w:val="24"/>
          <w:highlight w:val="none"/>
          <w:lang w:val="en-US" w:eastAsia="zh-CN"/>
        </w:rPr>
        <w:t>2.</w:t>
      </w:r>
      <w:r>
        <w:rPr>
          <w:rFonts w:hint="eastAsia" w:ascii="宋体" w:hAnsi="宋体" w:cs="宋体"/>
          <w:color w:val="auto"/>
          <w:kern w:val="0"/>
          <w:szCs w:val="24"/>
          <w:highlight w:val="none"/>
        </w:rPr>
        <w:t>投标人未按照招标文件要求提供与</w:t>
      </w:r>
      <w:r>
        <w:rPr>
          <w:rFonts w:hint="eastAsia" w:ascii="宋体" w:hAnsi="宋体" w:cs="宋体"/>
          <w:color w:val="auto"/>
          <w:highlight w:val="none"/>
        </w:rPr>
        <w:t>资格条件相应的</w:t>
      </w:r>
      <w:r>
        <w:rPr>
          <w:rFonts w:hint="eastAsia" w:ascii="宋体" w:hAnsi="宋体" w:cs="宋体"/>
          <w:color w:val="auto"/>
          <w:kern w:val="0"/>
          <w:szCs w:val="24"/>
          <w:highlight w:val="none"/>
        </w:rPr>
        <w:t>有效资格证明材料的，视为</w:t>
      </w:r>
      <w:r>
        <w:rPr>
          <w:rFonts w:hint="eastAsia" w:ascii="宋体" w:hAnsi="宋体" w:cs="宋体"/>
          <w:color w:val="auto"/>
          <w:highlight w:val="none"/>
        </w:rPr>
        <w:t>投标人不具备招标文件中规定的资格要求，其投标无效。</w:t>
      </w:r>
    </w:p>
    <w:p w14:paraId="75E0BFE3">
      <w:pPr>
        <w:pStyle w:val="123"/>
        <w:spacing w:before="0"/>
        <w:ind w:firstLine="480"/>
        <w:rPr>
          <w:rFonts w:ascii="宋体" w:hAnsi="宋体" w:cs="宋体"/>
          <w:color w:val="auto"/>
          <w:highlight w:val="none"/>
        </w:rPr>
      </w:pPr>
      <w:r>
        <w:rPr>
          <w:rFonts w:hint="eastAsia" w:ascii="宋体" w:hAnsi="宋体" w:cs="宋体"/>
          <w:color w:val="auto"/>
          <w:highlight w:val="none"/>
          <w:lang w:val="en-US" w:eastAsia="zh-CN"/>
        </w:rPr>
        <w:t>3.</w:t>
      </w:r>
      <w:r>
        <w:rPr>
          <w:rFonts w:hint="eastAsia" w:ascii="宋体" w:hAnsi="宋体" w:cs="宋体"/>
          <w:color w:val="auto"/>
          <w:highlight w:val="none"/>
        </w:rPr>
        <w:t>对未通过资格审查的投标人，采购人或</w:t>
      </w:r>
      <w:r>
        <w:rPr>
          <w:rFonts w:hint="eastAsia" w:ascii="宋体" w:hAnsi="宋体" w:cs="宋体"/>
          <w:color w:val="auto"/>
          <w:highlight w:val="none"/>
          <w:lang w:eastAsia="zh-CN"/>
        </w:rPr>
        <w:t>采购代理机构</w:t>
      </w:r>
      <w:r>
        <w:rPr>
          <w:rFonts w:hint="eastAsia" w:ascii="宋体" w:hAnsi="宋体" w:cs="宋体"/>
          <w:color w:val="auto"/>
          <w:highlight w:val="none"/>
        </w:rPr>
        <w:t>告知其未通过的原因。</w:t>
      </w:r>
    </w:p>
    <w:p w14:paraId="6DDE4A3B">
      <w:pPr>
        <w:pStyle w:val="123"/>
        <w:adjustRightInd w:val="0"/>
        <w:snapToGrid w:val="0"/>
        <w:spacing w:before="0"/>
        <w:ind w:firstLine="480"/>
        <w:rPr>
          <w:rFonts w:hint="eastAsia" w:ascii="宋体" w:hAnsi="宋体" w:cs="宋体"/>
          <w:color w:val="auto"/>
          <w:highlight w:val="none"/>
        </w:rPr>
      </w:pPr>
      <w:r>
        <w:rPr>
          <w:rFonts w:hint="eastAsia" w:ascii="宋体" w:hAnsi="宋体" w:cs="宋体"/>
          <w:color w:val="auto"/>
          <w:highlight w:val="none"/>
          <w:lang w:val="en-US" w:eastAsia="zh-CN"/>
        </w:rPr>
        <w:t>4.</w:t>
      </w:r>
      <w:r>
        <w:rPr>
          <w:rFonts w:hint="eastAsia" w:ascii="宋体" w:hAnsi="宋体" w:cs="宋体"/>
          <w:color w:val="auto"/>
          <w:highlight w:val="none"/>
        </w:rPr>
        <w:t>合格投标人不足3家的，不再评标。</w:t>
      </w:r>
    </w:p>
    <w:p w14:paraId="135731F0">
      <w:pPr>
        <w:pStyle w:val="123"/>
        <w:spacing w:before="0"/>
        <w:ind w:left="0" w:leftChars="0" w:firstLine="0" w:firstLineChars="0"/>
        <w:rPr>
          <w:rFonts w:ascii="宋体" w:hAnsi="宋体" w:cs="宋体"/>
          <w:b/>
          <w:color w:val="auto"/>
          <w:szCs w:val="24"/>
          <w:highlight w:val="none"/>
        </w:rPr>
      </w:pPr>
      <w:r>
        <w:rPr>
          <w:rFonts w:hint="eastAsia" w:ascii="宋体" w:hAnsi="宋体" w:cs="宋体"/>
          <w:b/>
          <w:color w:val="auto"/>
          <w:szCs w:val="24"/>
          <w:highlight w:val="none"/>
          <w:lang w:val="en-US" w:eastAsia="zh-CN"/>
        </w:rPr>
        <w:t>(三)</w:t>
      </w:r>
      <w:r>
        <w:rPr>
          <w:rFonts w:hint="eastAsia" w:ascii="宋体" w:hAnsi="宋体" w:cs="宋体"/>
          <w:b/>
          <w:color w:val="auto"/>
          <w:szCs w:val="24"/>
          <w:highlight w:val="none"/>
        </w:rPr>
        <w:t>信用信息查询</w:t>
      </w:r>
    </w:p>
    <w:p w14:paraId="7BDF0C89">
      <w:pPr>
        <w:pStyle w:val="123"/>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1</w:t>
      </w:r>
      <w:r>
        <w:rPr>
          <w:rFonts w:hint="eastAsia" w:ascii="宋体" w:hAnsi="宋体" w:cs="宋体"/>
          <w:color w:val="auto"/>
          <w:kern w:val="0"/>
          <w:szCs w:val="24"/>
          <w:highlight w:val="none"/>
          <w:lang w:eastAsia="zh-CN"/>
        </w:rPr>
        <w:t>.</w:t>
      </w:r>
      <w:r>
        <w:rPr>
          <w:rFonts w:hint="eastAsia" w:ascii="宋体" w:hAnsi="宋体" w:cs="宋体"/>
          <w:color w:val="auto"/>
          <w:kern w:val="0"/>
          <w:szCs w:val="24"/>
          <w:highlight w:val="none"/>
        </w:rPr>
        <w:t>信用信息查询渠道及截止时间：</w:t>
      </w:r>
      <w:r>
        <w:rPr>
          <w:rFonts w:hint="eastAsia" w:ascii="宋体" w:hAnsi="宋体" w:cs="宋体"/>
          <w:color w:val="auto"/>
          <w:kern w:val="0"/>
          <w:szCs w:val="24"/>
          <w:highlight w:val="none"/>
          <w:lang w:eastAsia="zh-CN"/>
        </w:rPr>
        <w:t>采购代理机构</w:t>
      </w:r>
      <w:r>
        <w:rPr>
          <w:rFonts w:hint="eastAsia" w:ascii="宋体" w:hAnsi="宋体" w:cs="宋体"/>
          <w:color w:val="auto"/>
          <w:kern w:val="0"/>
          <w:szCs w:val="24"/>
          <w:highlight w:val="none"/>
        </w:rPr>
        <w:t>将在资格审查时通过“信用中国”网站(www.creditchina.gov.cn)、中国政府采购网(www.ccgp.gov.cn)渠道查询投标人的信用记录。</w:t>
      </w:r>
    </w:p>
    <w:p w14:paraId="74A06C83">
      <w:pPr>
        <w:pStyle w:val="123"/>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w:t>
      </w:r>
      <w:r>
        <w:rPr>
          <w:rFonts w:hint="eastAsia" w:ascii="宋体" w:hAnsi="宋体" w:cs="宋体"/>
          <w:color w:val="auto"/>
          <w:kern w:val="0"/>
          <w:szCs w:val="24"/>
          <w:highlight w:val="none"/>
          <w:lang w:eastAsia="zh-CN"/>
        </w:rPr>
        <w:t>.</w:t>
      </w:r>
      <w:r>
        <w:rPr>
          <w:rFonts w:hint="eastAsia" w:ascii="宋体" w:hAnsi="宋体" w:cs="宋体"/>
          <w:color w:val="auto"/>
          <w:kern w:val="0"/>
          <w:szCs w:val="24"/>
          <w:highlight w:val="none"/>
        </w:rPr>
        <w:t>信用信息查询记录和证据留存的具体方式：现场查询的投标人的信用记录、查询结果经确认后将与采购文件一起存档。</w:t>
      </w:r>
    </w:p>
    <w:p w14:paraId="6D5ECC03">
      <w:pPr>
        <w:pStyle w:val="123"/>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3</w:t>
      </w:r>
      <w:r>
        <w:rPr>
          <w:rFonts w:hint="eastAsia" w:ascii="宋体" w:hAnsi="宋体" w:cs="宋体"/>
          <w:color w:val="auto"/>
          <w:kern w:val="0"/>
          <w:szCs w:val="24"/>
          <w:highlight w:val="none"/>
          <w:lang w:eastAsia="zh-CN"/>
        </w:rPr>
        <w:t>.</w:t>
      </w:r>
      <w:r>
        <w:rPr>
          <w:rFonts w:hint="eastAsia" w:ascii="宋体" w:hAnsi="宋体" w:cs="宋体"/>
          <w:color w:val="auto"/>
          <w:kern w:val="0"/>
          <w:szCs w:val="24"/>
          <w:highlight w:val="none"/>
        </w:rPr>
        <w:t>信用信息的使用规则：经查询列入失信被执行人名单、重大税收违法</w:t>
      </w:r>
      <w:r>
        <w:rPr>
          <w:rFonts w:hint="eastAsia" w:ascii="宋体" w:hAnsi="宋体" w:cs="宋体"/>
          <w:color w:val="auto"/>
          <w:kern w:val="0"/>
          <w:szCs w:val="24"/>
          <w:highlight w:val="none"/>
          <w:lang w:val="en-US" w:eastAsia="zh-CN"/>
        </w:rPr>
        <w:t>失信主体</w:t>
      </w:r>
      <w:r>
        <w:rPr>
          <w:rFonts w:hint="eastAsia" w:ascii="宋体" w:hAnsi="宋体" w:cs="宋体"/>
          <w:color w:val="auto"/>
          <w:kern w:val="0"/>
          <w:szCs w:val="24"/>
          <w:highlight w:val="none"/>
        </w:rPr>
        <w:t>、政府采购严重违法失信行为记录名单的投标人将被拒绝参与政府采购活动。</w:t>
      </w:r>
    </w:p>
    <w:p w14:paraId="51345CB5">
      <w:pPr>
        <w:pStyle w:val="123"/>
        <w:spacing w:before="0"/>
        <w:ind w:firstLine="480"/>
        <w:rPr>
          <w:rFonts w:ascii="宋体" w:hAnsi="宋体" w:cs="宋体"/>
          <w:color w:val="auto"/>
          <w:highlight w:val="none"/>
        </w:rPr>
      </w:pPr>
      <w:r>
        <w:rPr>
          <w:rFonts w:hint="eastAsia" w:ascii="宋体" w:hAnsi="宋体" w:cs="宋体"/>
          <w:color w:val="auto"/>
          <w:kern w:val="0"/>
          <w:szCs w:val="24"/>
          <w:highlight w:val="none"/>
        </w:rPr>
        <w:t>4</w:t>
      </w:r>
      <w:r>
        <w:rPr>
          <w:rFonts w:hint="eastAsia" w:ascii="宋体" w:hAnsi="宋体" w:cs="宋体"/>
          <w:color w:val="auto"/>
          <w:kern w:val="0"/>
          <w:szCs w:val="24"/>
          <w:highlight w:val="none"/>
          <w:lang w:eastAsia="zh-CN"/>
        </w:rPr>
        <w:t>.</w:t>
      </w:r>
      <w:r>
        <w:rPr>
          <w:rFonts w:hint="eastAsia" w:ascii="宋体" w:hAnsi="宋体" w:cs="宋体"/>
          <w:color w:val="auto"/>
          <w:kern w:val="0"/>
          <w:szCs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宋体"/>
          <w:color w:val="auto"/>
          <w:highlight w:val="none"/>
        </w:rPr>
        <w:t>。</w:t>
      </w:r>
    </w:p>
    <w:p w14:paraId="5B0DBDBA">
      <w:pPr>
        <w:pStyle w:val="17"/>
        <w:adjustRightInd w:val="0"/>
        <w:snapToGrid w:val="0"/>
        <w:spacing w:line="360" w:lineRule="auto"/>
        <w:rPr>
          <w:rFonts w:hint="default" w:hAnsi="宋体" w:cs="宋体"/>
          <w:b/>
          <w:bCs/>
          <w:color w:val="auto"/>
          <w:spacing w:val="0"/>
          <w:kern w:val="0"/>
          <w:sz w:val="24"/>
          <w:highlight w:val="none"/>
        </w:rPr>
      </w:pPr>
      <w:r>
        <w:rPr>
          <w:rFonts w:hAnsi="宋体" w:cs="宋体"/>
          <w:b/>
          <w:bCs/>
          <w:color w:val="auto"/>
          <w:spacing w:val="0"/>
          <w:kern w:val="0"/>
          <w:sz w:val="24"/>
          <w:highlight w:val="none"/>
        </w:rPr>
        <w:t>特别说明：如遇“政府采购云平台”电子化开标程序调整的，按调整后程序执行。</w:t>
      </w:r>
    </w:p>
    <w:p w14:paraId="4A5A274F">
      <w:pPr>
        <w:pStyle w:val="8"/>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jc w:val="center"/>
        <w:textAlignment w:val="auto"/>
        <w:outlineLvl w:val="1"/>
        <w:rPr>
          <w:rFonts w:hint="default" w:hAnsi="宋体" w:cs="宋体"/>
          <w:b/>
          <w:color w:val="auto"/>
          <w:sz w:val="28"/>
          <w:szCs w:val="28"/>
          <w:highlight w:val="none"/>
        </w:rPr>
      </w:pPr>
      <w:r>
        <w:rPr>
          <w:rFonts w:hAnsi="宋体" w:cs="宋体"/>
          <w:b/>
          <w:color w:val="auto"/>
          <w:sz w:val="28"/>
          <w:szCs w:val="28"/>
          <w:highlight w:val="none"/>
        </w:rPr>
        <w:t>五、评标</w:t>
      </w:r>
    </w:p>
    <w:p w14:paraId="4DDB46CA">
      <w:pPr>
        <w:pStyle w:val="8"/>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480" w:firstLineChars="200"/>
        <w:jc w:val="left"/>
        <w:textAlignment w:val="auto"/>
        <w:outlineLvl w:val="1"/>
        <w:rPr>
          <w:rFonts w:hint="eastAsia" w:ascii="宋体" w:hAnsi="宋体" w:cs="宋体"/>
          <w:b/>
          <w:color w:val="auto"/>
          <w:sz w:val="24"/>
          <w:highlight w:val="none"/>
        </w:rPr>
      </w:pPr>
      <w:r>
        <w:rPr>
          <w:rFonts w:hint="eastAsia" w:ascii="宋体" w:hAnsi="宋体" w:cs="宋体"/>
          <w:color w:val="auto"/>
          <w:sz w:val="24"/>
          <w:highlight w:val="none"/>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cs="宋体"/>
          <w:b/>
          <w:color w:val="auto"/>
          <w:sz w:val="24"/>
          <w:highlight w:val="none"/>
        </w:rPr>
        <w:t>详见招标文件第</w:t>
      </w:r>
      <w:r>
        <w:rPr>
          <w:rFonts w:hint="eastAsia" w:ascii="宋体" w:hAnsi="宋体" w:cs="宋体"/>
          <w:b/>
          <w:color w:val="auto"/>
          <w:sz w:val="24"/>
          <w:highlight w:val="none"/>
          <w:lang w:val="en-US" w:eastAsia="zh-CN"/>
        </w:rPr>
        <w:t>三</w:t>
      </w:r>
      <w:r>
        <w:rPr>
          <w:rFonts w:hint="eastAsia" w:ascii="宋体" w:hAnsi="宋体" w:cs="宋体"/>
          <w:b/>
          <w:color w:val="auto"/>
          <w:sz w:val="24"/>
          <w:highlight w:val="none"/>
        </w:rPr>
        <w:t>部分评标办法。</w:t>
      </w:r>
    </w:p>
    <w:p w14:paraId="1AFAB42A">
      <w:pPr>
        <w:pStyle w:val="8"/>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jc w:val="center"/>
        <w:textAlignment w:val="auto"/>
        <w:outlineLvl w:val="1"/>
        <w:rPr>
          <w:rFonts w:hint="default" w:hAnsi="宋体" w:cs="宋体"/>
          <w:b/>
          <w:color w:val="auto"/>
          <w:sz w:val="28"/>
          <w:szCs w:val="28"/>
          <w:highlight w:val="none"/>
        </w:rPr>
      </w:pPr>
      <w:r>
        <w:rPr>
          <w:rFonts w:hAnsi="宋体" w:cs="宋体"/>
          <w:b/>
          <w:color w:val="auto"/>
          <w:sz w:val="28"/>
          <w:szCs w:val="28"/>
          <w:highlight w:val="none"/>
        </w:rPr>
        <w:t>六、定标</w:t>
      </w:r>
    </w:p>
    <w:p w14:paraId="7A55B4B8">
      <w:pPr>
        <w:pStyle w:val="8"/>
        <w:adjustRightInd w:val="0"/>
        <w:snapToGrid w:val="0"/>
        <w:spacing w:beforeLines="0" w:afterLines="0" w:line="360" w:lineRule="auto"/>
        <w:ind w:firstLine="472" w:firstLineChars="196"/>
        <w:rPr>
          <w:rFonts w:hint="default" w:hAnsi="宋体" w:cs="宋体"/>
          <w:b/>
          <w:bCs/>
          <w:color w:val="auto"/>
          <w:highlight w:val="none"/>
        </w:rPr>
      </w:pPr>
      <w:r>
        <w:rPr>
          <w:rFonts w:hAnsi="宋体" w:cs="宋体"/>
          <w:b/>
          <w:bCs/>
          <w:color w:val="auto"/>
          <w:highlight w:val="none"/>
        </w:rPr>
        <w:t>（一）确定中标人</w:t>
      </w:r>
    </w:p>
    <w:p w14:paraId="56B6211F">
      <w:pPr>
        <w:adjustRightInd w:val="0"/>
        <w:snapToGrid w:val="0"/>
        <w:spacing w:line="360" w:lineRule="auto"/>
        <w:ind w:firstLine="480" w:firstLineChars="200"/>
        <w:rPr>
          <w:rFonts w:hint="default" w:ascii="宋体" w:hAnsi="宋体" w:cs="宋体"/>
          <w:color w:val="auto"/>
          <w:sz w:val="24"/>
          <w:highlight w:val="none"/>
        </w:rPr>
      </w:pPr>
      <w:r>
        <w:rPr>
          <w:rFonts w:ascii="宋体" w:hAnsi="宋体" w:cs="宋体"/>
          <w:color w:val="auto"/>
          <w:sz w:val="24"/>
          <w:highlight w:val="none"/>
        </w:rPr>
        <w:t>1.采购人依法确定1名中标人。确定中标人后2个工作日内，代理机构以书面（纸质）形式发出《中标通知书》，并同时在相关网站上发布中标公告。</w:t>
      </w:r>
    </w:p>
    <w:p w14:paraId="5DE840E4">
      <w:pPr>
        <w:pStyle w:val="123"/>
        <w:adjustRightInd w:val="0"/>
        <w:snapToGrid w:val="0"/>
        <w:spacing w:before="0"/>
        <w:ind w:firstLine="482" w:firstLineChars="200"/>
        <w:rPr>
          <w:rStyle w:val="48"/>
          <w:color w:val="auto"/>
          <w:highlight w:val="none"/>
        </w:rPr>
      </w:pPr>
      <w:r>
        <w:rPr>
          <w:rFonts w:hint="eastAsia" w:ascii="宋体" w:hAnsi="宋体" w:cs="宋体"/>
          <w:b/>
          <w:color w:val="auto"/>
          <w:szCs w:val="24"/>
          <w:highlight w:val="none"/>
          <w:lang w:val="en-US" w:eastAsia="zh-CN"/>
        </w:rPr>
        <w:t>2.</w:t>
      </w:r>
      <w:r>
        <w:rPr>
          <w:rFonts w:hint="eastAsia" w:ascii="宋体" w:hAnsi="宋体" w:cs="宋体"/>
          <w:b w:val="0"/>
          <w:bCs/>
          <w:color w:val="auto"/>
          <w:szCs w:val="24"/>
          <w:highlight w:val="none"/>
        </w:rPr>
        <w:t>由于</w:t>
      </w:r>
      <w:r>
        <w:rPr>
          <w:rFonts w:hint="eastAsia" w:ascii="宋体" w:hAnsi="宋体" w:cs="宋体"/>
          <w:bCs/>
          <w:color w:val="auto"/>
          <w:szCs w:val="24"/>
          <w:highlight w:val="none"/>
        </w:rPr>
        <w:t>中标、成交供应商原因导致重新采购的，应当承担支付代理费和专家评审费等费用在内的赔偿责任。</w:t>
      </w:r>
    </w:p>
    <w:p w14:paraId="7A73B3AD">
      <w:pPr>
        <w:pStyle w:val="8"/>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jc w:val="center"/>
        <w:textAlignment w:val="auto"/>
        <w:outlineLvl w:val="1"/>
        <w:rPr>
          <w:rFonts w:hint="default" w:hAnsi="宋体" w:cs="宋体"/>
          <w:b/>
          <w:color w:val="auto"/>
          <w:sz w:val="28"/>
          <w:szCs w:val="28"/>
          <w:highlight w:val="none"/>
        </w:rPr>
      </w:pPr>
      <w:r>
        <w:rPr>
          <w:rFonts w:hAnsi="宋体" w:cs="宋体"/>
          <w:b/>
          <w:color w:val="auto"/>
          <w:sz w:val="28"/>
          <w:szCs w:val="28"/>
          <w:highlight w:val="none"/>
        </w:rPr>
        <w:t>七、合同授予</w:t>
      </w:r>
    </w:p>
    <w:p w14:paraId="10D690FB">
      <w:pPr>
        <w:adjustRightInd w:val="0"/>
        <w:snapToGrid w:val="0"/>
        <w:spacing w:line="360" w:lineRule="auto"/>
        <w:ind w:firstLine="472" w:firstLineChars="196"/>
        <w:rPr>
          <w:rFonts w:hint="default" w:ascii="宋体" w:hAnsi="宋体" w:cs="宋体"/>
          <w:b/>
          <w:bCs/>
          <w:color w:val="auto"/>
          <w:sz w:val="24"/>
          <w:highlight w:val="none"/>
        </w:rPr>
      </w:pPr>
      <w:r>
        <w:rPr>
          <w:rFonts w:ascii="宋体" w:hAnsi="宋体" w:cs="宋体"/>
          <w:b/>
          <w:bCs/>
          <w:color w:val="auto"/>
          <w:sz w:val="24"/>
          <w:highlight w:val="none"/>
        </w:rPr>
        <w:t>（一）签订合同</w:t>
      </w:r>
    </w:p>
    <w:p w14:paraId="1045143C">
      <w:pPr>
        <w:widowControl/>
        <w:shd w:val="clear" w:color="auto" w:fill="FFFFFF"/>
        <w:adjustRightInd w:val="0"/>
        <w:snapToGrid w:val="0"/>
        <w:spacing w:line="360" w:lineRule="auto"/>
        <w:ind w:firstLine="480"/>
        <w:jc w:val="left"/>
        <w:rPr>
          <w:rFonts w:hint="default" w:ascii="宋体" w:hAnsi="宋体" w:cs="宋体"/>
          <w:color w:val="auto"/>
          <w:kern w:val="0"/>
          <w:sz w:val="24"/>
          <w:highlight w:val="none"/>
        </w:rPr>
      </w:pPr>
      <w:r>
        <w:rPr>
          <w:rFonts w:ascii="宋体" w:hAnsi="宋体" w:cs="宋体"/>
          <w:color w:val="auto"/>
          <w:sz w:val="24"/>
          <w:highlight w:val="none"/>
        </w:rPr>
        <w:t>（1）</w:t>
      </w:r>
      <w:r>
        <w:rPr>
          <w:rFonts w:ascii="宋体" w:hAnsi="宋体" w:cs="宋体"/>
          <w:color w:val="auto"/>
          <w:kern w:val="0"/>
          <w:sz w:val="24"/>
          <w:highlight w:val="none"/>
        </w:rPr>
        <w:t xml:space="preserve"> 采购人与中标人应当通过电子交易平台在中标通知书发出之日起三十日内，按照招标文件确定的事项签订政府采购合同，并在签订之日起2个工作日内将政府采购合同在浙江政府采购网上公告。</w:t>
      </w:r>
    </w:p>
    <w:p w14:paraId="7E27D037">
      <w:pPr>
        <w:pStyle w:val="123"/>
        <w:adjustRightInd w:val="0"/>
        <w:snapToGrid w:val="0"/>
        <w:spacing w:before="0"/>
        <w:ind w:firstLine="480"/>
        <w:rPr>
          <w:rFonts w:hint="default" w:ascii="宋体" w:hAnsi="宋体" w:cs="宋体"/>
          <w:color w:val="auto"/>
          <w:kern w:val="0"/>
          <w:highlight w:val="none"/>
        </w:rPr>
      </w:pPr>
      <w:r>
        <w:rPr>
          <w:rFonts w:ascii="宋体" w:hAnsi="宋体" w:cs="宋体"/>
          <w:color w:val="auto"/>
          <w:kern w:val="0"/>
          <w:highlight w:val="none"/>
          <w:lang w:val="zh-CN"/>
        </w:rPr>
        <w:t>（</w:t>
      </w:r>
      <w:r>
        <w:rPr>
          <w:rFonts w:ascii="宋体" w:hAnsi="宋体" w:cs="宋体"/>
          <w:color w:val="auto"/>
          <w:kern w:val="0"/>
          <w:highlight w:val="none"/>
        </w:rPr>
        <w:t>2</w:t>
      </w:r>
      <w:r>
        <w:rPr>
          <w:rFonts w:ascii="宋体" w:hAnsi="宋体" w:cs="宋体"/>
          <w:color w:val="auto"/>
          <w:kern w:val="0"/>
          <w:highlight w:val="none"/>
          <w:lang w:val="zh-CN"/>
        </w:rPr>
        <w:t>）中标人按规定的日期、时间、地点，由法定代表人或其授权代表与采购人代表签订合同。如中标人为联合体的，由联合体成员各方法定代表人或其授权代表与采购人代表签订合同。</w:t>
      </w:r>
    </w:p>
    <w:p w14:paraId="3F3E5014">
      <w:pPr>
        <w:pStyle w:val="123"/>
        <w:adjustRightInd w:val="0"/>
        <w:snapToGrid w:val="0"/>
        <w:spacing w:before="0"/>
        <w:ind w:firstLine="480"/>
        <w:rPr>
          <w:rFonts w:hint="default" w:ascii="宋体" w:hAnsi="宋体" w:cs="宋体"/>
          <w:color w:val="auto"/>
          <w:highlight w:val="none"/>
        </w:rPr>
      </w:pPr>
      <w:r>
        <w:rPr>
          <w:rFonts w:ascii="宋体" w:hAnsi="宋体" w:cs="宋体"/>
          <w:color w:val="auto"/>
          <w:highlight w:val="none"/>
        </w:rPr>
        <w:t>（3）如签订合同并生效后，供应商无故拒绝或延期，除按照合同条款处理外，列入不良行为记录一次，并给予通报。</w:t>
      </w:r>
    </w:p>
    <w:p w14:paraId="58CA87F6">
      <w:pPr>
        <w:pStyle w:val="123"/>
        <w:adjustRightInd w:val="0"/>
        <w:snapToGrid w:val="0"/>
        <w:spacing w:before="0"/>
        <w:ind w:firstLine="480"/>
        <w:rPr>
          <w:rFonts w:hint="default" w:ascii="宋体" w:hAnsi="宋体" w:cs="宋体"/>
          <w:color w:val="auto"/>
          <w:highlight w:val="none"/>
        </w:rPr>
      </w:pPr>
      <w:r>
        <w:rPr>
          <w:rFonts w:ascii="宋体" w:hAnsi="宋体" w:cs="宋体"/>
          <w:color w:val="auto"/>
          <w:highlight w:val="none"/>
        </w:rPr>
        <w:t>（4）中标供应商拒绝与采购人签订合同的，采购人可以按照评审报告推荐的中标或者成交候选人名单排序，确定下一候选人为中标供应商，也可以重新开展政府采购活动。</w:t>
      </w:r>
    </w:p>
    <w:p w14:paraId="0E31E5F8">
      <w:pPr>
        <w:pStyle w:val="123"/>
        <w:adjustRightInd w:val="0"/>
        <w:snapToGrid w:val="0"/>
        <w:spacing w:before="0"/>
        <w:ind w:firstLine="480"/>
        <w:rPr>
          <w:rFonts w:hint="default" w:ascii="宋体" w:hAnsi="宋体" w:cs="宋体"/>
          <w:color w:val="auto"/>
          <w:highlight w:val="none"/>
        </w:rPr>
      </w:pPr>
      <w:r>
        <w:rPr>
          <w:rFonts w:ascii="宋体" w:hAnsi="宋体" w:cs="宋体"/>
          <w:color w:val="auto"/>
          <w:highlight w:val="none"/>
        </w:rPr>
        <w:t>（5）采购合同由采购人与中标供应商根据招标文件、投标文件等内容通过政府采购电子交易平台在线签订，自动备案。</w:t>
      </w:r>
    </w:p>
    <w:p w14:paraId="64713963">
      <w:pPr>
        <w:pStyle w:val="8"/>
        <w:snapToGrid w:val="0"/>
        <w:spacing w:beforeLines="0" w:afterLines="0" w:line="360" w:lineRule="auto"/>
        <w:ind w:firstLine="472" w:firstLineChars="196"/>
        <w:rPr>
          <w:rFonts w:hint="default" w:hAnsi="宋体" w:cs="宋体"/>
          <w:b/>
          <w:color w:val="auto"/>
          <w:highlight w:val="none"/>
        </w:rPr>
      </w:pPr>
      <w:r>
        <w:rPr>
          <w:rFonts w:hAnsi="宋体" w:cs="宋体"/>
          <w:b/>
          <w:color w:val="auto"/>
          <w:highlight w:val="none"/>
        </w:rPr>
        <w:t>（二）履约保证金</w:t>
      </w:r>
    </w:p>
    <w:p w14:paraId="080434C9">
      <w:pPr>
        <w:widowControl/>
        <w:shd w:val="clear" w:color="auto" w:fill="FFFFFF"/>
        <w:adjustRightInd w:val="0"/>
        <w:snapToGrid w:val="0"/>
        <w:spacing w:line="360" w:lineRule="auto"/>
        <w:ind w:firstLine="480"/>
        <w:jc w:val="left"/>
        <w:rPr>
          <w:rFonts w:hint="default" w:ascii="宋体" w:hAnsi="宋体" w:cs="宋体"/>
          <w:color w:val="auto"/>
          <w:sz w:val="24"/>
          <w:highlight w:val="none"/>
        </w:rPr>
      </w:pPr>
      <w:r>
        <w:rPr>
          <w:rFonts w:ascii="宋体" w:hAnsi="宋体" w:cs="宋体"/>
          <w:color w:val="auto"/>
          <w:sz w:val="24"/>
          <w:highlight w:val="none"/>
        </w:rPr>
        <w:t>（1）拟签订的合同文本要求中标供应商提交履约保证金的，供应商应当以支票、汇票、本票或者金融机构、担保机构出具的保函等非现金形式提交。履约保证金的数额不得超过政府采购合同金额的1%，鼓励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p>
    <w:p w14:paraId="507BE6C0">
      <w:pPr>
        <w:pStyle w:val="8"/>
        <w:snapToGrid w:val="0"/>
        <w:spacing w:before="120" w:after="120" w:line="360" w:lineRule="auto"/>
        <w:ind w:firstLine="480" w:firstLineChars="200"/>
        <w:rPr>
          <w:rFonts w:hint="default" w:hAnsi="宋体" w:cs="宋体"/>
          <w:color w:val="auto"/>
          <w:highlight w:val="none"/>
        </w:rPr>
      </w:pPr>
      <w:r>
        <w:rPr>
          <w:rFonts w:hAnsi="宋体" w:cs="宋体"/>
          <w:color w:val="auto"/>
          <w:highlight w:val="none"/>
        </w:rPr>
        <w:t>（2）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w:t>
      </w:r>
      <w:r>
        <w:rPr>
          <w:rFonts w:hint="eastAsia" w:hAnsi="宋体" w:cs="宋体"/>
          <w:color w:val="auto"/>
          <w:highlight w:val="none"/>
          <w:lang w:val="en-US" w:eastAsia="zh-CN"/>
        </w:rPr>
        <w:t>95763</w:t>
      </w:r>
      <w:r>
        <w:rPr>
          <w:rFonts w:hAnsi="宋体" w:cs="宋体"/>
          <w:color w:val="auto"/>
          <w:highlight w:val="none"/>
        </w:rPr>
        <w:t>。</w:t>
      </w:r>
    </w:p>
    <w:p w14:paraId="140003FA">
      <w:pPr>
        <w:pStyle w:val="8"/>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jc w:val="center"/>
        <w:textAlignment w:val="auto"/>
        <w:outlineLvl w:val="1"/>
        <w:rPr>
          <w:rFonts w:hint="default" w:hAnsi="宋体" w:cs="宋体"/>
          <w:b/>
          <w:color w:val="auto"/>
          <w:sz w:val="28"/>
          <w:szCs w:val="28"/>
          <w:highlight w:val="none"/>
        </w:rPr>
      </w:pPr>
      <w:r>
        <w:rPr>
          <w:rFonts w:hAnsi="宋体" w:cs="宋体"/>
          <w:b/>
          <w:color w:val="auto"/>
          <w:sz w:val="28"/>
          <w:szCs w:val="28"/>
          <w:highlight w:val="none"/>
        </w:rPr>
        <w:t>八、电子交易活动的中止</w:t>
      </w:r>
    </w:p>
    <w:p w14:paraId="17DBE119">
      <w:pPr>
        <w:pStyle w:val="8"/>
        <w:snapToGrid w:val="0"/>
        <w:spacing w:beforeLines="0" w:afterLines="0" w:line="360" w:lineRule="auto"/>
        <w:ind w:firstLine="472" w:firstLineChars="196"/>
        <w:rPr>
          <w:rFonts w:hint="default" w:hAnsi="宋体" w:cs="宋体"/>
          <w:b/>
          <w:color w:val="auto"/>
          <w:highlight w:val="none"/>
        </w:rPr>
      </w:pPr>
      <w:r>
        <w:rPr>
          <w:rFonts w:hAnsi="宋体" w:cs="宋体"/>
          <w:b/>
          <w:color w:val="auto"/>
          <w:highlight w:val="none"/>
        </w:rPr>
        <w:t>（一）电子交易活动的中止。</w:t>
      </w:r>
    </w:p>
    <w:p w14:paraId="49394E2F">
      <w:pPr>
        <w:pStyle w:val="123"/>
        <w:snapToGrid w:val="0"/>
        <w:spacing w:before="0"/>
        <w:ind w:firstLine="480"/>
        <w:rPr>
          <w:rFonts w:hint="default" w:ascii="宋体" w:hAnsi="宋体" w:cs="宋体"/>
          <w:color w:val="auto"/>
          <w:highlight w:val="none"/>
        </w:rPr>
      </w:pPr>
      <w:r>
        <w:rPr>
          <w:rFonts w:ascii="宋体" w:hAnsi="宋体" w:cs="宋体"/>
          <w:color w:val="auto"/>
          <w:highlight w:val="none"/>
        </w:rPr>
        <w:t>采购过程中出现以下情形，导致电子交易平台无法正常运行，或者无法保证电子交易的公平、公正和安全时，采购代理机构可中止电子交易活动：</w:t>
      </w:r>
    </w:p>
    <w:p w14:paraId="7967F30D">
      <w:pPr>
        <w:pStyle w:val="123"/>
        <w:snapToGrid w:val="0"/>
        <w:spacing w:before="0"/>
        <w:ind w:firstLine="480"/>
        <w:rPr>
          <w:rFonts w:hint="default" w:ascii="宋体" w:hAnsi="宋体" w:cs="宋体"/>
          <w:color w:val="auto"/>
          <w:highlight w:val="none"/>
        </w:rPr>
      </w:pPr>
      <w:r>
        <w:rPr>
          <w:rFonts w:ascii="宋体" w:hAnsi="宋体" w:cs="宋体"/>
          <w:color w:val="auto"/>
          <w:highlight w:val="none"/>
        </w:rPr>
        <w:t>（1）电子交易平台发生故障而无法登录访问的；</w:t>
      </w:r>
    </w:p>
    <w:p w14:paraId="6623DBA0">
      <w:pPr>
        <w:pStyle w:val="123"/>
        <w:snapToGrid w:val="0"/>
        <w:spacing w:before="0"/>
        <w:ind w:firstLine="480"/>
        <w:rPr>
          <w:rFonts w:hint="default" w:ascii="宋体" w:hAnsi="宋体" w:cs="宋体"/>
          <w:color w:val="auto"/>
          <w:highlight w:val="none"/>
        </w:rPr>
      </w:pPr>
      <w:r>
        <w:rPr>
          <w:rFonts w:ascii="宋体" w:hAnsi="宋体" w:cs="宋体"/>
          <w:color w:val="auto"/>
          <w:highlight w:val="none"/>
        </w:rPr>
        <w:t>（2）电子交易平台应用或数据库出现错误，不能进行正常操作的；</w:t>
      </w:r>
    </w:p>
    <w:p w14:paraId="57CF005B">
      <w:pPr>
        <w:pStyle w:val="123"/>
        <w:snapToGrid w:val="0"/>
        <w:spacing w:before="0"/>
        <w:ind w:firstLine="480"/>
        <w:rPr>
          <w:rFonts w:hint="default" w:ascii="宋体" w:hAnsi="宋体" w:cs="宋体"/>
          <w:color w:val="auto"/>
          <w:highlight w:val="none"/>
        </w:rPr>
      </w:pPr>
      <w:r>
        <w:rPr>
          <w:rFonts w:ascii="宋体" w:hAnsi="宋体" w:cs="宋体"/>
          <w:color w:val="auto"/>
          <w:highlight w:val="none"/>
        </w:rPr>
        <w:t>（3）电子交易平台发现严重安全漏洞，有潜在泄密危险的；</w:t>
      </w:r>
    </w:p>
    <w:p w14:paraId="597C36A7">
      <w:pPr>
        <w:pStyle w:val="123"/>
        <w:snapToGrid w:val="0"/>
        <w:spacing w:before="0"/>
        <w:ind w:firstLine="480"/>
        <w:rPr>
          <w:rFonts w:hint="default" w:ascii="宋体" w:hAnsi="宋体" w:cs="宋体"/>
          <w:color w:val="auto"/>
          <w:highlight w:val="none"/>
        </w:rPr>
      </w:pPr>
      <w:r>
        <w:rPr>
          <w:rFonts w:ascii="宋体" w:hAnsi="宋体" w:cs="宋体"/>
          <w:color w:val="auto"/>
          <w:highlight w:val="none"/>
        </w:rPr>
        <w:t>（4）病毒发作导致不能进行正常操作的；</w:t>
      </w:r>
    </w:p>
    <w:p w14:paraId="77D550C9">
      <w:pPr>
        <w:pStyle w:val="123"/>
        <w:snapToGrid w:val="0"/>
        <w:spacing w:before="0"/>
        <w:ind w:firstLine="480"/>
        <w:rPr>
          <w:rFonts w:hint="default" w:ascii="宋体" w:hAnsi="宋体" w:cs="宋体"/>
          <w:color w:val="auto"/>
          <w:highlight w:val="none"/>
        </w:rPr>
      </w:pPr>
      <w:r>
        <w:rPr>
          <w:rFonts w:ascii="宋体" w:hAnsi="宋体" w:cs="宋体"/>
          <w:color w:val="auto"/>
          <w:highlight w:val="none"/>
        </w:rPr>
        <w:t>（5）其他无法保证电子交易的公平、公正和安全的情况。</w:t>
      </w:r>
    </w:p>
    <w:p w14:paraId="17657190">
      <w:pPr>
        <w:pStyle w:val="123"/>
        <w:snapToGrid w:val="0"/>
        <w:spacing w:before="0"/>
        <w:ind w:firstLine="480"/>
        <w:rPr>
          <w:rFonts w:hint="default" w:ascii="宋体" w:hAnsi="宋体" w:cs="宋体"/>
          <w:color w:val="auto"/>
          <w:highlight w:val="none"/>
        </w:rPr>
      </w:pPr>
      <w:r>
        <w:rPr>
          <w:rFonts w:ascii="宋体" w:hAnsi="宋体" w:cs="宋体"/>
          <w:color w:val="auto"/>
          <w:highlight w:val="none"/>
        </w:rPr>
        <w:t>出现以上情形，不影响采购公平、公正性的，采购组织机构可以待上述情形消除后继续组织电子交易活动，也可以决定某些环节以纸质形式进行；影响或可能影响采购公平、公正性的，应当重新采购。</w:t>
      </w:r>
    </w:p>
    <w:p w14:paraId="5894786B">
      <w:pPr>
        <w:rPr>
          <w:rFonts w:hint="default" w:ascii="宋体" w:hAnsi="宋体" w:cs="宋体"/>
          <w:color w:val="auto"/>
          <w:highlight w:val="none"/>
        </w:rPr>
      </w:pPr>
    </w:p>
    <w:p w14:paraId="328B24B5">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left="120" w:leftChars="57" w:firstLine="482" w:firstLineChars="150"/>
        <w:jc w:val="center"/>
        <w:textAlignment w:val="auto"/>
        <w:rPr>
          <w:rFonts w:ascii="宋体" w:hAnsi="宋体" w:cs="宋体"/>
          <w:b/>
          <w:color w:val="auto"/>
          <w:sz w:val="32"/>
          <w:highlight w:val="none"/>
        </w:rPr>
      </w:pPr>
      <w:r>
        <w:rPr>
          <w:rFonts w:hint="eastAsia" w:ascii="宋体" w:hAnsi="宋体" w:cs="宋体"/>
          <w:b/>
          <w:color w:val="auto"/>
          <w:sz w:val="32"/>
          <w:highlight w:val="none"/>
        </w:rPr>
        <w:t>九、验收</w:t>
      </w:r>
    </w:p>
    <w:p w14:paraId="4FDA5748">
      <w:pPr>
        <w:pageBreakBefore w:val="0"/>
        <w:widowControl w:val="0"/>
        <w:tabs>
          <w:tab w:val="left" w:pos="0"/>
        </w:tabs>
        <w:kinsoku/>
        <w:wordWrap/>
        <w:overflowPunct/>
        <w:topLinePunct w:val="0"/>
        <w:autoSpaceDE/>
        <w:autoSpaceDN/>
        <w:bidi w:val="0"/>
        <w:adjustRightInd w:val="0"/>
        <w:snapToGrid w:val="0"/>
        <w:spacing w:line="360" w:lineRule="auto"/>
        <w:ind w:firstLine="480"/>
        <w:textAlignment w:val="auto"/>
        <w:rPr>
          <w:rFonts w:ascii="宋体" w:hAnsi="宋体" w:cs="宋体"/>
          <w:color w:val="auto"/>
          <w:kern w:val="0"/>
          <w:sz w:val="24"/>
          <w:szCs w:val="24"/>
          <w:highlight w:val="none"/>
        </w:rPr>
      </w:pPr>
      <w:r>
        <w:rPr>
          <w:rFonts w:hint="eastAsia" w:ascii="宋体" w:hAnsi="宋体" w:cs="宋体"/>
          <w:color w:val="auto"/>
          <w:kern w:val="0"/>
          <w:sz w:val="24"/>
          <w:szCs w:val="24"/>
          <w:highlight w:val="none"/>
          <w:lang w:val="en-US" w:eastAsia="zh-CN"/>
        </w:rPr>
        <w:t>1.</w:t>
      </w:r>
      <w:r>
        <w:rPr>
          <w:rFonts w:hint="eastAsia" w:ascii="宋体" w:hAnsi="宋体" w:cs="宋体"/>
          <w:color w:val="auto"/>
          <w:kern w:val="0"/>
          <w:sz w:val="24"/>
          <w:szCs w:val="24"/>
          <w:highlight w:val="none"/>
        </w:rPr>
        <w:t>采购人应当根据采购项目的具体情况，自行组织项目验收或者委托采购代理机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6659491A">
      <w:pPr>
        <w:pageBreakBefore w:val="0"/>
        <w:widowControl w:val="0"/>
        <w:tabs>
          <w:tab w:val="left" w:pos="0"/>
        </w:tabs>
        <w:kinsoku/>
        <w:wordWrap/>
        <w:overflowPunct/>
        <w:topLinePunct w:val="0"/>
        <w:autoSpaceDE/>
        <w:autoSpaceDN/>
        <w:bidi w:val="0"/>
        <w:adjustRightInd w:val="0"/>
        <w:snapToGrid w:val="0"/>
        <w:spacing w:line="360" w:lineRule="auto"/>
        <w:ind w:firstLine="480"/>
        <w:textAlignment w:val="auto"/>
        <w:rPr>
          <w:rFonts w:ascii="宋体" w:hAnsi="宋体" w:cs="宋体"/>
          <w:color w:val="auto"/>
          <w:kern w:val="0"/>
          <w:sz w:val="24"/>
          <w:szCs w:val="24"/>
          <w:highlight w:val="none"/>
        </w:rPr>
      </w:pPr>
      <w:r>
        <w:rPr>
          <w:rFonts w:hint="eastAsia" w:ascii="宋体" w:hAnsi="宋体" w:cs="宋体"/>
          <w:color w:val="auto"/>
          <w:kern w:val="0"/>
          <w:sz w:val="24"/>
          <w:szCs w:val="24"/>
          <w:highlight w:val="none"/>
          <w:lang w:val="en-US" w:eastAsia="zh-CN"/>
        </w:rPr>
        <w:t>2.</w:t>
      </w:r>
      <w:r>
        <w:rPr>
          <w:rFonts w:hint="eastAsia" w:ascii="宋体" w:hAnsi="宋体" w:cs="宋体"/>
          <w:color w:val="auto"/>
          <w:kern w:val="0"/>
          <w:sz w:val="24"/>
          <w:szCs w:val="24"/>
          <w:highlight w:val="none"/>
        </w:rPr>
        <w:t>采购人可以邀请参加本项目的其他投标人或者第三方机构参与验收。参与验收的投标人或者第三方机构的意见作为验收书的参考资料一并存档。</w:t>
      </w:r>
    </w:p>
    <w:p w14:paraId="08714E0E">
      <w:pPr>
        <w:pageBreakBefore w:val="0"/>
        <w:widowControl w:val="0"/>
        <w:tabs>
          <w:tab w:val="left" w:pos="0"/>
        </w:tabs>
        <w:kinsoku/>
        <w:wordWrap/>
        <w:overflowPunct/>
        <w:topLinePunct w:val="0"/>
        <w:autoSpaceDE/>
        <w:autoSpaceDN/>
        <w:bidi w:val="0"/>
        <w:adjustRightInd w:val="0"/>
        <w:snapToGrid w:val="0"/>
        <w:spacing w:line="360" w:lineRule="auto"/>
        <w:ind w:firstLine="480"/>
        <w:textAlignment w:val="auto"/>
        <w:rPr>
          <w:rFonts w:ascii="宋体" w:hAnsi="宋体" w:cs="宋体"/>
          <w:color w:val="auto"/>
          <w:kern w:val="0"/>
          <w:sz w:val="24"/>
          <w:szCs w:val="24"/>
          <w:highlight w:val="none"/>
        </w:rPr>
      </w:pPr>
      <w:r>
        <w:rPr>
          <w:rFonts w:hint="eastAsia" w:ascii="宋体" w:hAnsi="宋体" w:cs="宋体"/>
          <w:color w:val="auto"/>
          <w:kern w:val="0"/>
          <w:sz w:val="24"/>
          <w:szCs w:val="24"/>
          <w:highlight w:val="none"/>
          <w:lang w:val="en-US" w:eastAsia="zh-CN"/>
        </w:rPr>
        <w:t>3.</w:t>
      </w:r>
      <w:r>
        <w:rPr>
          <w:rFonts w:hint="eastAsia" w:ascii="宋体" w:hAnsi="宋体" w:cs="宋体"/>
          <w:color w:val="auto"/>
          <w:kern w:val="0"/>
          <w:sz w:val="24"/>
          <w:szCs w:val="24"/>
          <w:highlight w:val="none"/>
        </w:rPr>
        <w:t>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33CDFE7C">
      <w:pPr>
        <w:pageBreakBefore w:val="0"/>
        <w:widowControl w:val="0"/>
        <w:tabs>
          <w:tab w:val="left" w:pos="0"/>
        </w:tabs>
        <w:kinsoku/>
        <w:wordWrap/>
        <w:overflowPunct/>
        <w:topLinePunct w:val="0"/>
        <w:autoSpaceDE/>
        <w:autoSpaceDN/>
        <w:bidi w:val="0"/>
        <w:adjustRightInd w:val="0"/>
        <w:snapToGrid w:val="0"/>
        <w:spacing w:line="360" w:lineRule="auto"/>
        <w:ind w:firstLine="480"/>
        <w:textAlignment w:val="auto"/>
        <w:rPr>
          <w:rFonts w:ascii="宋体" w:hAnsi="宋体" w:cs="宋体"/>
          <w:color w:val="auto"/>
          <w:kern w:val="0"/>
          <w:sz w:val="24"/>
          <w:szCs w:val="24"/>
          <w:highlight w:val="none"/>
        </w:rPr>
      </w:pPr>
      <w:r>
        <w:rPr>
          <w:rFonts w:hint="eastAsia" w:ascii="宋体" w:hAnsi="宋体" w:cs="宋体"/>
          <w:color w:val="auto"/>
          <w:kern w:val="0"/>
          <w:sz w:val="24"/>
          <w:szCs w:val="24"/>
          <w:highlight w:val="none"/>
          <w:lang w:val="en-US" w:eastAsia="zh-CN"/>
        </w:rPr>
        <w:t>4.</w:t>
      </w:r>
      <w:r>
        <w:rPr>
          <w:rFonts w:hint="eastAsia" w:ascii="宋体" w:hAnsi="宋体" w:cs="宋体"/>
          <w:color w:val="auto"/>
          <w:kern w:val="0"/>
          <w:sz w:val="24"/>
          <w:szCs w:val="24"/>
          <w:highlight w:val="none"/>
        </w:rPr>
        <w:t>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bookmarkStart w:id="25" w:name="_Hlt75236101"/>
      <w:bookmarkEnd w:id="25"/>
      <w:bookmarkStart w:id="26" w:name="_Hlt68073093"/>
      <w:bookmarkEnd w:id="26"/>
      <w:bookmarkStart w:id="27" w:name="_Hlt74714665"/>
      <w:bookmarkEnd w:id="27"/>
      <w:bookmarkStart w:id="28" w:name="_Hlt75236290"/>
      <w:bookmarkEnd w:id="28"/>
      <w:bookmarkStart w:id="29" w:name="_Hlt75236011"/>
      <w:bookmarkEnd w:id="29"/>
      <w:bookmarkStart w:id="30" w:name="_Hlt68057669"/>
      <w:bookmarkEnd w:id="30"/>
      <w:bookmarkStart w:id="31" w:name="_Hlt68072990"/>
      <w:bookmarkEnd w:id="31"/>
      <w:bookmarkStart w:id="32" w:name="_Hlt74729768"/>
      <w:bookmarkEnd w:id="32"/>
      <w:bookmarkStart w:id="33" w:name="_Hlt74707468"/>
      <w:bookmarkEnd w:id="33"/>
      <w:bookmarkStart w:id="34" w:name="_Hlt68403820"/>
      <w:bookmarkEnd w:id="34"/>
      <w:bookmarkStart w:id="35" w:name="_Hlt74730295"/>
      <w:bookmarkEnd w:id="35"/>
      <w:bookmarkStart w:id="36" w:name="_Hlt68072998"/>
      <w:bookmarkEnd w:id="36"/>
    </w:p>
    <w:p w14:paraId="3E85B891">
      <w:pPr>
        <w:pStyle w:val="5"/>
        <w:pageBreakBefore w:val="0"/>
        <w:widowControl w:val="0"/>
        <w:tabs>
          <w:tab w:val="left" w:pos="432"/>
        </w:tabs>
        <w:kinsoku/>
        <w:wordWrap/>
        <w:overflowPunct/>
        <w:topLinePunct w:val="0"/>
        <w:autoSpaceDE/>
        <w:autoSpaceDN/>
        <w:bidi w:val="0"/>
        <w:adjustRightInd w:val="0"/>
        <w:snapToGrid w:val="0"/>
        <w:spacing w:before="0" w:after="0" w:line="360" w:lineRule="auto"/>
        <w:ind w:left="0" w:firstLine="480" w:firstLineChars="200"/>
        <w:textAlignment w:val="auto"/>
        <w:rPr>
          <w:rFonts w:ascii="宋体" w:hAnsi="宋体" w:eastAsia="宋体" w:cs="宋体"/>
          <w:b w:val="0"/>
          <w:bCs w:val="0"/>
          <w:color w:val="auto"/>
          <w:kern w:val="0"/>
          <w:sz w:val="24"/>
          <w:szCs w:val="24"/>
          <w:highlight w:val="none"/>
          <w:lang w:val="en-US"/>
        </w:rPr>
      </w:pPr>
      <w:r>
        <w:rPr>
          <w:rFonts w:hint="eastAsia" w:ascii="宋体" w:hAnsi="宋体" w:eastAsia="宋体" w:cs="宋体"/>
          <w:b w:val="0"/>
          <w:bCs w:val="0"/>
          <w:color w:val="auto"/>
          <w:kern w:val="0"/>
          <w:sz w:val="24"/>
          <w:szCs w:val="24"/>
          <w:highlight w:val="none"/>
          <w:lang w:val="en-US" w:eastAsia="zh-CN"/>
        </w:rPr>
        <w:t>5.</w:t>
      </w:r>
      <w:r>
        <w:rPr>
          <w:rFonts w:hint="eastAsia" w:ascii="宋体" w:hAnsi="宋体" w:eastAsia="宋体" w:cs="宋体"/>
          <w:b w:val="0"/>
          <w:bCs w:val="0"/>
          <w:color w:val="auto"/>
          <w:kern w:val="0"/>
          <w:sz w:val="24"/>
          <w:szCs w:val="24"/>
          <w:highlight w:val="none"/>
          <w:lang w:val="en-US"/>
        </w:rPr>
        <w:t>对于满足合同约定的采购资金支付条件的，供应商可通过政采云平台提起在线支付申请、查询支付结果，路径为政采云-我的工作台-</w:t>
      </w:r>
      <w:r>
        <w:rPr>
          <w:rFonts w:hint="eastAsia" w:ascii="宋体" w:hAnsi="宋体" w:eastAsia="宋体" w:cs="宋体"/>
          <w:b w:val="0"/>
          <w:bCs w:val="0"/>
          <w:color w:val="auto"/>
          <w:kern w:val="0"/>
          <w:sz w:val="24"/>
          <w:szCs w:val="24"/>
          <w:highlight w:val="none"/>
          <w:lang w:val="en-US" w:eastAsia="zh-CN"/>
        </w:rPr>
        <w:t>合同管理</w:t>
      </w:r>
      <w:r>
        <w:rPr>
          <w:rFonts w:hint="eastAsia" w:ascii="宋体" w:hAnsi="宋体" w:eastAsia="宋体" w:cs="宋体"/>
          <w:b w:val="0"/>
          <w:bCs w:val="0"/>
          <w:color w:val="auto"/>
          <w:kern w:val="0"/>
          <w:sz w:val="24"/>
          <w:szCs w:val="24"/>
          <w:highlight w:val="none"/>
          <w:lang w:val="en-US"/>
        </w:rPr>
        <w:t>-支付管理。对于供应商提起在线支付申请的，采购</w:t>
      </w:r>
      <w:r>
        <w:rPr>
          <w:rFonts w:hint="eastAsia" w:ascii="宋体" w:hAnsi="宋体" w:eastAsia="宋体" w:cs="宋体"/>
          <w:b w:val="0"/>
          <w:bCs w:val="0"/>
          <w:color w:val="auto"/>
          <w:kern w:val="0"/>
          <w:sz w:val="24"/>
          <w:szCs w:val="24"/>
          <w:highlight w:val="none"/>
          <w:lang w:val="en-US" w:eastAsia="zh-CN"/>
        </w:rPr>
        <w:t>人</w:t>
      </w:r>
      <w:r>
        <w:rPr>
          <w:rFonts w:hint="eastAsia" w:ascii="宋体" w:hAnsi="宋体" w:eastAsia="宋体" w:cs="宋体"/>
          <w:b w:val="0"/>
          <w:bCs w:val="0"/>
          <w:color w:val="auto"/>
          <w:kern w:val="0"/>
          <w:sz w:val="24"/>
          <w:szCs w:val="24"/>
          <w:highlight w:val="none"/>
          <w:lang w:val="en-US"/>
        </w:rPr>
        <w:t>应当</w:t>
      </w:r>
      <w:r>
        <w:rPr>
          <w:rFonts w:hint="eastAsia" w:ascii="宋体" w:hAnsi="宋体" w:eastAsia="宋体" w:cs="宋体"/>
          <w:b w:val="0"/>
          <w:bCs w:val="0"/>
          <w:color w:val="auto"/>
          <w:kern w:val="0"/>
          <w:sz w:val="24"/>
          <w:szCs w:val="24"/>
          <w:highlight w:val="none"/>
          <w:lang w:val="en-US" w:eastAsia="zh-CN"/>
        </w:rPr>
        <w:t>按规定</w:t>
      </w:r>
      <w:r>
        <w:rPr>
          <w:rFonts w:hint="eastAsia" w:ascii="宋体" w:hAnsi="宋体" w:eastAsia="宋体" w:cs="宋体"/>
          <w:b w:val="0"/>
          <w:bCs w:val="0"/>
          <w:color w:val="auto"/>
          <w:kern w:val="0"/>
          <w:sz w:val="24"/>
          <w:szCs w:val="24"/>
          <w:highlight w:val="none"/>
          <w:lang w:val="en-US"/>
        </w:rPr>
        <w:t>做好审核并完成支付。</w:t>
      </w:r>
    </w:p>
    <w:p w14:paraId="520E3CA9">
      <w:pPr>
        <w:pStyle w:val="51"/>
        <w:pageBreakBefore w:val="0"/>
        <w:widowControl w:val="0"/>
        <w:kinsoku/>
        <w:wordWrap/>
        <w:overflowPunct/>
        <w:topLinePunct w:val="0"/>
        <w:autoSpaceDE/>
        <w:autoSpaceDN/>
        <w:bidi w:val="0"/>
        <w:adjustRightInd w:val="0"/>
        <w:snapToGrid w:val="0"/>
        <w:spacing w:line="360" w:lineRule="auto"/>
        <w:textAlignment w:val="auto"/>
        <w:rPr>
          <w:color w:val="auto"/>
          <w:sz w:val="24"/>
          <w:szCs w:val="24"/>
          <w:highlight w:val="none"/>
        </w:rPr>
        <w:sectPr>
          <w:headerReference r:id="rId8" w:type="first"/>
          <w:footerReference r:id="rId11" w:type="first"/>
          <w:headerReference r:id="rId7" w:type="default"/>
          <w:footerReference r:id="rId9" w:type="default"/>
          <w:footerReference r:id="rId10" w:type="even"/>
          <w:pgSz w:w="11906" w:h="16838"/>
          <w:pgMar w:top="1417" w:right="1417" w:bottom="1417" w:left="1417" w:header="850" w:footer="992" w:gutter="0"/>
          <w:cols w:space="0" w:num="1"/>
          <w:titlePg/>
          <w:rtlGutter w:val="0"/>
          <w:docGrid w:linePitch="312" w:charSpace="0"/>
        </w:sectPr>
      </w:pPr>
    </w:p>
    <w:p w14:paraId="66B43C5D">
      <w:pPr>
        <w:snapToGrid w:val="0"/>
        <w:spacing w:line="360" w:lineRule="auto"/>
        <w:ind w:left="238"/>
        <w:jc w:val="center"/>
        <w:rPr>
          <w:rStyle w:val="144"/>
          <w:rFonts w:ascii="宋体" w:hAnsi="宋体" w:cs="宋体"/>
          <w:color w:val="auto"/>
          <w:spacing w:val="-4"/>
          <w:sz w:val="32"/>
          <w:szCs w:val="32"/>
          <w:highlight w:val="none"/>
        </w:rPr>
      </w:pPr>
      <w:bookmarkStart w:id="37" w:name="_Toc30596"/>
      <w:r>
        <w:rPr>
          <w:rStyle w:val="144"/>
          <w:rFonts w:ascii="宋体" w:hAnsi="宋体" w:cs="宋体"/>
          <w:color w:val="auto"/>
          <w:spacing w:val="-4"/>
          <w:sz w:val="32"/>
          <w:szCs w:val="32"/>
          <w:highlight w:val="none"/>
        </w:rPr>
        <w:t>第三</w:t>
      </w:r>
      <w:r>
        <w:rPr>
          <w:rStyle w:val="144"/>
          <w:rFonts w:hint="eastAsia" w:ascii="宋体" w:hAnsi="宋体" w:cs="宋体"/>
          <w:color w:val="auto"/>
          <w:spacing w:val="-4"/>
          <w:sz w:val="32"/>
          <w:szCs w:val="32"/>
          <w:highlight w:val="none"/>
          <w:lang w:val="en-US"/>
        </w:rPr>
        <w:t>部分</w:t>
      </w:r>
      <w:r>
        <w:rPr>
          <w:rStyle w:val="144"/>
          <w:rFonts w:ascii="宋体" w:hAnsi="宋体" w:cs="宋体"/>
          <w:color w:val="auto"/>
          <w:spacing w:val="-4"/>
          <w:sz w:val="32"/>
          <w:szCs w:val="32"/>
          <w:highlight w:val="none"/>
        </w:rPr>
        <w:t xml:space="preserve">  评标办法</w:t>
      </w:r>
      <w:bookmarkEnd w:id="37"/>
    </w:p>
    <w:p w14:paraId="2E0395E4">
      <w:pPr>
        <w:snapToGrid w:val="0"/>
        <w:spacing w:line="360" w:lineRule="auto"/>
        <w:ind w:left="238"/>
        <w:jc w:val="center"/>
        <w:rPr>
          <w:rFonts w:hint="default" w:ascii="宋体" w:hAnsi="宋体" w:cs="宋体"/>
          <w:b/>
          <w:color w:val="auto"/>
          <w:sz w:val="36"/>
          <w:szCs w:val="36"/>
          <w:highlight w:val="none"/>
        </w:rPr>
      </w:pPr>
      <w:r>
        <w:rPr>
          <w:rFonts w:hint="eastAsia" w:ascii="宋体" w:hAnsi="宋体" w:cs="宋体"/>
          <w:b/>
          <w:color w:val="auto"/>
          <w:sz w:val="32"/>
          <w:szCs w:val="20"/>
          <w:highlight w:val="none"/>
        </w:rPr>
        <w:t>评标办法前附表</w:t>
      </w:r>
    </w:p>
    <w:tbl>
      <w:tblPr>
        <w:tblStyle w:val="42"/>
        <w:tblW w:w="91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5292"/>
        <w:gridCol w:w="792"/>
        <w:gridCol w:w="900"/>
        <w:gridCol w:w="1495"/>
      </w:tblGrid>
      <w:tr w14:paraId="6B9C6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9FF8E4D">
            <w:pPr>
              <w:snapToGrid w:val="0"/>
              <w:spacing w:line="240" w:lineRule="auto"/>
              <w:jc w:val="center"/>
              <w:rPr>
                <w:rFonts w:cs="仿宋_GB2312" w:asciiTheme="minorEastAsia" w:hAnsiTheme="minorEastAsia" w:eastAsiaTheme="minorEastAsia"/>
                <w:color w:val="auto"/>
                <w:sz w:val="21"/>
                <w:szCs w:val="21"/>
                <w:highlight w:val="none"/>
              </w:rPr>
            </w:pPr>
            <w:bookmarkStart w:id="38" w:name="_Toc15851"/>
            <w:r>
              <w:rPr>
                <w:rFonts w:hint="eastAsia" w:cs="仿宋_GB2312" w:asciiTheme="minorEastAsia" w:hAnsiTheme="minorEastAsia" w:eastAsiaTheme="minorEastAsia"/>
                <w:color w:val="auto"/>
                <w:sz w:val="21"/>
                <w:szCs w:val="21"/>
                <w:highlight w:val="none"/>
              </w:rPr>
              <w:t>序号</w:t>
            </w:r>
          </w:p>
        </w:tc>
        <w:tc>
          <w:tcPr>
            <w:tcW w:w="5292" w:type="dxa"/>
            <w:vAlign w:val="center"/>
          </w:tcPr>
          <w:p w14:paraId="12840625">
            <w:pPr>
              <w:snapToGrid w:val="0"/>
              <w:spacing w:line="240" w:lineRule="auto"/>
              <w:jc w:val="center"/>
              <w:rPr>
                <w:rFonts w:cs="仿宋_GB2312" w:asciiTheme="minorEastAsia" w:hAnsiTheme="minorEastAsia" w:eastAsiaTheme="minorEastAsia"/>
                <w:color w:val="auto"/>
                <w:sz w:val="21"/>
                <w:szCs w:val="21"/>
                <w:highlight w:val="none"/>
              </w:rPr>
            </w:pPr>
            <w:r>
              <w:rPr>
                <w:rFonts w:hint="eastAsia" w:cs="仿宋_GB2312" w:asciiTheme="minorEastAsia" w:hAnsiTheme="minorEastAsia" w:eastAsiaTheme="minorEastAsia"/>
                <w:color w:val="auto"/>
                <w:sz w:val="21"/>
                <w:szCs w:val="21"/>
                <w:highlight w:val="none"/>
              </w:rPr>
              <w:t>评标标准</w:t>
            </w:r>
          </w:p>
        </w:tc>
        <w:tc>
          <w:tcPr>
            <w:tcW w:w="792" w:type="dxa"/>
            <w:vAlign w:val="center"/>
          </w:tcPr>
          <w:p w14:paraId="4DF7961E">
            <w:pPr>
              <w:snapToGrid w:val="0"/>
              <w:spacing w:line="240" w:lineRule="auto"/>
              <w:jc w:val="center"/>
              <w:rPr>
                <w:rFonts w:cs="仿宋_GB2312" w:asciiTheme="minorEastAsia" w:hAnsiTheme="minorEastAsia" w:eastAsiaTheme="minorEastAsia"/>
                <w:color w:val="auto"/>
                <w:sz w:val="21"/>
                <w:szCs w:val="21"/>
                <w:highlight w:val="none"/>
              </w:rPr>
            </w:pPr>
            <w:r>
              <w:rPr>
                <w:rFonts w:hint="eastAsia" w:cs="仿宋_GB2312" w:asciiTheme="minorEastAsia" w:hAnsiTheme="minorEastAsia" w:eastAsiaTheme="minorEastAsia"/>
                <w:color w:val="auto"/>
                <w:sz w:val="21"/>
                <w:szCs w:val="21"/>
                <w:highlight w:val="none"/>
              </w:rPr>
              <w:t>权重</w:t>
            </w:r>
          </w:p>
        </w:tc>
        <w:tc>
          <w:tcPr>
            <w:tcW w:w="900" w:type="dxa"/>
            <w:vAlign w:val="center"/>
          </w:tcPr>
          <w:p w14:paraId="2C42C2F2">
            <w:pPr>
              <w:snapToGrid w:val="0"/>
              <w:spacing w:line="240" w:lineRule="auto"/>
              <w:jc w:val="center"/>
              <w:rPr>
                <w:rFonts w:cs="仿宋_GB2312" w:asciiTheme="minorEastAsia" w:hAnsiTheme="minorEastAsia" w:eastAsiaTheme="minorEastAsia"/>
                <w:bCs/>
                <w:color w:val="auto"/>
                <w:sz w:val="21"/>
                <w:szCs w:val="21"/>
                <w:highlight w:val="none"/>
              </w:rPr>
            </w:pPr>
            <w:r>
              <w:rPr>
                <w:rFonts w:hint="eastAsia" w:cs="仿宋_GB2312" w:asciiTheme="minorEastAsia" w:hAnsiTheme="minorEastAsia" w:eastAsiaTheme="minorEastAsia"/>
                <w:bCs/>
                <w:color w:val="auto"/>
                <w:sz w:val="21"/>
                <w:szCs w:val="21"/>
                <w:highlight w:val="none"/>
              </w:rPr>
              <w:t>主观分/客观分属性</w:t>
            </w:r>
          </w:p>
        </w:tc>
        <w:tc>
          <w:tcPr>
            <w:tcW w:w="1495" w:type="dxa"/>
          </w:tcPr>
          <w:p w14:paraId="05FE64A9">
            <w:pPr>
              <w:snapToGrid w:val="0"/>
              <w:spacing w:line="240" w:lineRule="auto"/>
              <w:jc w:val="center"/>
              <w:rPr>
                <w:rFonts w:cs="仿宋_GB2312" w:asciiTheme="minorEastAsia" w:hAnsiTheme="minorEastAsia" w:eastAsiaTheme="minorEastAsia"/>
                <w:color w:val="auto"/>
                <w:sz w:val="21"/>
                <w:szCs w:val="21"/>
                <w:highlight w:val="none"/>
              </w:rPr>
            </w:pPr>
            <w:r>
              <w:rPr>
                <w:rFonts w:hint="eastAsia" w:cs="仿宋_GB2312" w:asciiTheme="minorEastAsia" w:hAnsiTheme="minorEastAsia" w:eastAsiaTheme="minorEastAsia"/>
                <w:bCs/>
                <w:color w:val="auto"/>
                <w:sz w:val="21"/>
                <w:szCs w:val="21"/>
                <w:highlight w:val="none"/>
              </w:rPr>
              <w:t>投标文件中评标标准相应的商务技术资料目录*</w:t>
            </w:r>
          </w:p>
        </w:tc>
      </w:tr>
      <w:tr w14:paraId="2BD3E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8" w:hRule="atLeast"/>
        </w:trPr>
        <w:tc>
          <w:tcPr>
            <w:tcW w:w="675" w:type="dxa"/>
            <w:vAlign w:val="center"/>
          </w:tcPr>
          <w:p w14:paraId="685931F4">
            <w:pPr>
              <w:snapToGrid w:val="0"/>
              <w:spacing w:line="240" w:lineRule="auto"/>
              <w:jc w:val="center"/>
              <w:rPr>
                <w:rFonts w:cs="仿宋_GB2312" w:asciiTheme="minorEastAsia" w:hAnsiTheme="minorEastAsia" w:eastAsiaTheme="minorEastAsia"/>
                <w:color w:val="auto"/>
                <w:sz w:val="21"/>
                <w:szCs w:val="21"/>
                <w:highlight w:val="none"/>
              </w:rPr>
            </w:pPr>
            <w:r>
              <w:rPr>
                <w:rFonts w:hint="eastAsia" w:cs="仿宋_GB2312" w:asciiTheme="minorEastAsia" w:hAnsiTheme="minorEastAsia" w:eastAsiaTheme="minorEastAsia"/>
                <w:color w:val="auto"/>
                <w:sz w:val="21"/>
                <w:szCs w:val="21"/>
                <w:highlight w:val="none"/>
              </w:rPr>
              <w:t>1</w:t>
            </w:r>
          </w:p>
        </w:tc>
        <w:tc>
          <w:tcPr>
            <w:tcW w:w="5292" w:type="dxa"/>
            <w:vAlign w:val="center"/>
          </w:tcPr>
          <w:p w14:paraId="538E5680">
            <w:pPr>
              <w:pStyle w:val="123"/>
              <w:keepNext w:val="0"/>
              <w:keepLines w:val="0"/>
              <w:suppressLineNumbers w:val="0"/>
              <w:spacing w:before="0" w:beforeAutospacing="0" w:after="0" w:afterAutospacing="0" w:line="240" w:lineRule="auto"/>
              <w:ind w:left="0" w:right="0" w:firstLine="0" w:firstLineChars="0"/>
              <w:jc w:val="both"/>
              <w:rPr>
                <w:rFonts w:hint="default" w:cs="仿宋_GB2312" w:asciiTheme="minorEastAsia" w:hAnsiTheme="minorEastAsia" w:eastAsiaTheme="minorEastAsia"/>
                <w:b/>
                <w:bCs/>
                <w:color w:val="auto"/>
                <w:sz w:val="21"/>
                <w:szCs w:val="21"/>
                <w:highlight w:val="none"/>
              </w:rPr>
            </w:pPr>
            <w:r>
              <w:rPr>
                <w:rFonts w:hint="default" w:cs="仿宋_GB2312" w:asciiTheme="minorEastAsia" w:hAnsiTheme="minorEastAsia" w:eastAsiaTheme="minorEastAsia"/>
                <w:b/>
                <w:bCs/>
                <w:color w:val="auto"/>
                <w:sz w:val="21"/>
                <w:szCs w:val="21"/>
                <w:highlight w:val="none"/>
              </w:rPr>
              <w:t>业绩</w:t>
            </w:r>
          </w:p>
          <w:p w14:paraId="747079A8">
            <w:pPr>
              <w:pStyle w:val="123"/>
              <w:keepNext w:val="0"/>
              <w:keepLines w:val="0"/>
              <w:suppressLineNumbers w:val="0"/>
              <w:spacing w:before="0" w:beforeAutospacing="0" w:after="0" w:afterAutospacing="0" w:line="240" w:lineRule="auto"/>
              <w:ind w:left="0" w:right="0" w:firstLine="0" w:firstLineChars="0"/>
              <w:jc w:val="both"/>
              <w:rPr>
                <w:rFonts w:hint="default" w:cs="仿宋_GB2312" w:asciiTheme="minorEastAsia" w:hAnsiTheme="minorEastAsia" w:eastAsiaTheme="minorEastAsia"/>
                <w:color w:val="auto"/>
                <w:sz w:val="21"/>
                <w:szCs w:val="21"/>
                <w:highlight w:val="none"/>
              </w:rPr>
            </w:pPr>
            <w:r>
              <w:rPr>
                <w:rFonts w:hint="eastAsia" w:cs="仿宋_GB2312" w:asciiTheme="minorEastAsia" w:hAnsiTheme="minorEastAsia" w:eastAsiaTheme="minorEastAsia"/>
                <w:color w:val="auto"/>
                <w:sz w:val="21"/>
                <w:szCs w:val="21"/>
                <w:highlight w:val="none"/>
                <w:lang w:val="en-US" w:eastAsia="zh-CN"/>
              </w:rPr>
              <w:t>投标人</w:t>
            </w:r>
            <w:r>
              <w:rPr>
                <w:rFonts w:hint="default" w:cs="仿宋_GB2312" w:asciiTheme="minorEastAsia" w:hAnsiTheme="minorEastAsia" w:eastAsiaTheme="minorEastAsia"/>
                <w:color w:val="auto"/>
                <w:sz w:val="21"/>
                <w:szCs w:val="21"/>
                <w:highlight w:val="none"/>
              </w:rPr>
              <w:t>自202</w:t>
            </w:r>
            <w:r>
              <w:rPr>
                <w:rFonts w:hint="eastAsia" w:cs="仿宋_GB2312" w:asciiTheme="minorEastAsia" w:hAnsiTheme="minorEastAsia" w:eastAsiaTheme="minorEastAsia"/>
                <w:color w:val="auto"/>
                <w:sz w:val="21"/>
                <w:szCs w:val="21"/>
                <w:highlight w:val="none"/>
                <w:lang w:val="en-US" w:eastAsia="zh-CN"/>
              </w:rPr>
              <w:t>2</w:t>
            </w:r>
            <w:r>
              <w:rPr>
                <w:rFonts w:hint="default" w:cs="仿宋_GB2312" w:asciiTheme="minorEastAsia" w:hAnsiTheme="minorEastAsia" w:eastAsiaTheme="minorEastAsia"/>
                <w:color w:val="auto"/>
                <w:sz w:val="21"/>
                <w:szCs w:val="21"/>
                <w:highlight w:val="none"/>
              </w:rPr>
              <w:t>年1月1日以来（以合同签订时间为准）</w:t>
            </w:r>
            <w:r>
              <w:rPr>
                <w:rFonts w:hint="eastAsia" w:cs="仿宋_GB2312" w:asciiTheme="minorEastAsia" w:hAnsiTheme="minorEastAsia" w:eastAsiaTheme="minorEastAsia"/>
                <w:color w:val="auto"/>
                <w:sz w:val="21"/>
                <w:szCs w:val="21"/>
                <w:highlight w:val="none"/>
                <w:lang w:val="en-US" w:eastAsia="zh-CN"/>
              </w:rPr>
              <w:t>同类相关项目</w:t>
            </w:r>
            <w:r>
              <w:rPr>
                <w:rFonts w:hint="default" w:cs="仿宋_GB2312" w:asciiTheme="minorEastAsia" w:hAnsiTheme="minorEastAsia" w:eastAsiaTheme="minorEastAsia"/>
                <w:color w:val="auto"/>
                <w:sz w:val="21"/>
                <w:szCs w:val="21"/>
                <w:highlight w:val="none"/>
              </w:rPr>
              <w:t>业绩证明材料</w:t>
            </w:r>
            <w:r>
              <w:rPr>
                <w:rFonts w:hint="eastAsia" w:cs="仿宋_GB2312" w:asciiTheme="minorEastAsia" w:hAnsiTheme="minorEastAsia" w:eastAsiaTheme="minorEastAsia"/>
                <w:color w:val="auto"/>
                <w:sz w:val="21"/>
                <w:szCs w:val="21"/>
                <w:highlight w:val="none"/>
                <w:lang w:val="en-US" w:eastAsia="zh-CN"/>
              </w:rPr>
              <w:t>不少于1份</w:t>
            </w:r>
            <w:r>
              <w:rPr>
                <w:rFonts w:hint="default" w:cs="仿宋_GB2312" w:asciiTheme="minorEastAsia" w:hAnsiTheme="minorEastAsia" w:eastAsiaTheme="minorEastAsia"/>
                <w:color w:val="auto"/>
                <w:sz w:val="21"/>
                <w:szCs w:val="21"/>
                <w:highlight w:val="none"/>
              </w:rPr>
              <w:t>，</w:t>
            </w:r>
            <w:r>
              <w:rPr>
                <w:rFonts w:hint="eastAsia" w:cs="仿宋_GB2312" w:asciiTheme="minorEastAsia" w:hAnsiTheme="minorEastAsia" w:eastAsiaTheme="minorEastAsia"/>
                <w:color w:val="auto"/>
                <w:sz w:val="21"/>
                <w:szCs w:val="21"/>
                <w:highlight w:val="none"/>
                <w:lang w:val="en-US" w:eastAsia="zh-CN"/>
              </w:rPr>
              <w:t>提供</w:t>
            </w:r>
            <w:r>
              <w:rPr>
                <w:rFonts w:hint="default" w:cs="仿宋_GB2312" w:asciiTheme="minorEastAsia" w:hAnsiTheme="minorEastAsia" w:eastAsiaTheme="minorEastAsia"/>
                <w:color w:val="auto"/>
                <w:sz w:val="21"/>
                <w:szCs w:val="21"/>
                <w:highlight w:val="none"/>
              </w:rPr>
              <w:t>得</w:t>
            </w:r>
            <w:r>
              <w:rPr>
                <w:rFonts w:hint="default" w:cs="仿宋_GB2312" w:asciiTheme="minorEastAsia" w:hAnsiTheme="minorEastAsia" w:eastAsiaTheme="minorEastAsia"/>
                <w:color w:val="auto"/>
                <w:sz w:val="21"/>
                <w:szCs w:val="21"/>
                <w:highlight w:val="none"/>
                <w:lang w:val="en-US" w:eastAsia="zh-CN"/>
              </w:rPr>
              <w:t>1</w:t>
            </w:r>
            <w:r>
              <w:rPr>
                <w:rFonts w:hint="default" w:cs="仿宋_GB2312" w:asciiTheme="minorEastAsia" w:hAnsiTheme="minorEastAsia" w:eastAsiaTheme="minorEastAsia"/>
                <w:color w:val="auto"/>
                <w:sz w:val="21"/>
                <w:szCs w:val="21"/>
                <w:highlight w:val="none"/>
              </w:rPr>
              <w:t>分</w:t>
            </w:r>
            <w:r>
              <w:rPr>
                <w:rFonts w:hint="eastAsia" w:cs="仿宋_GB2312" w:asciiTheme="minorEastAsia" w:hAnsiTheme="minorEastAsia" w:eastAsiaTheme="minorEastAsia"/>
                <w:color w:val="auto"/>
                <w:sz w:val="21"/>
                <w:szCs w:val="21"/>
                <w:highlight w:val="none"/>
                <w:lang w:eastAsia="zh-CN"/>
              </w:rPr>
              <w:t>，</w:t>
            </w:r>
            <w:r>
              <w:rPr>
                <w:rFonts w:hint="eastAsia" w:cs="仿宋_GB2312" w:asciiTheme="minorEastAsia" w:hAnsiTheme="minorEastAsia" w:eastAsiaTheme="minorEastAsia"/>
                <w:color w:val="auto"/>
                <w:sz w:val="21"/>
                <w:szCs w:val="21"/>
                <w:highlight w:val="none"/>
                <w:lang w:val="en-US" w:eastAsia="zh-CN"/>
              </w:rPr>
              <w:t>未提供不得分</w:t>
            </w:r>
            <w:r>
              <w:rPr>
                <w:rFonts w:hint="default" w:cs="仿宋_GB2312" w:asciiTheme="minorEastAsia" w:hAnsiTheme="minorEastAsia" w:eastAsiaTheme="minorEastAsia"/>
                <w:color w:val="auto"/>
                <w:sz w:val="21"/>
                <w:szCs w:val="21"/>
                <w:highlight w:val="none"/>
              </w:rPr>
              <w:t>。</w:t>
            </w:r>
          </w:p>
          <w:p w14:paraId="7527F759">
            <w:pPr>
              <w:snapToGrid w:val="0"/>
              <w:spacing w:line="240" w:lineRule="auto"/>
              <w:jc w:val="both"/>
              <w:rPr>
                <w:rFonts w:hint="default" w:cs="仿宋_GB2312" w:asciiTheme="minorEastAsia" w:hAnsiTheme="minorEastAsia" w:eastAsiaTheme="minorEastAsia"/>
                <w:color w:val="auto"/>
                <w:sz w:val="21"/>
                <w:szCs w:val="21"/>
                <w:highlight w:val="none"/>
                <w:lang w:val="en-US" w:eastAsia="zh-CN"/>
              </w:rPr>
            </w:pPr>
            <w:r>
              <w:rPr>
                <w:rFonts w:hint="default" w:cs="仿宋_GB2312" w:asciiTheme="minorEastAsia" w:hAnsiTheme="minorEastAsia" w:eastAsiaTheme="minorEastAsia"/>
                <w:color w:val="auto"/>
                <w:sz w:val="21"/>
                <w:szCs w:val="21"/>
                <w:highlight w:val="none"/>
              </w:rPr>
              <w:t>证明材料：</w:t>
            </w:r>
            <w:r>
              <w:rPr>
                <w:rFonts w:hint="eastAsia" w:cs="仿宋_GB2312" w:asciiTheme="minorEastAsia" w:hAnsiTheme="minorEastAsia" w:eastAsiaTheme="minorEastAsia"/>
                <w:color w:val="auto"/>
                <w:sz w:val="21"/>
                <w:szCs w:val="21"/>
                <w:highlight w:val="none"/>
                <w:lang w:val="en-US" w:eastAsia="zh-CN"/>
              </w:rPr>
              <w:t>合同扫描件加盖公章。</w:t>
            </w:r>
          </w:p>
        </w:tc>
        <w:tc>
          <w:tcPr>
            <w:tcW w:w="792" w:type="dxa"/>
            <w:vAlign w:val="center"/>
          </w:tcPr>
          <w:p w14:paraId="677AEB66">
            <w:pPr>
              <w:snapToGrid w:val="0"/>
              <w:spacing w:line="240" w:lineRule="auto"/>
              <w:jc w:val="center"/>
              <w:rPr>
                <w:rFonts w:hint="eastAsia" w:cs="仿宋_GB2312" w:asciiTheme="minorEastAsia" w:hAnsiTheme="minorEastAsia" w:eastAsiaTheme="minorEastAsia"/>
                <w:color w:val="auto"/>
                <w:sz w:val="21"/>
                <w:szCs w:val="21"/>
                <w:highlight w:val="none"/>
                <w:lang w:val="en-US" w:eastAsia="zh-CN"/>
              </w:rPr>
            </w:pPr>
            <w:r>
              <w:rPr>
                <w:rFonts w:hint="eastAsia" w:cs="仿宋_GB2312" w:asciiTheme="minorEastAsia" w:hAnsiTheme="minorEastAsia" w:eastAsiaTheme="minorEastAsia"/>
                <w:color w:val="auto"/>
                <w:sz w:val="21"/>
                <w:szCs w:val="21"/>
                <w:highlight w:val="none"/>
                <w:lang w:val="en-US" w:eastAsia="zh-CN"/>
              </w:rPr>
              <w:t>1</w:t>
            </w:r>
          </w:p>
        </w:tc>
        <w:tc>
          <w:tcPr>
            <w:tcW w:w="900" w:type="dxa"/>
            <w:vAlign w:val="center"/>
          </w:tcPr>
          <w:p w14:paraId="6773A853">
            <w:pPr>
              <w:snapToGrid w:val="0"/>
              <w:spacing w:line="240" w:lineRule="auto"/>
              <w:jc w:val="center"/>
              <w:rPr>
                <w:rFonts w:hint="eastAsia" w:cs="仿宋_GB2312" w:asciiTheme="minorEastAsia" w:hAnsiTheme="minorEastAsia" w:eastAsiaTheme="minorEastAsia"/>
                <w:color w:val="auto"/>
                <w:sz w:val="21"/>
                <w:szCs w:val="21"/>
                <w:highlight w:val="none"/>
                <w:lang w:val="en-US" w:eastAsia="zh-CN"/>
              </w:rPr>
            </w:pPr>
            <w:r>
              <w:rPr>
                <w:rFonts w:hint="eastAsia" w:cs="仿宋_GB2312" w:asciiTheme="minorEastAsia" w:hAnsiTheme="minorEastAsia" w:eastAsiaTheme="minorEastAsia"/>
                <w:color w:val="auto"/>
                <w:sz w:val="21"/>
                <w:szCs w:val="21"/>
                <w:highlight w:val="none"/>
                <w:lang w:val="en-US" w:eastAsia="zh-CN"/>
              </w:rPr>
              <w:t>客观分</w:t>
            </w:r>
          </w:p>
        </w:tc>
        <w:tc>
          <w:tcPr>
            <w:tcW w:w="1495" w:type="dxa"/>
            <w:vAlign w:val="center"/>
          </w:tcPr>
          <w:p w14:paraId="2DE8241A">
            <w:pPr>
              <w:snapToGrid w:val="0"/>
              <w:spacing w:line="240" w:lineRule="auto"/>
              <w:jc w:val="center"/>
              <w:rPr>
                <w:rFonts w:cs="仿宋_GB2312" w:asciiTheme="minorEastAsia" w:hAnsiTheme="minorEastAsia" w:eastAsiaTheme="minorEastAsia"/>
                <w:color w:val="auto"/>
                <w:sz w:val="21"/>
                <w:szCs w:val="21"/>
                <w:highlight w:val="none"/>
              </w:rPr>
            </w:pPr>
          </w:p>
        </w:tc>
      </w:tr>
      <w:tr w14:paraId="144E9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4" w:hRule="atLeast"/>
        </w:trPr>
        <w:tc>
          <w:tcPr>
            <w:tcW w:w="675" w:type="dxa"/>
            <w:vAlign w:val="center"/>
          </w:tcPr>
          <w:p w14:paraId="693910DC">
            <w:pPr>
              <w:snapToGrid w:val="0"/>
              <w:spacing w:line="240" w:lineRule="auto"/>
              <w:jc w:val="center"/>
              <w:rPr>
                <w:rFonts w:hint="eastAsia" w:cs="仿宋_GB2312" w:asciiTheme="minorEastAsia" w:hAnsiTheme="minorEastAsia" w:eastAsiaTheme="minorEastAsia"/>
                <w:color w:val="auto"/>
                <w:sz w:val="21"/>
                <w:szCs w:val="21"/>
                <w:highlight w:val="none"/>
                <w:lang w:eastAsia="zh-CN"/>
              </w:rPr>
            </w:pPr>
            <w:r>
              <w:rPr>
                <w:rFonts w:hint="eastAsia" w:cs="仿宋_GB2312" w:asciiTheme="minorEastAsia" w:hAnsiTheme="minorEastAsia" w:eastAsiaTheme="minorEastAsia"/>
                <w:color w:val="auto"/>
                <w:sz w:val="21"/>
                <w:szCs w:val="21"/>
                <w:highlight w:val="none"/>
                <w:lang w:val="en-US" w:eastAsia="zh-CN"/>
              </w:rPr>
              <w:t>2</w:t>
            </w:r>
          </w:p>
        </w:tc>
        <w:tc>
          <w:tcPr>
            <w:tcW w:w="5292" w:type="dxa"/>
            <w:vAlign w:val="center"/>
          </w:tcPr>
          <w:p w14:paraId="5B855FAF">
            <w:pPr>
              <w:rPr>
                <w:rFonts w:hint="eastAsia" w:ascii="Times New Roman" w:hAnsi="Times New Roman" w:eastAsia="宋体" w:cs="Times New Roman"/>
                <w:b w:val="0"/>
                <w:bCs w:val="0"/>
                <w:color w:val="auto"/>
                <w:sz w:val="21"/>
                <w:szCs w:val="20"/>
                <w:highlight w:val="none"/>
              </w:rPr>
            </w:pPr>
            <w:r>
              <w:rPr>
                <w:rFonts w:hint="eastAsia" w:ascii="Times New Roman" w:hAnsi="Times New Roman" w:eastAsia="宋体" w:cs="Times New Roman"/>
                <w:b w:val="0"/>
                <w:bCs w:val="0"/>
                <w:color w:val="auto"/>
                <w:sz w:val="21"/>
                <w:szCs w:val="20"/>
                <w:highlight w:val="none"/>
              </w:rPr>
              <w:t>对采购文件要求的响应情况</w:t>
            </w:r>
          </w:p>
          <w:p w14:paraId="18FF3F85">
            <w:pPr>
              <w:rPr>
                <w:rFonts w:hint="eastAsia"/>
                <w:color w:val="auto"/>
                <w:highlight w:val="none"/>
                <w:lang w:val="en-US" w:eastAsia="zh-CN"/>
              </w:rPr>
            </w:pPr>
            <w:r>
              <w:rPr>
                <w:rFonts w:hint="default"/>
                <w:color w:val="auto"/>
                <w:highlight w:val="none"/>
                <w:lang w:val="en-US" w:eastAsia="zh-CN"/>
              </w:rPr>
              <w:t>技术指标符合度：对技术条款要求</w:t>
            </w:r>
            <w:r>
              <w:rPr>
                <w:rFonts w:hint="eastAsia"/>
                <w:color w:val="auto"/>
                <w:highlight w:val="none"/>
                <w:lang w:val="en-US" w:eastAsia="zh-CN"/>
              </w:rPr>
              <w:t>（采购需求中“一、建设内容及要求”）</w:t>
            </w:r>
            <w:r>
              <w:rPr>
                <w:rFonts w:hint="default"/>
                <w:color w:val="auto"/>
                <w:highlight w:val="none"/>
                <w:lang w:val="en-US" w:eastAsia="zh-CN"/>
              </w:rPr>
              <w:t>，</w:t>
            </w:r>
            <w:r>
              <w:rPr>
                <w:rFonts w:hint="eastAsia"/>
                <w:color w:val="auto"/>
                <w:highlight w:val="none"/>
                <w:lang w:val="en-US" w:eastAsia="zh-CN"/>
              </w:rPr>
              <w:t>由评委根据投标人所投的产品进行评比打分，完全满足的得30分</w:t>
            </w:r>
            <w:r>
              <w:rPr>
                <w:rFonts w:hint="eastAsia" w:cs="仿宋_GB2312" w:asciiTheme="minorEastAsia" w:hAnsiTheme="minorEastAsia" w:eastAsiaTheme="minorEastAsia"/>
                <w:color w:val="auto"/>
                <w:sz w:val="21"/>
                <w:szCs w:val="21"/>
                <w:highlight w:val="none"/>
                <w:lang w:val="en-US" w:eastAsia="zh-CN"/>
              </w:rPr>
              <w:t>（演示要求除外）</w:t>
            </w:r>
            <w:r>
              <w:rPr>
                <w:rFonts w:hint="eastAsia"/>
                <w:color w:val="auto"/>
                <w:highlight w:val="none"/>
                <w:lang w:val="en-US" w:eastAsia="zh-CN"/>
              </w:rPr>
              <w:t>；</w:t>
            </w:r>
          </w:p>
          <w:p w14:paraId="16276867">
            <w:pPr>
              <w:rPr>
                <w:rFonts w:hint="eastAsia"/>
                <w:color w:val="auto"/>
                <w:highlight w:val="none"/>
                <w:lang w:val="en-US" w:eastAsia="zh-CN"/>
              </w:rPr>
            </w:pPr>
            <w:r>
              <w:rPr>
                <w:rFonts w:hint="eastAsia"/>
                <w:color w:val="auto"/>
                <w:highlight w:val="none"/>
                <w:lang w:val="en-US" w:eastAsia="zh-CN"/>
              </w:rPr>
              <w:t>1.“★”为产品重要技术指标，需按要求提供相关证明材料，每负偏离或未响应一条扣2分，扣完为止；</w:t>
            </w:r>
          </w:p>
          <w:p w14:paraId="163EEAC5">
            <w:pPr>
              <w:rPr>
                <w:rFonts w:cs="仿宋_GB2312" w:asciiTheme="minorEastAsia" w:hAnsiTheme="minorEastAsia" w:eastAsiaTheme="minorEastAsia"/>
                <w:color w:val="auto"/>
                <w:sz w:val="21"/>
                <w:szCs w:val="21"/>
                <w:highlight w:val="none"/>
              </w:rPr>
            </w:pPr>
            <w:r>
              <w:rPr>
                <w:rFonts w:hint="eastAsia"/>
                <w:color w:val="auto"/>
                <w:highlight w:val="none"/>
                <w:lang w:val="en-US" w:eastAsia="zh-CN"/>
              </w:rPr>
              <w:t>2.其他参数负偏离或不响应，每1条扣1分，扣完为止。</w:t>
            </w:r>
          </w:p>
        </w:tc>
        <w:tc>
          <w:tcPr>
            <w:tcW w:w="792" w:type="dxa"/>
            <w:vAlign w:val="center"/>
          </w:tcPr>
          <w:p w14:paraId="41D6D973">
            <w:pPr>
              <w:snapToGrid w:val="0"/>
              <w:spacing w:line="240" w:lineRule="auto"/>
              <w:jc w:val="center"/>
              <w:rPr>
                <w:rFonts w:hint="default" w:cs="仿宋_GB2312" w:asciiTheme="minorEastAsia" w:hAnsiTheme="minorEastAsia" w:eastAsiaTheme="minorEastAsia"/>
                <w:color w:val="auto"/>
                <w:sz w:val="21"/>
                <w:szCs w:val="21"/>
                <w:highlight w:val="none"/>
                <w:lang w:val="en-US" w:eastAsia="zh-CN"/>
              </w:rPr>
            </w:pPr>
            <w:r>
              <w:rPr>
                <w:rFonts w:hint="eastAsia" w:cs="仿宋_GB2312" w:asciiTheme="minorEastAsia" w:hAnsiTheme="minorEastAsia" w:eastAsiaTheme="minorEastAsia"/>
                <w:color w:val="auto"/>
                <w:sz w:val="21"/>
                <w:szCs w:val="21"/>
                <w:highlight w:val="none"/>
                <w:lang w:val="en-US" w:eastAsia="zh-CN"/>
              </w:rPr>
              <w:t>30</w:t>
            </w:r>
          </w:p>
        </w:tc>
        <w:tc>
          <w:tcPr>
            <w:tcW w:w="900" w:type="dxa"/>
            <w:vAlign w:val="center"/>
          </w:tcPr>
          <w:p w14:paraId="6B0A87F4">
            <w:pPr>
              <w:snapToGrid w:val="0"/>
              <w:spacing w:line="240" w:lineRule="auto"/>
              <w:jc w:val="center"/>
              <w:rPr>
                <w:rFonts w:hint="eastAsia" w:cs="仿宋_GB2312" w:asciiTheme="minorEastAsia" w:hAnsiTheme="minorEastAsia" w:eastAsiaTheme="minorEastAsia"/>
                <w:color w:val="auto"/>
                <w:sz w:val="21"/>
                <w:szCs w:val="21"/>
                <w:highlight w:val="none"/>
                <w:lang w:val="en-US" w:eastAsia="zh-CN"/>
              </w:rPr>
            </w:pPr>
            <w:r>
              <w:rPr>
                <w:rFonts w:hint="eastAsia" w:cs="仿宋_GB2312" w:asciiTheme="minorEastAsia" w:hAnsiTheme="minorEastAsia" w:eastAsiaTheme="minorEastAsia"/>
                <w:color w:val="auto"/>
                <w:sz w:val="21"/>
                <w:szCs w:val="21"/>
                <w:highlight w:val="none"/>
                <w:lang w:val="en-US" w:eastAsia="zh-CN"/>
              </w:rPr>
              <w:t>客观分</w:t>
            </w:r>
          </w:p>
        </w:tc>
        <w:tc>
          <w:tcPr>
            <w:tcW w:w="1495" w:type="dxa"/>
            <w:vAlign w:val="center"/>
          </w:tcPr>
          <w:p w14:paraId="6608D543">
            <w:pPr>
              <w:snapToGrid w:val="0"/>
              <w:spacing w:line="240" w:lineRule="auto"/>
              <w:jc w:val="center"/>
              <w:rPr>
                <w:rFonts w:cs="仿宋_GB2312" w:asciiTheme="minorEastAsia" w:hAnsiTheme="minorEastAsia" w:eastAsiaTheme="minorEastAsia"/>
                <w:color w:val="auto"/>
                <w:sz w:val="21"/>
                <w:szCs w:val="21"/>
                <w:highlight w:val="none"/>
              </w:rPr>
            </w:pPr>
          </w:p>
        </w:tc>
      </w:tr>
      <w:tr w14:paraId="0FD97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7" w:hRule="atLeast"/>
        </w:trPr>
        <w:tc>
          <w:tcPr>
            <w:tcW w:w="675" w:type="dxa"/>
            <w:vAlign w:val="center"/>
          </w:tcPr>
          <w:p w14:paraId="67F19720">
            <w:pPr>
              <w:snapToGrid w:val="0"/>
              <w:spacing w:line="240" w:lineRule="auto"/>
              <w:jc w:val="center"/>
              <w:rPr>
                <w:rFonts w:hint="default" w:cs="仿宋_GB2312" w:asciiTheme="minorEastAsia" w:hAnsiTheme="minorEastAsia" w:eastAsiaTheme="minorEastAsia"/>
                <w:color w:val="auto"/>
                <w:sz w:val="21"/>
                <w:szCs w:val="21"/>
                <w:highlight w:val="none"/>
                <w:lang w:val="en-US" w:eastAsia="zh-CN"/>
              </w:rPr>
            </w:pPr>
            <w:r>
              <w:rPr>
                <w:rFonts w:hint="eastAsia" w:cs="仿宋_GB2312" w:asciiTheme="minorEastAsia" w:hAnsiTheme="minorEastAsia" w:eastAsiaTheme="minorEastAsia"/>
                <w:color w:val="auto"/>
                <w:sz w:val="21"/>
                <w:szCs w:val="21"/>
                <w:highlight w:val="none"/>
                <w:lang w:val="en-US" w:eastAsia="zh-CN"/>
              </w:rPr>
              <w:t>3</w:t>
            </w:r>
          </w:p>
        </w:tc>
        <w:tc>
          <w:tcPr>
            <w:tcW w:w="5292" w:type="dxa"/>
            <w:vAlign w:val="center"/>
          </w:tcPr>
          <w:p w14:paraId="4A6A79FE">
            <w:pPr>
              <w:numPr>
                <w:ilvl w:val="0"/>
                <w:numId w:val="0"/>
              </w:numPr>
              <w:snapToGrid w:val="0"/>
              <w:spacing w:line="240" w:lineRule="auto"/>
              <w:jc w:val="both"/>
              <w:rPr>
                <w:rFonts w:hint="default" w:cs="仿宋_GB2312" w:asciiTheme="minorEastAsia" w:hAnsiTheme="minorEastAsia" w:eastAsiaTheme="minorEastAsia"/>
                <w:b/>
                <w:bCs/>
                <w:color w:val="auto"/>
                <w:sz w:val="21"/>
                <w:szCs w:val="21"/>
                <w:highlight w:val="none"/>
                <w:lang w:val="en-US" w:eastAsia="zh-CN"/>
              </w:rPr>
            </w:pPr>
            <w:r>
              <w:rPr>
                <w:rFonts w:hint="eastAsia" w:cs="仿宋_GB2312" w:asciiTheme="minorEastAsia" w:hAnsiTheme="minorEastAsia" w:eastAsiaTheme="minorEastAsia"/>
                <w:b/>
                <w:bCs/>
                <w:color w:val="auto"/>
                <w:sz w:val="21"/>
                <w:szCs w:val="21"/>
                <w:highlight w:val="none"/>
                <w:lang w:val="en-US" w:eastAsia="zh-CN"/>
              </w:rPr>
              <w:t>需求把控</w:t>
            </w:r>
          </w:p>
          <w:p w14:paraId="6CCFF726">
            <w:pPr>
              <w:numPr>
                <w:ilvl w:val="0"/>
                <w:numId w:val="0"/>
              </w:numPr>
              <w:snapToGrid w:val="0"/>
              <w:spacing w:line="240" w:lineRule="auto"/>
              <w:jc w:val="both"/>
              <w:rPr>
                <w:rFonts w:hint="eastAsia" w:cs="仿宋_GB2312" w:asciiTheme="minorEastAsia" w:hAnsiTheme="minorEastAsia" w:eastAsiaTheme="minorEastAsia"/>
                <w:b w:val="0"/>
                <w:bCs w:val="0"/>
                <w:color w:val="auto"/>
                <w:sz w:val="21"/>
                <w:szCs w:val="21"/>
                <w:highlight w:val="none"/>
                <w:lang w:val="en-US" w:eastAsia="zh-CN"/>
              </w:rPr>
            </w:pPr>
            <w:r>
              <w:rPr>
                <w:rFonts w:hint="eastAsia" w:cs="仿宋_GB2312" w:asciiTheme="minorEastAsia" w:hAnsiTheme="minorEastAsia" w:eastAsiaTheme="minorEastAsia"/>
                <w:b w:val="0"/>
                <w:bCs w:val="0"/>
                <w:color w:val="auto"/>
                <w:sz w:val="21"/>
                <w:szCs w:val="21"/>
                <w:highlight w:val="none"/>
                <w:lang w:val="en-US" w:eastAsia="zh-CN"/>
              </w:rPr>
              <w:t>对于需求把握准确、分析合理、考虑项目实际应用场景充分。技术方案完整、考虑全面，产品方案思路清晰详实，和招标文件的要求匹配情况进行给分。（评分范围：</w:t>
            </w:r>
            <w:r>
              <w:rPr>
                <w:rFonts w:hint="default" w:cs="仿宋_GB2312" w:asciiTheme="minorEastAsia" w:hAnsiTheme="minorEastAsia" w:eastAsiaTheme="minorEastAsia"/>
                <w:b w:val="0"/>
                <w:bCs w:val="0"/>
                <w:color w:val="auto"/>
                <w:sz w:val="21"/>
                <w:szCs w:val="21"/>
                <w:highlight w:val="none"/>
              </w:rPr>
              <w:t>4,3,2,1,0</w:t>
            </w:r>
            <w:r>
              <w:rPr>
                <w:rFonts w:hint="eastAsia" w:cs="仿宋_GB2312" w:asciiTheme="minorEastAsia" w:hAnsiTheme="minorEastAsia" w:eastAsiaTheme="minorEastAsia"/>
                <w:b w:val="0"/>
                <w:bCs w:val="0"/>
                <w:color w:val="auto"/>
                <w:sz w:val="21"/>
                <w:szCs w:val="21"/>
                <w:highlight w:val="none"/>
                <w:lang w:val="en-US" w:eastAsia="zh-CN"/>
              </w:rPr>
              <w:t>）</w:t>
            </w:r>
          </w:p>
        </w:tc>
        <w:tc>
          <w:tcPr>
            <w:tcW w:w="792" w:type="dxa"/>
            <w:vAlign w:val="center"/>
          </w:tcPr>
          <w:p w14:paraId="4DCC8D83">
            <w:pPr>
              <w:snapToGrid w:val="0"/>
              <w:spacing w:line="240" w:lineRule="auto"/>
              <w:jc w:val="center"/>
              <w:rPr>
                <w:rFonts w:hint="default" w:cs="仿宋_GB2312" w:asciiTheme="minorEastAsia" w:hAnsiTheme="minorEastAsia" w:eastAsiaTheme="minorEastAsia"/>
                <w:color w:val="auto"/>
                <w:sz w:val="21"/>
                <w:szCs w:val="21"/>
                <w:highlight w:val="none"/>
                <w:lang w:val="en-US" w:eastAsia="zh-CN"/>
              </w:rPr>
            </w:pPr>
            <w:r>
              <w:rPr>
                <w:rFonts w:hint="eastAsia" w:cs="仿宋_GB2312" w:asciiTheme="minorEastAsia" w:hAnsiTheme="minorEastAsia" w:eastAsiaTheme="minorEastAsia"/>
                <w:color w:val="auto"/>
                <w:sz w:val="21"/>
                <w:szCs w:val="21"/>
                <w:highlight w:val="none"/>
                <w:lang w:val="en-US" w:eastAsia="zh-CN"/>
              </w:rPr>
              <w:t>4</w:t>
            </w:r>
          </w:p>
        </w:tc>
        <w:tc>
          <w:tcPr>
            <w:tcW w:w="900" w:type="dxa"/>
            <w:vAlign w:val="center"/>
          </w:tcPr>
          <w:p w14:paraId="4B527198">
            <w:pPr>
              <w:snapToGrid w:val="0"/>
              <w:spacing w:line="240" w:lineRule="auto"/>
              <w:jc w:val="center"/>
              <w:rPr>
                <w:rFonts w:hint="default" w:cs="仿宋_GB2312" w:asciiTheme="minorEastAsia" w:hAnsiTheme="minorEastAsia" w:eastAsiaTheme="minorEastAsia"/>
                <w:color w:val="auto"/>
                <w:sz w:val="21"/>
                <w:szCs w:val="21"/>
                <w:highlight w:val="none"/>
                <w:lang w:val="en-US" w:eastAsia="zh-CN"/>
              </w:rPr>
            </w:pPr>
            <w:r>
              <w:rPr>
                <w:rFonts w:hint="eastAsia" w:cs="仿宋_GB2312" w:asciiTheme="minorEastAsia" w:hAnsiTheme="minorEastAsia" w:eastAsiaTheme="minorEastAsia"/>
                <w:color w:val="auto"/>
                <w:sz w:val="21"/>
                <w:szCs w:val="21"/>
                <w:highlight w:val="none"/>
                <w:lang w:val="en-US" w:eastAsia="zh-CN"/>
              </w:rPr>
              <w:t>主观分</w:t>
            </w:r>
          </w:p>
        </w:tc>
        <w:tc>
          <w:tcPr>
            <w:tcW w:w="1495" w:type="dxa"/>
            <w:vAlign w:val="center"/>
          </w:tcPr>
          <w:p w14:paraId="6C7847A8">
            <w:pPr>
              <w:snapToGrid w:val="0"/>
              <w:spacing w:line="240" w:lineRule="auto"/>
              <w:jc w:val="center"/>
              <w:rPr>
                <w:rFonts w:cs="仿宋_GB2312" w:asciiTheme="minorEastAsia" w:hAnsiTheme="minorEastAsia" w:eastAsiaTheme="minorEastAsia"/>
                <w:color w:val="auto"/>
                <w:sz w:val="21"/>
                <w:szCs w:val="21"/>
                <w:highlight w:val="none"/>
              </w:rPr>
            </w:pPr>
          </w:p>
        </w:tc>
      </w:tr>
      <w:tr w14:paraId="37544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trPr>
        <w:tc>
          <w:tcPr>
            <w:tcW w:w="675" w:type="dxa"/>
            <w:vAlign w:val="center"/>
          </w:tcPr>
          <w:p w14:paraId="3880E44C">
            <w:pPr>
              <w:snapToGrid w:val="0"/>
              <w:spacing w:line="240" w:lineRule="auto"/>
              <w:jc w:val="center"/>
              <w:rPr>
                <w:rFonts w:hint="eastAsia" w:cs="仿宋_GB2312" w:asciiTheme="minorEastAsia" w:hAnsiTheme="minorEastAsia" w:eastAsiaTheme="minorEastAsia"/>
                <w:color w:val="auto"/>
                <w:sz w:val="21"/>
                <w:szCs w:val="21"/>
                <w:highlight w:val="none"/>
                <w:lang w:val="en-US" w:eastAsia="zh-CN"/>
              </w:rPr>
            </w:pPr>
            <w:r>
              <w:rPr>
                <w:rFonts w:hint="eastAsia" w:cs="仿宋_GB2312" w:asciiTheme="minorEastAsia" w:hAnsiTheme="minorEastAsia" w:eastAsiaTheme="minorEastAsia"/>
                <w:color w:val="auto"/>
                <w:sz w:val="21"/>
                <w:szCs w:val="21"/>
                <w:highlight w:val="none"/>
                <w:lang w:val="en-US" w:eastAsia="zh-CN"/>
              </w:rPr>
              <w:t>4</w:t>
            </w:r>
          </w:p>
        </w:tc>
        <w:tc>
          <w:tcPr>
            <w:tcW w:w="5292" w:type="dxa"/>
            <w:vAlign w:val="center"/>
          </w:tcPr>
          <w:p w14:paraId="77455B4D">
            <w:pPr>
              <w:pStyle w:val="123"/>
              <w:keepNext w:val="0"/>
              <w:keepLines w:val="0"/>
              <w:suppressLineNumbers w:val="0"/>
              <w:spacing w:before="0" w:beforeAutospacing="0" w:after="0" w:afterAutospacing="0" w:line="240" w:lineRule="auto"/>
              <w:ind w:left="0" w:right="0" w:firstLine="0" w:firstLineChars="0"/>
              <w:jc w:val="both"/>
              <w:rPr>
                <w:rFonts w:hint="default" w:cs="仿宋_GB2312" w:asciiTheme="minorEastAsia" w:hAnsiTheme="minorEastAsia" w:eastAsiaTheme="minorEastAsia"/>
                <w:b/>
                <w:bCs/>
                <w:color w:val="auto"/>
                <w:sz w:val="21"/>
                <w:szCs w:val="21"/>
                <w:highlight w:val="none"/>
                <w:lang w:val="en-US" w:eastAsia="zh-CN"/>
              </w:rPr>
            </w:pPr>
            <w:r>
              <w:rPr>
                <w:rFonts w:hint="default" w:cs="仿宋_GB2312" w:asciiTheme="minorEastAsia" w:hAnsiTheme="minorEastAsia" w:eastAsiaTheme="minorEastAsia"/>
                <w:b/>
                <w:bCs/>
                <w:color w:val="auto"/>
                <w:sz w:val="21"/>
                <w:szCs w:val="21"/>
                <w:highlight w:val="none"/>
                <w:lang w:val="en-US" w:eastAsia="zh-CN"/>
              </w:rPr>
              <w:t>系统总体建设方案</w:t>
            </w:r>
          </w:p>
          <w:p w14:paraId="5D3885DB">
            <w:pPr>
              <w:snapToGrid w:val="0"/>
              <w:spacing w:line="240" w:lineRule="auto"/>
              <w:jc w:val="both"/>
              <w:rPr>
                <w:rFonts w:cs="仿宋_GB2312" w:asciiTheme="minorEastAsia" w:hAnsiTheme="minorEastAsia" w:eastAsiaTheme="minorEastAsia"/>
                <w:color w:val="auto"/>
                <w:sz w:val="21"/>
                <w:szCs w:val="21"/>
                <w:highlight w:val="none"/>
              </w:rPr>
            </w:pPr>
            <w:r>
              <w:rPr>
                <w:rFonts w:hint="default" w:cs="仿宋_GB2312" w:asciiTheme="minorEastAsia" w:hAnsiTheme="minorEastAsia" w:eastAsiaTheme="minorEastAsia"/>
                <w:color w:val="auto"/>
                <w:sz w:val="21"/>
                <w:szCs w:val="21"/>
                <w:highlight w:val="none"/>
                <w:lang w:val="en-US" w:eastAsia="zh-CN"/>
              </w:rPr>
              <w:t>系统总体建设方案（包括并不限于总体架构、技术路线、标准规范等），根据方案完整、清晰、专业、详细情况进行评审。（</w:t>
            </w:r>
            <w:r>
              <w:rPr>
                <w:rFonts w:hint="eastAsia" w:cs="仿宋_GB2312" w:asciiTheme="minorEastAsia" w:hAnsiTheme="minorEastAsia" w:eastAsiaTheme="minorEastAsia"/>
                <w:color w:val="auto"/>
                <w:sz w:val="21"/>
                <w:szCs w:val="21"/>
                <w:highlight w:val="none"/>
                <w:lang w:val="en-US" w:eastAsia="zh-CN"/>
              </w:rPr>
              <w:t>分值</w:t>
            </w:r>
            <w:r>
              <w:rPr>
                <w:rFonts w:hint="default" w:cs="仿宋_GB2312" w:asciiTheme="minorEastAsia" w:hAnsiTheme="minorEastAsia" w:eastAsiaTheme="minorEastAsia"/>
                <w:color w:val="auto"/>
                <w:sz w:val="21"/>
                <w:szCs w:val="21"/>
                <w:highlight w:val="none"/>
                <w:lang w:val="en-US" w:eastAsia="zh-CN"/>
              </w:rPr>
              <w:t>：</w:t>
            </w:r>
            <w:r>
              <w:rPr>
                <w:rFonts w:hint="default" w:cs="仿宋_GB2312" w:asciiTheme="minorEastAsia" w:hAnsiTheme="minorEastAsia" w:eastAsiaTheme="minorEastAsia"/>
                <w:color w:val="auto"/>
                <w:sz w:val="21"/>
                <w:szCs w:val="21"/>
                <w:highlight w:val="none"/>
              </w:rPr>
              <w:t>4,3,2,1,0</w:t>
            </w:r>
            <w:r>
              <w:rPr>
                <w:rFonts w:hint="default" w:cs="仿宋_GB2312" w:asciiTheme="minorEastAsia" w:hAnsiTheme="minorEastAsia" w:eastAsiaTheme="minorEastAsia"/>
                <w:color w:val="auto"/>
                <w:sz w:val="21"/>
                <w:szCs w:val="21"/>
                <w:highlight w:val="none"/>
                <w:lang w:val="en-US" w:eastAsia="zh-CN"/>
              </w:rPr>
              <w:t>）</w:t>
            </w:r>
          </w:p>
        </w:tc>
        <w:tc>
          <w:tcPr>
            <w:tcW w:w="792" w:type="dxa"/>
            <w:vAlign w:val="center"/>
          </w:tcPr>
          <w:p w14:paraId="1D3F8D75">
            <w:pPr>
              <w:snapToGrid w:val="0"/>
              <w:spacing w:line="240" w:lineRule="auto"/>
              <w:jc w:val="center"/>
              <w:rPr>
                <w:rFonts w:hint="default" w:cs="仿宋_GB2312" w:asciiTheme="minorEastAsia" w:hAnsiTheme="minorEastAsia" w:eastAsiaTheme="minorEastAsia"/>
                <w:color w:val="auto"/>
                <w:sz w:val="21"/>
                <w:szCs w:val="21"/>
                <w:highlight w:val="none"/>
                <w:lang w:val="en-US" w:eastAsia="zh-CN"/>
              </w:rPr>
            </w:pPr>
            <w:r>
              <w:rPr>
                <w:rFonts w:hint="eastAsia" w:cs="仿宋_GB2312" w:asciiTheme="minorEastAsia" w:hAnsiTheme="minorEastAsia" w:eastAsiaTheme="minorEastAsia"/>
                <w:color w:val="auto"/>
                <w:sz w:val="21"/>
                <w:szCs w:val="21"/>
                <w:highlight w:val="none"/>
                <w:lang w:val="en-US" w:eastAsia="zh-CN"/>
              </w:rPr>
              <w:t>4</w:t>
            </w:r>
          </w:p>
        </w:tc>
        <w:tc>
          <w:tcPr>
            <w:tcW w:w="900" w:type="dxa"/>
            <w:vAlign w:val="center"/>
          </w:tcPr>
          <w:p w14:paraId="4A0D1AC4">
            <w:pPr>
              <w:snapToGrid w:val="0"/>
              <w:spacing w:line="240" w:lineRule="auto"/>
              <w:jc w:val="center"/>
              <w:rPr>
                <w:rFonts w:hint="eastAsia" w:cs="仿宋_GB2312" w:asciiTheme="minorEastAsia" w:hAnsiTheme="minorEastAsia" w:eastAsiaTheme="minorEastAsia"/>
                <w:color w:val="auto"/>
                <w:sz w:val="21"/>
                <w:szCs w:val="21"/>
                <w:highlight w:val="none"/>
                <w:lang w:val="en-US" w:eastAsia="zh-CN"/>
              </w:rPr>
            </w:pPr>
            <w:r>
              <w:rPr>
                <w:rFonts w:hint="eastAsia" w:cs="仿宋_GB2312" w:asciiTheme="minorEastAsia" w:hAnsiTheme="minorEastAsia" w:eastAsiaTheme="minorEastAsia"/>
                <w:color w:val="auto"/>
                <w:sz w:val="21"/>
                <w:szCs w:val="21"/>
                <w:highlight w:val="none"/>
                <w:lang w:val="en-US" w:eastAsia="zh-CN"/>
              </w:rPr>
              <w:t>主观分</w:t>
            </w:r>
          </w:p>
        </w:tc>
        <w:tc>
          <w:tcPr>
            <w:tcW w:w="1495" w:type="dxa"/>
            <w:vAlign w:val="center"/>
          </w:tcPr>
          <w:p w14:paraId="5D8D0929">
            <w:pPr>
              <w:snapToGrid w:val="0"/>
              <w:spacing w:line="240" w:lineRule="auto"/>
              <w:jc w:val="center"/>
              <w:rPr>
                <w:rFonts w:cs="仿宋_GB2312" w:asciiTheme="minorEastAsia" w:hAnsiTheme="minorEastAsia" w:eastAsiaTheme="minorEastAsia"/>
                <w:color w:val="auto"/>
                <w:sz w:val="21"/>
                <w:szCs w:val="21"/>
                <w:highlight w:val="none"/>
              </w:rPr>
            </w:pPr>
          </w:p>
        </w:tc>
      </w:tr>
      <w:tr w14:paraId="183A4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3" w:hRule="atLeast"/>
        </w:trPr>
        <w:tc>
          <w:tcPr>
            <w:tcW w:w="675" w:type="dxa"/>
            <w:vAlign w:val="center"/>
          </w:tcPr>
          <w:p w14:paraId="69F97F79">
            <w:pPr>
              <w:snapToGrid w:val="0"/>
              <w:spacing w:line="240" w:lineRule="auto"/>
              <w:jc w:val="center"/>
              <w:rPr>
                <w:rFonts w:hint="default" w:cs="仿宋_GB2312" w:asciiTheme="minorEastAsia" w:hAnsiTheme="minorEastAsia" w:eastAsiaTheme="minorEastAsia"/>
                <w:color w:val="auto"/>
                <w:sz w:val="21"/>
                <w:szCs w:val="21"/>
                <w:highlight w:val="none"/>
                <w:lang w:val="en-US" w:eastAsia="zh-CN"/>
              </w:rPr>
            </w:pPr>
            <w:r>
              <w:rPr>
                <w:rFonts w:hint="eastAsia" w:cs="仿宋_GB2312" w:asciiTheme="minorEastAsia" w:hAnsiTheme="minorEastAsia" w:eastAsiaTheme="minorEastAsia"/>
                <w:color w:val="auto"/>
                <w:sz w:val="21"/>
                <w:szCs w:val="21"/>
                <w:highlight w:val="none"/>
                <w:lang w:val="en-US" w:eastAsia="zh-CN"/>
              </w:rPr>
              <w:t>5</w:t>
            </w:r>
          </w:p>
        </w:tc>
        <w:tc>
          <w:tcPr>
            <w:tcW w:w="5292" w:type="dxa"/>
            <w:vAlign w:val="center"/>
          </w:tcPr>
          <w:p w14:paraId="1416073C">
            <w:pPr>
              <w:pStyle w:val="123"/>
              <w:keepNext w:val="0"/>
              <w:keepLines w:val="0"/>
              <w:suppressLineNumbers w:val="0"/>
              <w:spacing w:before="0" w:beforeAutospacing="0" w:after="0" w:afterAutospacing="0" w:line="240" w:lineRule="auto"/>
              <w:ind w:left="0" w:right="0" w:firstLine="0" w:firstLineChars="0"/>
              <w:jc w:val="both"/>
              <w:rPr>
                <w:rFonts w:hint="default" w:cs="仿宋_GB2312" w:asciiTheme="minorEastAsia" w:hAnsiTheme="minorEastAsia" w:eastAsiaTheme="minorEastAsia"/>
                <w:b/>
                <w:bCs/>
                <w:color w:val="auto"/>
                <w:sz w:val="21"/>
                <w:szCs w:val="21"/>
                <w:highlight w:val="none"/>
              </w:rPr>
            </w:pPr>
            <w:r>
              <w:rPr>
                <w:rFonts w:hint="default" w:cs="仿宋_GB2312" w:asciiTheme="minorEastAsia" w:hAnsiTheme="minorEastAsia" w:eastAsiaTheme="minorEastAsia"/>
                <w:b/>
                <w:bCs/>
                <w:color w:val="auto"/>
                <w:sz w:val="21"/>
                <w:szCs w:val="21"/>
                <w:highlight w:val="none"/>
              </w:rPr>
              <w:t>实施方案</w:t>
            </w:r>
          </w:p>
          <w:p w14:paraId="5FDC30E9">
            <w:pPr>
              <w:snapToGrid w:val="0"/>
              <w:spacing w:line="240" w:lineRule="auto"/>
              <w:jc w:val="both"/>
              <w:rPr>
                <w:rFonts w:cs="仿宋_GB2312" w:asciiTheme="minorEastAsia" w:hAnsiTheme="minorEastAsia" w:eastAsiaTheme="minorEastAsia"/>
                <w:color w:val="auto"/>
                <w:sz w:val="21"/>
                <w:szCs w:val="21"/>
                <w:highlight w:val="none"/>
              </w:rPr>
            </w:pPr>
            <w:r>
              <w:rPr>
                <w:rFonts w:hint="default" w:cs="仿宋_GB2312" w:asciiTheme="minorEastAsia" w:hAnsiTheme="minorEastAsia" w:eastAsiaTheme="minorEastAsia"/>
                <w:color w:val="auto"/>
                <w:sz w:val="21"/>
                <w:szCs w:val="21"/>
                <w:highlight w:val="none"/>
              </w:rPr>
              <w:t>对本项目整体管理方案和实施的科学性、可行性、先进性、合理性，包含项目实施计划；项目组织方式、人员安排与任务分工；项目进度控制；项目汇报沟通机制等内容；（分值：4,3,2,1,0）</w:t>
            </w:r>
          </w:p>
        </w:tc>
        <w:tc>
          <w:tcPr>
            <w:tcW w:w="792" w:type="dxa"/>
            <w:vAlign w:val="center"/>
          </w:tcPr>
          <w:p w14:paraId="71EB55E0">
            <w:pPr>
              <w:snapToGrid w:val="0"/>
              <w:spacing w:line="240" w:lineRule="auto"/>
              <w:jc w:val="center"/>
              <w:rPr>
                <w:rFonts w:hint="default" w:cs="仿宋_GB2312" w:asciiTheme="minorEastAsia" w:hAnsiTheme="minorEastAsia" w:eastAsiaTheme="minorEastAsia"/>
                <w:color w:val="auto"/>
                <w:sz w:val="21"/>
                <w:szCs w:val="21"/>
                <w:highlight w:val="none"/>
                <w:lang w:val="en-US" w:eastAsia="zh-CN"/>
              </w:rPr>
            </w:pPr>
            <w:r>
              <w:rPr>
                <w:rFonts w:hint="eastAsia" w:cs="仿宋_GB2312" w:asciiTheme="minorEastAsia" w:hAnsiTheme="minorEastAsia" w:eastAsiaTheme="minorEastAsia"/>
                <w:color w:val="auto"/>
                <w:sz w:val="21"/>
                <w:szCs w:val="21"/>
                <w:highlight w:val="none"/>
                <w:lang w:val="en-US" w:eastAsia="zh-CN"/>
              </w:rPr>
              <w:t>4</w:t>
            </w:r>
          </w:p>
        </w:tc>
        <w:tc>
          <w:tcPr>
            <w:tcW w:w="900" w:type="dxa"/>
            <w:vAlign w:val="center"/>
          </w:tcPr>
          <w:p w14:paraId="1FEF983F">
            <w:pPr>
              <w:snapToGrid w:val="0"/>
              <w:spacing w:line="240" w:lineRule="auto"/>
              <w:jc w:val="center"/>
              <w:rPr>
                <w:rFonts w:cs="仿宋_GB2312" w:asciiTheme="minorEastAsia" w:hAnsiTheme="minorEastAsia" w:eastAsiaTheme="minorEastAsia"/>
                <w:color w:val="auto"/>
                <w:sz w:val="21"/>
                <w:szCs w:val="21"/>
                <w:highlight w:val="none"/>
              </w:rPr>
            </w:pPr>
            <w:r>
              <w:rPr>
                <w:rFonts w:hint="eastAsia" w:cs="仿宋_GB2312" w:asciiTheme="minorEastAsia" w:hAnsiTheme="minorEastAsia" w:eastAsiaTheme="minorEastAsia"/>
                <w:color w:val="auto"/>
                <w:sz w:val="21"/>
                <w:szCs w:val="21"/>
                <w:highlight w:val="none"/>
                <w:lang w:val="en-US" w:eastAsia="zh-CN"/>
              </w:rPr>
              <w:t>主观分</w:t>
            </w:r>
          </w:p>
        </w:tc>
        <w:tc>
          <w:tcPr>
            <w:tcW w:w="1495" w:type="dxa"/>
            <w:vAlign w:val="center"/>
          </w:tcPr>
          <w:p w14:paraId="1982B997">
            <w:pPr>
              <w:snapToGrid w:val="0"/>
              <w:spacing w:line="240" w:lineRule="auto"/>
              <w:jc w:val="center"/>
              <w:rPr>
                <w:rFonts w:cs="仿宋_GB2312" w:asciiTheme="minorEastAsia" w:hAnsiTheme="minorEastAsia" w:eastAsiaTheme="minorEastAsia"/>
                <w:color w:val="auto"/>
                <w:sz w:val="21"/>
                <w:szCs w:val="21"/>
                <w:highlight w:val="none"/>
              </w:rPr>
            </w:pPr>
          </w:p>
        </w:tc>
      </w:tr>
      <w:tr w14:paraId="57644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675" w:type="dxa"/>
            <w:vAlign w:val="center"/>
          </w:tcPr>
          <w:p w14:paraId="31DBDA4C">
            <w:pPr>
              <w:snapToGrid w:val="0"/>
              <w:spacing w:line="240" w:lineRule="auto"/>
              <w:jc w:val="center"/>
              <w:rPr>
                <w:rFonts w:hint="default" w:cs="仿宋_GB2312" w:asciiTheme="minorEastAsia" w:hAnsiTheme="minorEastAsia" w:eastAsiaTheme="minorEastAsia"/>
                <w:color w:val="auto"/>
                <w:sz w:val="21"/>
                <w:szCs w:val="21"/>
                <w:highlight w:val="none"/>
                <w:lang w:val="en-US" w:eastAsia="zh-CN"/>
              </w:rPr>
            </w:pPr>
            <w:r>
              <w:rPr>
                <w:rFonts w:hint="eastAsia" w:cs="仿宋_GB2312" w:asciiTheme="minorEastAsia" w:hAnsiTheme="minorEastAsia" w:eastAsiaTheme="minorEastAsia"/>
                <w:color w:val="auto"/>
                <w:sz w:val="21"/>
                <w:szCs w:val="21"/>
                <w:highlight w:val="none"/>
                <w:lang w:val="en-US" w:eastAsia="zh-CN"/>
              </w:rPr>
              <w:t>6</w:t>
            </w:r>
          </w:p>
        </w:tc>
        <w:tc>
          <w:tcPr>
            <w:tcW w:w="5292" w:type="dxa"/>
            <w:vAlign w:val="center"/>
          </w:tcPr>
          <w:p w14:paraId="25869EF1">
            <w:pPr>
              <w:snapToGrid w:val="0"/>
              <w:spacing w:line="240" w:lineRule="auto"/>
              <w:jc w:val="both"/>
              <w:rPr>
                <w:rFonts w:hint="default" w:cs="仿宋_GB2312" w:asciiTheme="minorEastAsia" w:hAnsiTheme="minorEastAsia" w:eastAsiaTheme="minorEastAsia"/>
                <w:color w:val="auto"/>
                <w:sz w:val="21"/>
                <w:szCs w:val="21"/>
                <w:highlight w:val="none"/>
                <w:lang w:val="en-US" w:eastAsia="zh-CN"/>
              </w:rPr>
            </w:pPr>
            <w:r>
              <w:rPr>
                <w:rFonts w:hint="eastAsia" w:cs="仿宋_GB2312" w:asciiTheme="minorEastAsia" w:hAnsiTheme="minorEastAsia" w:eastAsiaTheme="minorEastAsia"/>
                <w:b/>
                <w:bCs/>
                <w:color w:val="auto"/>
                <w:sz w:val="21"/>
                <w:szCs w:val="21"/>
                <w:highlight w:val="none"/>
                <w:lang w:val="en-US" w:eastAsia="zh-CN"/>
              </w:rPr>
              <w:t>视觉设计及功能布局</w:t>
            </w:r>
          </w:p>
        </w:tc>
        <w:tc>
          <w:tcPr>
            <w:tcW w:w="792" w:type="dxa"/>
            <w:vAlign w:val="center"/>
          </w:tcPr>
          <w:p w14:paraId="373FBF56">
            <w:pPr>
              <w:snapToGrid w:val="0"/>
              <w:spacing w:line="240" w:lineRule="auto"/>
              <w:jc w:val="center"/>
              <w:rPr>
                <w:rFonts w:hint="default" w:cs="仿宋_GB2312" w:asciiTheme="minorEastAsia" w:hAnsiTheme="minorEastAsia" w:eastAsiaTheme="minorEastAsia"/>
                <w:color w:val="auto"/>
                <w:sz w:val="21"/>
                <w:szCs w:val="21"/>
                <w:highlight w:val="none"/>
                <w:lang w:val="en-US" w:eastAsia="zh-CN"/>
              </w:rPr>
            </w:pPr>
            <w:r>
              <w:rPr>
                <w:rFonts w:hint="eastAsia" w:cs="仿宋_GB2312" w:asciiTheme="minorEastAsia" w:hAnsiTheme="minorEastAsia" w:eastAsiaTheme="minorEastAsia"/>
                <w:color w:val="auto"/>
                <w:sz w:val="21"/>
                <w:szCs w:val="21"/>
                <w:highlight w:val="none"/>
                <w:lang w:val="en-US" w:eastAsia="zh-CN"/>
              </w:rPr>
              <w:t>/</w:t>
            </w:r>
          </w:p>
        </w:tc>
        <w:tc>
          <w:tcPr>
            <w:tcW w:w="900" w:type="dxa"/>
            <w:vAlign w:val="center"/>
          </w:tcPr>
          <w:p w14:paraId="70097979">
            <w:pPr>
              <w:snapToGrid w:val="0"/>
              <w:spacing w:line="240" w:lineRule="auto"/>
              <w:jc w:val="center"/>
              <w:rPr>
                <w:rFonts w:hint="default" w:cs="仿宋_GB2312" w:asciiTheme="minorEastAsia" w:hAnsiTheme="minorEastAsia" w:eastAsiaTheme="minorEastAsia"/>
                <w:color w:val="auto"/>
                <w:sz w:val="21"/>
                <w:szCs w:val="21"/>
                <w:highlight w:val="none"/>
                <w:lang w:val="en-US" w:eastAsia="zh-CN"/>
              </w:rPr>
            </w:pPr>
            <w:r>
              <w:rPr>
                <w:rFonts w:hint="eastAsia" w:cs="仿宋_GB2312" w:asciiTheme="minorEastAsia" w:hAnsiTheme="minorEastAsia" w:eastAsiaTheme="minorEastAsia"/>
                <w:color w:val="auto"/>
                <w:sz w:val="21"/>
                <w:szCs w:val="21"/>
                <w:highlight w:val="none"/>
                <w:lang w:val="en-US" w:eastAsia="zh-CN"/>
              </w:rPr>
              <w:t>/</w:t>
            </w:r>
          </w:p>
        </w:tc>
        <w:tc>
          <w:tcPr>
            <w:tcW w:w="1495" w:type="dxa"/>
            <w:vAlign w:val="center"/>
          </w:tcPr>
          <w:p w14:paraId="30042A38">
            <w:pPr>
              <w:snapToGrid w:val="0"/>
              <w:spacing w:line="240" w:lineRule="auto"/>
              <w:jc w:val="center"/>
              <w:rPr>
                <w:rFonts w:cs="仿宋_GB2312" w:asciiTheme="minorEastAsia" w:hAnsiTheme="minorEastAsia" w:eastAsiaTheme="minorEastAsia"/>
                <w:color w:val="auto"/>
                <w:sz w:val="21"/>
                <w:szCs w:val="21"/>
                <w:highlight w:val="none"/>
              </w:rPr>
            </w:pPr>
          </w:p>
        </w:tc>
      </w:tr>
      <w:tr w14:paraId="75F6F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7" w:hRule="atLeast"/>
        </w:trPr>
        <w:tc>
          <w:tcPr>
            <w:tcW w:w="675" w:type="dxa"/>
            <w:vAlign w:val="center"/>
          </w:tcPr>
          <w:p w14:paraId="4B06792F">
            <w:pPr>
              <w:snapToGrid w:val="0"/>
              <w:spacing w:line="240" w:lineRule="auto"/>
              <w:jc w:val="center"/>
              <w:rPr>
                <w:rFonts w:hint="default" w:cs="仿宋_GB2312" w:asciiTheme="minorEastAsia" w:hAnsiTheme="minorEastAsia" w:eastAsiaTheme="minorEastAsia"/>
                <w:color w:val="auto"/>
                <w:sz w:val="21"/>
                <w:szCs w:val="21"/>
                <w:highlight w:val="none"/>
                <w:lang w:val="en-US" w:eastAsia="zh-CN"/>
              </w:rPr>
            </w:pPr>
            <w:r>
              <w:rPr>
                <w:rFonts w:hint="eastAsia" w:cs="仿宋_GB2312" w:asciiTheme="minorEastAsia" w:hAnsiTheme="minorEastAsia" w:eastAsiaTheme="minorEastAsia"/>
                <w:color w:val="auto"/>
                <w:sz w:val="21"/>
                <w:szCs w:val="21"/>
                <w:highlight w:val="none"/>
                <w:lang w:val="en-US" w:eastAsia="zh-CN"/>
              </w:rPr>
              <w:t>6.1</w:t>
            </w:r>
          </w:p>
        </w:tc>
        <w:tc>
          <w:tcPr>
            <w:tcW w:w="5292" w:type="dxa"/>
            <w:vAlign w:val="center"/>
          </w:tcPr>
          <w:p w14:paraId="0C359785">
            <w:pPr>
              <w:snapToGrid w:val="0"/>
              <w:spacing w:line="240" w:lineRule="auto"/>
              <w:jc w:val="both"/>
              <w:rPr>
                <w:rFonts w:hint="eastAsia" w:cs="仿宋_GB2312" w:asciiTheme="minorEastAsia" w:hAnsiTheme="minorEastAsia" w:eastAsiaTheme="minorEastAsia"/>
                <w:b/>
                <w:bCs/>
                <w:color w:val="auto"/>
                <w:sz w:val="21"/>
                <w:szCs w:val="21"/>
                <w:highlight w:val="none"/>
                <w:lang w:val="en-US" w:eastAsia="zh-CN"/>
              </w:rPr>
            </w:pPr>
            <w:r>
              <w:rPr>
                <w:rFonts w:hint="eastAsia" w:cs="仿宋_GB2312" w:asciiTheme="minorEastAsia" w:hAnsiTheme="minorEastAsia" w:eastAsiaTheme="minorEastAsia"/>
                <w:color w:val="auto"/>
                <w:sz w:val="21"/>
                <w:szCs w:val="21"/>
                <w:highlight w:val="none"/>
                <w:lang w:val="en-US" w:eastAsia="zh-CN"/>
              </w:rPr>
              <w:t>PC端UI视觉设计的色系、样式布局、按钮风格等以及下载文件模板样式须与一期、二期保持一致，功能布局合理性，根据模块的功能对页面，列表，操作按钮，内容显示等进行合理设计。</w:t>
            </w:r>
            <w:r>
              <w:rPr>
                <w:rFonts w:hint="default" w:cs="仿宋_GB2312" w:asciiTheme="minorEastAsia" w:hAnsiTheme="minorEastAsia" w:eastAsiaTheme="minorEastAsia"/>
                <w:color w:val="auto"/>
                <w:sz w:val="21"/>
                <w:szCs w:val="21"/>
                <w:highlight w:val="none"/>
              </w:rPr>
              <w:t>（分值：3,2,1,0）</w:t>
            </w:r>
          </w:p>
        </w:tc>
        <w:tc>
          <w:tcPr>
            <w:tcW w:w="792" w:type="dxa"/>
            <w:vAlign w:val="center"/>
          </w:tcPr>
          <w:p w14:paraId="6E7E8F92">
            <w:pPr>
              <w:snapToGrid w:val="0"/>
              <w:spacing w:line="240" w:lineRule="auto"/>
              <w:jc w:val="center"/>
              <w:rPr>
                <w:rFonts w:hint="default" w:cs="仿宋_GB2312" w:asciiTheme="minorEastAsia" w:hAnsiTheme="minorEastAsia" w:eastAsiaTheme="minorEastAsia"/>
                <w:color w:val="auto"/>
                <w:sz w:val="21"/>
                <w:szCs w:val="21"/>
                <w:highlight w:val="none"/>
                <w:lang w:val="en-US" w:eastAsia="zh-CN"/>
              </w:rPr>
            </w:pPr>
            <w:r>
              <w:rPr>
                <w:rFonts w:hint="eastAsia" w:cs="仿宋_GB2312" w:asciiTheme="minorEastAsia" w:hAnsiTheme="minorEastAsia" w:eastAsiaTheme="minorEastAsia"/>
                <w:color w:val="auto"/>
                <w:sz w:val="21"/>
                <w:szCs w:val="21"/>
                <w:highlight w:val="none"/>
                <w:lang w:val="en-US" w:eastAsia="zh-CN"/>
              </w:rPr>
              <w:t>3</w:t>
            </w:r>
          </w:p>
        </w:tc>
        <w:tc>
          <w:tcPr>
            <w:tcW w:w="900" w:type="dxa"/>
            <w:vAlign w:val="center"/>
          </w:tcPr>
          <w:p w14:paraId="7792BD1A">
            <w:pPr>
              <w:snapToGrid w:val="0"/>
              <w:spacing w:line="240" w:lineRule="auto"/>
              <w:jc w:val="center"/>
              <w:rPr>
                <w:rFonts w:hint="default" w:cs="仿宋_GB2312" w:asciiTheme="minorEastAsia" w:hAnsiTheme="minorEastAsia" w:eastAsiaTheme="minorEastAsia"/>
                <w:color w:val="auto"/>
                <w:sz w:val="21"/>
                <w:szCs w:val="21"/>
                <w:highlight w:val="none"/>
                <w:lang w:val="en-US" w:eastAsia="zh-CN"/>
              </w:rPr>
            </w:pPr>
            <w:r>
              <w:rPr>
                <w:rFonts w:hint="eastAsia" w:cs="仿宋_GB2312" w:asciiTheme="minorEastAsia" w:hAnsiTheme="minorEastAsia" w:eastAsiaTheme="minorEastAsia"/>
                <w:color w:val="auto"/>
                <w:sz w:val="21"/>
                <w:szCs w:val="21"/>
                <w:highlight w:val="none"/>
                <w:lang w:val="en-US" w:eastAsia="zh-CN"/>
              </w:rPr>
              <w:t>主观分</w:t>
            </w:r>
          </w:p>
        </w:tc>
        <w:tc>
          <w:tcPr>
            <w:tcW w:w="1495" w:type="dxa"/>
            <w:vAlign w:val="center"/>
          </w:tcPr>
          <w:p w14:paraId="4E195E20">
            <w:pPr>
              <w:snapToGrid w:val="0"/>
              <w:spacing w:line="240" w:lineRule="auto"/>
              <w:jc w:val="center"/>
              <w:rPr>
                <w:rFonts w:cs="仿宋_GB2312" w:asciiTheme="minorEastAsia" w:hAnsiTheme="minorEastAsia" w:eastAsiaTheme="minorEastAsia"/>
                <w:color w:val="auto"/>
                <w:sz w:val="21"/>
                <w:szCs w:val="21"/>
                <w:highlight w:val="none"/>
              </w:rPr>
            </w:pPr>
          </w:p>
        </w:tc>
      </w:tr>
      <w:tr w14:paraId="77FE0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7" w:hRule="atLeast"/>
        </w:trPr>
        <w:tc>
          <w:tcPr>
            <w:tcW w:w="675" w:type="dxa"/>
            <w:vAlign w:val="center"/>
          </w:tcPr>
          <w:p w14:paraId="52B2E63C">
            <w:pPr>
              <w:snapToGrid w:val="0"/>
              <w:spacing w:line="240" w:lineRule="auto"/>
              <w:jc w:val="center"/>
              <w:rPr>
                <w:rFonts w:hint="default" w:cs="仿宋_GB2312" w:asciiTheme="minorEastAsia" w:hAnsiTheme="minorEastAsia" w:eastAsiaTheme="minorEastAsia"/>
                <w:color w:val="auto"/>
                <w:sz w:val="21"/>
                <w:szCs w:val="21"/>
                <w:highlight w:val="none"/>
                <w:lang w:val="en-US" w:eastAsia="zh-CN"/>
              </w:rPr>
            </w:pPr>
            <w:r>
              <w:rPr>
                <w:rFonts w:hint="eastAsia" w:cs="仿宋_GB2312" w:asciiTheme="minorEastAsia" w:hAnsiTheme="minorEastAsia" w:eastAsiaTheme="minorEastAsia"/>
                <w:color w:val="auto"/>
                <w:sz w:val="21"/>
                <w:szCs w:val="21"/>
                <w:highlight w:val="none"/>
                <w:lang w:val="en-US" w:eastAsia="zh-CN"/>
              </w:rPr>
              <w:t>6.2</w:t>
            </w:r>
          </w:p>
        </w:tc>
        <w:tc>
          <w:tcPr>
            <w:tcW w:w="5292" w:type="dxa"/>
            <w:vAlign w:val="center"/>
          </w:tcPr>
          <w:p w14:paraId="4793E10C">
            <w:pPr>
              <w:snapToGrid w:val="0"/>
              <w:spacing w:line="240" w:lineRule="auto"/>
              <w:jc w:val="both"/>
              <w:rPr>
                <w:rFonts w:hint="eastAsia" w:cs="仿宋_GB2312" w:asciiTheme="minorEastAsia" w:hAnsiTheme="minorEastAsia" w:eastAsiaTheme="minorEastAsia"/>
                <w:b/>
                <w:bCs/>
                <w:color w:val="auto"/>
                <w:sz w:val="21"/>
                <w:szCs w:val="21"/>
                <w:highlight w:val="none"/>
                <w:lang w:val="en-US" w:eastAsia="zh-CN"/>
              </w:rPr>
            </w:pPr>
            <w:r>
              <w:rPr>
                <w:rFonts w:hint="eastAsia" w:cs="仿宋_GB2312" w:asciiTheme="minorEastAsia" w:hAnsiTheme="minorEastAsia" w:eastAsiaTheme="minorEastAsia"/>
                <w:color w:val="auto"/>
                <w:sz w:val="21"/>
                <w:szCs w:val="21"/>
                <w:highlight w:val="none"/>
                <w:lang w:val="en-US" w:eastAsia="zh-CN"/>
              </w:rPr>
              <w:t>移动端UI视觉设计的色系、样式布局、按钮风格等以及下载文件模板样式须与一期、二期保持一致，功能布局合理性，根据模块的功能对页面，列表，操作按钮，内容显示等进行合理设计。</w:t>
            </w:r>
            <w:r>
              <w:rPr>
                <w:rFonts w:hint="default" w:cs="仿宋_GB2312" w:asciiTheme="minorEastAsia" w:hAnsiTheme="minorEastAsia" w:eastAsiaTheme="minorEastAsia"/>
                <w:color w:val="auto"/>
                <w:sz w:val="21"/>
                <w:szCs w:val="21"/>
                <w:highlight w:val="none"/>
              </w:rPr>
              <w:t>（分值：3,2,1,0）</w:t>
            </w:r>
          </w:p>
        </w:tc>
        <w:tc>
          <w:tcPr>
            <w:tcW w:w="792" w:type="dxa"/>
            <w:vAlign w:val="center"/>
          </w:tcPr>
          <w:p w14:paraId="66F16B27">
            <w:pPr>
              <w:snapToGrid w:val="0"/>
              <w:spacing w:line="240" w:lineRule="auto"/>
              <w:jc w:val="center"/>
              <w:rPr>
                <w:rFonts w:hint="default" w:cs="仿宋_GB2312" w:asciiTheme="minorEastAsia" w:hAnsiTheme="minorEastAsia" w:eastAsiaTheme="minorEastAsia"/>
                <w:color w:val="auto"/>
                <w:sz w:val="21"/>
                <w:szCs w:val="21"/>
                <w:highlight w:val="none"/>
                <w:lang w:val="en-US" w:eastAsia="zh-CN"/>
              </w:rPr>
            </w:pPr>
            <w:r>
              <w:rPr>
                <w:rFonts w:hint="eastAsia" w:cs="仿宋_GB2312" w:asciiTheme="minorEastAsia" w:hAnsiTheme="minorEastAsia" w:eastAsiaTheme="minorEastAsia"/>
                <w:color w:val="auto"/>
                <w:sz w:val="21"/>
                <w:szCs w:val="21"/>
                <w:highlight w:val="none"/>
                <w:lang w:val="en-US" w:eastAsia="zh-CN"/>
              </w:rPr>
              <w:t>3</w:t>
            </w:r>
          </w:p>
        </w:tc>
        <w:tc>
          <w:tcPr>
            <w:tcW w:w="900" w:type="dxa"/>
            <w:vAlign w:val="center"/>
          </w:tcPr>
          <w:p w14:paraId="43663AEA">
            <w:pPr>
              <w:snapToGrid w:val="0"/>
              <w:spacing w:line="240" w:lineRule="auto"/>
              <w:jc w:val="center"/>
              <w:rPr>
                <w:rFonts w:hint="eastAsia" w:cs="仿宋_GB2312" w:asciiTheme="minorEastAsia" w:hAnsiTheme="minorEastAsia" w:eastAsiaTheme="minorEastAsia"/>
                <w:color w:val="auto"/>
                <w:sz w:val="21"/>
                <w:szCs w:val="21"/>
                <w:highlight w:val="none"/>
                <w:lang w:val="en-US" w:eastAsia="zh-CN"/>
              </w:rPr>
            </w:pPr>
            <w:r>
              <w:rPr>
                <w:rFonts w:hint="eastAsia" w:cs="仿宋_GB2312" w:asciiTheme="minorEastAsia" w:hAnsiTheme="minorEastAsia" w:eastAsiaTheme="minorEastAsia"/>
                <w:color w:val="auto"/>
                <w:sz w:val="21"/>
                <w:szCs w:val="21"/>
                <w:highlight w:val="none"/>
                <w:lang w:val="en-US" w:eastAsia="zh-CN"/>
              </w:rPr>
              <w:t>主观分</w:t>
            </w:r>
          </w:p>
        </w:tc>
        <w:tc>
          <w:tcPr>
            <w:tcW w:w="1495" w:type="dxa"/>
            <w:vAlign w:val="center"/>
          </w:tcPr>
          <w:p w14:paraId="38A7C9BC">
            <w:pPr>
              <w:snapToGrid w:val="0"/>
              <w:spacing w:line="240" w:lineRule="auto"/>
              <w:jc w:val="center"/>
              <w:rPr>
                <w:rFonts w:cs="仿宋_GB2312" w:asciiTheme="minorEastAsia" w:hAnsiTheme="minorEastAsia" w:eastAsiaTheme="minorEastAsia"/>
                <w:color w:val="auto"/>
                <w:sz w:val="21"/>
                <w:szCs w:val="21"/>
                <w:highlight w:val="none"/>
              </w:rPr>
            </w:pPr>
          </w:p>
        </w:tc>
      </w:tr>
      <w:tr w14:paraId="57492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5" w:hRule="atLeast"/>
        </w:trPr>
        <w:tc>
          <w:tcPr>
            <w:tcW w:w="675" w:type="dxa"/>
            <w:vAlign w:val="center"/>
          </w:tcPr>
          <w:p w14:paraId="1FE836AA">
            <w:pPr>
              <w:snapToGrid w:val="0"/>
              <w:spacing w:line="240" w:lineRule="auto"/>
              <w:jc w:val="center"/>
              <w:rPr>
                <w:rFonts w:hint="default" w:cs="仿宋_GB2312" w:asciiTheme="minorEastAsia" w:hAnsiTheme="minorEastAsia" w:eastAsiaTheme="minorEastAsia"/>
                <w:color w:val="auto"/>
                <w:sz w:val="21"/>
                <w:szCs w:val="21"/>
                <w:highlight w:val="none"/>
                <w:lang w:val="en-US" w:eastAsia="zh-CN"/>
              </w:rPr>
            </w:pPr>
            <w:r>
              <w:rPr>
                <w:rFonts w:hint="eastAsia" w:cs="仿宋_GB2312" w:asciiTheme="minorEastAsia" w:hAnsiTheme="minorEastAsia" w:eastAsiaTheme="minorEastAsia"/>
                <w:color w:val="auto"/>
                <w:sz w:val="21"/>
                <w:szCs w:val="21"/>
                <w:highlight w:val="none"/>
                <w:lang w:val="en-US" w:eastAsia="zh-CN"/>
              </w:rPr>
              <w:t>7</w:t>
            </w:r>
          </w:p>
        </w:tc>
        <w:tc>
          <w:tcPr>
            <w:tcW w:w="5292" w:type="dxa"/>
            <w:vAlign w:val="center"/>
          </w:tcPr>
          <w:p w14:paraId="33615A10">
            <w:pPr>
              <w:pStyle w:val="123"/>
              <w:keepNext w:val="0"/>
              <w:keepLines w:val="0"/>
              <w:suppressLineNumbers w:val="0"/>
              <w:spacing w:before="0" w:beforeAutospacing="0" w:after="0" w:afterAutospacing="0" w:line="240" w:lineRule="auto"/>
              <w:ind w:left="0" w:right="0" w:firstLine="0" w:firstLineChars="0"/>
              <w:rPr>
                <w:rFonts w:hint="default" w:cs="仿宋_GB2312" w:asciiTheme="minorEastAsia" w:hAnsiTheme="minorEastAsia" w:eastAsiaTheme="minorEastAsia"/>
                <w:b/>
                <w:bCs/>
                <w:color w:val="auto"/>
                <w:sz w:val="21"/>
                <w:szCs w:val="21"/>
                <w:highlight w:val="none"/>
              </w:rPr>
            </w:pPr>
            <w:r>
              <w:rPr>
                <w:rFonts w:hint="default" w:cs="仿宋_GB2312" w:asciiTheme="minorEastAsia" w:hAnsiTheme="minorEastAsia" w:eastAsiaTheme="minorEastAsia"/>
                <w:b/>
                <w:bCs/>
                <w:color w:val="auto"/>
                <w:sz w:val="21"/>
                <w:szCs w:val="21"/>
                <w:highlight w:val="none"/>
              </w:rPr>
              <w:t>项目安全方案</w:t>
            </w:r>
          </w:p>
          <w:p w14:paraId="0D291071">
            <w:pPr>
              <w:snapToGrid w:val="0"/>
              <w:spacing w:line="240" w:lineRule="auto"/>
              <w:jc w:val="both"/>
              <w:rPr>
                <w:rFonts w:hint="default" w:cs="仿宋_GB2312" w:asciiTheme="minorEastAsia" w:hAnsiTheme="minorEastAsia" w:eastAsiaTheme="minorEastAsia"/>
                <w:color w:val="auto"/>
                <w:sz w:val="21"/>
                <w:szCs w:val="21"/>
                <w:highlight w:val="none"/>
              </w:rPr>
            </w:pPr>
            <w:r>
              <w:rPr>
                <w:rFonts w:hint="default" w:cs="仿宋_GB2312" w:asciiTheme="minorEastAsia" w:hAnsiTheme="minorEastAsia" w:eastAsiaTheme="minorEastAsia"/>
                <w:b w:val="0"/>
                <w:bCs w:val="0"/>
                <w:color w:val="auto"/>
                <w:sz w:val="21"/>
                <w:szCs w:val="21"/>
                <w:highlight w:val="none"/>
              </w:rPr>
              <w:t>根据提出配套的安全体系完善方案，包括物理安全、网络安全、系统安全、应用软件安全、用户安全、数据安全、保密能力等。（分值：</w:t>
            </w:r>
            <w:r>
              <w:rPr>
                <w:rFonts w:hint="default" w:cs="仿宋_GB2312" w:asciiTheme="minorEastAsia" w:hAnsiTheme="minorEastAsia" w:eastAsiaTheme="minorEastAsia"/>
                <w:color w:val="auto"/>
                <w:sz w:val="21"/>
                <w:szCs w:val="21"/>
                <w:highlight w:val="none"/>
              </w:rPr>
              <w:t>5,4,3,2,1,0</w:t>
            </w:r>
            <w:r>
              <w:rPr>
                <w:rFonts w:hint="default" w:cs="仿宋_GB2312" w:asciiTheme="minorEastAsia" w:hAnsiTheme="minorEastAsia" w:eastAsiaTheme="minorEastAsia"/>
                <w:b w:val="0"/>
                <w:bCs w:val="0"/>
                <w:color w:val="auto"/>
                <w:sz w:val="21"/>
                <w:szCs w:val="21"/>
                <w:highlight w:val="none"/>
              </w:rPr>
              <w:t>）</w:t>
            </w:r>
          </w:p>
        </w:tc>
        <w:tc>
          <w:tcPr>
            <w:tcW w:w="792" w:type="dxa"/>
            <w:vAlign w:val="center"/>
          </w:tcPr>
          <w:p w14:paraId="41B76595">
            <w:pPr>
              <w:snapToGrid w:val="0"/>
              <w:spacing w:line="240" w:lineRule="auto"/>
              <w:jc w:val="center"/>
              <w:rPr>
                <w:rFonts w:hint="default" w:cs="仿宋_GB2312" w:asciiTheme="minorEastAsia" w:hAnsiTheme="minorEastAsia" w:eastAsiaTheme="minorEastAsia"/>
                <w:color w:val="auto"/>
                <w:sz w:val="21"/>
                <w:szCs w:val="21"/>
                <w:highlight w:val="none"/>
                <w:lang w:val="en-US" w:eastAsia="zh-CN"/>
              </w:rPr>
            </w:pPr>
            <w:r>
              <w:rPr>
                <w:rFonts w:hint="eastAsia" w:cs="仿宋_GB2312" w:asciiTheme="minorEastAsia" w:hAnsiTheme="minorEastAsia" w:eastAsiaTheme="minorEastAsia"/>
                <w:color w:val="auto"/>
                <w:sz w:val="21"/>
                <w:szCs w:val="21"/>
                <w:highlight w:val="none"/>
                <w:lang w:val="en-US" w:eastAsia="zh-CN"/>
              </w:rPr>
              <w:t>5</w:t>
            </w:r>
          </w:p>
        </w:tc>
        <w:tc>
          <w:tcPr>
            <w:tcW w:w="900" w:type="dxa"/>
            <w:vAlign w:val="center"/>
          </w:tcPr>
          <w:p w14:paraId="78680D3D">
            <w:pPr>
              <w:snapToGrid w:val="0"/>
              <w:jc w:val="center"/>
              <w:rPr>
                <w:color w:val="auto"/>
                <w:highlight w:val="none"/>
              </w:rPr>
            </w:pPr>
            <w:r>
              <w:rPr>
                <w:rFonts w:hint="eastAsia" w:cs="仿宋_GB2312" w:asciiTheme="minorEastAsia" w:hAnsiTheme="minorEastAsia" w:eastAsiaTheme="minorEastAsia"/>
                <w:color w:val="auto"/>
                <w:sz w:val="21"/>
                <w:szCs w:val="21"/>
                <w:highlight w:val="none"/>
                <w:lang w:val="en-US" w:eastAsia="zh-CN"/>
              </w:rPr>
              <w:t>主观分</w:t>
            </w:r>
          </w:p>
        </w:tc>
        <w:tc>
          <w:tcPr>
            <w:tcW w:w="1495" w:type="dxa"/>
            <w:vAlign w:val="center"/>
          </w:tcPr>
          <w:p w14:paraId="6658C959">
            <w:pPr>
              <w:snapToGrid w:val="0"/>
              <w:spacing w:line="240" w:lineRule="auto"/>
              <w:jc w:val="center"/>
              <w:rPr>
                <w:rFonts w:cs="仿宋_GB2312" w:asciiTheme="minorEastAsia" w:hAnsiTheme="minorEastAsia" w:eastAsiaTheme="minorEastAsia"/>
                <w:color w:val="auto"/>
                <w:sz w:val="21"/>
                <w:szCs w:val="21"/>
                <w:highlight w:val="none"/>
              </w:rPr>
            </w:pPr>
          </w:p>
        </w:tc>
      </w:tr>
      <w:tr w14:paraId="366E1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5" w:hRule="atLeast"/>
        </w:trPr>
        <w:tc>
          <w:tcPr>
            <w:tcW w:w="675" w:type="dxa"/>
            <w:vAlign w:val="center"/>
          </w:tcPr>
          <w:p w14:paraId="0FAD99C4">
            <w:pPr>
              <w:snapToGrid w:val="0"/>
              <w:spacing w:line="240" w:lineRule="auto"/>
              <w:jc w:val="center"/>
              <w:rPr>
                <w:rFonts w:hint="default" w:cs="仿宋_GB2312" w:asciiTheme="minorEastAsia" w:hAnsiTheme="minorEastAsia" w:eastAsiaTheme="minorEastAsia"/>
                <w:color w:val="auto"/>
                <w:sz w:val="21"/>
                <w:szCs w:val="21"/>
                <w:highlight w:val="none"/>
                <w:lang w:val="en-US" w:eastAsia="zh-CN"/>
              </w:rPr>
            </w:pPr>
            <w:r>
              <w:rPr>
                <w:rFonts w:hint="eastAsia" w:cs="仿宋_GB2312" w:asciiTheme="minorEastAsia" w:hAnsiTheme="minorEastAsia" w:eastAsiaTheme="minorEastAsia"/>
                <w:color w:val="auto"/>
                <w:sz w:val="21"/>
                <w:szCs w:val="21"/>
                <w:highlight w:val="none"/>
                <w:lang w:val="en-US" w:eastAsia="zh-CN"/>
              </w:rPr>
              <w:t>8</w:t>
            </w:r>
          </w:p>
        </w:tc>
        <w:tc>
          <w:tcPr>
            <w:tcW w:w="5292" w:type="dxa"/>
            <w:vAlign w:val="center"/>
          </w:tcPr>
          <w:p w14:paraId="7EE0A453">
            <w:pPr>
              <w:snapToGrid w:val="0"/>
              <w:spacing w:line="240" w:lineRule="auto"/>
              <w:jc w:val="both"/>
              <w:rPr>
                <w:rFonts w:hint="eastAsia" w:cs="仿宋_GB2312" w:asciiTheme="minorEastAsia" w:hAnsiTheme="minorEastAsia" w:eastAsiaTheme="minorEastAsia"/>
                <w:b/>
                <w:bCs/>
                <w:color w:val="auto"/>
                <w:sz w:val="21"/>
                <w:szCs w:val="21"/>
                <w:highlight w:val="none"/>
                <w:lang w:val="en-US" w:eastAsia="zh-CN"/>
              </w:rPr>
            </w:pPr>
            <w:r>
              <w:rPr>
                <w:rFonts w:hint="eastAsia" w:cs="仿宋_GB2312" w:asciiTheme="minorEastAsia" w:hAnsiTheme="minorEastAsia" w:eastAsiaTheme="minorEastAsia"/>
                <w:b/>
                <w:bCs/>
                <w:color w:val="auto"/>
                <w:sz w:val="21"/>
                <w:szCs w:val="21"/>
                <w:highlight w:val="none"/>
                <w:lang w:val="en-US" w:eastAsia="zh-CN"/>
              </w:rPr>
              <w:t>数据对接及集成方案</w:t>
            </w:r>
          </w:p>
          <w:p w14:paraId="1489777B">
            <w:pPr>
              <w:numPr>
                <w:ilvl w:val="0"/>
                <w:numId w:val="0"/>
              </w:numPr>
              <w:snapToGrid w:val="0"/>
              <w:spacing w:line="240" w:lineRule="auto"/>
              <w:jc w:val="both"/>
              <w:rPr>
                <w:rFonts w:hint="default" w:cs="仿宋_GB2312" w:asciiTheme="minorEastAsia" w:hAnsiTheme="minorEastAsia" w:eastAsiaTheme="minorEastAsia"/>
                <w:b w:val="0"/>
                <w:bCs w:val="0"/>
                <w:color w:val="auto"/>
                <w:sz w:val="21"/>
                <w:szCs w:val="21"/>
                <w:highlight w:val="none"/>
                <w:lang w:val="en-US" w:eastAsia="zh-CN"/>
              </w:rPr>
            </w:pPr>
            <w:r>
              <w:rPr>
                <w:rFonts w:hint="eastAsia" w:cs="仿宋_GB2312" w:asciiTheme="minorEastAsia" w:hAnsiTheme="minorEastAsia" w:eastAsiaTheme="minorEastAsia"/>
                <w:b w:val="0"/>
                <w:bCs w:val="0"/>
                <w:color w:val="auto"/>
                <w:sz w:val="21"/>
                <w:szCs w:val="21"/>
                <w:highlight w:val="none"/>
                <w:lang w:val="en-US" w:eastAsia="zh-CN"/>
              </w:rPr>
              <w:t>根据提出的与一期、二期数据对接及集成方案</w:t>
            </w:r>
            <w:r>
              <w:rPr>
                <w:rFonts w:hint="default" w:cs="仿宋_GB2312" w:asciiTheme="minorEastAsia" w:hAnsiTheme="minorEastAsia" w:eastAsiaTheme="minorEastAsia"/>
                <w:color w:val="auto"/>
                <w:sz w:val="21"/>
                <w:szCs w:val="21"/>
                <w:highlight w:val="none"/>
              </w:rPr>
              <w:t>和实施的科学性、可行性、先进性、合理性</w:t>
            </w:r>
            <w:r>
              <w:rPr>
                <w:rFonts w:hint="eastAsia" w:cs="仿宋_GB2312" w:asciiTheme="minorEastAsia" w:hAnsiTheme="minorEastAsia" w:eastAsiaTheme="minorEastAsia"/>
                <w:color w:val="auto"/>
                <w:sz w:val="21"/>
                <w:szCs w:val="21"/>
                <w:highlight w:val="none"/>
                <w:lang w:eastAsia="zh-CN"/>
              </w:rPr>
              <w:t>。</w:t>
            </w:r>
            <w:r>
              <w:rPr>
                <w:rFonts w:hint="default" w:cs="仿宋_GB2312" w:asciiTheme="minorEastAsia" w:hAnsiTheme="minorEastAsia" w:eastAsiaTheme="minorEastAsia"/>
                <w:b w:val="0"/>
                <w:bCs w:val="0"/>
                <w:color w:val="auto"/>
                <w:sz w:val="21"/>
                <w:szCs w:val="21"/>
                <w:highlight w:val="none"/>
              </w:rPr>
              <w:t>（分值：5,4,3,2,1,0）</w:t>
            </w:r>
          </w:p>
        </w:tc>
        <w:tc>
          <w:tcPr>
            <w:tcW w:w="792" w:type="dxa"/>
            <w:vAlign w:val="center"/>
          </w:tcPr>
          <w:p w14:paraId="0DFE2094">
            <w:pPr>
              <w:snapToGrid w:val="0"/>
              <w:spacing w:line="240" w:lineRule="auto"/>
              <w:jc w:val="center"/>
              <w:rPr>
                <w:rFonts w:hint="default" w:cs="仿宋_GB2312" w:asciiTheme="minorEastAsia" w:hAnsiTheme="minorEastAsia" w:eastAsiaTheme="minorEastAsia"/>
                <w:color w:val="auto"/>
                <w:sz w:val="21"/>
                <w:szCs w:val="21"/>
                <w:highlight w:val="none"/>
                <w:lang w:val="en-US" w:eastAsia="zh-CN"/>
              </w:rPr>
            </w:pPr>
            <w:r>
              <w:rPr>
                <w:rFonts w:hint="eastAsia" w:cs="仿宋_GB2312" w:asciiTheme="minorEastAsia" w:hAnsiTheme="minorEastAsia" w:eastAsiaTheme="minorEastAsia"/>
                <w:color w:val="auto"/>
                <w:sz w:val="21"/>
                <w:szCs w:val="21"/>
                <w:highlight w:val="none"/>
                <w:lang w:val="en-US" w:eastAsia="zh-CN"/>
              </w:rPr>
              <w:t>5</w:t>
            </w:r>
          </w:p>
        </w:tc>
        <w:tc>
          <w:tcPr>
            <w:tcW w:w="900" w:type="dxa"/>
            <w:vAlign w:val="center"/>
          </w:tcPr>
          <w:p w14:paraId="34C9CAEE">
            <w:pPr>
              <w:snapToGrid w:val="0"/>
              <w:spacing w:line="240" w:lineRule="auto"/>
              <w:jc w:val="center"/>
              <w:rPr>
                <w:rFonts w:cs="仿宋_GB2312" w:asciiTheme="minorEastAsia" w:hAnsiTheme="minorEastAsia" w:eastAsiaTheme="minorEastAsia"/>
                <w:color w:val="auto"/>
                <w:sz w:val="21"/>
                <w:szCs w:val="21"/>
                <w:highlight w:val="none"/>
              </w:rPr>
            </w:pPr>
            <w:r>
              <w:rPr>
                <w:rFonts w:hint="eastAsia" w:cs="仿宋_GB2312" w:asciiTheme="minorEastAsia" w:hAnsiTheme="minorEastAsia" w:eastAsiaTheme="minorEastAsia"/>
                <w:color w:val="auto"/>
                <w:sz w:val="21"/>
                <w:szCs w:val="21"/>
                <w:highlight w:val="none"/>
                <w:lang w:val="en-US" w:eastAsia="zh-CN"/>
              </w:rPr>
              <w:t>主观分</w:t>
            </w:r>
          </w:p>
        </w:tc>
        <w:tc>
          <w:tcPr>
            <w:tcW w:w="1495" w:type="dxa"/>
            <w:vAlign w:val="center"/>
          </w:tcPr>
          <w:p w14:paraId="59D2CC9D">
            <w:pPr>
              <w:snapToGrid w:val="0"/>
              <w:spacing w:line="240" w:lineRule="auto"/>
              <w:jc w:val="center"/>
              <w:rPr>
                <w:rFonts w:cs="仿宋_GB2312" w:asciiTheme="minorEastAsia" w:hAnsiTheme="minorEastAsia" w:eastAsiaTheme="minorEastAsia"/>
                <w:color w:val="auto"/>
                <w:sz w:val="21"/>
                <w:szCs w:val="21"/>
                <w:highlight w:val="none"/>
              </w:rPr>
            </w:pPr>
          </w:p>
        </w:tc>
      </w:tr>
      <w:tr w14:paraId="71653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trPr>
        <w:tc>
          <w:tcPr>
            <w:tcW w:w="675" w:type="dxa"/>
            <w:vAlign w:val="center"/>
          </w:tcPr>
          <w:p w14:paraId="5E637CA9">
            <w:pPr>
              <w:snapToGrid w:val="0"/>
              <w:spacing w:line="240" w:lineRule="auto"/>
              <w:jc w:val="center"/>
              <w:rPr>
                <w:rFonts w:hint="default" w:cs="仿宋_GB2312" w:asciiTheme="minorEastAsia" w:hAnsiTheme="minorEastAsia" w:eastAsiaTheme="minorEastAsia"/>
                <w:b w:val="0"/>
                <w:bCs w:val="0"/>
                <w:color w:val="auto"/>
                <w:sz w:val="21"/>
                <w:szCs w:val="21"/>
                <w:highlight w:val="none"/>
                <w:lang w:val="en-US" w:eastAsia="zh-CN"/>
              </w:rPr>
            </w:pPr>
            <w:r>
              <w:rPr>
                <w:rFonts w:hint="eastAsia" w:cs="仿宋_GB2312" w:asciiTheme="minorEastAsia" w:hAnsiTheme="minorEastAsia" w:eastAsiaTheme="minorEastAsia"/>
                <w:b w:val="0"/>
                <w:bCs w:val="0"/>
                <w:color w:val="auto"/>
                <w:sz w:val="21"/>
                <w:szCs w:val="21"/>
                <w:highlight w:val="none"/>
                <w:lang w:val="en-US" w:eastAsia="zh-CN"/>
              </w:rPr>
              <w:t>9</w:t>
            </w:r>
          </w:p>
        </w:tc>
        <w:tc>
          <w:tcPr>
            <w:tcW w:w="5292" w:type="dxa"/>
            <w:vAlign w:val="center"/>
          </w:tcPr>
          <w:p w14:paraId="592ED92A">
            <w:pPr>
              <w:snapToGrid w:val="0"/>
              <w:spacing w:line="240" w:lineRule="auto"/>
              <w:jc w:val="both"/>
              <w:rPr>
                <w:rFonts w:hint="default" w:cs="仿宋_GB2312" w:asciiTheme="minorEastAsia" w:hAnsiTheme="minorEastAsia" w:eastAsiaTheme="minorEastAsia"/>
                <w:color w:val="auto"/>
                <w:sz w:val="21"/>
                <w:szCs w:val="21"/>
                <w:highlight w:val="none"/>
                <w:lang w:val="en-US" w:eastAsia="zh-CN"/>
              </w:rPr>
            </w:pPr>
            <w:r>
              <w:rPr>
                <w:rFonts w:hint="default" w:cs="仿宋_GB2312" w:asciiTheme="minorEastAsia" w:hAnsiTheme="minorEastAsia" w:eastAsiaTheme="minorEastAsia"/>
                <w:b/>
                <w:bCs/>
                <w:color w:val="auto"/>
                <w:sz w:val="21"/>
                <w:szCs w:val="21"/>
                <w:highlight w:val="none"/>
              </w:rPr>
              <w:t>服务团队</w:t>
            </w:r>
          </w:p>
          <w:p w14:paraId="4CFAA4EA">
            <w:pPr>
              <w:snapToGrid w:val="0"/>
              <w:spacing w:line="240" w:lineRule="auto"/>
              <w:jc w:val="both"/>
              <w:rPr>
                <w:rFonts w:hint="default" w:cs="仿宋_GB2312" w:asciiTheme="minorEastAsia" w:hAnsiTheme="minorEastAsia" w:eastAsiaTheme="minorEastAsia"/>
                <w:color w:val="auto"/>
                <w:sz w:val="21"/>
                <w:szCs w:val="21"/>
                <w:highlight w:val="none"/>
              </w:rPr>
            </w:pPr>
            <w:r>
              <w:rPr>
                <w:rFonts w:hint="default" w:cs="仿宋_GB2312" w:asciiTheme="minorEastAsia" w:hAnsiTheme="minorEastAsia" w:eastAsiaTheme="minorEastAsia"/>
                <w:color w:val="auto"/>
                <w:sz w:val="21"/>
                <w:szCs w:val="21"/>
                <w:highlight w:val="none"/>
                <w:lang w:val="en-US" w:eastAsia="zh-CN"/>
              </w:rPr>
              <w:t>项目组人员的技术能力、同类项目实施经验情况（分值：</w:t>
            </w:r>
            <w:r>
              <w:rPr>
                <w:rFonts w:hint="default" w:cs="仿宋_GB2312" w:asciiTheme="minorEastAsia" w:hAnsiTheme="minorEastAsia" w:eastAsiaTheme="minorEastAsia"/>
                <w:color w:val="auto"/>
                <w:sz w:val="21"/>
                <w:szCs w:val="21"/>
                <w:highlight w:val="none"/>
              </w:rPr>
              <w:t>4,3,2,1,0</w:t>
            </w:r>
            <w:r>
              <w:rPr>
                <w:rFonts w:hint="default" w:cs="仿宋_GB2312" w:asciiTheme="minorEastAsia" w:hAnsiTheme="minorEastAsia" w:eastAsiaTheme="minorEastAsia"/>
                <w:color w:val="auto"/>
                <w:sz w:val="21"/>
                <w:szCs w:val="21"/>
                <w:highlight w:val="none"/>
                <w:lang w:val="en-US" w:eastAsia="zh-CN"/>
              </w:rPr>
              <w:t>）</w:t>
            </w:r>
          </w:p>
        </w:tc>
        <w:tc>
          <w:tcPr>
            <w:tcW w:w="792" w:type="dxa"/>
            <w:vAlign w:val="center"/>
          </w:tcPr>
          <w:p w14:paraId="0F42C091">
            <w:pPr>
              <w:snapToGrid w:val="0"/>
              <w:spacing w:line="240" w:lineRule="auto"/>
              <w:jc w:val="center"/>
              <w:rPr>
                <w:rFonts w:hint="default" w:cs="仿宋_GB2312" w:asciiTheme="minorEastAsia" w:hAnsiTheme="minorEastAsia" w:eastAsiaTheme="minorEastAsia"/>
                <w:b w:val="0"/>
                <w:bCs w:val="0"/>
                <w:color w:val="auto"/>
                <w:sz w:val="21"/>
                <w:szCs w:val="21"/>
                <w:highlight w:val="none"/>
                <w:lang w:val="en-US" w:eastAsia="zh-CN"/>
              </w:rPr>
            </w:pPr>
            <w:r>
              <w:rPr>
                <w:rFonts w:hint="eastAsia" w:cs="仿宋_GB2312" w:asciiTheme="minorEastAsia" w:hAnsiTheme="minorEastAsia" w:eastAsiaTheme="minorEastAsia"/>
                <w:b w:val="0"/>
                <w:bCs w:val="0"/>
                <w:color w:val="auto"/>
                <w:sz w:val="21"/>
                <w:szCs w:val="21"/>
                <w:highlight w:val="none"/>
                <w:lang w:val="en-US" w:eastAsia="zh-CN"/>
              </w:rPr>
              <w:t>4</w:t>
            </w:r>
          </w:p>
        </w:tc>
        <w:tc>
          <w:tcPr>
            <w:tcW w:w="900" w:type="dxa"/>
            <w:vAlign w:val="center"/>
          </w:tcPr>
          <w:p w14:paraId="63C88C91">
            <w:pPr>
              <w:snapToGrid w:val="0"/>
              <w:spacing w:line="240" w:lineRule="auto"/>
              <w:jc w:val="center"/>
              <w:rPr>
                <w:rFonts w:hint="default" w:cs="仿宋_GB2312" w:asciiTheme="minorEastAsia" w:hAnsiTheme="minorEastAsia" w:eastAsiaTheme="minorEastAsia"/>
                <w:b w:val="0"/>
                <w:bCs w:val="0"/>
                <w:color w:val="auto"/>
                <w:sz w:val="21"/>
                <w:szCs w:val="21"/>
                <w:highlight w:val="none"/>
                <w:lang w:val="en-US" w:eastAsia="zh-CN"/>
              </w:rPr>
            </w:pPr>
            <w:r>
              <w:rPr>
                <w:rFonts w:hint="eastAsia" w:cs="仿宋_GB2312" w:asciiTheme="minorEastAsia" w:hAnsiTheme="minorEastAsia" w:eastAsiaTheme="minorEastAsia"/>
                <w:b w:val="0"/>
                <w:bCs w:val="0"/>
                <w:color w:val="auto"/>
                <w:sz w:val="21"/>
                <w:szCs w:val="21"/>
                <w:highlight w:val="none"/>
                <w:lang w:val="en-US" w:eastAsia="zh-CN"/>
              </w:rPr>
              <w:t>主观分</w:t>
            </w:r>
          </w:p>
        </w:tc>
        <w:tc>
          <w:tcPr>
            <w:tcW w:w="1495" w:type="dxa"/>
            <w:vAlign w:val="center"/>
          </w:tcPr>
          <w:p w14:paraId="316E29EA">
            <w:pPr>
              <w:snapToGrid w:val="0"/>
              <w:spacing w:line="240" w:lineRule="auto"/>
              <w:jc w:val="center"/>
              <w:rPr>
                <w:rFonts w:cs="仿宋_GB2312" w:asciiTheme="minorEastAsia" w:hAnsiTheme="minorEastAsia" w:eastAsiaTheme="minorEastAsia"/>
                <w:b w:val="0"/>
                <w:bCs w:val="0"/>
                <w:color w:val="auto"/>
                <w:sz w:val="21"/>
                <w:szCs w:val="21"/>
                <w:highlight w:val="none"/>
              </w:rPr>
            </w:pPr>
          </w:p>
        </w:tc>
      </w:tr>
      <w:tr w14:paraId="6AE89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trPr>
        <w:tc>
          <w:tcPr>
            <w:tcW w:w="675" w:type="dxa"/>
            <w:vAlign w:val="center"/>
          </w:tcPr>
          <w:p w14:paraId="3FBD235A">
            <w:pPr>
              <w:snapToGrid w:val="0"/>
              <w:spacing w:line="240" w:lineRule="auto"/>
              <w:jc w:val="center"/>
              <w:rPr>
                <w:rFonts w:hint="default" w:cs="仿宋_GB2312" w:asciiTheme="minorEastAsia" w:hAnsiTheme="minorEastAsia" w:eastAsiaTheme="minorEastAsia"/>
                <w:b w:val="0"/>
                <w:bCs w:val="0"/>
                <w:color w:val="auto"/>
                <w:sz w:val="21"/>
                <w:szCs w:val="21"/>
                <w:highlight w:val="none"/>
                <w:lang w:val="en-US" w:eastAsia="zh-CN"/>
              </w:rPr>
            </w:pPr>
            <w:r>
              <w:rPr>
                <w:rFonts w:hint="eastAsia" w:cs="仿宋_GB2312" w:asciiTheme="minorEastAsia" w:hAnsiTheme="minorEastAsia" w:eastAsiaTheme="minorEastAsia"/>
                <w:b w:val="0"/>
                <w:bCs w:val="0"/>
                <w:color w:val="auto"/>
                <w:sz w:val="21"/>
                <w:szCs w:val="21"/>
                <w:highlight w:val="none"/>
                <w:lang w:val="en-US" w:eastAsia="zh-CN"/>
              </w:rPr>
              <w:t>10</w:t>
            </w:r>
          </w:p>
        </w:tc>
        <w:tc>
          <w:tcPr>
            <w:tcW w:w="5292" w:type="dxa"/>
            <w:vAlign w:val="center"/>
          </w:tcPr>
          <w:p w14:paraId="7FF9F00B">
            <w:pPr>
              <w:pStyle w:val="123"/>
              <w:keepNext w:val="0"/>
              <w:keepLines w:val="0"/>
              <w:suppressLineNumbers w:val="0"/>
              <w:spacing w:before="0" w:beforeAutospacing="0" w:after="0" w:afterAutospacing="0" w:line="240" w:lineRule="auto"/>
              <w:ind w:left="0" w:right="0" w:firstLine="0" w:firstLineChars="0"/>
              <w:rPr>
                <w:rFonts w:hint="default" w:cs="仿宋_GB2312" w:asciiTheme="minorEastAsia" w:hAnsiTheme="minorEastAsia" w:eastAsiaTheme="minorEastAsia"/>
                <w:b/>
                <w:bCs/>
                <w:color w:val="auto"/>
                <w:sz w:val="21"/>
                <w:szCs w:val="21"/>
                <w:highlight w:val="none"/>
              </w:rPr>
            </w:pPr>
            <w:r>
              <w:rPr>
                <w:rFonts w:hint="default" w:cs="仿宋_GB2312" w:asciiTheme="minorEastAsia" w:hAnsiTheme="minorEastAsia" w:eastAsiaTheme="minorEastAsia"/>
                <w:b/>
                <w:bCs/>
                <w:color w:val="auto"/>
                <w:sz w:val="21"/>
                <w:szCs w:val="21"/>
                <w:highlight w:val="none"/>
              </w:rPr>
              <w:t>技术培训</w:t>
            </w:r>
          </w:p>
          <w:p w14:paraId="00481FE2">
            <w:pPr>
              <w:snapToGrid w:val="0"/>
              <w:spacing w:line="240" w:lineRule="auto"/>
              <w:jc w:val="both"/>
              <w:rPr>
                <w:rFonts w:hint="default" w:cs="仿宋_GB2312" w:asciiTheme="minorEastAsia" w:hAnsiTheme="minorEastAsia" w:eastAsiaTheme="minorEastAsia"/>
                <w:color w:val="auto"/>
                <w:sz w:val="21"/>
                <w:szCs w:val="21"/>
                <w:highlight w:val="none"/>
                <w:lang w:val="en-US" w:eastAsia="zh-CN"/>
              </w:rPr>
            </w:pPr>
            <w:r>
              <w:rPr>
                <w:rFonts w:hint="default" w:cs="仿宋_GB2312" w:asciiTheme="minorEastAsia" w:hAnsiTheme="minorEastAsia" w:eastAsiaTheme="minorEastAsia"/>
                <w:color w:val="auto"/>
                <w:sz w:val="21"/>
                <w:szCs w:val="21"/>
                <w:highlight w:val="none"/>
              </w:rPr>
              <w:t>包括培训方式、培训对象、培训内容、培训日程及提供的师资等内容</w:t>
            </w:r>
            <w:r>
              <w:rPr>
                <w:rFonts w:hint="default" w:cs="仿宋_GB2312" w:asciiTheme="minorEastAsia" w:hAnsiTheme="minorEastAsia" w:eastAsiaTheme="minorEastAsia"/>
                <w:color w:val="auto"/>
                <w:sz w:val="21"/>
                <w:szCs w:val="21"/>
                <w:highlight w:val="none"/>
                <w:lang w:eastAsia="zh-CN"/>
              </w:rPr>
              <w:t>。</w:t>
            </w:r>
            <w:r>
              <w:rPr>
                <w:rFonts w:hint="default" w:cs="仿宋_GB2312" w:asciiTheme="minorEastAsia" w:hAnsiTheme="minorEastAsia" w:eastAsiaTheme="minorEastAsia"/>
                <w:color w:val="auto"/>
                <w:sz w:val="21"/>
                <w:szCs w:val="21"/>
                <w:highlight w:val="none"/>
              </w:rPr>
              <w:t>（分值：3,2,1,0）</w:t>
            </w:r>
          </w:p>
        </w:tc>
        <w:tc>
          <w:tcPr>
            <w:tcW w:w="792" w:type="dxa"/>
            <w:vAlign w:val="center"/>
          </w:tcPr>
          <w:p w14:paraId="7C0C158C">
            <w:pPr>
              <w:snapToGrid w:val="0"/>
              <w:spacing w:line="240" w:lineRule="auto"/>
              <w:jc w:val="center"/>
              <w:rPr>
                <w:rFonts w:hint="default" w:cs="仿宋_GB2312" w:asciiTheme="minorEastAsia" w:hAnsiTheme="minorEastAsia" w:eastAsiaTheme="minorEastAsia"/>
                <w:b w:val="0"/>
                <w:bCs w:val="0"/>
                <w:color w:val="auto"/>
                <w:sz w:val="21"/>
                <w:szCs w:val="21"/>
                <w:highlight w:val="none"/>
                <w:lang w:val="en-US" w:eastAsia="zh-CN"/>
              </w:rPr>
            </w:pPr>
            <w:r>
              <w:rPr>
                <w:rFonts w:hint="eastAsia" w:cs="仿宋_GB2312" w:asciiTheme="minorEastAsia" w:hAnsiTheme="minorEastAsia" w:eastAsiaTheme="minorEastAsia"/>
                <w:b w:val="0"/>
                <w:bCs w:val="0"/>
                <w:color w:val="auto"/>
                <w:sz w:val="21"/>
                <w:szCs w:val="21"/>
                <w:highlight w:val="none"/>
                <w:lang w:val="en-US" w:eastAsia="zh-CN"/>
              </w:rPr>
              <w:t>3</w:t>
            </w:r>
          </w:p>
        </w:tc>
        <w:tc>
          <w:tcPr>
            <w:tcW w:w="900" w:type="dxa"/>
            <w:vAlign w:val="center"/>
          </w:tcPr>
          <w:p w14:paraId="3E38C3FA">
            <w:pPr>
              <w:snapToGrid w:val="0"/>
              <w:spacing w:line="240" w:lineRule="auto"/>
              <w:jc w:val="center"/>
              <w:rPr>
                <w:rFonts w:hint="eastAsia" w:cs="仿宋_GB2312" w:asciiTheme="minorEastAsia" w:hAnsiTheme="minorEastAsia" w:eastAsiaTheme="minorEastAsia"/>
                <w:b w:val="0"/>
                <w:bCs w:val="0"/>
                <w:color w:val="auto"/>
                <w:sz w:val="21"/>
                <w:szCs w:val="21"/>
                <w:highlight w:val="none"/>
                <w:lang w:val="en-US" w:eastAsia="zh-CN"/>
              </w:rPr>
            </w:pPr>
            <w:r>
              <w:rPr>
                <w:rFonts w:hint="eastAsia" w:cs="仿宋_GB2312" w:asciiTheme="minorEastAsia" w:hAnsiTheme="minorEastAsia" w:eastAsiaTheme="minorEastAsia"/>
                <w:color w:val="auto"/>
                <w:sz w:val="21"/>
                <w:szCs w:val="21"/>
                <w:highlight w:val="none"/>
                <w:lang w:val="en-US" w:eastAsia="zh-CN"/>
              </w:rPr>
              <w:t>主观分</w:t>
            </w:r>
          </w:p>
        </w:tc>
        <w:tc>
          <w:tcPr>
            <w:tcW w:w="1495" w:type="dxa"/>
            <w:vAlign w:val="center"/>
          </w:tcPr>
          <w:p w14:paraId="7A27053E">
            <w:pPr>
              <w:snapToGrid w:val="0"/>
              <w:spacing w:line="240" w:lineRule="auto"/>
              <w:jc w:val="center"/>
              <w:rPr>
                <w:rFonts w:cs="仿宋_GB2312" w:asciiTheme="minorEastAsia" w:hAnsiTheme="minorEastAsia" w:eastAsiaTheme="minorEastAsia"/>
                <w:b w:val="0"/>
                <w:bCs w:val="0"/>
                <w:color w:val="auto"/>
                <w:sz w:val="21"/>
                <w:szCs w:val="21"/>
                <w:highlight w:val="none"/>
              </w:rPr>
            </w:pPr>
          </w:p>
        </w:tc>
      </w:tr>
      <w:tr w14:paraId="0B885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675" w:type="dxa"/>
            <w:vAlign w:val="center"/>
          </w:tcPr>
          <w:p w14:paraId="7E8FF951">
            <w:pPr>
              <w:snapToGrid w:val="0"/>
              <w:spacing w:line="240" w:lineRule="auto"/>
              <w:jc w:val="center"/>
              <w:rPr>
                <w:rFonts w:hint="default" w:cs="仿宋_GB2312" w:asciiTheme="minorEastAsia" w:hAnsiTheme="minorEastAsia" w:eastAsiaTheme="minorEastAsia"/>
                <w:b w:val="0"/>
                <w:bCs w:val="0"/>
                <w:color w:val="auto"/>
                <w:sz w:val="21"/>
                <w:szCs w:val="21"/>
                <w:highlight w:val="none"/>
                <w:lang w:val="en-US" w:eastAsia="zh-CN"/>
              </w:rPr>
            </w:pPr>
            <w:r>
              <w:rPr>
                <w:rFonts w:hint="eastAsia" w:cs="仿宋_GB2312" w:asciiTheme="minorEastAsia" w:hAnsiTheme="minorEastAsia" w:eastAsiaTheme="minorEastAsia"/>
                <w:b w:val="0"/>
                <w:bCs w:val="0"/>
                <w:color w:val="auto"/>
                <w:sz w:val="21"/>
                <w:szCs w:val="21"/>
                <w:highlight w:val="none"/>
                <w:lang w:val="en-US" w:eastAsia="zh-CN"/>
              </w:rPr>
              <w:t>11</w:t>
            </w:r>
          </w:p>
        </w:tc>
        <w:tc>
          <w:tcPr>
            <w:tcW w:w="5292" w:type="dxa"/>
            <w:vAlign w:val="center"/>
          </w:tcPr>
          <w:p w14:paraId="25AC2A1D">
            <w:pPr>
              <w:snapToGrid w:val="0"/>
              <w:spacing w:line="240" w:lineRule="auto"/>
              <w:jc w:val="left"/>
              <w:rPr>
                <w:rFonts w:hint="default" w:cs="仿宋_GB2312" w:asciiTheme="minorEastAsia" w:hAnsiTheme="minorEastAsia" w:eastAsiaTheme="minorEastAsia"/>
                <w:color w:val="auto"/>
                <w:sz w:val="21"/>
                <w:szCs w:val="21"/>
                <w:highlight w:val="none"/>
              </w:rPr>
            </w:pPr>
            <w:r>
              <w:rPr>
                <w:rFonts w:hint="default" w:cs="仿宋_GB2312" w:asciiTheme="minorEastAsia" w:hAnsiTheme="minorEastAsia" w:eastAsiaTheme="minorEastAsia"/>
                <w:b/>
                <w:bCs/>
                <w:color w:val="auto"/>
                <w:sz w:val="21"/>
                <w:szCs w:val="21"/>
                <w:highlight w:val="none"/>
                <w:lang w:val="en-US" w:eastAsia="zh-CN"/>
              </w:rPr>
              <w:t>售后服务</w:t>
            </w:r>
          </w:p>
        </w:tc>
        <w:tc>
          <w:tcPr>
            <w:tcW w:w="792" w:type="dxa"/>
            <w:vAlign w:val="center"/>
          </w:tcPr>
          <w:p w14:paraId="6BEE1AB3">
            <w:pPr>
              <w:snapToGrid w:val="0"/>
              <w:spacing w:line="240" w:lineRule="auto"/>
              <w:jc w:val="center"/>
              <w:rPr>
                <w:rFonts w:hint="default" w:cs="仿宋_GB2312" w:asciiTheme="minorEastAsia" w:hAnsiTheme="minorEastAsia" w:eastAsiaTheme="minorEastAsia"/>
                <w:b w:val="0"/>
                <w:bCs w:val="0"/>
                <w:color w:val="auto"/>
                <w:sz w:val="21"/>
                <w:szCs w:val="21"/>
                <w:highlight w:val="none"/>
                <w:lang w:val="en-US" w:eastAsia="zh-CN"/>
              </w:rPr>
            </w:pPr>
            <w:r>
              <w:rPr>
                <w:rFonts w:hint="eastAsia" w:cs="仿宋_GB2312" w:asciiTheme="minorEastAsia" w:hAnsiTheme="minorEastAsia" w:eastAsiaTheme="minorEastAsia"/>
                <w:b w:val="0"/>
                <w:bCs w:val="0"/>
                <w:color w:val="auto"/>
                <w:sz w:val="21"/>
                <w:szCs w:val="21"/>
                <w:highlight w:val="none"/>
                <w:lang w:val="en-US" w:eastAsia="zh-CN"/>
              </w:rPr>
              <w:t>/</w:t>
            </w:r>
          </w:p>
        </w:tc>
        <w:tc>
          <w:tcPr>
            <w:tcW w:w="900" w:type="dxa"/>
            <w:vAlign w:val="center"/>
          </w:tcPr>
          <w:p w14:paraId="4B20822F">
            <w:pPr>
              <w:snapToGrid w:val="0"/>
              <w:spacing w:line="240" w:lineRule="auto"/>
              <w:jc w:val="center"/>
              <w:rPr>
                <w:rFonts w:hint="eastAsia" w:cs="仿宋_GB2312" w:asciiTheme="minorEastAsia" w:hAnsiTheme="minorEastAsia" w:eastAsiaTheme="minorEastAsia"/>
                <w:b w:val="0"/>
                <w:bCs w:val="0"/>
                <w:color w:val="auto"/>
                <w:sz w:val="21"/>
                <w:szCs w:val="21"/>
                <w:highlight w:val="none"/>
                <w:lang w:val="en-US" w:eastAsia="zh-CN"/>
              </w:rPr>
            </w:pPr>
            <w:r>
              <w:rPr>
                <w:rFonts w:hint="eastAsia" w:cs="仿宋_GB2312" w:asciiTheme="minorEastAsia" w:hAnsiTheme="minorEastAsia" w:eastAsiaTheme="minorEastAsia"/>
                <w:color w:val="auto"/>
                <w:sz w:val="21"/>
                <w:szCs w:val="21"/>
                <w:highlight w:val="none"/>
                <w:lang w:val="en-US" w:eastAsia="zh-CN"/>
              </w:rPr>
              <w:t>/</w:t>
            </w:r>
          </w:p>
        </w:tc>
        <w:tc>
          <w:tcPr>
            <w:tcW w:w="1495" w:type="dxa"/>
            <w:vAlign w:val="center"/>
          </w:tcPr>
          <w:p w14:paraId="23611DB3">
            <w:pPr>
              <w:snapToGrid w:val="0"/>
              <w:spacing w:line="240" w:lineRule="auto"/>
              <w:jc w:val="center"/>
              <w:rPr>
                <w:rFonts w:cs="仿宋_GB2312" w:asciiTheme="minorEastAsia" w:hAnsiTheme="minorEastAsia" w:eastAsiaTheme="minorEastAsia"/>
                <w:b w:val="0"/>
                <w:bCs w:val="0"/>
                <w:color w:val="auto"/>
                <w:sz w:val="21"/>
                <w:szCs w:val="21"/>
                <w:highlight w:val="none"/>
              </w:rPr>
            </w:pPr>
          </w:p>
        </w:tc>
      </w:tr>
      <w:tr w14:paraId="24D66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1" w:hRule="atLeast"/>
        </w:trPr>
        <w:tc>
          <w:tcPr>
            <w:tcW w:w="675" w:type="dxa"/>
            <w:vAlign w:val="center"/>
          </w:tcPr>
          <w:p w14:paraId="32B63E35">
            <w:pPr>
              <w:snapToGrid w:val="0"/>
              <w:spacing w:line="240" w:lineRule="auto"/>
              <w:jc w:val="center"/>
              <w:rPr>
                <w:rFonts w:hint="default" w:cs="仿宋_GB2312" w:asciiTheme="minorEastAsia" w:hAnsiTheme="minorEastAsia" w:eastAsiaTheme="minorEastAsia"/>
                <w:b w:val="0"/>
                <w:bCs w:val="0"/>
                <w:color w:val="auto"/>
                <w:sz w:val="21"/>
                <w:szCs w:val="21"/>
                <w:highlight w:val="none"/>
                <w:lang w:val="en-US" w:eastAsia="zh-CN"/>
              </w:rPr>
            </w:pPr>
            <w:r>
              <w:rPr>
                <w:rFonts w:hint="eastAsia" w:cs="仿宋_GB2312" w:asciiTheme="minorEastAsia" w:hAnsiTheme="minorEastAsia" w:eastAsiaTheme="minorEastAsia"/>
                <w:b w:val="0"/>
                <w:bCs w:val="0"/>
                <w:color w:val="auto"/>
                <w:sz w:val="21"/>
                <w:szCs w:val="21"/>
                <w:highlight w:val="none"/>
                <w:lang w:val="en-US" w:eastAsia="zh-CN"/>
              </w:rPr>
              <w:t>11.1</w:t>
            </w:r>
          </w:p>
        </w:tc>
        <w:tc>
          <w:tcPr>
            <w:tcW w:w="5292" w:type="dxa"/>
            <w:vAlign w:val="center"/>
          </w:tcPr>
          <w:p w14:paraId="6A3E7F5C">
            <w:pPr>
              <w:snapToGrid w:val="0"/>
              <w:spacing w:line="240" w:lineRule="auto"/>
              <w:jc w:val="both"/>
              <w:rPr>
                <w:rFonts w:hint="eastAsia" w:cs="仿宋_GB2312" w:asciiTheme="minorEastAsia" w:hAnsiTheme="minorEastAsia" w:eastAsiaTheme="minorEastAsia"/>
                <w:color w:val="auto"/>
                <w:sz w:val="21"/>
                <w:szCs w:val="21"/>
                <w:highlight w:val="none"/>
                <w:lang w:val="en-US" w:eastAsia="zh-CN"/>
              </w:rPr>
            </w:pPr>
            <w:r>
              <w:rPr>
                <w:rFonts w:hint="default" w:cs="仿宋_GB2312" w:asciiTheme="minorEastAsia" w:hAnsiTheme="minorEastAsia" w:eastAsiaTheme="minorEastAsia"/>
                <w:color w:val="auto"/>
                <w:sz w:val="21"/>
                <w:szCs w:val="21"/>
                <w:highlight w:val="none"/>
                <w:lang w:val="en-US" w:eastAsia="zh-CN"/>
              </w:rPr>
              <w:t>售后服务保障体系，包括响应时间、服务方式、应急措施、售后人员证书、售后服务期满后的服务内容与收费标准等。（分值：</w:t>
            </w:r>
            <w:r>
              <w:rPr>
                <w:rFonts w:hint="default" w:cs="仿宋_GB2312" w:asciiTheme="minorEastAsia" w:hAnsiTheme="minorEastAsia" w:eastAsiaTheme="minorEastAsia"/>
                <w:color w:val="auto"/>
                <w:sz w:val="21"/>
                <w:szCs w:val="21"/>
                <w:highlight w:val="none"/>
              </w:rPr>
              <w:t>4,</w:t>
            </w:r>
            <w:r>
              <w:rPr>
                <w:rFonts w:hint="default" w:cs="仿宋_GB2312" w:asciiTheme="minorEastAsia" w:hAnsiTheme="minorEastAsia" w:eastAsiaTheme="minorEastAsia"/>
                <w:color w:val="auto"/>
                <w:sz w:val="21"/>
                <w:szCs w:val="21"/>
                <w:highlight w:val="none"/>
                <w:lang w:val="en-US" w:eastAsia="zh-CN"/>
              </w:rPr>
              <w:t>3,2,1,0）</w:t>
            </w:r>
          </w:p>
        </w:tc>
        <w:tc>
          <w:tcPr>
            <w:tcW w:w="792" w:type="dxa"/>
            <w:vAlign w:val="center"/>
          </w:tcPr>
          <w:p w14:paraId="1B6D2B67">
            <w:pPr>
              <w:snapToGrid w:val="0"/>
              <w:spacing w:line="240" w:lineRule="auto"/>
              <w:jc w:val="center"/>
              <w:rPr>
                <w:rFonts w:hint="default" w:cs="仿宋_GB2312" w:asciiTheme="minorEastAsia" w:hAnsiTheme="minorEastAsia" w:eastAsiaTheme="minorEastAsia"/>
                <w:b w:val="0"/>
                <w:bCs w:val="0"/>
                <w:color w:val="auto"/>
                <w:sz w:val="21"/>
                <w:szCs w:val="21"/>
                <w:highlight w:val="none"/>
                <w:lang w:val="en-US" w:eastAsia="zh-CN"/>
              </w:rPr>
            </w:pPr>
            <w:r>
              <w:rPr>
                <w:rFonts w:hint="eastAsia" w:cs="仿宋_GB2312" w:asciiTheme="minorEastAsia" w:hAnsiTheme="minorEastAsia" w:eastAsiaTheme="minorEastAsia"/>
                <w:b w:val="0"/>
                <w:bCs w:val="0"/>
                <w:color w:val="auto"/>
                <w:sz w:val="21"/>
                <w:szCs w:val="21"/>
                <w:highlight w:val="none"/>
                <w:lang w:val="en-US" w:eastAsia="zh-CN"/>
              </w:rPr>
              <w:t>4</w:t>
            </w:r>
          </w:p>
        </w:tc>
        <w:tc>
          <w:tcPr>
            <w:tcW w:w="900" w:type="dxa"/>
            <w:vAlign w:val="center"/>
          </w:tcPr>
          <w:p w14:paraId="029AD961">
            <w:pPr>
              <w:snapToGrid w:val="0"/>
              <w:spacing w:line="240" w:lineRule="auto"/>
              <w:jc w:val="center"/>
              <w:rPr>
                <w:rFonts w:hint="default" w:cs="仿宋_GB2312" w:asciiTheme="minorEastAsia" w:hAnsiTheme="minorEastAsia" w:eastAsiaTheme="minorEastAsia"/>
                <w:color w:val="auto"/>
                <w:sz w:val="21"/>
                <w:szCs w:val="21"/>
                <w:highlight w:val="none"/>
                <w:lang w:val="en-US" w:eastAsia="zh-CN"/>
              </w:rPr>
            </w:pPr>
            <w:r>
              <w:rPr>
                <w:rFonts w:hint="eastAsia" w:cs="仿宋_GB2312" w:asciiTheme="minorEastAsia" w:hAnsiTheme="minorEastAsia" w:eastAsiaTheme="minorEastAsia"/>
                <w:color w:val="auto"/>
                <w:sz w:val="21"/>
                <w:szCs w:val="21"/>
                <w:highlight w:val="none"/>
                <w:lang w:val="en-US" w:eastAsia="zh-CN"/>
              </w:rPr>
              <w:t>主观分</w:t>
            </w:r>
          </w:p>
        </w:tc>
        <w:tc>
          <w:tcPr>
            <w:tcW w:w="1495" w:type="dxa"/>
            <w:vAlign w:val="center"/>
          </w:tcPr>
          <w:p w14:paraId="1E6E92CF">
            <w:pPr>
              <w:snapToGrid w:val="0"/>
              <w:spacing w:line="240" w:lineRule="auto"/>
              <w:jc w:val="center"/>
              <w:rPr>
                <w:rFonts w:cs="仿宋_GB2312" w:asciiTheme="minorEastAsia" w:hAnsiTheme="minorEastAsia" w:eastAsiaTheme="minorEastAsia"/>
                <w:b w:val="0"/>
                <w:bCs w:val="0"/>
                <w:color w:val="auto"/>
                <w:sz w:val="21"/>
                <w:szCs w:val="21"/>
                <w:highlight w:val="none"/>
              </w:rPr>
            </w:pPr>
          </w:p>
        </w:tc>
      </w:tr>
      <w:tr w14:paraId="193AB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trPr>
        <w:tc>
          <w:tcPr>
            <w:tcW w:w="675" w:type="dxa"/>
            <w:vAlign w:val="center"/>
          </w:tcPr>
          <w:p w14:paraId="69F0AAF4">
            <w:pPr>
              <w:snapToGrid w:val="0"/>
              <w:spacing w:line="240" w:lineRule="auto"/>
              <w:jc w:val="center"/>
              <w:rPr>
                <w:rFonts w:hint="default" w:cs="仿宋_GB2312" w:asciiTheme="minorEastAsia" w:hAnsiTheme="minorEastAsia" w:eastAsiaTheme="minorEastAsia"/>
                <w:b w:val="0"/>
                <w:bCs w:val="0"/>
                <w:color w:val="auto"/>
                <w:sz w:val="21"/>
                <w:szCs w:val="21"/>
                <w:highlight w:val="none"/>
                <w:lang w:val="en-US" w:eastAsia="zh-CN"/>
              </w:rPr>
            </w:pPr>
            <w:r>
              <w:rPr>
                <w:rFonts w:hint="eastAsia" w:cs="仿宋_GB2312" w:asciiTheme="minorEastAsia" w:hAnsiTheme="minorEastAsia" w:eastAsiaTheme="minorEastAsia"/>
                <w:b w:val="0"/>
                <w:bCs w:val="0"/>
                <w:color w:val="auto"/>
                <w:sz w:val="21"/>
                <w:szCs w:val="21"/>
                <w:highlight w:val="none"/>
                <w:lang w:val="en-US" w:eastAsia="zh-CN"/>
              </w:rPr>
              <w:t>11.2</w:t>
            </w:r>
          </w:p>
        </w:tc>
        <w:tc>
          <w:tcPr>
            <w:tcW w:w="5292" w:type="dxa"/>
            <w:vAlign w:val="center"/>
          </w:tcPr>
          <w:p w14:paraId="4A61943F">
            <w:pPr>
              <w:snapToGrid w:val="0"/>
              <w:spacing w:line="240" w:lineRule="auto"/>
              <w:jc w:val="both"/>
              <w:rPr>
                <w:rFonts w:hint="eastAsia" w:cs="仿宋_GB2312" w:asciiTheme="minorEastAsia" w:hAnsiTheme="minorEastAsia" w:eastAsiaTheme="minorEastAsia"/>
                <w:color w:val="auto"/>
                <w:sz w:val="21"/>
                <w:szCs w:val="21"/>
                <w:highlight w:val="none"/>
                <w:lang w:val="en-US" w:eastAsia="zh-CN"/>
              </w:rPr>
            </w:pPr>
            <w:r>
              <w:rPr>
                <w:rFonts w:hint="eastAsia" w:cs="仿宋_GB2312" w:asciiTheme="minorEastAsia" w:hAnsiTheme="minorEastAsia" w:eastAsiaTheme="minorEastAsia"/>
                <w:color w:val="auto"/>
                <w:sz w:val="21"/>
                <w:szCs w:val="21"/>
                <w:highlight w:val="none"/>
                <w:lang w:val="en-US" w:eastAsia="zh-CN"/>
              </w:rPr>
              <w:t>质保期：整体质保期在满足招标文件的要求的基础上每增加1年得1分，最高得2分。</w:t>
            </w:r>
          </w:p>
        </w:tc>
        <w:tc>
          <w:tcPr>
            <w:tcW w:w="792" w:type="dxa"/>
            <w:vAlign w:val="center"/>
          </w:tcPr>
          <w:p w14:paraId="1E8E874F">
            <w:pPr>
              <w:snapToGrid w:val="0"/>
              <w:spacing w:line="240" w:lineRule="auto"/>
              <w:jc w:val="center"/>
              <w:rPr>
                <w:rFonts w:hint="default" w:cs="仿宋_GB2312" w:asciiTheme="minorEastAsia" w:hAnsiTheme="minorEastAsia" w:eastAsiaTheme="minorEastAsia"/>
                <w:b w:val="0"/>
                <w:bCs w:val="0"/>
                <w:color w:val="auto"/>
                <w:sz w:val="21"/>
                <w:szCs w:val="21"/>
                <w:highlight w:val="none"/>
                <w:lang w:val="en-US" w:eastAsia="zh-CN"/>
              </w:rPr>
            </w:pPr>
            <w:r>
              <w:rPr>
                <w:rFonts w:hint="eastAsia" w:cs="仿宋_GB2312" w:asciiTheme="minorEastAsia" w:hAnsiTheme="minorEastAsia" w:eastAsiaTheme="minorEastAsia"/>
                <w:b w:val="0"/>
                <w:bCs w:val="0"/>
                <w:color w:val="auto"/>
                <w:sz w:val="21"/>
                <w:szCs w:val="21"/>
                <w:highlight w:val="none"/>
                <w:lang w:val="en-US" w:eastAsia="zh-CN"/>
              </w:rPr>
              <w:t>2</w:t>
            </w:r>
          </w:p>
        </w:tc>
        <w:tc>
          <w:tcPr>
            <w:tcW w:w="900" w:type="dxa"/>
            <w:vAlign w:val="center"/>
          </w:tcPr>
          <w:p w14:paraId="2F580F5E">
            <w:pPr>
              <w:snapToGrid w:val="0"/>
              <w:spacing w:line="240" w:lineRule="auto"/>
              <w:jc w:val="center"/>
              <w:rPr>
                <w:rFonts w:hint="default" w:cs="仿宋_GB2312" w:asciiTheme="minorEastAsia" w:hAnsiTheme="minorEastAsia" w:eastAsiaTheme="minorEastAsia"/>
                <w:color w:val="auto"/>
                <w:sz w:val="21"/>
                <w:szCs w:val="21"/>
                <w:highlight w:val="none"/>
                <w:lang w:val="en-US" w:eastAsia="zh-CN"/>
              </w:rPr>
            </w:pPr>
            <w:r>
              <w:rPr>
                <w:rFonts w:hint="eastAsia" w:cs="仿宋_GB2312" w:asciiTheme="minorEastAsia" w:hAnsiTheme="minorEastAsia" w:eastAsiaTheme="minorEastAsia"/>
                <w:color w:val="auto"/>
                <w:sz w:val="21"/>
                <w:szCs w:val="21"/>
                <w:highlight w:val="none"/>
                <w:lang w:val="en-US" w:eastAsia="zh-CN"/>
              </w:rPr>
              <w:t>客观分</w:t>
            </w:r>
          </w:p>
        </w:tc>
        <w:tc>
          <w:tcPr>
            <w:tcW w:w="1495" w:type="dxa"/>
            <w:vAlign w:val="center"/>
          </w:tcPr>
          <w:p w14:paraId="52D703B4">
            <w:pPr>
              <w:snapToGrid w:val="0"/>
              <w:spacing w:line="240" w:lineRule="auto"/>
              <w:jc w:val="center"/>
              <w:rPr>
                <w:rFonts w:cs="仿宋_GB2312" w:asciiTheme="minorEastAsia" w:hAnsiTheme="minorEastAsia" w:eastAsiaTheme="minorEastAsia"/>
                <w:b w:val="0"/>
                <w:bCs w:val="0"/>
                <w:color w:val="auto"/>
                <w:sz w:val="21"/>
                <w:szCs w:val="21"/>
                <w:highlight w:val="none"/>
              </w:rPr>
            </w:pPr>
          </w:p>
        </w:tc>
      </w:tr>
      <w:tr w14:paraId="1C554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5" w:hRule="atLeast"/>
        </w:trPr>
        <w:tc>
          <w:tcPr>
            <w:tcW w:w="675" w:type="dxa"/>
            <w:vAlign w:val="center"/>
          </w:tcPr>
          <w:p w14:paraId="5790409C">
            <w:pPr>
              <w:snapToGrid w:val="0"/>
              <w:spacing w:line="240" w:lineRule="auto"/>
              <w:jc w:val="center"/>
              <w:rPr>
                <w:rFonts w:hint="default" w:cs="仿宋_GB2312" w:asciiTheme="minorEastAsia" w:hAnsiTheme="minorEastAsia" w:eastAsiaTheme="minorEastAsia"/>
                <w:b w:val="0"/>
                <w:bCs w:val="0"/>
                <w:color w:val="auto"/>
                <w:sz w:val="21"/>
                <w:szCs w:val="21"/>
                <w:highlight w:val="none"/>
                <w:lang w:val="en-US" w:eastAsia="zh-CN"/>
              </w:rPr>
            </w:pPr>
            <w:r>
              <w:rPr>
                <w:rFonts w:hint="eastAsia" w:cs="仿宋_GB2312" w:asciiTheme="minorEastAsia" w:hAnsiTheme="minorEastAsia" w:eastAsiaTheme="minorEastAsia"/>
                <w:b w:val="0"/>
                <w:bCs w:val="0"/>
                <w:color w:val="auto"/>
                <w:sz w:val="21"/>
                <w:szCs w:val="21"/>
                <w:highlight w:val="none"/>
                <w:lang w:val="en-US" w:eastAsia="zh-CN"/>
              </w:rPr>
              <w:t>12</w:t>
            </w:r>
          </w:p>
        </w:tc>
        <w:tc>
          <w:tcPr>
            <w:tcW w:w="5292" w:type="dxa"/>
            <w:vAlign w:val="center"/>
          </w:tcPr>
          <w:p w14:paraId="202B92EA">
            <w:pPr>
              <w:rPr>
                <w:rFonts w:hint="eastAsia"/>
                <w:color w:val="auto"/>
                <w:highlight w:val="none"/>
                <w:lang w:val="en-US" w:eastAsia="zh-CN"/>
              </w:rPr>
            </w:pPr>
            <w:r>
              <w:rPr>
                <w:rFonts w:hint="eastAsia"/>
                <w:color w:val="auto"/>
                <w:highlight w:val="none"/>
                <w:lang w:val="en-US" w:eastAsia="zh-CN"/>
              </w:rPr>
              <w:t>根据以下演示内容的演示效果实现明显、操作便捷、界面美观进行评分。</w:t>
            </w:r>
          </w:p>
          <w:p w14:paraId="00B57587">
            <w:pPr>
              <w:rPr>
                <w:rFonts w:hint="eastAsia"/>
                <w:color w:val="auto"/>
                <w:highlight w:val="none"/>
                <w:lang w:val="en-US" w:eastAsia="zh-CN"/>
              </w:rPr>
            </w:pPr>
            <w:r>
              <w:rPr>
                <w:rFonts w:hint="eastAsia"/>
                <w:color w:val="auto"/>
                <w:szCs w:val="21"/>
                <w:highlight w:val="none"/>
              </w:rPr>
              <w:t>使用</w:t>
            </w:r>
            <w:r>
              <w:rPr>
                <w:rFonts w:hint="eastAsia"/>
                <w:color w:val="auto"/>
                <w:szCs w:val="21"/>
                <w:highlight w:val="none"/>
                <w:lang w:val="en-US" w:eastAsia="zh-CN"/>
              </w:rPr>
              <w:t>ppt、word、</w:t>
            </w:r>
            <w:r>
              <w:rPr>
                <w:rFonts w:hint="eastAsia"/>
                <w:color w:val="auto"/>
                <w:szCs w:val="21"/>
                <w:highlight w:val="none"/>
              </w:rPr>
              <w:t>demo等非实际系统演示</w:t>
            </w:r>
            <w:r>
              <w:rPr>
                <w:rFonts w:hint="eastAsia"/>
                <w:color w:val="auto"/>
                <w:szCs w:val="21"/>
                <w:highlight w:val="none"/>
                <w:lang w:val="en-US" w:eastAsia="zh-CN"/>
              </w:rPr>
              <w:t>每</w:t>
            </w:r>
            <w:r>
              <w:rPr>
                <w:rFonts w:hint="eastAsia"/>
                <w:color w:val="auto"/>
                <w:szCs w:val="21"/>
                <w:highlight w:val="none"/>
              </w:rPr>
              <w:t>项最多得</w:t>
            </w:r>
            <w:r>
              <w:rPr>
                <w:rFonts w:hint="eastAsia"/>
                <w:color w:val="auto"/>
                <w:szCs w:val="21"/>
                <w:highlight w:val="none"/>
                <w:lang w:val="en-US" w:eastAsia="zh-CN"/>
              </w:rPr>
              <w:t>0.5</w:t>
            </w:r>
            <w:r>
              <w:rPr>
                <w:rFonts w:hint="eastAsia"/>
                <w:color w:val="auto"/>
                <w:szCs w:val="21"/>
                <w:highlight w:val="none"/>
              </w:rPr>
              <w:t>分，未提供现场演示者不得</w:t>
            </w:r>
            <w:r>
              <w:rPr>
                <w:rFonts w:hint="eastAsia"/>
                <w:color w:val="auto"/>
                <w:szCs w:val="21"/>
                <w:highlight w:val="none"/>
                <w:lang w:val="en-US" w:eastAsia="zh-CN"/>
              </w:rPr>
              <w:t>分。</w:t>
            </w:r>
          </w:p>
          <w:p w14:paraId="67E6C9C8">
            <w:pPr>
              <w:rPr>
                <w:rFonts w:hint="eastAsia"/>
                <w:color w:val="auto"/>
                <w:highlight w:val="none"/>
                <w:lang w:val="en-US" w:eastAsia="zh-CN"/>
              </w:rPr>
            </w:pPr>
            <w:r>
              <w:rPr>
                <w:rFonts w:hint="eastAsia"/>
                <w:color w:val="auto"/>
                <w:highlight w:val="none"/>
                <w:lang w:val="en-US" w:eastAsia="zh-CN"/>
              </w:rPr>
              <w:t>（1）专业培养方案学业节点与学业路径设置，可设置年级专业不同学业节点要求，可设置年级专业学业路径，学业路径可根据不同标签进行分类设置，不同学业路径下面可设置不同的培养方案要求，可复制继承年级专业学业路径或学业节点。（分值：</w:t>
            </w:r>
            <w:r>
              <w:rPr>
                <w:rFonts w:hint="eastAsia" w:cs="仿宋_GB2312" w:asciiTheme="minorEastAsia" w:hAnsiTheme="minorEastAsia" w:eastAsiaTheme="minorEastAsia"/>
                <w:color w:val="auto"/>
                <w:sz w:val="21"/>
                <w:szCs w:val="21"/>
                <w:highlight w:val="none"/>
                <w:lang w:val="en-US" w:eastAsia="zh-CN"/>
              </w:rPr>
              <w:t>2</w:t>
            </w:r>
            <w:r>
              <w:rPr>
                <w:rFonts w:hint="default" w:cs="仿宋_GB2312" w:asciiTheme="minorEastAsia" w:hAnsiTheme="minorEastAsia" w:eastAsiaTheme="minorEastAsia"/>
                <w:color w:val="auto"/>
                <w:sz w:val="21"/>
                <w:szCs w:val="21"/>
                <w:highlight w:val="none"/>
                <w:lang w:val="en-US" w:eastAsia="zh-CN"/>
              </w:rPr>
              <w:t>,</w:t>
            </w:r>
            <w:r>
              <w:rPr>
                <w:rFonts w:hint="eastAsia" w:cs="仿宋_GB2312" w:asciiTheme="minorEastAsia" w:hAnsiTheme="minorEastAsia" w:eastAsiaTheme="minorEastAsia"/>
                <w:color w:val="auto"/>
                <w:sz w:val="21"/>
                <w:szCs w:val="21"/>
                <w:highlight w:val="none"/>
                <w:lang w:val="en-US" w:eastAsia="zh-CN"/>
              </w:rPr>
              <w:t>1</w:t>
            </w:r>
            <w:r>
              <w:rPr>
                <w:rFonts w:hint="default" w:cs="仿宋_GB2312" w:asciiTheme="minorEastAsia" w:hAnsiTheme="minorEastAsia" w:eastAsiaTheme="minorEastAsia"/>
                <w:color w:val="auto"/>
                <w:sz w:val="21"/>
                <w:szCs w:val="21"/>
                <w:highlight w:val="none"/>
                <w:lang w:val="en-US" w:eastAsia="zh-CN"/>
              </w:rPr>
              <w:t>,0</w:t>
            </w:r>
            <w:r>
              <w:rPr>
                <w:rFonts w:hint="eastAsia"/>
                <w:color w:val="auto"/>
                <w:highlight w:val="none"/>
                <w:lang w:val="en-US" w:eastAsia="zh-CN"/>
              </w:rPr>
              <w:t>）</w:t>
            </w:r>
          </w:p>
          <w:p w14:paraId="5BFD86BD">
            <w:pPr>
              <w:rPr>
                <w:rFonts w:hint="default"/>
                <w:color w:val="auto"/>
                <w:highlight w:val="none"/>
                <w:lang w:val="en-US" w:eastAsia="zh-CN"/>
              </w:rPr>
            </w:pPr>
            <w:r>
              <w:rPr>
                <w:rFonts w:hint="eastAsia"/>
                <w:color w:val="auto"/>
                <w:highlight w:val="none"/>
                <w:lang w:val="en-US" w:eastAsia="zh-CN"/>
              </w:rPr>
              <w:t>（2）</w:t>
            </w:r>
            <w:r>
              <w:rPr>
                <w:rFonts w:hint="eastAsia" w:ascii="宋体" w:hAnsi="宋体" w:eastAsia="宋体" w:cs="宋体"/>
                <w:i w:val="0"/>
                <w:iCs w:val="0"/>
                <w:color w:val="auto"/>
                <w:kern w:val="0"/>
                <w:sz w:val="21"/>
                <w:szCs w:val="21"/>
                <w:highlight w:val="none"/>
                <w:u w:val="none"/>
                <w:lang w:val="en-US" w:eastAsia="zh-CN" w:bidi="ar"/>
              </w:rPr>
              <w:t>主修专业毕业预审：根据主修专业毕业预审条件，审核当前毕业年份预毕业学生是否符合毕业要求，对不符合要求的标记是哪个条件不符合要求</w:t>
            </w:r>
            <w:r>
              <w:rPr>
                <w:rFonts w:hint="eastAsia"/>
                <w:color w:val="auto"/>
                <w:highlight w:val="none"/>
                <w:lang w:val="en-US" w:eastAsia="zh-CN"/>
              </w:rPr>
              <w:t>。（分值：</w:t>
            </w:r>
            <w:r>
              <w:rPr>
                <w:rFonts w:hint="eastAsia" w:cs="仿宋_GB2312" w:asciiTheme="minorEastAsia" w:hAnsiTheme="minorEastAsia" w:eastAsiaTheme="minorEastAsia"/>
                <w:color w:val="auto"/>
                <w:sz w:val="21"/>
                <w:szCs w:val="21"/>
                <w:highlight w:val="none"/>
                <w:lang w:val="en-US" w:eastAsia="zh-CN"/>
              </w:rPr>
              <w:t>1</w:t>
            </w:r>
            <w:r>
              <w:rPr>
                <w:rFonts w:hint="default" w:cs="仿宋_GB2312" w:asciiTheme="minorEastAsia" w:hAnsiTheme="minorEastAsia" w:eastAsiaTheme="minorEastAsia"/>
                <w:color w:val="auto"/>
                <w:sz w:val="21"/>
                <w:szCs w:val="21"/>
                <w:highlight w:val="none"/>
                <w:lang w:val="en-US" w:eastAsia="zh-CN"/>
              </w:rPr>
              <w:t>,</w:t>
            </w:r>
            <w:r>
              <w:rPr>
                <w:rFonts w:hint="eastAsia" w:cs="仿宋_GB2312" w:asciiTheme="minorEastAsia" w:hAnsiTheme="minorEastAsia" w:eastAsiaTheme="minorEastAsia"/>
                <w:color w:val="auto"/>
                <w:sz w:val="21"/>
                <w:szCs w:val="21"/>
                <w:highlight w:val="none"/>
                <w:lang w:val="en-US" w:eastAsia="zh-CN"/>
              </w:rPr>
              <w:t>0.5</w:t>
            </w:r>
            <w:r>
              <w:rPr>
                <w:rFonts w:hint="default" w:cs="仿宋_GB2312" w:asciiTheme="minorEastAsia" w:hAnsiTheme="minorEastAsia" w:eastAsiaTheme="minorEastAsia"/>
                <w:color w:val="auto"/>
                <w:sz w:val="21"/>
                <w:szCs w:val="21"/>
                <w:highlight w:val="none"/>
                <w:lang w:val="en-US" w:eastAsia="zh-CN"/>
              </w:rPr>
              <w:t>,0</w:t>
            </w:r>
            <w:r>
              <w:rPr>
                <w:rFonts w:hint="eastAsia"/>
                <w:color w:val="auto"/>
                <w:highlight w:val="none"/>
                <w:lang w:val="en-US" w:eastAsia="zh-CN"/>
              </w:rPr>
              <w:t>）</w:t>
            </w:r>
          </w:p>
          <w:p w14:paraId="3685F83E">
            <w:pPr>
              <w:rPr>
                <w:rFonts w:hint="default"/>
                <w:color w:val="auto"/>
                <w:highlight w:val="none"/>
                <w:lang w:val="en-US" w:eastAsia="zh-CN"/>
              </w:rPr>
            </w:pPr>
            <w:r>
              <w:rPr>
                <w:rFonts w:hint="eastAsia"/>
                <w:color w:val="auto"/>
                <w:highlight w:val="none"/>
                <w:lang w:val="en-US" w:eastAsia="zh-CN"/>
              </w:rPr>
              <w:t>（3）管理端学生考试信息查询，可根据学年学期，考试类别，培养层次(本科或研究生)查询学生考试安排情况，包括座位号、考试地点、考试时间等信息，同时可以导出考试安排信息。（分值：</w:t>
            </w:r>
            <w:r>
              <w:rPr>
                <w:rFonts w:hint="eastAsia" w:cs="仿宋_GB2312" w:asciiTheme="minorEastAsia" w:hAnsiTheme="minorEastAsia" w:eastAsiaTheme="minorEastAsia"/>
                <w:color w:val="auto"/>
                <w:sz w:val="21"/>
                <w:szCs w:val="21"/>
                <w:highlight w:val="none"/>
                <w:lang w:val="en-US" w:eastAsia="zh-CN"/>
              </w:rPr>
              <w:t>1</w:t>
            </w:r>
            <w:r>
              <w:rPr>
                <w:rFonts w:hint="default" w:cs="仿宋_GB2312" w:asciiTheme="minorEastAsia" w:hAnsiTheme="minorEastAsia" w:eastAsiaTheme="minorEastAsia"/>
                <w:color w:val="auto"/>
                <w:sz w:val="21"/>
                <w:szCs w:val="21"/>
                <w:highlight w:val="none"/>
                <w:lang w:val="en-US" w:eastAsia="zh-CN"/>
              </w:rPr>
              <w:t>,</w:t>
            </w:r>
            <w:r>
              <w:rPr>
                <w:rFonts w:hint="eastAsia" w:cs="仿宋_GB2312" w:asciiTheme="minorEastAsia" w:hAnsiTheme="minorEastAsia" w:eastAsiaTheme="minorEastAsia"/>
                <w:color w:val="auto"/>
                <w:sz w:val="21"/>
                <w:szCs w:val="21"/>
                <w:highlight w:val="none"/>
                <w:lang w:val="en-US" w:eastAsia="zh-CN"/>
              </w:rPr>
              <w:t>0.5</w:t>
            </w:r>
            <w:r>
              <w:rPr>
                <w:rFonts w:hint="default" w:cs="仿宋_GB2312" w:asciiTheme="minorEastAsia" w:hAnsiTheme="minorEastAsia" w:eastAsiaTheme="minorEastAsia"/>
                <w:color w:val="auto"/>
                <w:sz w:val="21"/>
                <w:szCs w:val="21"/>
                <w:highlight w:val="none"/>
                <w:lang w:val="en-US" w:eastAsia="zh-CN"/>
              </w:rPr>
              <w:t>,0</w:t>
            </w:r>
            <w:r>
              <w:rPr>
                <w:rFonts w:hint="eastAsia"/>
                <w:color w:val="auto"/>
                <w:highlight w:val="none"/>
                <w:lang w:val="en-US" w:eastAsia="zh-CN"/>
              </w:rPr>
              <w:t>）</w:t>
            </w:r>
          </w:p>
          <w:p w14:paraId="1795E1A4">
            <w:pPr>
              <w:rPr>
                <w:rFonts w:hint="default"/>
                <w:color w:val="auto"/>
                <w:highlight w:val="none"/>
                <w:lang w:val="en-US" w:eastAsia="zh-CN"/>
              </w:rPr>
            </w:pPr>
            <w:r>
              <w:rPr>
                <w:rFonts w:hint="eastAsia"/>
                <w:color w:val="auto"/>
                <w:highlight w:val="none"/>
                <w:lang w:val="en-US" w:eastAsia="zh-CN"/>
              </w:rPr>
              <w:t>（4）移动端学生点名，任课教师可通过移动端查询课程学生名单，可关联学生请假信息，同时可根据上课时间，按照日期对学生进行考勤点名签到，同时任课教师可通过移动端课程签到二维码进行考勤签到。（分值：</w:t>
            </w:r>
            <w:r>
              <w:rPr>
                <w:rFonts w:hint="eastAsia" w:cs="仿宋_GB2312" w:asciiTheme="minorEastAsia" w:hAnsiTheme="minorEastAsia" w:eastAsiaTheme="minorEastAsia"/>
                <w:color w:val="auto"/>
                <w:sz w:val="21"/>
                <w:szCs w:val="21"/>
                <w:highlight w:val="none"/>
                <w:lang w:val="en-US" w:eastAsia="zh-CN"/>
              </w:rPr>
              <w:t>2</w:t>
            </w:r>
            <w:r>
              <w:rPr>
                <w:rFonts w:hint="default" w:cs="仿宋_GB2312" w:asciiTheme="minorEastAsia" w:hAnsiTheme="minorEastAsia" w:eastAsiaTheme="minorEastAsia"/>
                <w:color w:val="auto"/>
                <w:sz w:val="21"/>
                <w:szCs w:val="21"/>
                <w:highlight w:val="none"/>
                <w:lang w:val="en-US" w:eastAsia="zh-CN"/>
              </w:rPr>
              <w:t>,</w:t>
            </w:r>
            <w:r>
              <w:rPr>
                <w:rFonts w:hint="eastAsia" w:cs="仿宋_GB2312" w:asciiTheme="minorEastAsia" w:hAnsiTheme="minorEastAsia" w:eastAsiaTheme="minorEastAsia"/>
                <w:color w:val="auto"/>
                <w:sz w:val="21"/>
                <w:szCs w:val="21"/>
                <w:highlight w:val="none"/>
                <w:lang w:val="en-US" w:eastAsia="zh-CN"/>
              </w:rPr>
              <w:t>1</w:t>
            </w:r>
            <w:r>
              <w:rPr>
                <w:rFonts w:hint="default" w:cs="仿宋_GB2312" w:asciiTheme="minorEastAsia" w:hAnsiTheme="minorEastAsia" w:eastAsiaTheme="minorEastAsia"/>
                <w:color w:val="auto"/>
                <w:sz w:val="21"/>
                <w:szCs w:val="21"/>
                <w:highlight w:val="none"/>
                <w:lang w:val="en-US" w:eastAsia="zh-CN"/>
              </w:rPr>
              <w:t>,0</w:t>
            </w:r>
            <w:r>
              <w:rPr>
                <w:rFonts w:hint="eastAsia"/>
                <w:color w:val="auto"/>
                <w:highlight w:val="none"/>
                <w:lang w:val="en-US" w:eastAsia="zh-CN"/>
              </w:rPr>
              <w:t>）</w:t>
            </w:r>
          </w:p>
          <w:p w14:paraId="59480F51">
            <w:pPr>
              <w:rPr>
                <w:rFonts w:hint="default"/>
                <w:color w:val="auto"/>
                <w:highlight w:val="none"/>
                <w:lang w:val="en-US" w:eastAsia="zh-CN"/>
              </w:rPr>
            </w:pPr>
            <w:r>
              <w:rPr>
                <w:rFonts w:hint="eastAsia"/>
                <w:color w:val="auto"/>
                <w:highlight w:val="none"/>
                <w:lang w:val="en-US" w:eastAsia="zh-CN"/>
              </w:rPr>
              <w:t>（5）移动端课表查询，任课教师可根据月份与日期等条件，查询个人课表信息，同时可查询课程介绍等基本信息以及课程教学大纲，教学计划等。（分值：</w:t>
            </w:r>
            <w:r>
              <w:rPr>
                <w:rFonts w:hint="eastAsia" w:cs="仿宋_GB2312" w:asciiTheme="minorEastAsia" w:hAnsiTheme="minorEastAsia" w:eastAsiaTheme="minorEastAsia"/>
                <w:color w:val="auto"/>
                <w:sz w:val="21"/>
                <w:szCs w:val="21"/>
                <w:highlight w:val="none"/>
                <w:lang w:val="en-US" w:eastAsia="zh-CN"/>
              </w:rPr>
              <w:t>2</w:t>
            </w:r>
            <w:r>
              <w:rPr>
                <w:rFonts w:hint="default" w:cs="仿宋_GB2312" w:asciiTheme="minorEastAsia" w:hAnsiTheme="minorEastAsia" w:eastAsiaTheme="minorEastAsia"/>
                <w:color w:val="auto"/>
                <w:sz w:val="21"/>
                <w:szCs w:val="21"/>
                <w:highlight w:val="none"/>
                <w:lang w:val="en-US" w:eastAsia="zh-CN"/>
              </w:rPr>
              <w:t>,</w:t>
            </w:r>
            <w:r>
              <w:rPr>
                <w:rFonts w:hint="eastAsia" w:cs="仿宋_GB2312" w:asciiTheme="minorEastAsia" w:hAnsiTheme="minorEastAsia" w:eastAsiaTheme="minorEastAsia"/>
                <w:color w:val="auto"/>
                <w:sz w:val="21"/>
                <w:szCs w:val="21"/>
                <w:highlight w:val="none"/>
                <w:lang w:val="en-US" w:eastAsia="zh-CN"/>
              </w:rPr>
              <w:t>1</w:t>
            </w:r>
            <w:r>
              <w:rPr>
                <w:rFonts w:hint="default" w:cs="仿宋_GB2312" w:asciiTheme="minorEastAsia" w:hAnsiTheme="minorEastAsia" w:eastAsiaTheme="minorEastAsia"/>
                <w:color w:val="auto"/>
                <w:sz w:val="21"/>
                <w:szCs w:val="21"/>
                <w:highlight w:val="none"/>
                <w:lang w:val="en-US" w:eastAsia="zh-CN"/>
              </w:rPr>
              <w:t>,0</w:t>
            </w:r>
            <w:r>
              <w:rPr>
                <w:rFonts w:hint="eastAsia"/>
                <w:color w:val="auto"/>
                <w:highlight w:val="none"/>
                <w:lang w:val="en-US" w:eastAsia="zh-CN"/>
              </w:rPr>
              <w:t>）</w:t>
            </w:r>
          </w:p>
          <w:p w14:paraId="37B2AB4D">
            <w:pPr>
              <w:rPr>
                <w:rFonts w:hint="default"/>
                <w:color w:val="auto"/>
                <w:highlight w:val="none"/>
                <w:lang w:val="en-US" w:eastAsia="zh-CN"/>
              </w:rPr>
            </w:pPr>
            <w:r>
              <w:rPr>
                <w:rFonts w:hint="eastAsia"/>
                <w:color w:val="auto"/>
                <w:highlight w:val="none"/>
                <w:lang w:val="en-US" w:eastAsia="zh-CN"/>
              </w:rPr>
              <w:t>（6）移动端培养方案查询，管理端可根据年级、专业大类、专业进行培养方案查询。（分值：</w:t>
            </w:r>
            <w:r>
              <w:rPr>
                <w:rFonts w:hint="eastAsia" w:cs="仿宋_GB2312" w:asciiTheme="minorEastAsia" w:hAnsiTheme="minorEastAsia" w:eastAsiaTheme="minorEastAsia"/>
                <w:color w:val="auto"/>
                <w:sz w:val="21"/>
                <w:szCs w:val="21"/>
                <w:highlight w:val="none"/>
                <w:lang w:val="en-US" w:eastAsia="zh-CN"/>
              </w:rPr>
              <w:t>2</w:t>
            </w:r>
            <w:r>
              <w:rPr>
                <w:rFonts w:hint="default" w:cs="仿宋_GB2312" w:asciiTheme="minorEastAsia" w:hAnsiTheme="minorEastAsia" w:eastAsiaTheme="minorEastAsia"/>
                <w:color w:val="auto"/>
                <w:sz w:val="21"/>
                <w:szCs w:val="21"/>
                <w:highlight w:val="none"/>
                <w:lang w:val="en-US" w:eastAsia="zh-CN"/>
              </w:rPr>
              <w:t>,</w:t>
            </w:r>
            <w:r>
              <w:rPr>
                <w:rFonts w:hint="eastAsia" w:cs="仿宋_GB2312" w:asciiTheme="minorEastAsia" w:hAnsiTheme="minorEastAsia" w:eastAsiaTheme="minorEastAsia"/>
                <w:color w:val="auto"/>
                <w:sz w:val="21"/>
                <w:szCs w:val="21"/>
                <w:highlight w:val="none"/>
                <w:lang w:val="en-US" w:eastAsia="zh-CN"/>
              </w:rPr>
              <w:t>1</w:t>
            </w:r>
            <w:r>
              <w:rPr>
                <w:rFonts w:hint="default" w:cs="仿宋_GB2312" w:asciiTheme="minorEastAsia" w:hAnsiTheme="minorEastAsia" w:eastAsiaTheme="minorEastAsia"/>
                <w:color w:val="auto"/>
                <w:sz w:val="21"/>
                <w:szCs w:val="21"/>
                <w:highlight w:val="none"/>
                <w:lang w:val="en-US" w:eastAsia="zh-CN"/>
              </w:rPr>
              <w:t>,0</w:t>
            </w:r>
            <w:r>
              <w:rPr>
                <w:rFonts w:hint="eastAsia"/>
                <w:color w:val="auto"/>
                <w:highlight w:val="none"/>
                <w:lang w:val="en-US" w:eastAsia="zh-CN"/>
              </w:rPr>
              <w:t>）</w:t>
            </w:r>
          </w:p>
          <w:p w14:paraId="2E0F040F">
            <w:pPr>
              <w:numPr>
                <w:ilvl w:val="-1"/>
                <w:numId w:val="0"/>
              </w:numPr>
              <w:snapToGrid/>
              <w:spacing w:line="240" w:lineRule="auto"/>
              <w:ind w:left="0" w:leftChars="0" w:firstLine="0" w:firstLineChars="0"/>
              <w:jc w:val="left"/>
              <w:rPr>
                <w:rFonts w:hint="eastAsia"/>
                <w:color w:val="auto"/>
                <w:highlight w:val="none"/>
                <w:lang w:val="en-US" w:eastAsia="zh-CN"/>
              </w:rPr>
            </w:pPr>
            <w:r>
              <w:rPr>
                <w:rFonts w:hint="eastAsia"/>
                <w:color w:val="auto"/>
                <w:highlight w:val="none"/>
                <w:lang w:val="en-US" w:eastAsia="zh-CN"/>
              </w:rPr>
              <w:t>（7）移动端学生请假申请，学生可在移动端自主进行请假申请，选择请假类型，请假日期以及请假节次等信息，提交请假申请。（分值：</w:t>
            </w:r>
            <w:r>
              <w:rPr>
                <w:rFonts w:hint="eastAsia" w:cs="仿宋_GB2312" w:asciiTheme="minorEastAsia" w:hAnsiTheme="minorEastAsia" w:eastAsiaTheme="minorEastAsia"/>
                <w:color w:val="auto"/>
                <w:sz w:val="21"/>
                <w:szCs w:val="21"/>
                <w:highlight w:val="none"/>
                <w:lang w:val="en-US" w:eastAsia="zh-CN"/>
              </w:rPr>
              <w:t>2</w:t>
            </w:r>
            <w:r>
              <w:rPr>
                <w:rFonts w:hint="default" w:cs="仿宋_GB2312" w:asciiTheme="minorEastAsia" w:hAnsiTheme="minorEastAsia" w:eastAsiaTheme="minorEastAsia"/>
                <w:color w:val="auto"/>
                <w:sz w:val="21"/>
                <w:szCs w:val="21"/>
                <w:highlight w:val="none"/>
                <w:lang w:val="en-US" w:eastAsia="zh-CN"/>
              </w:rPr>
              <w:t>,</w:t>
            </w:r>
            <w:r>
              <w:rPr>
                <w:rFonts w:hint="eastAsia" w:cs="仿宋_GB2312" w:asciiTheme="minorEastAsia" w:hAnsiTheme="minorEastAsia" w:eastAsiaTheme="minorEastAsia"/>
                <w:color w:val="auto"/>
                <w:sz w:val="21"/>
                <w:szCs w:val="21"/>
                <w:highlight w:val="none"/>
                <w:lang w:val="en-US" w:eastAsia="zh-CN"/>
              </w:rPr>
              <w:t>1</w:t>
            </w:r>
            <w:r>
              <w:rPr>
                <w:rFonts w:hint="default" w:cs="仿宋_GB2312" w:asciiTheme="minorEastAsia" w:hAnsiTheme="minorEastAsia" w:eastAsiaTheme="minorEastAsia"/>
                <w:color w:val="auto"/>
                <w:sz w:val="21"/>
                <w:szCs w:val="21"/>
                <w:highlight w:val="none"/>
                <w:lang w:val="en-US" w:eastAsia="zh-CN"/>
              </w:rPr>
              <w:t>,0</w:t>
            </w:r>
            <w:r>
              <w:rPr>
                <w:rFonts w:hint="eastAsia"/>
                <w:color w:val="auto"/>
                <w:highlight w:val="none"/>
                <w:lang w:val="en-US" w:eastAsia="zh-CN"/>
              </w:rPr>
              <w:t>）</w:t>
            </w:r>
          </w:p>
          <w:p w14:paraId="0C33C9B7">
            <w:pPr>
              <w:numPr>
                <w:ilvl w:val="-1"/>
                <w:numId w:val="0"/>
              </w:numPr>
              <w:snapToGrid/>
              <w:spacing w:line="240" w:lineRule="auto"/>
              <w:ind w:left="0" w:leftChars="0" w:firstLine="0" w:firstLineChars="0"/>
              <w:jc w:val="left"/>
              <w:rPr>
                <w:rFonts w:hint="eastAsia"/>
                <w:color w:val="auto"/>
                <w:highlight w:val="none"/>
                <w:lang w:val="en-US" w:eastAsia="zh-CN"/>
              </w:rPr>
            </w:pPr>
            <w:r>
              <w:rPr>
                <w:rFonts w:hint="eastAsia"/>
                <w:color w:val="auto"/>
                <w:highlight w:val="none"/>
                <w:lang w:val="en-US" w:eastAsia="zh-CN"/>
              </w:rPr>
              <w:t>（8）</w:t>
            </w:r>
            <w:r>
              <w:rPr>
                <w:rFonts w:hint="eastAsia" w:ascii="宋体" w:hAnsi="宋体" w:eastAsia="宋体" w:cs="宋体"/>
                <w:i w:val="0"/>
                <w:iCs w:val="0"/>
                <w:color w:val="auto"/>
                <w:kern w:val="0"/>
                <w:sz w:val="21"/>
                <w:szCs w:val="21"/>
                <w:highlight w:val="none"/>
                <w:u w:val="none"/>
                <w:lang w:val="en-US" w:eastAsia="zh-CN" w:bidi="ar"/>
              </w:rPr>
              <w:t>个人信息中心</w:t>
            </w:r>
            <w:r>
              <w:rPr>
                <w:rFonts w:hint="eastAsia" w:ascii="宋体" w:hAnsi="宋体" w:cs="宋体"/>
                <w:i w:val="0"/>
                <w:iCs w:val="0"/>
                <w:color w:val="auto"/>
                <w:kern w:val="0"/>
                <w:sz w:val="21"/>
                <w:szCs w:val="21"/>
                <w:highlight w:val="none"/>
                <w:u w:val="none"/>
                <w:lang w:val="en-US" w:eastAsia="zh-CN" w:bidi="ar"/>
              </w:rPr>
              <w:t>，在个人信息中心可查询学年授课课时情况，教研信息与教研分，教学业绩以及所带研究生或博士生情况</w:t>
            </w:r>
            <w:r>
              <w:rPr>
                <w:rFonts w:hint="eastAsia"/>
                <w:color w:val="auto"/>
                <w:highlight w:val="none"/>
                <w:lang w:val="en-US" w:eastAsia="zh-CN"/>
              </w:rPr>
              <w:t>。（分值：</w:t>
            </w:r>
            <w:r>
              <w:rPr>
                <w:rFonts w:hint="eastAsia" w:cs="仿宋_GB2312" w:asciiTheme="minorEastAsia" w:hAnsiTheme="minorEastAsia" w:eastAsiaTheme="minorEastAsia"/>
                <w:color w:val="auto"/>
                <w:sz w:val="21"/>
                <w:szCs w:val="21"/>
                <w:highlight w:val="none"/>
                <w:lang w:val="en-US" w:eastAsia="zh-CN"/>
              </w:rPr>
              <w:t>2</w:t>
            </w:r>
            <w:r>
              <w:rPr>
                <w:rFonts w:hint="default" w:cs="仿宋_GB2312" w:asciiTheme="minorEastAsia" w:hAnsiTheme="minorEastAsia" w:eastAsiaTheme="minorEastAsia"/>
                <w:color w:val="auto"/>
                <w:sz w:val="21"/>
                <w:szCs w:val="21"/>
                <w:highlight w:val="none"/>
                <w:lang w:val="en-US" w:eastAsia="zh-CN"/>
              </w:rPr>
              <w:t>,</w:t>
            </w:r>
            <w:r>
              <w:rPr>
                <w:rFonts w:hint="eastAsia" w:cs="仿宋_GB2312" w:asciiTheme="minorEastAsia" w:hAnsiTheme="minorEastAsia" w:eastAsiaTheme="minorEastAsia"/>
                <w:color w:val="auto"/>
                <w:sz w:val="21"/>
                <w:szCs w:val="21"/>
                <w:highlight w:val="none"/>
                <w:lang w:val="en-US" w:eastAsia="zh-CN"/>
              </w:rPr>
              <w:t>1</w:t>
            </w:r>
            <w:r>
              <w:rPr>
                <w:rFonts w:hint="default" w:cs="仿宋_GB2312" w:asciiTheme="minorEastAsia" w:hAnsiTheme="minorEastAsia" w:eastAsiaTheme="minorEastAsia"/>
                <w:color w:val="auto"/>
                <w:sz w:val="21"/>
                <w:szCs w:val="21"/>
                <w:highlight w:val="none"/>
                <w:lang w:val="en-US" w:eastAsia="zh-CN"/>
              </w:rPr>
              <w:t>,0</w:t>
            </w:r>
            <w:r>
              <w:rPr>
                <w:rFonts w:hint="eastAsia"/>
                <w:color w:val="auto"/>
                <w:highlight w:val="none"/>
                <w:lang w:val="en-US" w:eastAsia="zh-CN"/>
              </w:rPr>
              <w:t>）</w:t>
            </w:r>
          </w:p>
          <w:p w14:paraId="11ACDD7F">
            <w:pPr>
              <w:numPr>
                <w:ilvl w:val="-1"/>
                <w:numId w:val="0"/>
              </w:numPr>
              <w:snapToGrid/>
              <w:spacing w:line="240" w:lineRule="auto"/>
              <w:ind w:left="0" w:leftChars="0" w:firstLine="0" w:firstLineChars="0"/>
              <w:jc w:val="left"/>
              <w:rPr>
                <w:rFonts w:hint="default"/>
                <w:color w:val="auto"/>
                <w:highlight w:val="none"/>
                <w:lang w:val="en-US" w:eastAsia="zh-CN"/>
              </w:rPr>
            </w:pPr>
            <w:r>
              <w:rPr>
                <w:rFonts w:hint="eastAsia"/>
                <w:color w:val="auto"/>
                <w:highlight w:val="none"/>
                <w:lang w:val="en-US" w:eastAsia="zh-CN"/>
              </w:rPr>
              <w:t>（9）列表列显示功能，在查询列表中可通过列显示功能，进行列表字段是否显示，显示位置，列宽度等进行控制设置，列表内容根据设置进行显示。（分值：</w:t>
            </w:r>
            <w:r>
              <w:rPr>
                <w:rFonts w:hint="eastAsia" w:cs="仿宋_GB2312" w:asciiTheme="minorEastAsia" w:hAnsiTheme="minorEastAsia" w:eastAsiaTheme="minorEastAsia"/>
                <w:color w:val="auto"/>
                <w:sz w:val="21"/>
                <w:szCs w:val="21"/>
                <w:highlight w:val="none"/>
                <w:lang w:val="en-US" w:eastAsia="zh-CN"/>
              </w:rPr>
              <w:t>2</w:t>
            </w:r>
            <w:r>
              <w:rPr>
                <w:rFonts w:hint="default" w:cs="仿宋_GB2312" w:asciiTheme="minorEastAsia" w:hAnsiTheme="minorEastAsia" w:eastAsiaTheme="minorEastAsia"/>
                <w:color w:val="auto"/>
                <w:sz w:val="21"/>
                <w:szCs w:val="21"/>
                <w:highlight w:val="none"/>
                <w:lang w:val="en-US" w:eastAsia="zh-CN"/>
              </w:rPr>
              <w:t>,</w:t>
            </w:r>
            <w:r>
              <w:rPr>
                <w:rFonts w:hint="eastAsia" w:cs="仿宋_GB2312" w:asciiTheme="minorEastAsia" w:hAnsiTheme="minorEastAsia" w:eastAsiaTheme="minorEastAsia"/>
                <w:color w:val="auto"/>
                <w:sz w:val="21"/>
                <w:szCs w:val="21"/>
                <w:highlight w:val="none"/>
                <w:lang w:val="en-US" w:eastAsia="zh-CN"/>
              </w:rPr>
              <w:t>1</w:t>
            </w:r>
            <w:r>
              <w:rPr>
                <w:rFonts w:hint="default" w:cs="仿宋_GB2312" w:asciiTheme="minorEastAsia" w:hAnsiTheme="minorEastAsia" w:eastAsiaTheme="minorEastAsia"/>
                <w:color w:val="auto"/>
                <w:sz w:val="21"/>
                <w:szCs w:val="21"/>
                <w:highlight w:val="none"/>
                <w:lang w:val="en-US" w:eastAsia="zh-CN"/>
              </w:rPr>
              <w:t>,0</w:t>
            </w:r>
            <w:r>
              <w:rPr>
                <w:rFonts w:hint="eastAsia"/>
                <w:color w:val="auto"/>
                <w:highlight w:val="none"/>
                <w:lang w:val="en-US" w:eastAsia="zh-CN"/>
              </w:rPr>
              <w:t>）</w:t>
            </w:r>
          </w:p>
          <w:p w14:paraId="29EBD088">
            <w:pPr>
              <w:numPr>
                <w:ilvl w:val="-1"/>
                <w:numId w:val="0"/>
              </w:numPr>
              <w:snapToGrid/>
              <w:spacing w:line="240" w:lineRule="auto"/>
              <w:ind w:firstLine="0" w:firstLineChars="0"/>
              <w:jc w:val="left"/>
              <w:rPr>
                <w:rFonts w:hint="default" w:ascii="宋体" w:hAnsi="宋体" w:cs="宋体"/>
                <w:color w:val="auto"/>
                <w:kern w:val="2"/>
                <w:szCs w:val="24"/>
                <w:highlight w:val="none"/>
                <w:lang w:val="en-US" w:eastAsia="zh-CN" w:bidi="ar-SA"/>
              </w:rPr>
            </w:pPr>
            <w:r>
              <w:rPr>
                <w:rFonts w:hint="eastAsia"/>
                <w:color w:val="auto"/>
                <w:highlight w:val="none"/>
                <w:lang w:val="en-US" w:eastAsia="zh-CN"/>
              </w:rPr>
              <w:t>（10）数据透视表功能，在查询列表中，查询出数据内容后，可通过数据透视表功能按照单个字段或者组合字段进行筛选过滤，功能参照Excel表中的数据筛选功能。（分值：</w:t>
            </w:r>
            <w:r>
              <w:rPr>
                <w:rFonts w:hint="eastAsia" w:cs="仿宋_GB2312" w:asciiTheme="minorEastAsia" w:hAnsiTheme="minorEastAsia" w:eastAsiaTheme="minorEastAsia"/>
                <w:color w:val="auto"/>
                <w:sz w:val="21"/>
                <w:szCs w:val="21"/>
                <w:highlight w:val="none"/>
                <w:lang w:val="en-US" w:eastAsia="zh-CN"/>
              </w:rPr>
              <w:t>2</w:t>
            </w:r>
            <w:r>
              <w:rPr>
                <w:rFonts w:hint="default" w:cs="仿宋_GB2312" w:asciiTheme="minorEastAsia" w:hAnsiTheme="minorEastAsia" w:eastAsiaTheme="minorEastAsia"/>
                <w:color w:val="auto"/>
                <w:sz w:val="21"/>
                <w:szCs w:val="21"/>
                <w:highlight w:val="none"/>
                <w:lang w:val="en-US" w:eastAsia="zh-CN"/>
              </w:rPr>
              <w:t>,</w:t>
            </w:r>
            <w:r>
              <w:rPr>
                <w:rFonts w:hint="eastAsia" w:cs="仿宋_GB2312" w:asciiTheme="minorEastAsia" w:hAnsiTheme="minorEastAsia" w:eastAsiaTheme="minorEastAsia"/>
                <w:color w:val="auto"/>
                <w:sz w:val="21"/>
                <w:szCs w:val="21"/>
                <w:highlight w:val="none"/>
                <w:lang w:val="en-US" w:eastAsia="zh-CN"/>
              </w:rPr>
              <w:t>1</w:t>
            </w:r>
            <w:r>
              <w:rPr>
                <w:rFonts w:hint="default" w:cs="仿宋_GB2312" w:asciiTheme="minorEastAsia" w:hAnsiTheme="minorEastAsia" w:eastAsiaTheme="minorEastAsia"/>
                <w:color w:val="auto"/>
                <w:sz w:val="21"/>
                <w:szCs w:val="21"/>
                <w:highlight w:val="none"/>
                <w:lang w:val="en-US" w:eastAsia="zh-CN"/>
              </w:rPr>
              <w:t>,0</w:t>
            </w:r>
            <w:r>
              <w:rPr>
                <w:rFonts w:hint="eastAsia"/>
                <w:color w:val="auto"/>
                <w:highlight w:val="none"/>
                <w:lang w:val="en-US" w:eastAsia="zh-CN"/>
              </w:rPr>
              <w:t>）</w:t>
            </w:r>
          </w:p>
        </w:tc>
        <w:tc>
          <w:tcPr>
            <w:tcW w:w="792" w:type="dxa"/>
            <w:vAlign w:val="center"/>
          </w:tcPr>
          <w:p w14:paraId="3E4DC51E">
            <w:pPr>
              <w:snapToGrid w:val="0"/>
              <w:spacing w:line="240" w:lineRule="auto"/>
              <w:jc w:val="center"/>
              <w:rPr>
                <w:rFonts w:hint="default" w:cs="仿宋_GB2312" w:asciiTheme="minorEastAsia" w:hAnsiTheme="minorEastAsia" w:eastAsiaTheme="minorEastAsia"/>
                <w:b w:val="0"/>
                <w:bCs w:val="0"/>
                <w:color w:val="auto"/>
                <w:sz w:val="21"/>
                <w:szCs w:val="21"/>
                <w:highlight w:val="none"/>
                <w:lang w:val="en-US" w:eastAsia="zh-CN"/>
              </w:rPr>
            </w:pPr>
            <w:r>
              <w:rPr>
                <w:rFonts w:hint="eastAsia" w:cs="仿宋_GB2312" w:asciiTheme="minorEastAsia" w:hAnsiTheme="minorEastAsia" w:eastAsiaTheme="minorEastAsia"/>
                <w:b w:val="0"/>
                <w:bCs w:val="0"/>
                <w:color w:val="auto"/>
                <w:sz w:val="21"/>
                <w:szCs w:val="21"/>
                <w:highlight w:val="none"/>
                <w:lang w:val="en-US" w:eastAsia="zh-CN"/>
              </w:rPr>
              <w:t>18</w:t>
            </w:r>
          </w:p>
        </w:tc>
        <w:tc>
          <w:tcPr>
            <w:tcW w:w="900" w:type="dxa"/>
            <w:vAlign w:val="center"/>
          </w:tcPr>
          <w:p w14:paraId="15195213">
            <w:pPr>
              <w:snapToGrid w:val="0"/>
              <w:jc w:val="center"/>
              <w:rPr>
                <w:color w:val="auto"/>
                <w:highlight w:val="none"/>
              </w:rPr>
            </w:pPr>
            <w:r>
              <w:rPr>
                <w:rFonts w:hint="eastAsia" w:cs="仿宋_GB2312" w:asciiTheme="minorEastAsia" w:hAnsiTheme="minorEastAsia" w:eastAsiaTheme="minorEastAsia"/>
                <w:color w:val="auto"/>
                <w:sz w:val="21"/>
                <w:szCs w:val="21"/>
                <w:highlight w:val="none"/>
                <w:lang w:val="en-US" w:eastAsia="zh-CN"/>
              </w:rPr>
              <w:t>主观分</w:t>
            </w:r>
          </w:p>
        </w:tc>
        <w:tc>
          <w:tcPr>
            <w:tcW w:w="1495" w:type="dxa"/>
            <w:vAlign w:val="center"/>
          </w:tcPr>
          <w:p w14:paraId="33F5985F">
            <w:pPr>
              <w:snapToGrid w:val="0"/>
              <w:spacing w:line="240" w:lineRule="auto"/>
              <w:jc w:val="center"/>
              <w:rPr>
                <w:rFonts w:cs="仿宋_GB2312" w:asciiTheme="minorEastAsia" w:hAnsiTheme="minorEastAsia" w:eastAsiaTheme="minorEastAsia"/>
                <w:b w:val="0"/>
                <w:bCs w:val="0"/>
                <w:color w:val="auto"/>
                <w:sz w:val="21"/>
                <w:szCs w:val="21"/>
                <w:highlight w:val="none"/>
              </w:rPr>
            </w:pPr>
          </w:p>
        </w:tc>
      </w:tr>
      <w:tr w14:paraId="6F89D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20414FC">
            <w:pPr>
              <w:snapToGrid w:val="0"/>
              <w:spacing w:line="240" w:lineRule="auto"/>
              <w:jc w:val="center"/>
              <w:rPr>
                <w:rFonts w:hint="default" w:cs="仿宋_GB2312" w:asciiTheme="minorEastAsia" w:hAnsiTheme="minorEastAsia" w:eastAsiaTheme="minorEastAsia"/>
                <w:color w:val="auto"/>
                <w:sz w:val="21"/>
                <w:szCs w:val="21"/>
                <w:highlight w:val="none"/>
                <w:lang w:val="en-US" w:eastAsia="zh-CN"/>
              </w:rPr>
            </w:pPr>
            <w:r>
              <w:rPr>
                <w:rFonts w:hint="eastAsia" w:cs="仿宋_GB2312" w:asciiTheme="minorEastAsia" w:hAnsiTheme="minorEastAsia" w:eastAsiaTheme="minorEastAsia"/>
                <w:color w:val="auto"/>
                <w:sz w:val="21"/>
                <w:szCs w:val="21"/>
                <w:highlight w:val="none"/>
                <w:lang w:val="en-US" w:eastAsia="zh-CN"/>
              </w:rPr>
              <w:t>13</w:t>
            </w:r>
          </w:p>
        </w:tc>
        <w:tc>
          <w:tcPr>
            <w:tcW w:w="5292" w:type="dxa"/>
          </w:tcPr>
          <w:p w14:paraId="347B750D">
            <w:pPr>
              <w:spacing w:line="240" w:lineRule="auto"/>
              <w:outlineLvl w:val="0"/>
              <w:rPr>
                <w:rFonts w:cs="仿宋_GB2312" w:asciiTheme="minorEastAsia" w:hAnsiTheme="minorEastAsia" w:eastAsiaTheme="minorEastAsia"/>
                <w:color w:val="auto"/>
                <w:sz w:val="21"/>
                <w:szCs w:val="21"/>
                <w:highlight w:val="none"/>
              </w:rPr>
            </w:pPr>
            <w:r>
              <w:rPr>
                <w:rFonts w:hint="eastAsia" w:cs="仿宋_GB2312" w:asciiTheme="minorEastAsia" w:hAnsiTheme="minorEastAsia" w:eastAsiaTheme="minorEastAsia"/>
                <w:color w:val="auto"/>
                <w:sz w:val="21"/>
                <w:szCs w:val="21"/>
                <w:highlight w:val="none"/>
              </w:rPr>
              <w:t>有效投标报价的最低价作为评标基准价，其最低报价为满分；按［投标报价得分</w:t>
            </w:r>
            <w:r>
              <w:rPr>
                <w:rFonts w:cs="仿宋_GB2312" w:asciiTheme="minorEastAsia" w:hAnsiTheme="minorEastAsia" w:eastAsiaTheme="minorEastAsia"/>
                <w:color w:val="auto"/>
                <w:sz w:val="21"/>
                <w:szCs w:val="21"/>
                <w:highlight w:val="none"/>
              </w:rPr>
              <w:t>=（评标基准价/投标报价）*</w:t>
            </w:r>
            <w:r>
              <w:rPr>
                <w:rFonts w:hint="eastAsia" w:cs="仿宋_GB2312" w:asciiTheme="minorEastAsia" w:hAnsiTheme="minorEastAsia" w:eastAsiaTheme="minorEastAsia"/>
                <w:color w:val="auto"/>
                <w:sz w:val="21"/>
                <w:szCs w:val="21"/>
                <w:highlight w:val="none"/>
                <w:lang w:val="en-US" w:eastAsia="zh-CN"/>
              </w:rPr>
              <w:t>10</w:t>
            </w:r>
            <w:r>
              <w:rPr>
                <w:rFonts w:cs="仿宋_GB2312" w:asciiTheme="minorEastAsia" w:hAnsiTheme="minorEastAsia" w:eastAsiaTheme="minorEastAsia"/>
                <w:color w:val="auto"/>
                <w:sz w:val="21"/>
                <w:szCs w:val="21"/>
                <w:highlight w:val="none"/>
              </w:rPr>
              <w:t>］的计算公式计算。</w:t>
            </w:r>
          </w:p>
          <w:p w14:paraId="6C25BDB8">
            <w:pPr>
              <w:widowControl/>
              <w:shd w:val="clear" w:color="auto" w:fill="FFFFFF"/>
              <w:adjustRightInd/>
              <w:spacing w:after="225" w:line="240" w:lineRule="auto"/>
              <w:ind w:firstLine="420"/>
              <w:jc w:val="left"/>
              <w:rPr>
                <w:rFonts w:cs="仿宋_GB2312" w:asciiTheme="minorEastAsia" w:hAnsiTheme="minorEastAsia" w:eastAsiaTheme="minorEastAsia"/>
                <w:color w:val="auto"/>
                <w:sz w:val="21"/>
                <w:szCs w:val="21"/>
                <w:highlight w:val="none"/>
              </w:rPr>
            </w:pPr>
            <w:r>
              <w:rPr>
                <w:rFonts w:cs="仿宋_GB2312" w:asciiTheme="minorEastAsia" w:hAnsiTheme="minorEastAsia" w:eastAsiaTheme="minorEastAsia"/>
                <w:color w:val="auto"/>
                <w:sz w:val="21"/>
                <w:szCs w:val="21"/>
                <w:highlight w:val="none"/>
              </w:rPr>
              <w:t>评标过程中，不得去掉报价中的最高报价和最低报价。</w:t>
            </w:r>
          </w:p>
          <w:p w14:paraId="23D3B4B0">
            <w:pPr>
              <w:widowControl/>
              <w:shd w:val="clear" w:color="auto" w:fill="FFFFFF"/>
              <w:adjustRightInd/>
              <w:spacing w:after="225" w:line="240" w:lineRule="auto"/>
              <w:ind w:firstLine="420"/>
              <w:jc w:val="left"/>
              <w:rPr>
                <w:rFonts w:asciiTheme="minorEastAsia" w:hAnsiTheme="minorEastAsia" w:eastAsiaTheme="minorEastAsia"/>
                <w:color w:val="auto"/>
                <w:sz w:val="21"/>
                <w:szCs w:val="21"/>
                <w:highlight w:val="none"/>
              </w:rPr>
            </w:pPr>
            <w:r>
              <w:rPr>
                <w:rFonts w:hint="eastAsia" w:cs="仿宋_GB2312" w:asciiTheme="minorEastAsia" w:hAnsiTheme="minorEastAsia" w:eastAsiaTheme="minorEastAsia"/>
                <w:color w:val="auto"/>
                <w:sz w:val="21"/>
                <w:szCs w:val="21"/>
                <w:highlight w:val="none"/>
              </w:rPr>
              <w:t>对于未预留份额专门面向中小企业的政府采购服务项目，以及预留份额政府采购服务项目中的非预留部分标项，对小型和微型企业的投标报价给予</w:t>
            </w:r>
            <w:r>
              <w:rPr>
                <w:rFonts w:hint="eastAsia" w:cs="仿宋_GB2312" w:asciiTheme="minorEastAsia" w:hAnsiTheme="minorEastAsia" w:eastAsiaTheme="minorEastAsia"/>
                <w:color w:val="auto"/>
                <w:sz w:val="21"/>
                <w:szCs w:val="21"/>
                <w:highlight w:val="none"/>
                <w:lang w:val="en-US" w:eastAsia="zh-CN"/>
              </w:rPr>
              <w:t>10</w:t>
            </w:r>
            <w:r>
              <w:rPr>
                <w:rFonts w:hint="eastAsia" w:cs="仿宋_GB2312" w:asciiTheme="minorEastAsia" w:hAnsiTheme="minorEastAsia" w:eastAsiaTheme="minorEastAsia"/>
                <w:color w:val="auto"/>
                <w:sz w:val="21"/>
                <w:szCs w:val="21"/>
                <w:highlight w:val="none"/>
              </w:rPr>
              <w:t>%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w:t>
            </w:r>
            <w:r>
              <w:rPr>
                <w:rFonts w:hint="eastAsia" w:cs="仿宋_GB2312" w:asciiTheme="minorEastAsia" w:hAnsiTheme="minorEastAsia" w:eastAsiaTheme="minorEastAsia"/>
                <w:color w:val="auto"/>
                <w:sz w:val="21"/>
                <w:szCs w:val="21"/>
                <w:highlight w:val="none"/>
                <w:lang w:val="en-US" w:eastAsia="zh-CN"/>
              </w:rPr>
              <w:t>4</w:t>
            </w:r>
            <w:r>
              <w:rPr>
                <w:rFonts w:hint="eastAsia" w:cs="仿宋_GB2312" w:asciiTheme="minorEastAsia" w:hAnsiTheme="minorEastAsia" w:eastAsiaTheme="minorEastAsia"/>
                <w:color w:val="auto"/>
                <w:sz w:val="21"/>
                <w:szCs w:val="21"/>
                <w:highlight w:val="none"/>
              </w:rPr>
              <w:t>%的扣除，用扣除后的价格参加评审</w:t>
            </w:r>
            <w:r>
              <w:rPr>
                <w:rFonts w:cs="仿宋_GB2312" w:asciiTheme="minorEastAsia" w:hAnsiTheme="minorEastAsia" w:eastAsiaTheme="minorEastAsia"/>
                <w:color w:val="auto"/>
                <w:sz w:val="21"/>
                <w:szCs w:val="21"/>
                <w:highlight w:val="none"/>
              </w:rPr>
              <w:t>。</w:t>
            </w:r>
          </w:p>
        </w:tc>
        <w:tc>
          <w:tcPr>
            <w:tcW w:w="792" w:type="dxa"/>
            <w:vAlign w:val="center"/>
          </w:tcPr>
          <w:p w14:paraId="5E5C311C">
            <w:pPr>
              <w:spacing w:line="240" w:lineRule="auto"/>
              <w:jc w:val="center"/>
              <w:outlineLvl w:val="0"/>
              <w:rPr>
                <w:rFonts w:hint="default" w:cs="仿宋_GB2312" w:asciiTheme="minorEastAsia" w:hAnsiTheme="minorEastAsia" w:eastAsiaTheme="minorEastAsia"/>
                <w:color w:val="auto"/>
                <w:sz w:val="21"/>
                <w:szCs w:val="21"/>
                <w:highlight w:val="none"/>
                <w:lang w:val="en-US" w:eastAsia="zh-CN"/>
              </w:rPr>
            </w:pPr>
            <w:r>
              <w:rPr>
                <w:rFonts w:hint="eastAsia" w:cs="仿宋_GB2312" w:asciiTheme="minorEastAsia" w:hAnsiTheme="minorEastAsia" w:eastAsiaTheme="minorEastAsia"/>
                <w:color w:val="auto"/>
                <w:sz w:val="21"/>
                <w:szCs w:val="21"/>
                <w:highlight w:val="none"/>
                <w:lang w:val="en-US" w:eastAsia="zh-CN"/>
              </w:rPr>
              <w:t>10</w:t>
            </w:r>
          </w:p>
        </w:tc>
        <w:tc>
          <w:tcPr>
            <w:tcW w:w="900" w:type="dxa"/>
            <w:vAlign w:val="center"/>
          </w:tcPr>
          <w:p w14:paraId="4C7E6A4B">
            <w:pPr>
              <w:spacing w:line="240" w:lineRule="auto"/>
              <w:jc w:val="center"/>
              <w:outlineLvl w:val="0"/>
              <w:rPr>
                <w:rFonts w:hint="eastAsia" w:cs="仿宋_GB2312" w:asciiTheme="minorEastAsia" w:hAnsiTheme="minorEastAsia" w:eastAsiaTheme="minorEastAsia"/>
                <w:color w:val="auto"/>
                <w:sz w:val="21"/>
                <w:szCs w:val="21"/>
                <w:highlight w:val="none"/>
                <w:lang w:val="en-US" w:eastAsia="zh-CN"/>
              </w:rPr>
            </w:pPr>
            <w:r>
              <w:rPr>
                <w:rFonts w:hint="eastAsia" w:cs="仿宋_GB2312" w:asciiTheme="minorEastAsia" w:hAnsiTheme="minorEastAsia" w:eastAsiaTheme="minorEastAsia"/>
                <w:color w:val="auto"/>
                <w:sz w:val="21"/>
                <w:szCs w:val="21"/>
                <w:highlight w:val="none"/>
                <w:lang w:val="en-US" w:eastAsia="zh-CN"/>
              </w:rPr>
              <w:t>客观分</w:t>
            </w:r>
          </w:p>
        </w:tc>
        <w:tc>
          <w:tcPr>
            <w:tcW w:w="1495" w:type="dxa"/>
            <w:vAlign w:val="center"/>
          </w:tcPr>
          <w:p w14:paraId="47373B00">
            <w:pPr>
              <w:spacing w:line="240" w:lineRule="auto"/>
              <w:jc w:val="center"/>
              <w:outlineLvl w:val="0"/>
              <w:rPr>
                <w:rFonts w:cs="仿宋_GB2312" w:asciiTheme="minorEastAsia" w:hAnsiTheme="minorEastAsia" w:eastAsiaTheme="minorEastAsia"/>
                <w:color w:val="auto"/>
                <w:sz w:val="21"/>
                <w:szCs w:val="21"/>
                <w:highlight w:val="none"/>
              </w:rPr>
            </w:pPr>
            <w:r>
              <w:rPr>
                <w:rFonts w:cs="仿宋_GB2312" w:asciiTheme="minorEastAsia" w:hAnsiTheme="minorEastAsia" w:eastAsiaTheme="minorEastAsia"/>
                <w:color w:val="auto"/>
                <w:sz w:val="21"/>
                <w:szCs w:val="21"/>
                <w:highlight w:val="none"/>
              </w:rPr>
              <w:t>/</w:t>
            </w:r>
          </w:p>
        </w:tc>
      </w:tr>
    </w:tbl>
    <w:p w14:paraId="02CB6648">
      <w:pPr>
        <w:snapToGrid w:val="0"/>
        <w:spacing w:line="360" w:lineRule="auto"/>
        <w:jc w:val="center"/>
        <w:rPr>
          <w:rFonts w:ascii="宋体" w:hAnsi="宋体" w:cs="宋体"/>
          <w:b/>
          <w:color w:val="auto"/>
          <w:sz w:val="32"/>
          <w:szCs w:val="20"/>
          <w:highlight w:val="none"/>
        </w:rPr>
      </w:pPr>
    </w:p>
    <w:p w14:paraId="7E7F28FB">
      <w:pPr>
        <w:pageBreakBefore w:val="0"/>
        <w:kinsoku/>
        <w:wordWrap/>
        <w:overflowPunct/>
        <w:topLinePunct w:val="0"/>
        <w:bidi w:val="0"/>
        <w:adjustRightInd w:val="0"/>
        <w:snapToGrid w:val="0"/>
        <w:spacing w:line="360" w:lineRule="auto"/>
        <w:textAlignment w:val="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shd w:val="clear" w:color="auto" w:fill="FFFFFF"/>
        </w:rPr>
        <w:t> *</w:t>
      </w:r>
      <w:r>
        <w:rPr>
          <w:rFonts w:hint="eastAsia" w:ascii="宋体" w:hAnsi="宋体" w:eastAsia="宋体" w:cs="宋体"/>
          <w:b/>
          <w:color w:val="auto"/>
          <w:sz w:val="24"/>
          <w:szCs w:val="24"/>
          <w:highlight w:val="none"/>
        </w:rPr>
        <w:t>备注：</w:t>
      </w:r>
      <w:r>
        <w:rPr>
          <w:rFonts w:hint="eastAsia" w:ascii="宋体" w:hAnsi="宋体" w:eastAsia="宋体" w:cs="宋体"/>
          <w:color w:val="auto"/>
          <w:sz w:val="24"/>
          <w:szCs w:val="24"/>
          <w:highlight w:val="none"/>
        </w:rPr>
        <w:t>投标人编制投标文件（商务技术文件部分）时，建议按此目录（序号和内容）提供评标标准相应的商务技术资料。 </w:t>
      </w:r>
    </w:p>
    <w:p w14:paraId="74890D8E">
      <w:pPr>
        <w:pageBreakBefore w:val="0"/>
        <w:kinsoku/>
        <w:wordWrap/>
        <w:overflowPunct/>
        <w:topLinePunct w:val="0"/>
        <w:bidi w:val="0"/>
        <w:adjustRightInd w:val="0"/>
        <w:snapToGrid w:val="0"/>
        <w:spacing w:line="360" w:lineRule="auto"/>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一、评标方法</w:t>
      </w:r>
    </w:p>
    <w:p w14:paraId="60FFBC02">
      <w:pPr>
        <w:pageBreakBefore w:val="0"/>
        <w:kinsoku/>
        <w:wordWrap/>
        <w:overflowPunct/>
        <w:topLinePunct w:val="0"/>
        <w:bidi w:val="0"/>
        <w:adjustRightInd w:val="0"/>
        <w:snapToGrid w:val="0"/>
        <w:spacing w:line="360" w:lineRule="auto"/>
        <w:ind w:firstLine="472" w:firstLineChars="196"/>
        <w:textAlignment w:val="auto"/>
        <w:rPr>
          <w:rFonts w:hint="eastAsia" w:ascii="宋体" w:hAnsi="宋体" w:eastAsia="宋体" w:cs="宋体"/>
          <w:color w:val="auto"/>
          <w:kern w:val="0"/>
          <w:sz w:val="24"/>
          <w:szCs w:val="24"/>
          <w:highlight w:val="none"/>
        </w:rPr>
      </w:pPr>
      <w:r>
        <w:rPr>
          <w:rFonts w:hint="eastAsia" w:ascii="宋体" w:hAnsi="宋体" w:eastAsia="宋体" w:cs="宋体"/>
          <w:b/>
          <w:color w:val="auto"/>
          <w:kern w:val="0"/>
          <w:sz w:val="24"/>
          <w:szCs w:val="24"/>
          <w:highlight w:val="none"/>
        </w:rPr>
        <w:t>1.本项目采用综合评分法。</w:t>
      </w:r>
      <w:r>
        <w:rPr>
          <w:rFonts w:hint="eastAsia" w:ascii="宋体" w:hAnsi="宋体" w:eastAsia="宋体" w:cs="宋体"/>
          <w:color w:val="auto"/>
          <w:kern w:val="0"/>
          <w:sz w:val="24"/>
          <w:szCs w:val="24"/>
          <w:highlight w:val="none"/>
        </w:rPr>
        <w:t>综合评分法，是指投标文件满足招标文件全部实质性要求，且按照评审因素的量化指标评审得分最高的投标人为中标候选人的评标方法。</w:t>
      </w:r>
    </w:p>
    <w:p w14:paraId="56E735DF">
      <w:pPr>
        <w:pageBreakBefore w:val="0"/>
        <w:kinsoku/>
        <w:wordWrap/>
        <w:overflowPunct/>
        <w:topLinePunct w:val="0"/>
        <w:bidi w:val="0"/>
        <w:adjustRightInd w:val="0"/>
        <w:snapToGrid w:val="0"/>
        <w:spacing w:line="360" w:lineRule="auto"/>
        <w:textAlignment w:val="auto"/>
        <w:rPr>
          <w:rFonts w:hint="eastAsia" w:ascii="宋体" w:hAnsi="宋体" w:eastAsia="宋体" w:cs="宋体"/>
          <w:color w:val="auto"/>
          <w:kern w:val="0"/>
          <w:sz w:val="24"/>
          <w:szCs w:val="24"/>
          <w:highlight w:val="none"/>
        </w:rPr>
      </w:pPr>
      <w:r>
        <w:rPr>
          <w:rFonts w:hint="eastAsia" w:ascii="宋体" w:hAnsi="宋体" w:eastAsia="宋体" w:cs="宋体"/>
          <w:b/>
          <w:color w:val="auto"/>
          <w:sz w:val="24"/>
          <w:szCs w:val="24"/>
          <w:highlight w:val="none"/>
        </w:rPr>
        <w:t>二、评标标准</w:t>
      </w:r>
    </w:p>
    <w:p w14:paraId="06EF65E8">
      <w:pPr>
        <w:pageBreakBefore w:val="0"/>
        <w:kinsoku/>
        <w:wordWrap/>
        <w:overflowPunct/>
        <w:topLinePunct w:val="0"/>
        <w:bidi w:val="0"/>
        <w:adjustRightInd w:val="0"/>
        <w:snapToGrid w:val="0"/>
        <w:spacing w:line="360" w:lineRule="auto"/>
        <w:ind w:firstLine="472" w:firstLineChars="196"/>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w:t>
      </w:r>
      <w:r>
        <w:rPr>
          <w:rFonts w:hint="eastAsia" w:ascii="宋体" w:hAnsi="宋体" w:eastAsia="宋体" w:cs="宋体"/>
          <w:color w:val="auto"/>
          <w:sz w:val="24"/>
          <w:szCs w:val="24"/>
          <w:highlight w:val="none"/>
        </w:rPr>
        <w:t xml:space="preserve"> </w:t>
      </w:r>
      <w:r>
        <w:rPr>
          <w:rFonts w:hint="eastAsia" w:ascii="宋体" w:hAnsi="宋体" w:eastAsia="宋体" w:cs="宋体"/>
          <w:b/>
          <w:color w:val="auto"/>
          <w:sz w:val="24"/>
          <w:szCs w:val="24"/>
          <w:highlight w:val="none"/>
        </w:rPr>
        <w:t>评标标准：</w:t>
      </w:r>
      <w:r>
        <w:rPr>
          <w:rFonts w:hint="eastAsia" w:ascii="宋体" w:hAnsi="宋体" w:eastAsia="宋体" w:cs="宋体"/>
          <w:color w:val="auto"/>
          <w:kern w:val="0"/>
          <w:sz w:val="24"/>
          <w:szCs w:val="24"/>
          <w:highlight w:val="none"/>
        </w:rPr>
        <w:t>见评标办法前附表。</w:t>
      </w:r>
    </w:p>
    <w:p w14:paraId="5950BA50">
      <w:pPr>
        <w:pageBreakBefore w:val="0"/>
        <w:kinsoku/>
        <w:wordWrap/>
        <w:overflowPunct/>
        <w:topLinePunct w:val="0"/>
        <w:bidi w:val="0"/>
        <w:adjustRightInd w:val="0"/>
        <w:snapToGrid w:val="0"/>
        <w:spacing w:line="360" w:lineRule="auto"/>
        <w:textAlignment w:val="auto"/>
        <w:outlineLvl w:val="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三、评标程序</w:t>
      </w:r>
    </w:p>
    <w:p w14:paraId="45C1917D">
      <w:pPr>
        <w:pageBreakBefore w:val="0"/>
        <w:kinsoku/>
        <w:wordWrap/>
        <w:overflowPunct/>
        <w:topLinePunct w:val="0"/>
        <w:bidi w:val="0"/>
        <w:adjustRightInd w:val="0"/>
        <w:snapToGrid w:val="0"/>
        <w:spacing w:line="360" w:lineRule="auto"/>
        <w:ind w:firstLine="472" w:firstLineChars="196"/>
        <w:textAlignment w:val="auto"/>
        <w:rPr>
          <w:rFonts w:hint="eastAsia" w:ascii="宋体" w:hAnsi="宋体" w:eastAsia="宋体" w:cs="宋体"/>
          <w:color w:val="auto"/>
          <w:kern w:val="0"/>
          <w:sz w:val="24"/>
          <w:szCs w:val="24"/>
          <w:highlight w:val="none"/>
        </w:rPr>
      </w:pPr>
      <w:r>
        <w:rPr>
          <w:rFonts w:hint="eastAsia" w:ascii="宋体" w:hAnsi="宋体" w:eastAsia="宋体" w:cs="宋体"/>
          <w:b/>
          <w:color w:val="auto"/>
          <w:kern w:val="0"/>
          <w:sz w:val="24"/>
          <w:szCs w:val="24"/>
          <w:highlight w:val="none"/>
        </w:rPr>
        <w:t>3.1符合性审查。</w:t>
      </w:r>
      <w:r>
        <w:rPr>
          <w:rFonts w:hint="eastAsia" w:ascii="宋体" w:hAnsi="宋体" w:eastAsia="宋体" w:cs="宋体"/>
          <w:color w:val="auto"/>
          <w:kern w:val="0"/>
          <w:sz w:val="24"/>
          <w:szCs w:val="24"/>
          <w:highlight w:val="none"/>
        </w:rPr>
        <w:t>评标委员会应当对符合资格的投标人的投标文件进行符合性审查，以确定其是否满足招标文件的实质性要求。不满足招标文件的实质性要求的，投标无效。</w:t>
      </w:r>
    </w:p>
    <w:p w14:paraId="322CB4AE">
      <w:pPr>
        <w:pageBreakBefore w:val="0"/>
        <w:kinsoku/>
        <w:wordWrap/>
        <w:overflowPunct/>
        <w:topLinePunct w:val="0"/>
        <w:bidi w:val="0"/>
        <w:adjustRightInd w:val="0"/>
        <w:snapToGrid w:val="0"/>
        <w:spacing w:line="360" w:lineRule="auto"/>
        <w:ind w:firstLine="472" w:firstLineChars="196"/>
        <w:textAlignment w:val="auto"/>
        <w:rPr>
          <w:rFonts w:hint="eastAsia" w:ascii="宋体" w:hAnsi="宋体" w:eastAsia="宋体" w:cs="宋体"/>
          <w:color w:val="auto"/>
          <w:kern w:val="0"/>
          <w:sz w:val="24"/>
          <w:szCs w:val="24"/>
          <w:highlight w:val="none"/>
        </w:rPr>
      </w:pPr>
      <w:r>
        <w:rPr>
          <w:rFonts w:hint="eastAsia" w:ascii="宋体" w:hAnsi="宋体" w:eastAsia="宋体" w:cs="宋体"/>
          <w:b/>
          <w:color w:val="auto"/>
          <w:kern w:val="0"/>
          <w:sz w:val="24"/>
          <w:szCs w:val="24"/>
          <w:highlight w:val="none"/>
        </w:rPr>
        <w:t>3.2 比较与评价。</w:t>
      </w:r>
      <w:r>
        <w:rPr>
          <w:rFonts w:hint="eastAsia" w:ascii="宋体" w:hAnsi="宋体" w:eastAsia="宋体" w:cs="宋体"/>
          <w:color w:val="auto"/>
          <w:kern w:val="0"/>
          <w:sz w:val="24"/>
          <w:szCs w:val="24"/>
          <w:highlight w:val="none"/>
        </w:rPr>
        <w:t>评标委员会应当按照招标文件中规定的评标方法和标准，对符合性审查合格的投标文件进行商务和技术评估，综合比较与评价。</w:t>
      </w:r>
    </w:p>
    <w:p w14:paraId="09B0F3A2">
      <w:pPr>
        <w:pageBreakBefore w:val="0"/>
        <w:kinsoku/>
        <w:wordWrap/>
        <w:overflowPunct/>
        <w:topLinePunct w:val="0"/>
        <w:bidi w:val="0"/>
        <w:adjustRightInd w:val="0"/>
        <w:snapToGrid w:val="0"/>
        <w:spacing w:line="360" w:lineRule="auto"/>
        <w:ind w:firstLine="472" w:firstLineChars="196"/>
        <w:textAlignment w:val="auto"/>
        <w:rPr>
          <w:rFonts w:hint="eastAsia" w:ascii="宋体" w:hAnsi="宋体" w:eastAsia="宋体" w:cs="宋体"/>
          <w:color w:val="auto"/>
          <w:kern w:val="0"/>
          <w:sz w:val="24"/>
          <w:szCs w:val="24"/>
          <w:highlight w:val="none"/>
        </w:rPr>
      </w:pPr>
      <w:r>
        <w:rPr>
          <w:rFonts w:hint="eastAsia" w:ascii="宋体" w:hAnsi="宋体" w:eastAsia="宋体" w:cs="宋体"/>
          <w:b/>
          <w:color w:val="auto"/>
          <w:kern w:val="0"/>
          <w:sz w:val="24"/>
          <w:szCs w:val="24"/>
          <w:highlight w:val="none"/>
        </w:rPr>
        <w:t>3.3汇总商务技术得分。</w:t>
      </w:r>
      <w:r>
        <w:rPr>
          <w:rFonts w:hint="eastAsia" w:ascii="宋体" w:hAnsi="宋体" w:eastAsia="宋体" w:cs="宋体"/>
          <w:color w:val="auto"/>
          <w:kern w:val="0"/>
          <w:sz w:val="24"/>
          <w:szCs w:val="24"/>
          <w:highlight w:val="none"/>
        </w:rPr>
        <w:t>评标委员会各成员应当独立对每个投标人的商务和技术文件进行评价，并汇总商务技术得分情况。</w:t>
      </w:r>
    </w:p>
    <w:p w14:paraId="08EDB861">
      <w:pPr>
        <w:pageBreakBefore w:val="0"/>
        <w:kinsoku/>
        <w:wordWrap/>
        <w:overflowPunct/>
        <w:topLinePunct w:val="0"/>
        <w:bidi w:val="0"/>
        <w:adjustRightInd w:val="0"/>
        <w:snapToGrid w:val="0"/>
        <w:spacing w:line="360" w:lineRule="auto"/>
        <w:ind w:firstLine="472" w:firstLineChars="196"/>
        <w:textAlignment w:val="auto"/>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3.4报价评审。</w:t>
      </w:r>
    </w:p>
    <w:p w14:paraId="7970E7E6">
      <w:pPr>
        <w:pStyle w:val="123"/>
        <w:pageBreakBefore w:val="0"/>
        <w:kinsoku/>
        <w:wordWrap/>
        <w:overflowPunct/>
        <w:topLinePunct w:val="0"/>
        <w:bidi w:val="0"/>
        <w:adjustRightInd w:val="0"/>
        <w:snapToGrid w:val="0"/>
        <w:spacing w:before="0" w:line="360" w:lineRule="auto"/>
        <w:ind w:firstLine="508" w:firstLineChars="212"/>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3.4.1投标文件报价出现前后不一致的，按照下列规定修正：</w:t>
      </w:r>
    </w:p>
    <w:p w14:paraId="240AEBFC">
      <w:pPr>
        <w:pStyle w:val="123"/>
        <w:pageBreakBefore w:val="0"/>
        <w:kinsoku/>
        <w:wordWrap/>
        <w:overflowPunct/>
        <w:topLinePunct w:val="0"/>
        <w:bidi w:val="0"/>
        <w:adjustRightInd w:val="0"/>
        <w:snapToGrid w:val="0"/>
        <w:spacing w:before="0" w:line="360" w:lineRule="auto"/>
        <w:ind w:firstLine="48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3.4.1.1投标文件中开标一览表(报价表)内容与投标文件中相应内容不一致的，以开标一览表(报价表)为准;</w:t>
      </w:r>
    </w:p>
    <w:p w14:paraId="19D16701">
      <w:pPr>
        <w:pStyle w:val="123"/>
        <w:pageBreakBefore w:val="0"/>
        <w:kinsoku/>
        <w:wordWrap/>
        <w:overflowPunct/>
        <w:topLinePunct w:val="0"/>
        <w:bidi w:val="0"/>
        <w:adjustRightInd w:val="0"/>
        <w:snapToGrid w:val="0"/>
        <w:spacing w:before="0" w:line="360" w:lineRule="auto"/>
        <w:ind w:firstLine="48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3.4.1.2大写金额和小写金额不一致的，以大写金额为准;</w:t>
      </w:r>
    </w:p>
    <w:p w14:paraId="396080AF">
      <w:pPr>
        <w:pStyle w:val="123"/>
        <w:pageBreakBefore w:val="0"/>
        <w:kinsoku/>
        <w:wordWrap/>
        <w:overflowPunct/>
        <w:topLinePunct w:val="0"/>
        <w:bidi w:val="0"/>
        <w:adjustRightInd w:val="0"/>
        <w:snapToGrid w:val="0"/>
        <w:spacing w:before="0" w:line="360" w:lineRule="auto"/>
        <w:ind w:firstLine="48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3.4.1.3单价金额小数点或者百分比有明显错位的，以开标一览表的总价为准，并修改单价;</w:t>
      </w:r>
    </w:p>
    <w:p w14:paraId="17096734">
      <w:pPr>
        <w:pStyle w:val="123"/>
        <w:pageBreakBefore w:val="0"/>
        <w:kinsoku/>
        <w:wordWrap/>
        <w:overflowPunct/>
        <w:topLinePunct w:val="0"/>
        <w:bidi w:val="0"/>
        <w:adjustRightInd w:val="0"/>
        <w:snapToGrid w:val="0"/>
        <w:spacing w:before="0" w:line="360" w:lineRule="auto"/>
        <w:ind w:firstLine="48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3.4.1.4总价金额与按单价汇总金额不一致的，以单价金额计算结果为准。</w:t>
      </w:r>
    </w:p>
    <w:p w14:paraId="2C24D85A">
      <w:pPr>
        <w:pStyle w:val="123"/>
        <w:pageBreakBefore w:val="0"/>
        <w:kinsoku/>
        <w:wordWrap/>
        <w:overflowPunct/>
        <w:topLinePunct w:val="0"/>
        <w:bidi w:val="0"/>
        <w:adjustRightInd w:val="0"/>
        <w:snapToGrid w:val="0"/>
        <w:spacing w:before="0" w:line="360" w:lineRule="auto"/>
        <w:ind w:firstLine="48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3.4.1.5同时出现两种以上不一致的，按照3.4.1规定的顺序修正。修正后的报价按照财政部第87号令 《政府采购货物和服务招标投标管理办法》第五十一条第二款的规定经投标人确认后产生约束力。</w:t>
      </w:r>
    </w:p>
    <w:p w14:paraId="75EF6C10">
      <w:pPr>
        <w:pageBreakBefore w:val="0"/>
        <w:kinsoku/>
        <w:wordWrap/>
        <w:overflowPunct/>
        <w:topLinePunct w:val="0"/>
        <w:bidi w:val="0"/>
        <w:adjustRightInd w:val="0"/>
        <w:snapToGrid w:val="0"/>
        <w:spacing w:line="360" w:lineRule="auto"/>
        <w:ind w:firstLine="482" w:firstLineChars="200"/>
        <w:jc w:val="left"/>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3.4.2投标文件出现不是唯一的、有选择性投标报价的，投标无效。</w:t>
      </w:r>
    </w:p>
    <w:p w14:paraId="7FDBDEA0">
      <w:pPr>
        <w:pageBreakBefore w:val="0"/>
        <w:kinsoku/>
        <w:wordWrap/>
        <w:overflowPunct/>
        <w:topLinePunct w:val="0"/>
        <w:bidi w:val="0"/>
        <w:adjustRightInd w:val="0"/>
        <w:snapToGrid w:val="0"/>
        <w:spacing w:line="360" w:lineRule="auto"/>
        <w:ind w:firstLine="482" w:firstLineChars="200"/>
        <w:jc w:val="left"/>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3.4.3投标报价超过招标文件中规定的预算金额或者最高限价的，投标无效。</w:t>
      </w:r>
    </w:p>
    <w:p w14:paraId="6C9C899A">
      <w:pPr>
        <w:pStyle w:val="123"/>
        <w:pageBreakBefore w:val="0"/>
        <w:kinsoku/>
        <w:wordWrap/>
        <w:overflowPunct/>
        <w:topLinePunct w:val="0"/>
        <w:bidi w:val="0"/>
        <w:adjustRightInd w:val="0"/>
        <w:snapToGrid w:val="0"/>
        <w:spacing w:before="0" w:line="360" w:lineRule="auto"/>
        <w:ind w:firstLine="480"/>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4F540065">
      <w:pPr>
        <w:pStyle w:val="123"/>
        <w:pageBreakBefore w:val="0"/>
        <w:kinsoku/>
        <w:wordWrap/>
        <w:overflowPunct/>
        <w:topLinePunct w:val="0"/>
        <w:bidi w:val="0"/>
        <w:adjustRightInd w:val="0"/>
        <w:snapToGrid w:val="0"/>
        <w:spacing w:before="0" w:line="360" w:lineRule="auto"/>
        <w:ind w:firstLine="48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3.4.5</w:t>
      </w:r>
      <w:r>
        <w:rPr>
          <w:rFonts w:hint="eastAsia" w:ascii="宋体" w:hAnsi="宋体" w:cs="宋体"/>
          <w:color w:val="auto"/>
          <w:kern w:val="0"/>
          <w:szCs w:val="24"/>
          <w:highlight w:val="none"/>
        </w:rPr>
        <w:t>对于未预留份额专门面向中小企业的政府采购服务项目，以及预留份额政府采购服务项目中的非预留部分标项，对小型和微型企业的投标报价给予10%-</w:t>
      </w:r>
      <w:r>
        <w:rPr>
          <w:rFonts w:ascii="宋体" w:hAnsi="宋体" w:cs="宋体"/>
          <w:color w:val="auto"/>
          <w:kern w:val="0"/>
          <w:szCs w:val="24"/>
          <w:highlight w:val="none"/>
        </w:rPr>
        <w:t>20</w:t>
      </w:r>
      <w:r>
        <w:rPr>
          <w:rFonts w:hint="eastAsia" w:ascii="宋体" w:hAnsi="宋体" w:cs="宋体"/>
          <w:color w:val="auto"/>
          <w:kern w:val="0"/>
          <w:szCs w:val="24"/>
          <w:highlight w:val="none"/>
        </w:rPr>
        <w:t>%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w:t>
      </w:r>
      <w:r>
        <w:rPr>
          <w:rFonts w:ascii="宋体" w:hAnsi="宋体" w:cs="宋体"/>
          <w:color w:val="auto"/>
          <w:kern w:val="0"/>
          <w:szCs w:val="24"/>
          <w:highlight w:val="none"/>
        </w:rPr>
        <w:t>6</w:t>
      </w:r>
      <w:r>
        <w:rPr>
          <w:rFonts w:hint="eastAsia" w:ascii="宋体" w:hAnsi="宋体" w:cs="宋体"/>
          <w:color w:val="auto"/>
          <w:kern w:val="0"/>
          <w:szCs w:val="24"/>
          <w:highlight w:val="none"/>
        </w:rPr>
        <w:t>%的扣除，用扣除后的价格参加评审。组成联合体或者接受分包的小微企业与联合体内其他企业、分包企业之间存在直接控股、管理关系的，不享受价格扣除优惠政策</w:t>
      </w:r>
      <w:r>
        <w:rPr>
          <w:rFonts w:hint="eastAsia" w:ascii="宋体" w:hAnsi="宋体" w:eastAsia="宋体" w:cs="宋体"/>
          <w:color w:val="auto"/>
          <w:kern w:val="0"/>
          <w:sz w:val="24"/>
          <w:szCs w:val="24"/>
          <w:highlight w:val="none"/>
        </w:rPr>
        <w:t>。</w:t>
      </w:r>
    </w:p>
    <w:p w14:paraId="5B0724E0">
      <w:pPr>
        <w:pageBreakBefore w:val="0"/>
        <w:kinsoku/>
        <w:wordWrap/>
        <w:overflowPunct/>
        <w:topLinePunct w:val="0"/>
        <w:bidi w:val="0"/>
        <w:adjustRightInd w:val="0"/>
        <w:snapToGrid w:val="0"/>
        <w:spacing w:line="360" w:lineRule="auto"/>
        <w:ind w:firstLine="482" w:firstLineChars="200"/>
        <w:textAlignment w:val="auto"/>
        <w:rPr>
          <w:rFonts w:hint="default" w:ascii="宋体" w:hAnsi="宋体" w:eastAsia="宋体" w:cs="宋体"/>
          <w:color w:val="auto"/>
          <w:kern w:val="0"/>
          <w:sz w:val="24"/>
          <w:szCs w:val="24"/>
          <w:highlight w:val="none"/>
          <w:lang w:val="en-US"/>
        </w:rPr>
      </w:pPr>
      <w:r>
        <w:rPr>
          <w:rFonts w:hint="eastAsia" w:ascii="宋体" w:hAnsi="宋体" w:eastAsia="宋体" w:cs="宋体"/>
          <w:b/>
          <w:color w:val="auto"/>
          <w:kern w:val="0"/>
          <w:sz w:val="24"/>
          <w:szCs w:val="24"/>
          <w:highlight w:val="none"/>
        </w:rPr>
        <w:t>3.5排序与推荐。</w:t>
      </w:r>
      <w:r>
        <w:rPr>
          <w:rFonts w:hint="eastAsia" w:ascii="宋体" w:hAnsi="宋体" w:eastAsia="宋体" w:cs="宋体"/>
          <w:color w:val="auto"/>
          <w:kern w:val="0"/>
          <w:sz w:val="24"/>
          <w:szCs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中标候选人并列的，由采购人或者采购人委托评标委员会按照招标文件规定的方式确定中标人；招标文件未规定的，采取随机抽取的方式确定。</w:t>
      </w:r>
      <w:r>
        <w:rPr>
          <w:rFonts w:hint="eastAsia" w:ascii="宋体" w:hAnsi="宋体" w:eastAsia="宋体" w:cs="宋体"/>
          <w:color w:val="auto"/>
          <w:kern w:val="0"/>
          <w:sz w:val="24"/>
          <w:szCs w:val="24"/>
          <w:highlight w:val="none"/>
          <w:lang w:val="en" w:eastAsia="zh-CN"/>
        </w:rPr>
        <w:t>本项目推荐的中标候选人数量</w:t>
      </w:r>
      <w:r>
        <w:rPr>
          <w:rFonts w:hint="eastAsia" w:ascii="宋体" w:hAnsi="宋体" w:cs="宋体"/>
          <w:color w:val="auto"/>
          <w:kern w:val="0"/>
          <w:sz w:val="24"/>
          <w:szCs w:val="24"/>
          <w:highlight w:val="none"/>
          <w:lang w:val="en-US" w:eastAsia="zh-CN"/>
        </w:rPr>
        <w:t>详见前附表。</w:t>
      </w:r>
    </w:p>
    <w:p w14:paraId="1ECDE1AF">
      <w:pPr>
        <w:pageBreakBefore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b/>
          <w:color w:val="auto"/>
          <w:kern w:val="0"/>
          <w:sz w:val="24"/>
          <w:szCs w:val="24"/>
          <w:highlight w:val="none"/>
        </w:rPr>
      </w:pPr>
      <w:r>
        <w:rPr>
          <w:rFonts w:hint="eastAsia" w:ascii="宋体" w:hAnsi="宋体" w:eastAsia="宋体" w:cs="宋体"/>
          <w:color w:val="auto"/>
          <w:kern w:val="0"/>
          <w:sz w:val="24"/>
          <w:szCs w:val="24"/>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3173A7AE">
      <w:pPr>
        <w:pageBreakBefore w:val="0"/>
        <w:kinsoku/>
        <w:wordWrap/>
        <w:overflowPunct/>
        <w:topLinePunct w:val="0"/>
        <w:bidi w:val="0"/>
        <w:adjustRightInd w:val="0"/>
        <w:snapToGrid w:val="0"/>
        <w:spacing w:line="360" w:lineRule="auto"/>
        <w:ind w:firstLine="472" w:firstLineChars="196"/>
        <w:textAlignment w:val="auto"/>
        <w:rPr>
          <w:rFonts w:hint="eastAsia" w:ascii="宋体" w:hAnsi="宋体" w:eastAsia="宋体" w:cs="宋体"/>
          <w:color w:val="auto"/>
          <w:kern w:val="0"/>
          <w:sz w:val="24"/>
          <w:szCs w:val="24"/>
          <w:highlight w:val="none"/>
        </w:rPr>
      </w:pPr>
      <w:r>
        <w:rPr>
          <w:rFonts w:hint="eastAsia" w:ascii="宋体" w:hAnsi="宋体" w:eastAsia="宋体" w:cs="宋体"/>
          <w:b/>
          <w:color w:val="auto"/>
          <w:kern w:val="0"/>
          <w:sz w:val="24"/>
          <w:szCs w:val="24"/>
          <w:highlight w:val="none"/>
        </w:rPr>
        <w:t>3.6编写评标报告。</w:t>
      </w:r>
      <w:r>
        <w:rPr>
          <w:rFonts w:hint="eastAsia" w:ascii="宋体" w:hAnsi="宋体" w:eastAsia="宋体" w:cs="宋体"/>
          <w:color w:val="auto"/>
          <w:kern w:val="0"/>
          <w:sz w:val="24"/>
          <w:szCs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30E2B6B0">
      <w:pPr>
        <w:pageBreakBefore w:val="0"/>
        <w:widowControl/>
        <w:shd w:val="clear" w:color="auto" w:fill="FFFFFF"/>
        <w:kinsoku/>
        <w:wordWrap/>
        <w:overflowPunct/>
        <w:topLinePunct w:val="0"/>
        <w:bidi w:val="0"/>
        <w:adjustRightInd w:val="0"/>
        <w:snapToGrid w:val="0"/>
        <w:spacing w:line="360" w:lineRule="auto"/>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四、评标中的其他事项</w:t>
      </w:r>
    </w:p>
    <w:p w14:paraId="7499B9C2">
      <w:pPr>
        <w:pStyle w:val="123"/>
        <w:pageBreakBefore w:val="0"/>
        <w:kinsoku/>
        <w:wordWrap/>
        <w:overflowPunct/>
        <w:topLinePunct w:val="0"/>
        <w:bidi w:val="0"/>
        <w:adjustRightInd w:val="0"/>
        <w:snapToGrid w:val="0"/>
        <w:spacing w:before="0" w:line="360" w:lineRule="auto"/>
        <w:ind w:firstLine="472" w:firstLineChars="196"/>
        <w:textAlignment w:val="auto"/>
        <w:rPr>
          <w:rFonts w:hint="eastAsia" w:ascii="宋体" w:hAnsi="宋体" w:eastAsia="宋体" w:cs="宋体"/>
          <w:color w:val="auto"/>
          <w:kern w:val="0"/>
          <w:sz w:val="24"/>
          <w:szCs w:val="24"/>
          <w:highlight w:val="none"/>
        </w:rPr>
      </w:pPr>
      <w:r>
        <w:rPr>
          <w:rFonts w:hint="eastAsia" w:ascii="宋体" w:hAnsi="宋体" w:eastAsia="宋体" w:cs="宋体"/>
          <w:b/>
          <w:color w:val="auto"/>
          <w:kern w:val="0"/>
          <w:sz w:val="24"/>
          <w:szCs w:val="24"/>
          <w:highlight w:val="none"/>
        </w:rPr>
        <w:t>4.1投标人澄清、说明或者补正。</w:t>
      </w:r>
      <w:r>
        <w:rPr>
          <w:rFonts w:hint="eastAsia" w:ascii="宋体" w:hAnsi="宋体" w:eastAsia="宋体" w:cs="宋体"/>
          <w:color w:val="auto"/>
          <w:kern w:val="0"/>
          <w:sz w:val="24"/>
          <w:szCs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72FE8FB7">
      <w:pPr>
        <w:pStyle w:val="17"/>
        <w:pageBreakBefore w:val="0"/>
        <w:kinsoku/>
        <w:wordWrap/>
        <w:overflowPunct/>
        <w:topLinePunct w:val="0"/>
        <w:bidi w:val="0"/>
        <w:adjustRightInd w:val="0"/>
        <w:snapToGrid w:val="0"/>
        <w:spacing w:line="360" w:lineRule="auto"/>
        <w:ind w:left="954" w:leftChars="226" w:hanging="479" w:firstLineChars="0"/>
        <w:textAlignment w:val="auto"/>
        <w:rPr>
          <w:rFonts w:hint="eastAsia" w:ascii="宋体" w:hAnsi="宋体" w:eastAsia="宋体" w:cs="宋体"/>
          <w:color w:val="auto"/>
          <w:sz w:val="24"/>
          <w:szCs w:val="24"/>
          <w:highlight w:val="none"/>
        </w:rPr>
      </w:pPr>
      <w:r>
        <w:rPr>
          <w:rFonts w:hint="eastAsia" w:ascii="宋体" w:hAnsi="宋体" w:eastAsia="宋体" w:cs="宋体"/>
          <w:b/>
          <w:color w:val="auto"/>
          <w:kern w:val="0"/>
          <w:sz w:val="24"/>
          <w:szCs w:val="24"/>
          <w:highlight w:val="none"/>
        </w:rPr>
        <w:t>4.2投标无效。</w:t>
      </w:r>
      <w:r>
        <w:rPr>
          <w:rFonts w:hint="eastAsia" w:ascii="宋体" w:hAnsi="宋体" w:eastAsia="宋体" w:cs="宋体"/>
          <w:color w:val="auto"/>
          <w:sz w:val="24"/>
          <w:szCs w:val="24"/>
          <w:highlight w:val="none"/>
        </w:rPr>
        <w:t>有下列情形之一的，投标无效：</w:t>
      </w:r>
    </w:p>
    <w:p w14:paraId="3D90878D">
      <w:pPr>
        <w:pageBreakBefore w:val="0"/>
        <w:kinsoku/>
        <w:wordWrap/>
        <w:overflowPunct/>
        <w:topLinePunct w:val="0"/>
        <w:bidi w:val="0"/>
        <w:adjustRightInd w:val="0"/>
        <w:snapToGrid w:val="0"/>
        <w:spacing w:line="360" w:lineRule="auto"/>
        <w:ind w:firstLine="482" w:firstLineChars="200"/>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4.2.1投标人不具备招标文件中规定的资格要求的（投标人未提供有效的资格文件的，视为投标人不具备招标文件中规定的资格要求）；</w:t>
      </w:r>
    </w:p>
    <w:p w14:paraId="2474B09F">
      <w:pPr>
        <w:pageBreakBefore w:val="0"/>
        <w:kinsoku/>
        <w:wordWrap/>
        <w:overflowPunct/>
        <w:topLinePunct w:val="0"/>
        <w:bidi w:val="0"/>
        <w:adjustRightInd w:val="0"/>
        <w:snapToGrid w:val="0"/>
        <w:spacing w:line="360" w:lineRule="auto"/>
        <w:ind w:firstLine="482" w:firstLineChars="200"/>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4.2.2投标文件未按照招标文件要求签署、盖章的；</w:t>
      </w:r>
    </w:p>
    <w:p w14:paraId="1EA29523">
      <w:pPr>
        <w:pageBreakBefore w:val="0"/>
        <w:kinsoku/>
        <w:wordWrap/>
        <w:overflowPunct/>
        <w:topLinePunct w:val="0"/>
        <w:bidi w:val="0"/>
        <w:adjustRightInd w:val="0"/>
        <w:snapToGrid w:val="0"/>
        <w:spacing w:line="360" w:lineRule="auto"/>
        <w:ind w:firstLine="482" w:firstLineChars="200"/>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4.2.3采购人拟采购的产品属于政府强制采购的节能产品品目清单范围的，投标人相应的投标产品未获得国家确定的认证机构出具的、处于有效期之内的节能产品认</w:t>
      </w:r>
      <w:r>
        <w:rPr>
          <w:rFonts w:ascii="宋体" w:hAnsi="宋体" w:cs="宋体"/>
          <w:b/>
          <w:bCs/>
          <w:color w:val="auto"/>
          <w:sz w:val="24"/>
          <w:highlight w:val="none"/>
        </w:rPr>
        <w:t>证书的</w:t>
      </w:r>
      <w:r>
        <w:rPr>
          <w:rFonts w:hint="eastAsia" w:hAnsi="宋体" w:cs="宋体"/>
          <w:b/>
          <w:bCs/>
          <w:color w:val="auto"/>
          <w:sz w:val="24"/>
          <w:highlight w:val="none"/>
          <w:lang w:val="en-US" w:eastAsia="zh-CN"/>
        </w:rPr>
        <w:t>或未提供投标产品认证证明材料的</w:t>
      </w:r>
      <w:r>
        <w:rPr>
          <w:rFonts w:hint="eastAsia" w:ascii="宋体" w:hAnsi="宋体" w:eastAsia="宋体" w:cs="宋体"/>
          <w:b/>
          <w:bCs/>
          <w:color w:val="auto"/>
          <w:kern w:val="0"/>
          <w:sz w:val="24"/>
          <w:szCs w:val="24"/>
          <w:highlight w:val="none"/>
        </w:rPr>
        <w:t>；</w:t>
      </w:r>
    </w:p>
    <w:p w14:paraId="77F1A73C">
      <w:pPr>
        <w:pageBreakBefore w:val="0"/>
        <w:kinsoku/>
        <w:wordWrap/>
        <w:overflowPunct/>
        <w:topLinePunct w:val="0"/>
        <w:bidi w:val="0"/>
        <w:adjustRightInd w:val="0"/>
        <w:snapToGrid w:val="0"/>
        <w:spacing w:line="360" w:lineRule="auto"/>
        <w:ind w:firstLine="482" w:firstLineChars="200"/>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4.2.4投标文件含有采购人不能接受的附加条件的；</w:t>
      </w:r>
    </w:p>
    <w:p w14:paraId="5849FD45">
      <w:pPr>
        <w:pageBreakBefore w:val="0"/>
        <w:kinsoku/>
        <w:wordWrap/>
        <w:overflowPunct/>
        <w:topLinePunct w:val="0"/>
        <w:bidi w:val="0"/>
        <w:adjustRightInd w:val="0"/>
        <w:snapToGrid w:val="0"/>
        <w:spacing w:line="360" w:lineRule="auto"/>
        <w:ind w:firstLine="482" w:firstLineChars="200"/>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4.2.5投标文件中承诺的投标有效期少于招标文件中载明的投标有效期的；</w:t>
      </w:r>
    </w:p>
    <w:p w14:paraId="487D578F">
      <w:pPr>
        <w:pageBreakBefore w:val="0"/>
        <w:kinsoku/>
        <w:wordWrap/>
        <w:overflowPunct/>
        <w:topLinePunct w:val="0"/>
        <w:bidi w:val="0"/>
        <w:adjustRightInd w:val="0"/>
        <w:snapToGrid w:val="0"/>
        <w:spacing w:line="360" w:lineRule="auto"/>
        <w:ind w:firstLine="120" w:firstLineChars="50"/>
        <w:jc w:val="left"/>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xml:space="preserve">   4.2.6投标文件出现不是唯一的、有选择性投标报价的;</w:t>
      </w:r>
    </w:p>
    <w:p w14:paraId="074C5EE5">
      <w:pPr>
        <w:pageBreakBefore w:val="0"/>
        <w:kinsoku/>
        <w:wordWrap/>
        <w:overflowPunct/>
        <w:topLinePunct w:val="0"/>
        <w:bidi w:val="0"/>
        <w:adjustRightInd w:val="0"/>
        <w:snapToGrid w:val="0"/>
        <w:spacing w:line="360" w:lineRule="auto"/>
        <w:ind w:firstLine="482" w:firstLineChars="200"/>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4.2.7投标报价超过招标文件中规定的预算金额或者最高限价的;</w:t>
      </w:r>
    </w:p>
    <w:p w14:paraId="2BDD5284">
      <w:pPr>
        <w:pageBreakBefore w:val="0"/>
        <w:kinsoku/>
        <w:wordWrap/>
        <w:overflowPunct/>
        <w:topLinePunct w:val="0"/>
        <w:bidi w:val="0"/>
        <w:adjustRightInd w:val="0"/>
        <w:snapToGrid w:val="0"/>
        <w:spacing w:line="360" w:lineRule="auto"/>
        <w:ind w:firstLine="482" w:firstLineChars="200"/>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4.2.</w:t>
      </w:r>
      <w:r>
        <w:rPr>
          <w:rFonts w:hint="eastAsia" w:ascii="宋体" w:hAnsi="宋体" w:cs="宋体"/>
          <w:b/>
          <w:bCs/>
          <w:color w:val="auto"/>
          <w:kern w:val="0"/>
          <w:sz w:val="24"/>
          <w:szCs w:val="24"/>
          <w:highlight w:val="none"/>
          <w:lang w:val="en-US" w:eastAsia="zh-CN"/>
        </w:rPr>
        <w:t>8</w:t>
      </w:r>
      <w:r>
        <w:rPr>
          <w:rFonts w:hint="eastAsia" w:ascii="宋体" w:hAnsi="宋体" w:eastAsia="宋体" w:cs="宋体"/>
          <w:b/>
          <w:bCs/>
          <w:color w:val="auto"/>
          <w:kern w:val="0"/>
          <w:sz w:val="24"/>
          <w:szCs w:val="24"/>
          <w:highlight w:val="none"/>
        </w:rPr>
        <w:t>投标人对根据修正原则修正后的报价不确认的；</w:t>
      </w:r>
    </w:p>
    <w:p w14:paraId="1DEE11E2">
      <w:pPr>
        <w:pageBreakBefore w:val="0"/>
        <w:kinsoku/>
        <w:wordWrap/>
        <w:overflowPunct/>
        <w:topLinePunct w:val="0"/>
        <w:bidi w:val="0"/>
        <w:adjustRightInd w:val="0"/>
        <w:snapToGrid w:val="0"/>
        <w:spacing w:line="360" w:lineRule="auto"/>
        <w:ind w:firstLine="482" w:firstLineChars="200"/>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4.2.</w:t>
      </w:r>
      <w:r>
        <w:rPr>
          <w:rFonts w:hint="eastAsia" w:ascii="宋体" w:hAnsi="宋体" w:cs="宋体"/>
          <w:b/>
          <w:bCs/>
          <w:color w:val="auto"/>
          <w:kern w:val="0"/>
          <w:sz w:val="24"/>
          <w:szCs w:val="24"/>
          <w:highlight w:val="none"/>
          <w:lang w:val="en-US" w:eastAsia="zh-CN"/>
        </w:rPr>
        <w:t>9</w:t>
      </w:r>
      <w:r>
        <w:rPr>
          <w:rFonts w:hint="eastAsia" w:ascii="宋体" w:hAnsi="宋体" w:eastAsia="宋体" w:cs="宋体"/>
          <w:b/>
          <w:bCs/>
          <w:color w:val="auto"/>
          <w:kern w:val="0"/>
          <w:sz w:val="24"/>
          <w:szCs w:val="24"/>
          <w:highlight w:val="none"/>
        </w:rPr>
        <w:t>投标人提供虚假材料投标的；</w:t>
      </w:r>
    </w:p>
    <w:p w14:paraId="3E633E78">
      <w:pPr>
        <w:pageBreakBefore w:val="0"/>
        <w:kinsoku/>
        <w:wordWrap/>
        <w:overflowPunct/>
        <w:topLinePunct w:val="0"/>
        <w:bidi w:val="0"/>
        <w:adjustRightInd w:val="0"/>
        <w:snapToGrid w:val="0"/>
        <w:spacing w:line="360" w:lineRule="auto"/>
        <w:ind w:firstLine="241" w:firstLineChars="100"/>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xml:space="preserve">  4.2.</w:t>
      </w:r>
      <w:r>
        <w:rPr>
          <w:rFonts w:hint="eastAsia" w:ascii="宋体" w:hAnsi="宋体" w:cs="宋体"/>
          <w:b/>
          <w:bCs/>
          <w:color w:val="auto"/>
          <w:kern w:val="0"/>
          <w:sz w:val="24"/>
          <w:szCs w:val="24"/>
          <w:highlight w:val="none"/>
          <w:lang w:val="en-US" w:eastAsia="zh-CN"/>
        </w:rPr>
        <w:t>10</w:t>
      </w:r>
      <w:r>
        <w:rPr>
          <w:rFonts w:hint="eastAsia" w:ascii="宋体" w:hAnsi="宋体" w:eastAsia="宋体" w:cs="宋体"/>
          <w:b/>
          <w:bCs/>
          <w:color w:val="auto"/>
          <w:kern w:val="0"/>
          <w:sz w:val="24"/>
          <w:szCs w:val="24"/>
          <w:highlight w:val="none"/>
        </w:rPr>
        <w:t>投标人有恶意串通、妨碍其他投标人的竞争行为、损害采购人或者其他投标人的合法权益情形的；</w:t>
      </w:r>
    </w:p>
    <w:p w14:paraId="08232836">
      <w:pPr>
        <w:pStyle w:val="50"/>
        <w:pageBreakBefore w:val="0"/>
        <w:kinsoku/>
        <w:wordWrap/>
        <w:overflowPunct/>
        <w:topLinePunct w:val="0"/>
        <w:bidi w:val="0"/>
        <w:adjustRightInd w:val="0"/>
        <w:snapToGrid w:val="0"/>
        <w:spacing w:line="360" w:lineRule="auto"/>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4.2.11 参与同一个采购包（标段）的供应商存在下列情形之一且无法合理解释的，其投标（响应）文件无效：1.不同供应商的电子投标（响应）文件上传计算机的网卡MAC地址或硬盘序列号等硬件信息相同的；2.上传的电子投标（响应）文件若出现使用本项目其他投标（响应）供应商的数字证书加密的，或者加盖本项目其他投标（响应）供应商的电子印章的；3.不同供应商的投标（响应）文件的内容存在3处（含）以上错误一致的；4.不同供应商联系人为同一人或不同联系人的联系电话一致的</w:t>
      </w:r>
      <w:r>
        <w:rPr>
          <w:rFonts w:hint="eastAsia" w:ascii="宋体" w:hAnsi="宋体" w:eastAsia="宋体" w:cs="宋体"/>
          <w:b/>
          <w:bCs/>
          <w:color w:val="auto"/>
          <w:sz w:val="24"/>
          <w:szCs w:val="24"/>
          <w:highlight w:val="none"/>
        </w:rPr>
        <w:t>。</w:t>
      </w:r>
    </w:p>
    <w:p w14:paraId="4B854828">
      <w:pPr>
        <w:pageBreakBefore w:val="0"/>
        <w:kinsoku/>
        <w:wordWrap/>
        <w:overflowPunct/>
        <w:topLinePunct w:val="0"/>
        <w:bidi w:val="0"/>
        <w:adjustRightInd w:val="0"/>
        <w:snapToGrid w:val="0"/>
        <w:spacing w:line="360" w:lineRule="auto"/>
        <w:ind w:firstLine="482" w:firstLineChars="200"/>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4.2.1</w:t>
      </w:r>
      <w:r>
        <w:rPr>
          <w:rFonts w:hint="eastAsia" w:ascii="宋体" w:hAnsi="宋体" w:cs="宋体"/>
          <w:b/>
          <w:bCs/>
          <w:color w:val="auto"/>
          <w:kern w:val="0"/>
          <w:sz w:val="24"/>
          <w:szCs w:val="24"/>
          <w:highlight w:val="none"/>
          <w:lang w:val="en-US" w:eastAsia="zh-CN"/>
        </w:rPr>
        <w:t>2</w:t>
      </w:r>
      <w:r>
        <w:rPr>
          <w:rFonts w:hint="eastAsia" w:ascii="宋体" w:hAnsi="宋体" w:eastAsia="宋体" w:cs="宋体"/>
          <w:b/>
          <w:bCs/>
          <w:color w:val="auto"/>
          <w:kern w:val="0"/>
          <w:sz w:val="24"/>
          <w:szCs w:val="24"/>
          <w:highlight w:val="none"/>
        </w:rPr>
        <w:t>投标人仅提交备份投标文件，未在电子交易平台传输递交投标文件的，投标无效；</w:t>
      </w:r>
    </w:p>
    <w:p w14:paraId="3B9EB72C">
      <w:pPr>
        <w:pStyle w:val="5"/>
        <w:pageBreakBefore w:val="0"/>
        <w:tabs>
          <w:tab w:val="left" w:pos="432"/>
        </w:tabs>
        <w:kinsoku/>
        <w:wordWrap/>
        <w:overflowPunct/>
        <w:topLinePunct w:val="0"/>
        <w:bidi w:val="0"/>
        <w:adjustRightInd w:val="0"/>
        <w:snapToGrid w:val="0"/>
        <w:spacing w:before="0" w:after="0" w:line="360" w:lineRule="auto"/>
        <w:ind w:left="430" w:leftChars="205"/>
        <w:textAlignment w:val="auto"/>
        <w:rPr>
          <w:rFonts w:hint="eastAsia" w:ascii="宋体" w:hAnsi="宋体" w:eastAsia="宋体" w:cs="宋体"/>
          <w:b/>
          <w:bCs/>
          <w:color w:val="auto"/>
          <w:kern w:val="0"/>
          <w:sz w:val="24"/>
          <w:szCs w:val="24"/>
          <w:highlight w:val="none"/>
          <w:lang w:val="en-US"/>
        </w:rPr>
      </w:pPr>
      <w:r>
        <w:rPr>
          <w:rFonts w:hint="eastAsia" w:ascii="宋体" w:hAnsi="宋体" w:eastAsia="宋体" w:cs="宋体"/>
          <w:b/>
          <w:bCs/>
          <w:color w:val="auto"/>
          <w:kern w:val="0"/>
          <w:sz w:val="24"/>
          <w:szCs w:val="24"/>
          <w:highlight w:val="none"/>
          <w:lang w:val="en-US"/>
        </w:rPr>
        <w:t>4.2.1</w:t>
      </w:r>
      <w:r>
        <w:rPr>
          <w:rFonts w:hint="eastAsia" w:ascii="宋体" w:hAnsi="宋体" w:eastAsia="宋体" w:cs="宋体"/>
          <w:b/>
          <w:bCs/>
          <w:color w:val="auto"/>
          <w:kern w:val="0"/>
          <w:sz w:val="24"/>
          <w:szCs w:val="24"/>
          <w:highlight w:val="none"/>
          <w:lang w:val="en-US" w:eastAsia="zh-CN"/>
        </w:rPr>
        <w:t>3</w:t>
      </w:r>
      <w:r>
        <w:rPr>
          <w:rFonts w:hint="eastAsia" w:ascii="宋体" w:hAnsi="宋体" w:eastAsia="宋体" w:cs="宋体"/>
          <w:b/>
          <w:bCs/>
          <w:color w:val="auto"/>
          <w:kern w:val="0"/>
          <w:sz w:val="24"/>
          <w:szCs w:val="24"/>
          <w:highlight w:val="none"/>
          <w:lang w:val="en-US"/>
        </w:rPr>
        <w:t>投标文件不满足招标文件的其它实质性要求的；</w:t>
      </w:r>
    </w:p>
    <w:p w14:paraId="660D9EA2">
      <w:pPr>
        <w:pageBreakBefore w:val="0"/>
        <w:kinsoku/>
        <w:wordWrap/>
        <w:overflowPunct/>
        <w:topLinePunct w:val="0"/>
        <w:bidi w:val="0"/>
        <w:adjustRightInd w:val="0"/>
        <w:snapToGrid w:val="0"/>
        <w:spacing w:line="360" w:lineRule="auto"/>
        <w:ind w:firstLine="482" w:firstLineChars="200"/>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4.2.1</w:t>
      </w:r>
      <w:r>
        <w:rPr>
          <w:rFonts w:hint="eastAsia" w:ascii="宋体" w:hAnsi="宋体" w:cs="宋体"/>
          <w:b/>
          <w:bCs/>
          <w:color w:val="auto"/>
          <w:kern w:val="0"/>
          <w:sz w:val="24"/>
          <w:szCs w:val="24"/>
          <w:highlight w:val="none"/>
          <w:lang w:val="en-US" w:eastAsia="zh-CN"/>
        </w:rPr>
        <w:t>4</w:t>
      </w:r>
      <w:r>
        <w:rPr>
          <w:rFonts w:hint="eastAsia" w:ascii="宋体" w:hAnsi="宋体" w:eastAsia="宋体" w:cs="宋体"/>
          <w:b/>
          <w:bCs/>
          <w:color w:val="auto"/>
          <w:kern w:val="0"/>
          <w:sz w:val="24"/>
          <w:szCs w:val="24"/>
          <w:highlight w:val="none"/>
        </w:rPr>
        <w:t>法律、法规、规章及省级以上规范性文件规定的其他无效情形。</w:t>
      </w:r>
    </w:p>
    <w:p w14:paraId="5652F3BA">
      <w:pPr>
        <w:pStyle w:val="17"/>
        <w:pageBreakBefore w:val="0"/>
        <w:kinsoku/>
        <w:wordWrap/>
        <w:overflowPunct/>
        <w:topLinePunct w:val="0"/>
        <w:bidi w:val="0"/>
        <w:adjustRightInd w:val="0"/>
        <w:snapToGrid w:val="0"/>
        <w:spacing w:line="360" w:lineRule="auto"/>
        <w:ind w:firstLine="457" w:firstLineChars="196"/>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5.废标。</w:t>
      </w:r>
      <w:r>
        <w:rPr>
          <w:rFonts w:hint="eastAsia" w:ascii="宋体" w:hAnsi="宋体" w:eastAsia="宋体" w:cs="宋体"/>
          <w:color w:val="auto"/>
          <w:sz w:val="24"/>
          <w:szCs w:val="24"/>
          <w:highlight w:val="none"/>
        </w:rPr>
        <w:t>根据《中华人民共和国政府采购法》第三十六条之规定，在采购中，出现下列情形之一的，应予废标：</w:t>
      </w:r>
    </w:p>
    <w:p w14:paraId="7C7A3B63">
      <w:pPr>
        <w:pStyle w:val="17"/>
        <w:pageBreakBefore w:val="0"/>
        <w:kinsoku/>
        <w:wordWrap/>
        <w:overflowPunct/>
        <w:topLinePunct w:val="0"/>
        <w:bidi w:val="0"/>
        <w:adjustRightInd w:val="0"/>
        <w:snapToGrid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5.1符合专业条件的供应商或者对招标文件作实质响应的供应商不足3家的；</w:t>
      </w:r>
    </w:p>
    <w:p w14:paraId="7A8AF7A6">
      <w:pPr>
        <w:pStyle w:val="17"/>
        <w:pageBreakBefore w:val="0"/>
        <w:kinsoku/>
        <w:wordWrap/>
        <w:overflowPunct/>
        <w:topLinePunct w:val="0"/>
        <w:bidi w:val="0"/>
        <w:adjustRightInd w:val="0"/>
        <w:snapToGrid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5.2出现影响采购公正的违法、违规行为的；</w:t>
      </w:r>
    </w:p>
    <w:p w14:paraId="3EE4ABBA">
      <w:pPr>
        <w:pStyle w:val="17"/>
        <w:pageBreakBefore w:val="0"/>
        <w:kinsoku/>
        <w:wordWrap/>
        <w:overflowPunct/>
        <w:topLinePunct w:val="0"/>
        <w:bidi w:val="0"/>
        <w:adjustRightInd w:val="0"/>
        <w:snapToGrid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5.3投标人的报价均超过了采购预算，采购人不能支付的；</w:t>
      </w:r>
    </w:p>
    <w:p w14:paraId="1B3ED65E">
      <w:pPr>
        <w:pStyle w:val="17"/>
        <w:pageBreakBefore w:val="0"/>
        <w:kinsoku/>
        <w:wordWrap/>
        <w:overflowPunct/>
        <w:topLinePunct w:val="0"/>
        <w:bidi w:val="0"/>
        <w:adjustRightInd w:val="0"/>
        <w:snapToGrid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5.4因重大变故，采购任务取消的。</w:t>
      </w:r>
    </w:p>
    <w:p w14:paraId="5726B1E3">
      <w:pPr>
        <w:pStyle w:val="17"/>
        <w:pageBreakBefore w:val="0"/>
        <w:kinsoku/>
        <w:wordWrap/>
        <w:overflowPunct/>
        <w:topLinePunct w:val="0"/>
        <w:bidi w:val="0"/>
        <w:adjustRightInd w:val="0"/>
        <w:snapToGrid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废标后，</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应当将废标理由通知所有投标人。</w:t>
      </w:r>
    </w:p>
    <w:p w14:paraId="692287BC">
      <w:pPr>
        <w:pStyle w:val="17"/>
        <w:pageBreakBefore w:val="0"/>
        <w:kinsoku/>
        <w:wordWrap/>
        <w:overflowPunct/>
        <w:topLinePunct w:val="0"/>
        <w:bidi w:val="0"/>
        <w:adjustRightInd w:val="0"/>
        <w:snapToGrid w:val="0"/>
        <w:spacing w:line="360" w:lineRule="auto"/>
        <w:ind w:firstLine="571" w:firstLineChars="245"/>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6.修改招标文件，重新组织采购活动。</w:t>
      </w:r>
      <w:r>
        <w:rPr>
          <w:rFonts w:hint="eastAsia" w:ascii="宋体" w:hAnsi="宋体" w:eastAsia="宋体" w:cs="宋体"/>
          <w:color w:val="auto"/>
          <w:sz w:val="24"/>
          <w:szCs w:val="24"/>
          <w:highlight w:val="none"/>
        </w:rPr>
        <w:t>评标委员会发现招标文件存在歧义、重大缺陷导致评标工作无法进行，或者招标文件内容违反国家有关强制性规定的，将停止评标工作，并与采购人、</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沟通并作书面记录。采购人、</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确认后，将修改招标文件，重新组织采购活动。</w:t>
      </w:r>
    </w:p>
    <w:p w14:paraId="7BA7C819">
      <w:pPr>
        <w:pStyle w:val="17"/>
        <w:pageBreakBefore w:val="0"/>
        <w:kinsoku/>
        <w:wordWrap/>
        <w:overflowPunct/>
        <w:topLinePunct w:val="0"/>
        <w:bidi w:val="0"/>
        <w:adjustRightInd w:val="0"/>
        <w:snapToGrid w:val="0"/>
        <w:spacing w:line="360" w:lineRule="auto"/>
        <w:ind w:firstLine="482"/>
        <w:textAlignment w:val="auto"/>
        <w:rPr>
          <w:rFonts w:hint="eastAsia" w:ascii="宋体" w:hAnsi="宋体" w:eastAsia="宋体" w:cs="宋体"/>
          <w:color w:val="auto"/>
          <w:sz w:val="24"/>
          <w:szCs w:val="24"/>
          <w:highlight w:val="none"/>
        </w:rPr>
      </w:pPr>
      <w:r>
        <w:rPr>
          <w:rFonts w:hint="eastAsia" w:ascii="宋体" w:hAnsi="宋体" w:eastAsia="宋体" w:cs="宋体"/>
          <w:b/>
          <w:color w:val="auto"/>
          <w:kern w:val="0"/>
          <w:sz w:val="24"/>
          <w:szCs w:val="24"/>
          <w:highlight w:val="none"/>
        </w:rPr>
        <w:t>7.重新开展采购。</w:t>
      </w:r>
      <w:r>
        <w:rPr>
          <w:rFonts w:hint="eastAsia" w:ascii="宋体" w:hAnsi="宋体" w:eastAsia="宋体" w:cs="宋体"/>
          <w:color w:val="auto"/>
          <w:sz w:val="24"/>
          <w:szCs w:val="24"/>
          <w:highlight w:val="none"/>
        </w:rPr>
        <w:t>有政府采购法第七十一条、第七十二条规定的违法行为之一，影响或者可能影响中标结果的，依照下列规定处理：</w:t>
      </w:r>
    </w:p>
    <w:p w14:paraId="6F415C6C">
      <w:pPr>
        <w:pStyle w:val="17"/>
        <w:pageBreakBefore w:val="0"/>
        <w:kinsoku/>
        <w:wordWrap/>
        <w:overflowPunct/>
        <w:topLinePunct w:val="0"/>
        <w:bidi w:val="0"/>
        <w:adjustRightInd w:val="0"/>
        <w:snapToGrid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7.1未确定中标供应商的，终止本次政府采购活动，重新开展政府采购活动。</w:t>
      </w:r>
    </w:p>
    <w:p w14:paraId="20FFBECB">
      <w:pPr>
        <w:pStyle w:val="17"/>
        <w:pageBreakBefore w:val="0"/>
        <w:kinsoku/>
        <w:wordWrap/>
        <w:overflowPunct/>
        <w:topLinePunct w:val="0"/>
        <w:bidi w:val="0"/>
        <w:adjustRightInd w:val="0"/>
        <w:snapToGrid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7.2已确定中标供应商但尚未签订政府采购合同的，中标结果无效，从合格的中标候选人中另行确定中标供应商；没有合格的中标候选人的，重新开展政府采购活动。</w:t>
      </w:r>
    </w:p>
    <w:p w14:paraId="3215D30A">
      <w:pPr>
        <w:pStyle w:val="17"/>
        <w:pageBreakBefore w:val="0"/>
        <w:kinsoku/>
        <w:wordWrap/>
        <w:overflowPunct/>
        <w:topLinePunct w:val="0"/>
        <w:bidi w:val="0"/>
        <w:adjustRightInd w:val="0"/>
        <w:snapToGrid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7.3政府采购合同已签订但尚未履行的，撤销合同，从合格的中标候选人中另行确定中标供应商；没有合格的中标候选人的，重新开展政府采购活动。</w:t>
      </w:r>
    </w:p>
    <w:p w14:paraId="7F2BF822">
      <w:pPr>
        <w:pStyle w:val="17"/>
        <w:pageBreakBefore w:val="0"/>
        <w:kinsoku/>
        <w:wordWrap/>
        <w:overflowPunct/>
        <w:topLinePunct w:val="0"/>
        <w:bidi w:val="0"/>
        <w:adjustRightInd w:val="0"/>
        <w:snapToGrid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7.4政府采购合同已经履行，给采购人、供应商造成损失的，由责任人承担赔偿责任。</w:t>
      </w:r>
    </w:p>
    <w:p w14:paraId="628E06CF">
      <w:pPr>
        <w:pStyle w:val="17"/>
        <w:pageBreakBefore w:val="0"/>
        <w:kinsoku/>
        <w:wordWrap/>
        <w:overflowPunct/>
        <w:topLinePunct w:val="0"/>
        <w:bidi w:val="0"/>
        <w:adjustRightInd w:val="0"/>
        <w:snapToGrid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7.5政府采购当事人有其他违反政府采购法或者政府采购法实施条例等法律法规规定的行为，经改正后仍然影响或者可能影响中标结果或者依法被认定为中标无效的，依照7.1-7.4规定处理。</w:t>
      </w:r>
    </w:p>
    <w:p w14:paraId="4CF1F3D4">
      <w:pPr>
        <w:rPr>
          <w:rFonts w:hAnsi="宋体" w:cs="宋体"/>
          <w:b/>
          <w:color w:val="auto"/>
          <w:sz w:val="36"/>
          <w:szCs w:val="36"/>
          <w:highlight w:val="none"/>
        </w:rPr>
      </w:pPr>
      <w:r>
        <w:rPr>
          <w:rFonts w:hAnsi="宋体" w:cs="宋体"/>
          <w:b/>
          <w:color w:val="auto"/>
          <w:sz w:val="36"/>
          <w:szCs w:val="36"/>
          <w:highlight w:val="none"/>
        </w:rPr>
        <w:br w:type="page"/>
      </w:r>
    </w:p>
    <w:p w14:paraId="7A1E91F1">
      <w:pPr>
        <w:pStyle w:val="8"/>
        <w:adjustRightInd w:val="0"/>
        <w:snapToGrid w:val="0"/>
        <w:spacing w:beforeLines="0" w:afterLines="0" w:line="360" w:lineRule="auto"/>
        <w:jc w:val="center"/>
        <w:outlineLvl w:val="0"/>
        <w:rPr>
          <w:rFonts w:hint="default" w:hAnsi="宋体" w:cs="宋体"/>
          <w:b/>
          <w:color w:val="auto"/>
          <w:sz w:val="36"/>
          <w:szCs w:val="36"/>
          <w:highlight w:val="none"/>
        </w:rPr>
      </w:pPr>
      <w:r>
        <w:rPr>
          <w:rFonts w:hAnsi="宋体" w:cs="宋体"/>
          <w:b/>
          <w:color w:val="auto"/>
          <w:sz w:val="36"/>
          <w:szCs w:val="36"/>
          <w:highlight w:val="none"/>
        </w:rPr>
        <w:t>第四</w:t>
      </w:r>
      <w:r>
        <w:rPr>
          <w:rFonts w:hint="eastAsia" w:hAnsi="宋体" w:cs="宋体"/>
          <w:b/>
          <w:color w:val="auto"/>
          <w:sz w:val="36"/>
          <w:szCs w:val="36"/>
          <w:highlight w:val="none"/>
          <w:lang w:val="en-US" w:eastAsia="zh-CN"/>
        </w:rPr>
        <w:t>部分</w:t>
      </w:r>
      <w:r>
        <w:rPr>
          <w:rFonts w:hAnsi="宋体" w:cs="宋体"/>
          <w:b/>
          <w:color w:val="auto"/>
          <w:sz w:val="36"/>
          <w:szCs w:val="36"/>
          <w:highlight w:val="none"/>
        </w:rPr>
        <w:t xml:space="preserve">  采购内容及需求</w:t>
      </w:r>
      <w:bookmarkEnd w:id="38"/>
    </w:p>
    <w:p w14:paraId="0BD2907B">
      <w:pPr>
        <w:pStyle w:val="5"/>
        <w:numPr>
          <w:ilvl w:val="0"/>
          <w:numId w:val="0"/>
        </w:numPr>
        <w:adjustRightInd/>
        <w:spacing w:before="0" w:after="0" w:line="360" w:lineRule="auto"/>
        <w:ind w:leftChars="0"/>
        <w:jc w:val="both"/>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一、建设内容及要求</w:t>
      </w:r>
    </w:p>
    <w:tbl>
      <w:tblPr>
        <w:tblStyle w:val="41"/>
        <w:tblW w:w="95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21"/>
        <w:gridCol w:w="1216"/>
        <w:gridCol w:w="1536"/>
        <w:gridCol w:w="6036"/>
      </w:tblGrid>
      <w:tr w14:paraId="453B4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05" w:hRule="atLeast"/>
          <w:tblHeader/>
          <w:jc w:val="center"/>
        </w:trPr>
        <w:tc>
          <w:tcPr>
            <w:tcW w:w="721" w:type="dxa"/>
            <w:shd w:val="clear" w:color="auto" w:fill="auto"/>
            <w:noWrap/>
            <w:vAlign w:val="center"/>
          </w:tcPr>
          <w:p w14:paraId="60907A54">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序号</w:t>
            </w:r>
          </w:p>
        </w:tc>
        <w:tc>
          <w:tcPr>
            <w:tcW w:w="1216" w:type="dxa"/>
            <w:shd w:val="clear" w:color="auto" w:fill="auto"/>
            <w:noWrap/>
            <w:vAlign w:val="center"/>
          </w:tcPr>
          <w:p w14:paraId="1B2BA490">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终端</w:t>
            </w:r>
          </w:p>
        </w:tc>
        <w:tc>
          <w:tcPr>
            <w:tcW w:w="1536" w:type="dxa"/>
            <w:shd w:val="clear" w:color="auto" w:fill="auto"/>
            <w:noWrap/>
            <w:vAlign w:val="center"/>
          </w:tcPr>
          <w:p w14:paraId="5612F426">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模块</w:t>
            </w:r>
          </w:p>
        </w:tc>
        <w:tc>
          <w:tcPr>
            <w:tcW w:w="6036" w:type="dxa"/>
            <w:shd w:val="clear" w:color="auto" w:fill="auto"/>
            <w:vAlign w:val="center"/>
          </w:tcPr>
          <w:p w14:paraId="587D2BD9">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功能内容</w:t>
            </w:r>
          </w:p>
        </w:tc>
      </w:tr>
      <w:tr w14:paraId="19BEC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19" w:hRule="atLeast"/>
          <w:jc w:val="center"/>
        </w:trPr>
        <w:tc>
          <w:tcPr>
            <w:tcW w:w="721" w:type="dxa"/>
            <w:shd w:val="clear" w:color="auto" w:fill="auto"/>
            <w:noWrap/>
            <w:vAlign w:val="center"/>
          </w:tcPr>
          <w:p w14:paraId="59A09620">
            <w:pPr>
              <w:keepNext w:val="0"/>
              <w:keepLines w:val="0"/>
              <w:widowControl/>
              <w:suppressLineNumbers w:val="0"/>
              <w:jc w:val="center"/>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1216" w:type="dxa"/>
            <w:vMerge w:val="restart"/>
            <w:shd w:val="clear" w:color="auto" w:fill="auto"/>
            <w:vAlign w:val="center"/>
          </w:tcPr>
          <w:p w14:paraId="6F554B3D">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PC电脑端</w:t>
            </w:r>
          </w:p>
        </w:tc>
        <w:tc>
          <w:tcPr>
            <w:tcW w:w="1536" w:type="dxa"/>
            <w:vMerge w:val="restart"/>
            <w:shd w:val="clear" w:color="auto" w:fill="auto"/>
            <w:vAlign w:val="center"/>
          </w:tcPr>
          <w:p w14:paraId="498230B9">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培养方案</w:t>
            </w:r>
          </w:p>
        </w:tc>
        <w:tc>
          <w:tcPr>
            <w:tcW w:w="6036" w:type="dxa"/>
            <w:shd w:val="clear" w:color="auto" w:fill="auto"/>
            <w:vAlign w:val="center"/>
          </w:tcPr>
          <w:p w14:paraId="4C21D2D9">
            <w:pPr>
              <w:keepNext w:val="0"/>
              <w:keepLines w:val="0"/>
              <w:widowControl/>
              <w:suppressLineNumbers w:val="0"/>
              <w:jc w:val="both"/>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一期与二期已实现和完善培养方案的导入与查询，三期建设培养方案的内容为：</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1、新增、录入年级专业培养方案，可在系统中新增录入培养方案；</w:t>
            </w:r>
          </w:p>
        </w:tc>
      </w:tr>
      <w:tr w14:paraId="29684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10" w:hRule="atLeast"/>
          <w:jc w:val="center"/>
        </w:trPr>
        <w:tc>
          <w:tcPr>
            <w:tcW w:w="721" w:type="dxa"/>
            <w:shd w:val="clear" w:color="auto" w:fill="auto"/>
            <w:noWrap/>
            <w:vAlign w:val="center"/>
          </w:tcPr>
          <w:p w14:paraId="2E16834F">
            <w:pPr>
              <w:keepNext w:val="0"/>
              <w:keepLines w:val="0"/>
              <w:widowControl/>
              <w:suppressLineNumbers w:val="0"/>
              <w:jc w:val="center"/>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1216" w:type="dxa"/>
            <w:vMerge w:val="continue"/>
            <w:shd w:val="clear" w:color="auto" w:fill="auto"/>
            <w:vAlign w:val="center"/>
          </w:tcPr>
          <w:p w14:paraId="3CD5D56B">
            <w:pPr>
              <w:jc w:val="center"/>
              <w:rPr>
                <w:rFonts w:hint="eastAsia" w:ascii="宋体" w:hAnsi="宋体" w:eastAsia="宋体" w:cs="宋体"/>
                <w:b/>
                <w:bCs/>
                <w:i w:val="0"/>
                <w:iCs w:val="0"/>
                <w:color w:val="auto"/>
                <w:sz w:val="24"/>
                <w:szCs w:val="24"/>
                <w:highlight w:val="none"/>
                <w:u w:val="none"/>
              </w:rPr>
            </w:pPr>
          </w:p>
        </w:tc>
        <w:tc>
          <w:tcPr>
            <w:tcW w:w="1536" w:type="dxa"/>
            <w:vMerge w:val="continue"/>
            <w:shd w:val="clear" w:color="auto" w:fill="auto"/>
            <w:vAlign w:val="center"/>
          </w:tcPr>
          <w:p w14:paraId="6031F6C3">
            <w:pPr>
              <w:jc w:val="center"/>
              <w:rPr>
                <w:rFonts w:hint="eastAsia" w:ascii="宋体" w:hAnsi="宋体" w:eastAsia="宋体" w:cs="宋体"/>
                <w:b/>
                <w:bCs/>
                <w:i w:val="0"/>
                <w:iCs w:val="0"/>
                <w:color w:val="auto"/>
                <w:sz w:val="24"/>
                <w:szCs w:val="24"/>
                <w:highlight w:val="none"/>
                <w:u w:val="none"/>
              </w:rPr>
            </w:pPr>
          </w:p>
        </w:tc>
        <w:tc>
          <w:tcPr>
            <w:tcW w:w="6036" w:type="dxa"/>
            <w:shd w:val="clear" w:color="auto" w:fill="auto"/>
            <w:vAlign w:val="center"/>
          </w:tcPr>
          <w:p w14:paraId="317BBEF4">
            <w:pPr>
              <w:keepNext w:val="0"/>
              <w:keepLines w:val="0"/>
              <w:widowControl/>
              <w:suppressLineNumbers w:val="0"/>
              <w:jc w:val="both"/>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2、修改年级专业培养方案；</w:t>
            </w:r>
          </w:p>
        </w:tc>
      </w:tr>
      <w:tr w14:paraId="014CC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6" w:hRule="atLeast"/>
          <w:jc w:val="center"/>
        </w:trPr>
        <w:tc>
          <w:tcPr>
            <w:tcW w:w="721" w:type="dxa"/>
            <w:shd w:val="clear" w:color="auto" w:fill="auto"/>
            <w:noWrap/>
            <w:vAlign w:val="center"/>
          </w:tcPr>
          <w:p w14:paraId="0140DDAC">
            <w:pPr>
              <w:keepNext w:val="0"/>
              <w:keepLines w:val="0"/>
              <w:widowControl/>
              <w:suppressLineNumbers w:val="0"/>
              <w:jc w:val="center"/>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1216" w:type="dxa"/>
            <w:vMerge w:val="continue"/>
            <w:shd w:val="clear" w:color="auto" w:fill="auto"/>
            <w:vAlign w:val="center"/>
          </w:tcPr>
          <w:p w14:paraId="50879E15">
            <w:pPr>
              <w:jc w:val="center"/>
              <w:rPr>
                <w:rFonts w:hint="eastAsia" w:ascii="宋体" w:hAnsi="宋体" w:eastAsia="宋体" w:cs="宋体"/>
                <w:b/>
                <w:bCs/>
                <w:i w:val="0"/>
                <w:iCs w:val="0"/>
                <w:color w:val="auto"/>
                <w:sz w:val="24"/>
                <w:szCs w:val="24"/>
                <w:highlight w:val="none"/>
                <w:u w:val="none"/>
              </w:rPr>
            </w:pPr>
          </w:p>
        </w:tc>
        <w:tc>
          <w:tcPr>
            <w:tcW w:w="1536" w:type="dxa"/>
            <w:vMerge w:val="continue"/>
            <w:shd w:val="clear" w:color="auto" w:fill="auto"/>
            <w:vAlign w:val="center"/>
          </w:tcPr>
          <w:p w14:paraId="04B33583">
            <w:pPr>
              <w:jc w:val="center"/>
              <w:rPr>
                <w:rFonts w:hint="eastAsia" w:ascii="宋体" w:hAnsi="宋体" w:eastAsia="宋体" w:cs="宋体"/>
                <w:b/>
                <w:bCs/>
                <w:i w:val="0"/>
                <w:iCs w:val="0"/>
                <w:color w:val="auto"/>
                <w:sz w:val="24"/>
                <w:szCs w:val="24"/>
                <w:highlight w:val="none"/>
                <w:u w:val="none"/>
              </w:rPr>
            </w:pPr>
          </w:p>
        </w:tc>
        <w:tc>
          <w:tcPr>
            <w:tcW w:w="6036" w:type="dxa"/>
            <w:shd w:val="clear" w:color="auto" w:fill="auto"/>
            <w:vAlign w:val="center"/>
          </w:tcPr>
          <w:p w14:paraId="1ED401C3">
            <w:pPr>
              <w:keepNext w:val="0"/>
              <w:keepLines w:val="0"/>
              <w:widowControl/>
              <w:suppressLineNumbers w:val="0"/>
              <w:jc w:val="both"/>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3、删除年级专业培养方案，删除时需判断本年级专业培养方案中是否已存在开课计划；</w:t>
            </w:r>
          </w:p>
        </w:tc>
      </w:tr>
      <w:tr w14:paraId="4E08C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34" w:hRule="atLeast"/>
          <w:jc w:val="center"/>
        </w:trPr>
        <w:tc>
          <w:tcPr>
            <w:tcW w:w="721" w:type="dxa"/>
            <w:shd w:val="clear" w:color="auto" w:fill="auto"/>
            <w:noWrap/>
            <w:vAlign w:val="center"/>
          </w:tcPr>
          <w:p w14:paraId="067CF3B5">
            <w:pPr>
              <w:keepNext w:val="0"/>
              <w:keepLines w:val="0"/>
              <w:widowControl/>
              <w:suppressLineNumbers w:val="0"/>
              <w:jc w:val="center"/>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1216" w:type="dxa"/>
            <w:vMerge w:val="continue"/>
            <w:shd w:val="clear" w:color="auto" w:fill="auto"/>
            <w:vAlign w:val="center"/>
          </w:tcPr>
          <w:p w14:paraId="09EF31A8">
            <w:pPr>
              <w:jc w:val="center"/>
              <w:rPr>
                <w:rFonts w:hint="eastAsia" w:ascii="宋体" w:hAnsi="宋体" w:eastAsia="宋体" w:cs="宋体"/>
                <w:b/>
                <w:bCs/>
                <w:i w:val="0"/>
                <w:iCs w:val="0"/>
                <w:color w:val="auto"/>
                <w:sz w:val="24"/>
                <w:szCs w:val="24"/>
                <w:highlight w:val="none"/>
                <w:u w:val="none"/>
              </w:rPr>
            </w:pPr>
          </w:p>
        </w:tc>
        <w:tc>
          <w:tcPr>
            <w:tcW w:w="1536" w:type="dxa"/>
            <w:vMerge w:val="continue"/>
            <w:shd w:val="clear" w:color="auto" w:fill="auto"/>
            <w:vAlign w:val="center"/>
          </w:tcPr>
          <w:p w14:paraId="1F561BD0">
            <w:pPr>
              <w:jc w:val="center"/>
              <w:rPr>
                <w:rFonts w:hint="eastAsia" w:ascii="宋体" w:hAnsi="宋体" w:eastAsia="宋体" w:cs="宋体"/>
                <w:b/>
                <w:bCs/>
                <w:i w:val="0"/>
                <w:iCs w:val="0"/>
                <w:color w:val="auto"/>
                <w:sz w:val="24"/>
                <w:szCs w:val="24"/>
                <w:highlight w:val="none"/>
                <w:u w:val="none"/>
              </w:rPr>
            </w:pPr>
          </w:p>
        </w:tc>
        <w:tc>
          <w:tcPr>
            <w:tcW w:w="6036" w:type="dxa"/>
            <w:shd w:val="clear" w:color="auto" w:fill="auto"/>
            <w:vAlign w:val="center"/>
          </w:tcPr>
          <w:p w14:paraId="04CC63A7">
            <w:pPr>
              <w:keepNext w:val="0"/>
              <w:keepLines w:val="0"/>
              <w:widowControl/>
              <w:suppressLineNumbers w:val="0"/>
              <w:jc w:val="both"/>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4、年级专业培养方案继承，可根据年级专业培养方案继承到不同年级专业中</w:t>
            </w:r>
            <w:r>
              <w:rPr>
                <w:rFonts w:hint="eastAsia" w:ascii="宋体" w:hAnsi="宋体" w:cs="宋体"/>
                <w:i w:val="0"/>
                <w:iCs w:val="0"/>
                <w:color w:val="auto"/>
                <w:kern w:val="0"/>
                <w:sz w:val="24"/>
                <w:szCs w:val="24"/>
                <w:highlight w:val="none"/>
                <w:u w:val="none"/>
                <w:lang w:val="en-US" w:eastAsia="zh-CN" w:bidi="ar"/>
              </w:rPr>
              <w:t>，可根据路径、节点等继承</w:t>
            </w: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eastAsia="宋体" w:cs="宋体"/>
                <w:b/>
                <w:bCs/>
                <w:color w:val="auto"/>
                <w:sz w:val="21"/>
                <w:szCs w:val="21"/>
                <w:highlight w:val="none"/>
                <w:u w:val="single"/>
              </w:rPr>
              <w:t>（</w:t>
            </w:r>
            <w:r>
              <w:rPr>
                <w:rFonts w:hint="eastAsia" w:ascii="宋体" w:hAnsi="宋体" w:eastAsia="宋体" w:cs="宋体"/>
                <w:b/>
                <w:bCs/>
                <w:color w:val="auto"/>
                <w:sz w:val="21"/>
                <w:szCs w:val="21"/>
                <w:highlight w:val="none"/>
                <w:u w:val="single"/>
                <w:lang w:val="en-US" w:eastAsia="zh-CN"/>
              </w:rPr>
              <w:t>需进行功能演示</w:t>
            </w:r>
            <w:r>
              <w:rPr>
                <w:rFonts w:hint="eastAsia" w:ascii="宋体" w:hAnsi="宋体" w:eastAsia="宋体" w:cs="宋体"/>
                <w:b/>
                <w:bCs/>
                <w:color w:val="auto"/>
                <w:sz w:val="21"/>
                <w:szCs w:val="21"/>
                <w:highlight w:val="none"/>
                <w:u w:val="single"/>
              </w:rPr>
              <w:t>）</w:t>
            </w:r>
          </w:p>
        </w:tc>
      </w:tr>
      <w:tr w14:paraId="2871E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19" w:hRule="atLeast"/>
          <w:jc w:val="center"/>
        </w:trPr>
        <w:tc>
          <w:tcPr>
            <w:tcW w:w="721" w:type="dxa"/>
            <w:shd w:val="clear" w:color="auto" w:fill="auto"/>
            <w:noWrap/>
            <w:vAlign w:val="center"/>
          </w:tcPr>
          <w:p w14:paraId="695FA0E9">
            <w:pPr>
              <w:keepNext w:val="0"/>
              <w:keepLines w:val="0"/>
              <w:widowControl/>
              <w:suppressLineNumbers w:val="0"/>
              <w:jc w:val="center"/>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1216" w:type="dxa"/>
            <w:vMerge w:val="continue"/>
            <w:shd w:val="clear" w:color="auto" w:fill="auto"/>
            <w:vAlign w:val="center"/>
          </w:tcPr>
          <w:p w14:paraId="56E9EF99">
            <w:pPr>
              <w:jc w:val="center"/>
              <w:rPr>
                <w:rFonts w:hint="eastAsia" w:ascii="宋体" w:hAnsi="宋体" w:eastAsia="宋体" w:cs="宋体"/>
                <w:b/>
                <w:bCs/>
                <w:i w:val="0"/>
                <w:iCs w:val="0"/>
                <w:color w:val="auto"/>
                <w:sz w:val="24"/>
                <w:szCs w:val="24"/>
                <w:highlight w:val="none"/>
                <w:u w:val="none"/>
              </w:rPr>
            </w:pPr>
          </w:p>
        </w:tc>
        <w:tc>
          <w:tcPr>
            <w:tcW w:w="1536" w:type="dxa"/>
            <w:vMerge w:val="continue"/>
            <w:shd w:val="clear" w:color="auto" w:fill="auto"/>
            <w:vAlign w:val="center"/>
          </w:tcPr>
          <w:p w14:paraId="5F61BE5D">
            <w:pPr>
              <w:jc w:val="center"/>
              <w:rPr>
                <w:rFonts w:hint="eastAsia" w:ascii="宋体" w:hAnsi="宋体" w:eastAsia="宋体" w:cs="宋体"/>
                <w:b/>
                <w:bCs/>
                <w:i w:val="0"/>
                <w:iCs w:val="0"/>
                <w:color w:val="auto"/>
                <w:sz w:val="24"/>
                <w:szCs w:val="24"/>
                <w:highlight w:val="none"/>
                <w:u w:val="none"/>
              </w:rPr>
            </w:pPr>
          </w:p>
        </w:tc>
        <w:tc>
          <w:tcPr>
            <w:tcW w:w="6036" w:type="dxa"/>
            <w:shd w:val="clear" w:color="auto" w:fill="auto"/>
            <w:vAlign w:val="center"/>
          </w:tcPr>
          <w:p w14:paraId="6067FC76">
            <w:pPr>
              <w:keepNext w:val="0"/>
              <w:keepLines w:val="0"/>
              <w:widowControl/>
              <w:suppressLineNumbers w:val="0"/>
              <w:jc w:val="both"/>
              <w:textAlignment w:val="bottom"/>
              <w:rPr>
                <w:rFonts w:hint="eastAsia" w:ascii="宋体" w:hAnsi="宋体" w:eastAsia="宋体" w:cs="宋体"/>
                <w:i w:val="0"/>
                <w:iCs w:val="0"/>
                <w:color w:val="auto"/>
                <w:sz w:val="24"/>
                <w:szCs w:val="24"/>
                <w:highlight w:val="none"/>
                <w:u w:val="none"/>
              </w:rPr>
            </w:pPr>
            <w:r>
              <w:rPr>
                <w:rFonts w:hint="default" w:cs="仿宋_GB2312" w:asciiTheme="minorEastAsia" w:hAnsiTheme="minorEastAsia" w:eastAsiaTheme="minorEastAsia"/>
                <w:color w:val="auto"/>
                <w:sz w:val="21"/>
                <w:szCs w:val="21"/>
                <w:highlight w:val="none"/>
              </w:rPr>
              <w:t>★</w:t>
            </w:r>
            <w:r>
              <w:rPr>
                <w:rFonts w:hint="eastAsia" w:ascii="宋体" w:hAnsi="宋体" w:eastAsia="宋体" w:cs="宋体"/>
                <w:i w:val="0"/>
                <w:iCs w:val="0"/>
                <w:color w:val="auto"/>
                <w:kern w:val="0"/>
                <w:sz w:val="24"/>
                <w:szCs w:val="24"/>
                <w:highlight w:val="none"/>
                <w:u w:val="none"/>
                <w:lang w:val="en-US" w:eastAsia="zh-CN" w:bidi="ar"/>
              </w:rPr>
              <w:t>5、个人培养方案，可优先根据年级专业培养方案自定义生成个人专业培养方案，可根据学生来源等不同条件进行个人不同的培养方案设置；</w:t>
            </w:r>
            <w:r>
              <w:rPr>
                <w:rFonts w:hint="default" w:ascii="宋体" w:hAnsi="宋体" w:eastAsia="宋体" w:cs="宋体"/>
                <w:i w:val="0"/>
                <w:iCs w:val="0"/>
                <w:color w:val="auto"/>
                <w:kern w:val="0"/>
                <w:sz w:val="24"/>
                <w:szCs w:val="24"/>
                <w:highlight w:val="none"/>
                <w:u w:val="none"/>
                <w:lang w:val="en-US" w:eastAsia="zh-CN" w:bidi="ar"/>
              </w:rPr>
              <w:t>（</w:t>
            </w:r>
            <w:r>
              <w:rPr>
                <w:rFonts w:hint="eastAsia" w:ascii="宋体" w:hAnsi="宋体"/>
                <w:color w:val="auto"/>
                <w:sz w:val="24"/>
                <w:highlight w:val="none"/>
              </w:rPr>
              <w:t>提供类似项目同类功能截图并加盖公章</w:t>
            </w:r>
            <w:r>
              <w:rPr>
                <w:rFonts w:hint="eastAsia" w:ascii="宋体" w:hAnsi="宋体"/>
                <w:color w:val="auto"/>
                <w:sz w:val="24"/>
                <w:highlight w:val="none"/>
                <w:lang w:eastAsia="zh-CN"/>
              </w:rPr>
              <w:t>，</w:t>
            </w:r>
            <w:r>
              <w:rPr>
                <w:rFonts w:hint="eastAsia" w:ascii="宋体" w:hAnsi="宋体"/>
                <w:color w:val="auto"/>
                <w:sz w:val="24"/>
                <w:highlight w:val="none"/>
                <w:lang w:val="en-US" w:eastAsia="zh-CN"/>
              </w:rPr>
              <w:t>未提供视为负偏离</w:t>
            </w:r>
            <w:r>
              <w:rPr>
                <w:rFonts w:hint="default" w:ascii="宋体" w:hAnsi="宋体" w:eastAsia="宋体" w:cs="宋体"/>
                <w:i w:val="0"/>
                <w:iCs w:val="0"/>
                <w:color w:val="auto"/>
                <w:kern w:val="0"/>
                <w:sz w:val="24"/>
                <w:szCs w:val="24"/>
                <w:highlight w:val="none"/>
                <w:u w:val="none"/>
                <w:lang w:val="en-US" w:eastAsia="zh-CN" w:bidi="ar"/>
              </w:rPr>
              <w:t>)</w:t>
            </w:r>
          </w:p>
        </w:tc>
      </w:tr>
      <w:tr w14:paraId="060D9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20" w:hRule="atLeast"/>
          <w:jc w:val="center"/>
        </w:trPr>
        <w:tc>
          <w:tcPr>
            <w:tcW w:w="721" w:type="dxa"/>
            <w:shd w:val="clear" w:color="auto" w:fill="auto"/>
            <w:noWrap/>
            <w:vAlign w:val="center"/>
          </w:tcPr>
          <w:p w14:paraId="0385266A">
            <w:pPr>
              <w:keepNext w:val="0"/>
              <w:keepLines w:val="0"/>
              <w:widowControl/>
              <w:suppressLineNumbers w:val="0"/>
              <w:jc w:val="center"/>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1216" w:type="dxa"/>
            <w:vMerge w:val="continue"/>
            <w:shd w:val="clear" w:color="auto" w:fill="auto"/>
            <w:vAlign w:val="center"/>
          </w:tcPr>
          <w:p w14:paraId="21D38344">
            <w:pPr>
              <w:jc w:val="center"/>
              <w:rPr>
                <w:rFonts w:hint="eastAsia" w:ascii="宋体" w:hAnsi="宋体" w:eastAsia="宋体" w:cs="宋体"/>
                <w:b/>
                <w:bCs/>
                <w:i w:val="0"/>
                <w:iCs w:val="0"/>
                <w:color w:val="auto"/>
                <w:sz w:val="24"/>
                <w:szCs w:val="24"/>
                <w:highlight w:val="none"/>
                <w:u w:val="none"/>
              </w:rPr>
            </w:pPr>
          </w:p>
        </w:tc>
        <w:tc>
          <w:tcPr>
            <w:tcW w:w="1536" w:type="dxa"/>
            <w:vMerge w:val="continue"/>
            <w:shd w:val="clear" w:color="auto" w:fill="auto"/>
            <w:vAlign w:val="center"/>
          </w:tcPr>
          <w:p w14:paraId="3DDABB5B">
            <w:pPr>
              <w:jc w:val="center"/>
              <w:rPr>
                <w:rFonts w:hint="eastAsia" w:ascii="宋体" w:hAnsi="宋体" w:eastAsia="宋体" w:cs="宋体"/>
                <w:b/>
                <w:bCs/>
                <w:i w:val="0"/>
                <w:iCs w:val="0"/>
                <w:color w:val="auto"/>
                <w:sz w:val="24"/>
                <w:szCs w:val="24"/>
                <w:highlight w:val="none"/>
                <w:u w:val="none"/>
              </w:rPr>
            </w:pPr>
          </w:p>
        </w:tc>
        <w:tc>
          <w:tcPr>
            <w:tcW w:w="6036" w:type="dxa"/>
            <w:shd w:val="clear" w:color="auto" w:fill="auto"/>
            <w:vAlign w:val="center"/>
          </w:tcPr>
          <w:p w14:paraId="5FAC3AC5">
            <w:pPr>
              <w:keepNext w:val="0"/>
              <w:keepLines w:val="0"/>
              <w:widowControl/>
              <w:suppressLineNumbers w:val="0"/>
              <w:jc w:val="both"/>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6、课程组、课程链设置，年级专业培养方案中可根据课程组或者课程链设置培养方案的课程学习链状顺序；</w:t>
            </w:r>
          </w:p>
        </w:tc>
      </w:tr>
      <w:tr w14:paraId="5C91C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58" w:hRule="atLeast"/>
          <w:jc w:val="center"/>
        </w:trPr>
        <w:tc>
          <w:tcPr>
            <w:tcW w:w="721" w:type="dxa"/>
            <w:shd w:val="clear" w:color="auto" w:fill="auto"/>
            <w:noWrap/>
            <w:vAlign w:val="center"/>
          </w:tcPr>
          <w:p w14:paraId="393EE110">
            <w:pPr>
              <w:keepNext w:val="0"/>
              <w:keepLines w:val="0"/>
              <w:widowControl/>
              <w:suppressLineNumbers w:val="0"/>
              <w:jc w:val="center"/>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w:t>
            </w:r>
          </w:p>
        </w:tc>
        <w:tc>
          <w:tcPr>
            <w:tcW w:w="1216" w:type="dxa"/>
            <w:vMerge w:val="continue"/>
            <w:shd w:val="clear" w:color="auto" w:fill="auto"/>
            <w:vAlign w:val="center"/>
          </w:tcPr>
          <w:p w14:paraId="5949F582">
            <w:pPr>
              <w:jc w:val="center"/>
              <w:rPr>
                <w:rFonts w:hint="eastAsia" w:ascii="宋体" w:hAnsi="宋体" w:eastAsia="宋体" w:cs="宋体"/>
                <w:b/>
                <w:bCs/>
                <w:i w:val="0"/>
                <w:iCs w:val="0"/>
                <w:color w:val="auto"/>
                <w:sz w:val="24"/>
                <w:szCs w:val="24"/>
                <w:highlight w:val="none"/>
                <w:u w:val="none"/>
              </w:rPr>
            </w:pPr>
          </w:p>
        </w:tc>
        <w:tc>
          <w:tcPr>
            <w:tcW w:w="1536" w:type="dxa"/>
            <w:vMerge w:val="continue"/>
            <w:shd w:val="clear" w:color="auto" w:fill="auto"/>
            <w:vAlign w:val="center"/>
          </w:tcPr>
          <w:p w14:paraId="231EF476">
            <w:pPr>
              <w:jc w:val="center"/>
              <w:rPr>
                <w:rFonts w:hint="eastAsia" w:ascii="宋体" w:hAnsi="宋体" w:eastAsia="宋体" w:cs="宋体"/>
                <w:b/>
                <w:bCs/>
                <w:i w:val="0"/>
                <w:iCs w:val="0"/>
                <w:color w:val="auto"/>
                <w:sz w:val="24"/>
                <w:szCs w:val="24"/>
                <w:highlight w:val="none"/>
                <w:u w:val="none"/>
              </w:rPr>
            </w:pPr>
          </w:p>
        </w:tc>
        <w:tc>
          <w:tcPr>
            <w:tcW w:w="6036" w:type="dxa"/>
            <w:shd w:val="clear" w:color="auto" w:fill="auto"/>
            <w:vAlign w:val="center"/>
          </w:tcPr>
          <w:p w14:paraId="3ABEFF5E">
            <w:pPr>
              <w:keepNext w:val="0"/>
              <w:keepLines w:val="0"/>
              <w:widowControl/>
              <w:suppressLineNumbers w:val="0"/>
              <w:jc w:val="both"/>
              <w:textAlignment w:val="bottom"/>
              <w:rPr>
                <w:rFonts w:hint="eastAsia" w:ascii="宋体" w:hAnsi="宋体" w:eastAsia="宋体" w:cs="宋体"/>
                <w:i w:val="0"/>
                <w:iCs w:val="0"/>
                <w:color w:val="auto"/>
                <w:sz w:val="24"/>
                <w:szCs w:val="24"/>
                <w:highlight w:val="none"/>
                <w:u w:val="none"/>
              </w:rPr>
            </w:pPr>
            <w:r>
              <w:rPr>
                <w:rFonts w:hint="default" w:cs="仿宋_GB2312" w:asciiTheme="minorEastAsia" w:hAnsiTheme="minorEastAsia" w:eastAsiaTheme="minorEastAsia"/>
                <w:color w:val="auto"/>
                <w:sz w:val="21"/>
                <w:szCs w:val="21"/>
                <w:highlight w:val="none"/>
              </w:rPr>
              <w:t>★</w:t>
            </w:r>
            <w:r>
              <w:rPr>
                <w:rFonts w:hint="eastAsia" w:ascii="宋体" w:hAnsi="宋体" w:eastAsia="宋体" w:cs="宋体"/>
                <w:i w:val="0"/>
                <w:iCs w:val="0"/>
                <w:color w:val="auto"/>
                <w:kern w:val="0"/>
                <w:sz w:val="24"/>
                <w:szCs w:val="24"/>
                <w:highlight w:val="none"/>
                <w:u w:val="none"/>
                <w:lang w:val="en-US" w:eastAsia="zh-CN" w:bidi="ar"/>
              </w:rPr>
              <w:t>7、毕业要求学分设置，可根据不同课程性质与课程类型设置不同年级专业必要要求的最低学分要求，可根据学生不同来源、学习形式等设置不同的学分要求；</w:t>
            </w:r>
            <w:r>
              <w:rPr>
                <w:rFonts w:hint="default" w:ascii="宋体" w:hAnsi="宋体" w:eastAsia="宋体" w:cs="宋体"/>
                <w:i w:val="0"/>
                <w:iCs w:val="0"/>
                <w:color w:val="auto"/>
                <w:kern w:val="0"/>
                <w:sz w:val="24"/>
                <w:szCs w:val="24"/>
                <w:highlight w:val="none"/>
                <w:u w:val="none"/>
                <w:lang w:val="en-US" w:eastAsia="zh-CN" w:bidi="ar"/>
              </w:rPr>
              <w:t>（</w:t>
            </w:r>
            <w:r>
              <w:rPr>
                <w:rFonts w:hint="eastAsia" w:ascii="宋体" w:hAnsi="宋体"/>
                <w:color w:val="auto"/>
                <w:sz w:val="24"/>
                <w:highlight w:val="none"/>
              </w:rPr>
              <w:t>提供类似项目同类功能截图并加盖公章</w:t>
            </w:r>
            <w:r>
              <w:rPr>
                <w:rFonts w:hint="eastAsia" w:ascii="宋体" w:hAnsi="宋体"/>
                <w:color w:val="auto"/>
                <w:sz w:val="24"/>
                <w:highlight w:val="none"/>
                <w:lang w:eastAsia="zh-CN"/>
              </w:rPr>
              <w:t>，</w:t>
            </w:r>
            <w:r>
              <w:rPr>
                <w:rFonts w:hint="eastAsia" w:ascii="宋体" w:hAnsi="宋体"/>
                <w:color w:val="auto"/>
                <w:sz w:val="24"/>
                <w:highlight w:val="none"/>
                <w:lang w:val="en-US" w:eastAsia="zh-CN"/>
              </w:rPr>
              <w:t>未提供视为负偏离</w:t>
            </w:r>
            <w:r>
              <w:rPr>
                <w:rFonts w:hint="default" w:ascii="宋体" w:hAnsi="宋体" w:eastAsia="宋体" w:cs="宋体"/>
                <w:i w:val="0"/>
                <w:iCs w:val="0"/>
                <w:color w:val="auto"/>
                <w:kern w:val="0"/>
                <w:sz w:val="24"/>
                <w:szCs w:val="24"/>
                <w:highlight w:val="none"/>
                <w:u w:val="none"/>
                <w:lang w:val="en-US" w:eastAsia="zh-CN" w:bidi="ar"/>
              </w:rPr>
              <w:t>)</w:t>
            </w:r>
          </w:p>
        </w:tc>
      </w:tr>
      <w:tr w14:paraId="5A4DB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95" w:hRule="atLeast"/>
          <w:jc w:val="center"/>
        </w:trPr>
        <w:tc>
          <w:tcPr>
            <w:tcW w:w="721" w:type="dxa"/>
            <w:shd w:val="clear" w:color="auto" w:fill="auto"/>
            <w:noWrap/>
            <w:vAlign w:val="center"/>
          </w:tcPr>
          <w:p w14:paraId="3F359E1F">
            <w:pPr>
              <w:keepNext w:val="0"/>
              <w:keepLines w:val="0"/>
              <w:widowControl/>
              <w:suppressLineNumbers w:val="0"/>
              <w:jc w:val="center"/>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w:t>
            </w:r>
          </w:p>
        </w:tc>
        <w:tc>
          <w:tcPr>
            <w:tcW w:w="1216" w:type="dxa"/>
            <w:vMerge w:val="continue"/>
            <w:shd w:val="clear" w:color="auto" w:fill="auto"/>
            <w:vAlign w:val="center"/>
          </w:tcPr>
          <w:p w14:paraId="4AAC010B">
            <w:pPr>
              <w:jc w:val="center"/>
              <w:rPr>
                <w:rFonts w:hint="eastAsia" w:ascii="宋体" w:hAnsi="宋体" w:eastAsia="宋体" w:cs="宋体"/>
                <w:b/>
                <w:bCs/>
                <w:i w:val="0"/>
                <w:iCs w:val="0"/>
                <w:color w:val="auto"/>
                <w:sz w:val="24"/>
                <w:szCs w:val="24"/>
                <w:highlight w:val="none"/>
                <w:u w:val="none"/>
              </w:rPr>
            </w:pPr>
          </w:p>
        </w:tc>
        <w:tc>
          <w:tcPr>
            <w:tcW w:w="1536" w:type="dxa"/>
            <w:vMerge w:val="continue"/>
            <w:shd w:val="clear" w:color="auto" w:fill="auto"/>
            <w:vAlign w:val="center"/>
          </w:tcPr>
          <w:p w14:paraId="5DBB3CFE">
            <w:pPr>
              <w:jc w:val="center"/>
              <w:rPr>
                <w:rFonts w:hint="eastAsia" w:ascii="宋体" w:hAnsi="宋体" w:eastAsia="宋体" w:cs="宋体"/>
                <w:b/>
                <w:bCs/>
                <w:i w:val="0"/>
                <w:iCs w:val="0"/>
                <w:color w:val="auto"/>
                <w:sz w:val="24"/>
                <w:szCs w:val="24"/>
                <w:highlight w:val="none"/>
                <w:u w:val="none"/>
              </w:rPr>
            </w:pPr>
          </w:p>
        </w:tc>
        <w:tc>
          <w:tcPr>
            <w:tcW w:w="6036" w:type="dxa"/>
            <w:shd w:val="clear" w:color="auto" w:fill="auto"/>
            <w:vAlign w:val="center"/>
          </w:tcPr>
          <w:p w14:paraId="1A71D997">
            <w:pPr>
              <w:keepNext w:val="0"/>
              <w:keepLines w:val="0"/>
              <w:widowControl/>
              <w:suppressLineNumbers w:val="0"/>
              <w:jc w:val="both"/>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8、研究生培养方案设置，在本科培养方案的基础上调整研究生培养方案设置内容，研究生可设置到研究方向或招生方向。</w:t>
            </w:r>
          </w:p>
        </w:tc>
      </w:tr>
      <w:tr w14:paraId="6FCFC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55" w:hRule="atLeast"/>
          <w:jc w:val="center"/>
        </w:trPr>
        <w:tc>
          <w:tcPr>
            <w:tcW w:w="721" w:type="dxa"/>
            <w:shd w:val="clear" w:color="auto" w:fill="auto"/>
            <w:noWrap/>
            <w:vAlign w:val="center"/>
          </w:tcPr>
          <w:p w14:paraId="180DED2D">
            <w:pPr>
              <w:keepNext w:val="0"/>
              <w:keepLines w:val="0"/>
              <w:widowControl/>
              <w:suppressLineNumbers w:val="0"/>
              <w:jc w:val="center"/>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w:t>
            </w:r>
          </w:p>
        </w:tc>
        <w:tc>
          <w:tcPr>
            <w:tcW w:w="1216" w:type="dxa"/>
            <w:vMerge w:val="continue"/>
            <w:shd w:val="clear" w:color="auto" w:fill="auto"/>
            <w:vAlign w:val="center"/>
          </w:tcPr>
          <w:p w14:paraId="06218CAE">
            <w:pPr>
              <w:jc w:val="center"/>
              <w:rPr>
                <w:rFonts w:hint="eastAsia" w:ascii="宋体" w:hAnsi="宋体" w:eastAsia="宋体" w:cs="宋体"/>
                <w:b/>
                <w:bCs/>
                <w:i w:val="0"/>
                <w:iCs w:val="0"/>
                <w:color w:val="auto"/>
                <w:sz w:val="24"/>
                <w:szCs w:val="24"/>
                <w:highlight w:val="none"/>
                <w:u w:val="none"/>
              </w:rPr>
            </w:pPr>
          </w:p>
        </w:tc>
        <w:tc>
          <w:tcPr>
            <w:tcW w:w="1536" w:type="dxa"/>
            <w:vMerge w:val="restart"/>
            <w:shd w:val="clear" w:color="auto" w:fill="auto"/>
            <w:vAlign w:val="center"/>
          </w:tcPr>
          <w:p w14:paraId="3D7340F0">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考试管理</w:t>
            </w:r>
          </w:p>
        </w:tc>
        <w:tc>
          <w:tcPr>
            <w:tcW w:w="6036" w:type="dxa"/>
            <w:shd w:val="clear" w:color="auto" w:fill="auto"/>
            <w:vAlign w:val="center"/>
          </w:tcPr>
          <w:p w14:paraId="26ADD11B">
            <w:pPr>
              <w:keepNext w:val="0"/>
              <w:keepLines w:val="0"/>
              <w:widowControl/>
              <w:suppressLineNumbers w:val="0"/>
              <w:jc w:val="both"/>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1、考试基础信息设置：排考试学年、学期设置；排考是否允许冲突设置；相同课程不同试卷号是否允许安排不同时间设置等；</w:t>
            </w:r>
          </w:p>
        </w:tc>
      </w:tr>
      <w:tr w14:paraId="5BF75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32" w:hRule="atLeast"/>
          <w:jc w:val="center"/>
        </w:trPr>
        <w:tc>
          <w:tcPr>
            <w:tcW w:w="721" w:type="dxa"/>
            <w:shd w:val="clear" w:color="auto" w:fill="auto"/>
            <w:noWrap/>
            <w:vAlign w:val="center"/>
          </w:tcPr>
          <w:p w14:paraId="4F69ADBA">
            <w:pPr>
              <w:keepNext w:val="0"/>
              <w:keepLines w:val="0"/>
              <w:widowControl/>
              <w:suppressLineNumbers w:val="0"/>
              <w:jc w:val="center"/>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1216" w:type="dxa"/>
            <w:vMerge w:val="continue"/>
            <w:shd w:val="clear" w:color="auto" w:fill="auto"/>
            <w:vAlign w:val="center"/>
          </w:tcPr>
          <w:p w14:paraId="4F8FB0C7">
            <w:pPr>
              <w:jc w:val="center"/>
              <w:rPr>
                <w:rFonts w:hint="eastAsia" w:ascii="宋体" w:hAnsi="宋体" w:eastAsia="宋体" w:cs="宋体"/>
                <w:b/>
                <w:bCs/>
                <w:i w:val="0"/>
                <w:iCs w:val="0"/>
                <w:color w:val="auto"/>
                <w:sz w:val="24"/>
                <w:szCs w:val="24"/>
                <w:highlight w:val="none"/>
                <w:u w:val="none"/>
              </w:rPr>
            </w:pPr>
          </w:p>
        </w:tc>
        <w:tc>
          <w:tcPr>
            <w:tcW w:w="1536" w:type="dxa"/>
            <w:vMerge w:val="continue"/>
            <w:shd w:val="clear" w:color="auto" w:fill="auto"/>
            <w:vAlign w:val="center"/>
          </w:tcPr>
          <w:p w14:paraId="670FDC8A">
            <w:pPr>
              <w:jc w:val="center"/>
              <w:rPr>
                <w:rFonts w:hint="eastAsia" w:ascii="宋体" w:hAnsi="宋体" w:eastAsia="宋体" w:cs="宋体"/>
                <w:b/>
                <w:bCs/>
                <w:i w:val="0"/>
                <w:iCs w:val="0"/>
                <w:color w:val="auto"/>
                <w:sz w:val="24"/>
                <w:szCs w:val="24"/>
                <w:highlight w:val="none"/>
                <w:u w:val="none"/>
              </w:rPr>
            </w:pPr>
          </w:p>
        </w:tc>
        <w:tc>
          <w:tcPr>
            <w:tcW w:w="6036" w:type="dxa"/>
            <w:shd w:val="clear" w:color="auto" w:fill="auto"/>
            <w:noWrap/>
            <w:vAlign w:val="center"/>
          </w:tcPr>
          <w:p w14:paraId="490763A4">
            <w:pPr>
              <w:keepNext w:val="0"/>
              <w:keepLines w:val="0"/>
              <w:widowControl/>
              <w:suppressLineNumbers w:val="0"/>
              <w:jc w:val="both"/>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2、考场信息设置：设置考场是否可用、考场的类别、考场考试座位数等信息；</w:t>
            </w:r>
          </w:p>
        </w:tc>
      </w:tr>
      <w:tr w14:paraId="4794F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55" w:hRule="atLeast"/>
          <w:jc w:val="center"/>
        </w:trPr>
        <w:tc>
          <w:tcPr>
            <w:tcW w:w="721" w:type="dxa"/>
            <w:shd w:val="clear" w:color="auto" w:fill="auto"/>
            <w:noWrap/>
            <w:vAlign w:val="center"/>
          </w:tcPr>
          <w:p w14:paraId="1CACFA15">
            <w:pPr>
              <w:keepNext w:val="0"/>
              <w:keepLines w:val="0"/>
              <w:widowControl/>
              <w:suppressLineNumbers w:val="0"/>
              <w:jc w:val="center"/>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w:t>
            </w:r>
          </w:p>
        </w:tc>
        <w:tc>
          <w:tcPr>
            <w:tcW w:w="1216" w:type="dxa"/>
            <w:vMerge w:val="continue"/>
            <w:shd w:val="clear" w:color="auto" w:fill="auto"/>
            <w:vAlign w:val="center"/>
          </w:tcPr>
          <w:p w14:paraId="552BC6D8">
            <w:pPr>
              <w:jc w:val="center"/>
              <w:rPr>
                <w:rFonts w:hint="eastAsia" w:ascii="宋体" w:hAnsi="宋体" w:eastAsia="宋体" w:cs="宋体"/>
                <w:b/>
                <w:bCs/>
                <w:i w:val="0"/>
                <w:iCs w:val="0"/>
                <w:color w:val="auto"/>
                <w:sz w:val="24"/>
                <w:szCs w:val="24"/>
                <w:highlight w:val="none"/>
                <w:u w:val="none"/>
              </w:rPr>
            </w:pPr>
          </w:p>
        </w:tc>
        <w:tc>
          <w:tcPr>
            <w:tcW w:w="1536" w:type="dxa"/>
            <w:vMerge w:val="continue"/>
            <w:shd w:val="clear" w:color="auto" w:fill="auto"/>
            <w:vAlign w:val="center"/>
          </w:tcPr>
          <w:p w14:paraId="1D75CE99">
            <w:pPr>
              <w:jc w:val="center"/>
              <w:rPr>
                <w:rFonts w:hint="eastAsia" w:ascii="宋体" w:hAnsi="宋体" w:eastAsia="宋体" w:cs="宋体"/>
                <w:b/>
                <w:bCs/>
                <w:i w:val="0"/>
                <w:iCs w:val="0"/>
                <w:color w:val="auto"/>
                <w:sz w:val="24"/>
                <w:szCs w:val="24"/>
                <w:highlight w:val="none"/>
                <w:u w:val="none"/>
              </w:rPr>
            </w:pPr>
          </w:p>
        </w:tc>
        <w:tc>
          <w:tcPr>
            <w:tcW w:w="6036" w:type="dxa"/>
            <w:shd w:val="clear" w:color="auto" w:fill="auto"/>
            <w:vAlign w:val="center"/>
          </w:tcPr>
          <w:p w14:paraId="18876DB1">
            <w:pPr>
              <w:keepNext w:val="0"/>
              <w:keepLines w:val="0"/>
              <w:widowControl/>
              <w:suppressLineNumbers w:val="0"/>
              <w:jc w:val="both"/>
              <w:textAlignment w:val="bottom"/>
              <w:rPr>
                <w:rFonts w:hint="eastAsia" w:ascii="宋体" w:hAnsi="宋体" w:eastAsia="宋体" w:cs="宋体"/>
                <w:i w:val="0"/>
                <w:iCs w:val="0"/>
                <w:color w:val="auto"/>
                <w:sz w:val="24"/>
                <w:szCs w:val="24"/>
                <w:highlight w:val="none"/>
                <w:u w:val="none"/>
              </w:rPr>
            </w:pPr>
            <w:r>
              <w:rPr>
                <w:rFonts w:hint="default" w:cs="仿宋_GB2312" w:asciiTheme="minorEastAsia" w:hAnsiTheme="minorEastAsia" w:eastAsiaTheme="minorEastAsia"/>
                <w:color w:val="auto"/>
                <w:sz w:val="21"/>
                <w:szCs w:val="21"/>
                <w:highlight w:val="none"/>
              </w:rPr>
              <w:t>★</w:t>
            </w:r>
            <w:r>
              <w:rPr>
                <w:rFonts w:hint="eastAsia" w:ascii="宋体" w:hAnsi="宋体" w:eastAsia="宋体" w:cs="宋体"/>
                <w:i w:val="0"/>
                <w:iCs w:val="0"/>
                <w:color w:val="auto"/>
                <w:kern w:val="0"/>
                <w:sz w:val="24"/>
                <w:szCs w:val="24"/>
                <w:highlight w:val="none"/>
                <w:u w:val="none"/>
                <w:lang w:val="en-US" w:eastAsia="zh-CN" w:bidi="ar"/>
              </w:rPr>
              <w:t>3、考试设置：考试学年学期、考试类型（统一、补考、随堂、结业换证）、考试性质（正常考试、缓考、补考、旷考、重修等）；</w:t>
            </w:r>
            <w:r>
              <w:rPr>
                <w:rFonts w:hint="default" w:ascii="宋体" w:hAnsi="宋体" w:eastAsia="宋体" w:cs="宋体"/>
                <w:i w:val="0"/>
                <w:iCs w:val="0"/>
                <w:color w:val="auto"/>
                <w:kern w:val="0"/>
                <w:sz w:val="24"/>
                <w:szCs w:val="24"/>
                <w:highlight w:val="none"/>
                <w:u w:val="none"/>
                <w:lang w:val="en-US" w:eastAsia="zh-CN" w:bidi="ar"/>
              </w:rPr>
              <w:t>（</w:t>
            </w:r>
            <w:r>
              <w:rPr>
                <w:rFonts w:hint="eastAsia" w:ascii="宋体" w:hAnsi="宋体"/>
                <w:color w:val="auto"/>
                <w:sz w:val="24"/>
                <w:highlight w:val="none"/>
              </w:rPr>
              <w:t>提供类似项目同类功能截图并加盖公章</w:t>
            </w:r>
            <w:r>
              <w:rPr>
                <w:rFonts w:hint="eastAsia" w:ascii="宋体" w:hAnsi="宋体"/>
                <w:color w:val="auto"/>
                <w:sz w:val="24"/>
                <w:highlight w:val="none"/>
                <w:lang w:eastAsia="zh-CN"/>
              </w:rPr>
              <w:t>，</w:t>
            </w:r>
            <w:r>
              <w:rPr>
                <w:rFonts w:hint="eastAsia" w:ascii="宋体" w:hAnsi="宋体"/>
                <w:color w:val="auto"/>
                <w:sz w:val="24"/>
                <w:highlight w:val="none"/>
                <w:lang w:val="en-US" w:eastAsia="zh-CN"/>
              </w:rPr>
              <w:t>未提供视为负偏离</w:t>
            </w:r>
            <w:r>
              <w:rPr>
                <w:rFonts w:hint="default" w:ascii="宋体" w:hAnsi="宋体" w:eastAsia="宋体" w:cs="宋体"/>
                <w:i w:val="0"/>
                <w:iCs w:val="0"/>
                <w:color w:val="auto"/>
                <w:kern w:val="0"/>
                <w:sz w:val="24"/>
                <w:szCs w:val="24"/>
                <w:highlight w:val="none"/>
                <w:u w:val="none"/>
                <w:lang w:val="en-US" w:eastAsia="zh-CN" w:bidi="ar"/>
              </w:rPr>
              <w:t>)</w:t>
            </w:r>
          </w:p>
        </w:tc>
      </w:tr>
      <w:tr w14:paraId="79D33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2" w:hRule="atLeast"/>
          <w:jc w:val="center"/>
        </w:trPr>
        <w:tc>
          <w:tcPr>
            <w:tcW w:w="721" w:type="dxa"/>
            <w:shd w:val="clear" w:color="auto" w:fill="auto"/>
            <w:noWrap/>
            <w:vAlign w:val="center"/>
          </w:tcPr>
          <w:p w14:paraId="0ED1F175">
            <w:pPr>
              <w:keepNext w:val="0"/>
              <w:keepLines w:val="0"/>
              <w:widowControl/>
              <w:suppressLineNumbers w:val="0"/>
              <w:jc w:val="center"/>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w:t>
            </w:r>
          </w:p>
        </w:tc>
        <w:tc>
          <w:tcPr>
            <w:tcW w:w="1216" w:type="dxa"/>
            <w:vMerge w:val="continue"/>
            <w:shd w:val="clear" w:color="auto" w:fill="auto"/>
            <w:vAlign w:val="center"/>
          </w:tcPr>
          <w:p w14:paraId="67B822F2">
            <w:pPr>
              <w:jc w:val="center"/>
              <w:rPr>
                <w:rFonts w:hint="eastAsia" w:ascii="宋体" w:hAnsi="宋体" w:eastAsia="宋体" w:cs="宋体"/>
                <w:b/>
                <w:bCs/>
                <w:i w:val="0"/>
                <w:iCs w:val="0"/>
                <w:color w:val="auto"/>
                <w:sz w:val="24"/>
                <w:szCs w:val="24"/>
                <w:highlight w:val="none"/>
                <w:u w:val="none"/>
              </w:rPr>
            </w:pPr>
          </w:p>
        </w:tc>
        <w:tc>
          <w:tcPr>
            <w:tcW w:w="1536" w:type="dxa"/>
            <w:vMerge w:val="continue"/>
            <w:shd w:val="clear" w:color="auto" w:fill="auto"/>
            <w:vAlign w:val="center"/>
          </w:tcPr>
          <w:p w14:paraId="064B3261">
            <w:pPr>
              <w:jc w:val="center"/>
              <w:rPr>
                <w:rFonts w:hint="eastAsia" w:ascii="宋体" w:hAnsi="宋体" w:eastAsia="宋体" w:cs="宋体"/>
                <w:b/>
                <w:bCs/>
                <w:i w:val="0"/>
                <w:iCs w:val="0"/>
                <w:color w:val="auto"/>
                <w:sz w:val="24"/>
                <w:szCs w:val="24"/>
                <w:highlight w:val="none"/>
                <w:u w:val="none"/>
              </w:rPr>
            </w:pPr>
          </w:p>
        </w:tc>
        <w:tc>
          <w:tcPr>
            <w:tcW w:w="6036" w:type="dxa"/>
            <w:shd w:val="clear" w:color="auto" w:fill="auto"/>
            <w:noWrap/>
            <w:vAlign w:val="center"/>
          </w:tcPr>
          <w:p w14:paraId="6B81424F">
            <w:pPr>
              <w:keepNext w:val="0"/>
              <w:keepLines w:val="0"/>
              <w:widowControl/>
              <w:suppressLineNumbers w:val="0"/>
              <w:jc w:val="both"/>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4、考试时间设置：根据考试类型设置不同的时间；</w:t>
            </w:r>
          </w:p>
        </w:tc>
      </w:tr>
      <w:tr w14:paraId="283E4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32" w:hRule="atLeast"/>
          <w:jc w:val="center"/>
        </w:trPr>
        <w:tc>
          <w:tcPr>
            <w:tcW w:w="721" w:type="dxa"/>
            <w:shd w:val="clear" w:color="auto" w:fill="auto"/>
            <w:noWrap/>
            <w:vAlign w:val="center"/>
          </w:tcPr>
          <w:p w14:paraId="5F8C8A72">
            <w:pPr>
              <w:keepNext w:val="0"/>
              <w:keepLines w:val="0"/>
              <w:widowControl/>
              <w:suppressLineNumbers w:val="0"/>
              <w:jc w:val="center"/>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w:t>
            </w:r>
          </w:p>
        </w:tc>
        <w:tc>
          <w:tcPr>
            <w:tcW w:w="1216" w:type="dxa"/>
            <w:vMerge w:val="continue"/>
            <w:shd w:val="clear" w:color="auto" w:fill="auto"/>
            <w:vAlign w:val="center"/>
          </w:tcPr>
          <w:p w14:paraId="2681DB3A">
            <w:pPr>
              <w:jc w:val="center"/>
              <w:rPr>
                <w:rFonts w:hint="eastAsia" w:ascii="宋体" w:hAnsi="宋体" w:eastAsia="宋体" w:cs="宋体"/>
                <w:b/>
                <w:bCs/>
                <w:i w:val="0"/>
                <w:iCs w:val="0"/>
                <w:color w:val="auto"/>
                <w:sz w:val="24"/>
                <w:szCs w:val="24"/>
                <w:highlight w:val="none"/>
                <w:u w:val="none"/>
              </w:rPr>
            </w:pPr>
          </w:p>
        </w:tc>
        <w:tc>
          <w:tcPr>
            <w:tcW w:w="1536" w:type="dxa"/>
            <w:vMerge w:val="continue"/>
            <w:shd w:val="clear" w:color="auto" w:fill="auto"/>
            <w:vAlign w:val="center"/>
          </w:tcPr>
          <w:p w14:paraId="49725385">
            <w:pPr>
              <w:jc w:val="center"/>
              <w:rPr>
                <w:rFonts w:hint="eastAsia" w:ascii="宋体" w:hAnsi="宋体" w:eastAsia="宋体" w:cs="宋体"/>
                <w:b/>
                <w:bCs/>
                <w:i w:val="0"/>
                <w:iCs w:val="0"/>
                <w:color w:val="auto"/>
                <w:sz w:val="24"/>
                <w:szCs w:val="24"/>
                <w:highlight w:val="none"/>
                <w:u w:val="none"/>
              </w:rPr>
            </w:pPr>
          </w:p>
        </w:tc>
        <w:tc>
          <w:tcPr>
            <w:tcW w:w="6036" w:type="dxa"/>
            <w:shd w:val="clear" w:color="auto" w:fill="auto"/>
            <w:noWrap/>
            <w:vAlign w:val="center"/>
          </w:tcPr>
          <w:p w14:paraId="5F466B83">
            <w:pPr>
              <w:keepNext w:val="0"/>
              <w:keepLines w:val="0"/>
              <w:widowControl/>
              <w:suppressLineNumbers w:val="0"/>
              <w:jc w:val="both"/>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5、考试场次设置：根据不同的考试名称，设置不同的场次时间；</w:t>
            </w:r>
          </w:p>
        </w:tc>
      </w:tr>
      <w:tr w14:paraId="7D629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2" w:hRule="atLeast"/>
          <w:jc w:val="center"/>
        </w:trPr>
        <w:tc>
          <w:tcPr>
            <w:tcW w:w="721" w:type="dxa"/>
            <w:shd w:val="clear" w:color="auto" w:fill="auto"/>
            <w:noWrap/>
            <w:vAlign w:val="center"/>
          </w:tcPr>
          <w:p w14:paraId="25C588F8">
            <w:pPr>
              <w:keepNext w:val="0"/>
              <w:keepLines w:val="0"/>
              <w:widowControl/>
              <w:suppressLineNumbers w:val="0"/>
              <w:jc w:val="center"/>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w:t>
            </w:r>
          </w:p>
        </w:tc>
        <w:tc>
          <w:tcPr>
            <w:tcW w:w="1216" w:type="dxa"/>
            <w:vMerge w:val="continue"/>
            <w:shd w:val="clear" w:color="auto" w:fill="auto"/>
            <w:vAlign w:val="center"/>
          </w:tcPr>
          <w:p w14:paraId="6277D083">
            <w:pPr>
              <w:jc w:val="center"/>
              <w:rPr>
                <w:rFonts w:hint="eastAsia" w:ascii="宋体" w:hAnsi="宋体" w:eastAsia="宋体" w:cs="宋体"/>
                <w:b/>
                <w:bCs/>
                <w:i w:val="0"/>
                <w:iCs w:val="0"/>
                <w:color w:val="auto"/>
                <w:sz w:val="24"/>
                <w:szCs w:val="24"/>
                <w:highlight w:val="none"/>
                <w:u w:val="none"/>
              </w:rPr>
            </w:pPr>
          </w:p>
        </w:tc>
        <w:tc>
          <w:tcPr>
            <w:tcW w:w="1536" w:type="dxa"/>
            <w:vMerge w:val="continue"/>
            <w:shd w:val="clear" w:color="auto" w:fill="auto"/>
            <w:vAlign w:val="center"/>
          </w:tcPr>
          <w:p w14:paraId="2D730E79">
            <w:pPr>
              <w:jc w:val="center"/>
              <w:rPr>
                <w:rFonts w:hint="eastAsia" w:ascii="宋体" w:hAnsi="宋体" w:eastAsia="宋体" w:cs="宋体"/>
                <w:b/>
                <w:bCs/>
                <w:i w:val="0"/>
                <w:iCs w:val="0"/>
                <w:color w:val="auto"/>
                <w:sz w:val="24"/>
                <w:szCs w:val="24"/>
                <w:highlight w:val="none"/>
                <w:u w:val="none"/>
              </w:rPr>
            </w:pPr>
          </w:p>
        </w:tc>
        <w:tc>
          <w:tcPr>
            <w:tcW w:w="6036" w:type="dxa"/>
            <w:shd w:val="clear" w:color="auto" w:fill="auto"/>
            <w:vAlign w:val="center"/>
          </w:tcPr>
          <w:p w14:paraId="2730173C">
            <w:pPr>
              <w:keepNext w:val="0"/>
              <w:keepLines w:val="0"/>
              <w:widowControl/>
              <w:suppressLineNumbers w:val="0"/>
              <w:jc w:val="both"/>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6、考试任务维护：根据学期开设的课程任务生成考试信息，同时设置当前课程考试形式与考试方式等信息；</w:t>
            </w:r>
          </w:p>
        </w:tc>
      </w:tr>
      <w:tr w14:paraId="5BE96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2" w:hRule="atLeast"/>
          <w:jc w:val="center"/>
        </w:trPr>
        <w:tc>
          <w:tcPr>
            <w:tcW w:w="721" w:type="dxa"/>
            <w:shd w:val="clear" w:color="auto" w:fill="auto"/>
            <w:noWrap/>
            <w:vAlign w:val="center"/>
          </w:tcPr>
          <w:p w14:paraId="7D4848F7">
            <w:pPr>
              <w:keepNext w:val="0"/>
              <w:keepLines w:val="0"/>
              <w:widowControl/>
              <w:suppressLineNumbers w:val="0"/>
              <w:jc w:val="center"/>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w:t>
            </w:r>
          </w:p>
        </w:tc>
        <w:tc>
          <w:tcPr>
            <w:tcW w:w="1216" w:type="dxa"/>
            <w:vMerge w:val="continue"/>
            <w:shd w:val="clear" w:color="auto" w:fill="auto"/>
            <w:vAlign w:val="center"/>
          </w:tcPr>
          <w:p w14:paraId="0F907EAC">
            <w:pPr>
              <w:jc w:val="center"/>
              <w:rPr>
                <w:rFonts w:hint="eastAsia" w:ascii="宋体" w:hAnsi="宋体" w:eastAsia="宋体" w:cs="宋体"/>
                <w:b/>
                <w:bCs/>
                <w:i w:val="0"/>
                <w:iCs w:val="0"/>
                <w:color w:val="auto"/>
                <w:sz w:val="24"/>
                <w:szCs w:val="24"/>
                <w:highlight w:val="none"/>
                <w:u w:val="none"/>
              </w:rPr>
            </w:pPr>
          </w:p>
        </w:tc>
        <w:tc>
          <w:tcPr>
            <w:tcW w:w="1536" w:type="dxa"/>
            <w:vMerge w:val="continue"/>
            <w:shd w:val="clear" w:color="auto" w:fill="auto"/>
            <w:vAlign w:val="center"/>
          </w:tcPr>
          <w:p w14:paraId="0B293636">
            <w:pPr>
              <w:jc w:val="center"/>
              <w:rPr>
                <w:rFonts w:hint="eastAsia" w:ascii="宋体" w:hAnsi="宋体" w:eastAsia="宋体" w:cs="宋体"/>
                <w:b/>
                <w:bCs/>
                <w:i w:val="0"/>
                <w:iCs w:val="0"/>
                <w:color w:val="auto"/>
                <w:sz w:val="24"/>
                <w:szCs w:val="24"/>
                <w:highlight w:val="none"/>
                <w:u w:val="none"/>
              </w:rPr>
            </w:pPr>
          </w:p>
        </w:tc>
        <w:tc>
          <w:tcPr>
            <w:tcW w:w="6036" w:type="dxa"/>
            <w:shd w:val="clear" w:color="auto" w:fill="auto"/>
            <w:vAlign w:val="center"/>
          </w:tcPr>
          <w:p w14:paraId="5265C3C6">
            <w:pPr>
              <w:keepNext w:val="0"/>
              <w:keepLines w:val="0"/>
              <w:widowControl/>
              <w:suppressLineNumbers w:val="0"/>
              <w:jc w:val="both"/>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7、考试卷号维护：根据课程教学班任务、校区、考试形式、考试类型等生成考试卷号，可调整考试卷号；</w:t>
            </w:r>
          </w:p>
        </w:tc>
      </w:tr>
      <w:tr w14:paraId="7134B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8" w:hRule="atLeast"/>
          <w:jc w:val="center"/>
        </w:trPr>
        <w:tc>
          <w:tcPr>
            <w:tcW w:w="721" w:type="dxa"/>
            <w:shd w:val="clear" w:color="auto" w:fill="auto"/>
            <w:noWrap/>
            <w:vAlign w:val="center"/>
          </w:tcPr>
          <w:p w14:paraId="3AC592DC">
            <w:pPr>
              <w:keepNext w:val="0"/>
              <w:keepLines w:val="0"/>
              <w:widowControl/>
              <w:suppressLineNumbers w:val="0"/>
              <w:jc w:val="center"/>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w:t>
            </w:r>
          </w:p>
        </w:tc>
        <w:tc>
          <w:tcPr>
            <w:tcW w:w="1216" w:type="dxa"/>
            <w:vMerge w:val="continue"/>
            <w:shd w:val="clear" w:color="auto" w:fill="auto"/>
            <w:vAlign w:val="center"/>
          </w:tcPr>
          <w:p w14:paraId="24C713C5">
            <w:pPr>
              <w:jc w:val="center"/>
              <w:rPr>
                <w:rFonts w:hint="eastAsia" w:ascii="宋体" w:hAnsi="宋体" w:eastAsia="宋体" w:cs="宋体"/>
                <w:b/>
                <w:bCs/>
                <w:i w:val="0"/>
                <w:iCs w:val="0"/>
                <w:color w:val="auto"/>
                <w:sz w:val="24"/>
                <w:szCs w:val="24"/>
                <w:highlight w:val="none"/>
                <w:u w:val="none"/>
              </w:rPr>
            </w:pPr>
          </w:p>
        </w:tc>
        <w:tc>
          <w:tcPr>
            <w:tcW w:w="1536" w:type="dxa"/>
            <w:vMerge w:val="continue"/>
            <w:shd w:val="clear" w:color="auto" w:fill="auto"/>
            <w:vAlign w:val="center"/>
          </w:tcPr>
          <w:p w14:paraId="6DF7DF37">
            <w:pPr>
              <w:jc w:val="center"/>
              <w:rPr>
                <w:rFonts w:hint="eastAsia" w:ascii="宋体" w:hAnsi="宋体" w:eastAsia="宋体" w:cs="宋体"/>
                <w:b/>
                <w:bCs/>
                <w:i w:val="0"/>
                <w:iCs w:val="0"/>
                <w:color w:val="auto"/>
                <w:sz w:val="24"/>
                <w:szCs w:val="24"/>
                <w:highlight w:val="none"/>
                <w:u w:val="none"/>
              </w:rPr>
            </w:pPr>
          </w:p>
        </w:tc>
        <w:tc>
          <w:tcPr>
            <w:tcW w:w="6036" w:type="dxa"/>
            <w:shd w:val="clear" w:color="auto" w:fill="auto"/>
            <w:vAlign w:val="center"/>
          </w:tcPr>
          <w:p w14:paraId="5C90EFFA">
            <w:pPr>
              <w:keepNext w:val="0"/>
              <w:keepLines w:val="0"/>
              <w:widowControl/>
              <w:suppressLineNumbers w:val="0"/>
              <w:jc w:val="both"/>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8、考试排考设置：按照教学班、试卷或学院设置排考方式，设置完成后，发布本次考试信息；</w:t>
            </w:r>
          </w:p>
        </w:tc>
      </w:tr>
      <w:tr w14:paraId="445E8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94" w:hRule="atLeast"/>
          <w:jc w:val="center"/>
        </w:trPr>
        <w:tc>
          <w:tcPr>
            <w:tcW w:w="721" w:type="dxa"/>
            <w:shd w:val="clear" w:color="auto" w:fill="auto"/>
            <w:noWrap/>
            <w:vAlign w:val="center"/>
          </w:tcPr>
          <w:p w14:paraId="21C90419">
            <w:pPr>
              <w:keepNext w:val="0"/>
              <w:keepLines w:val="0"/>
              <w:widowControl/>
              <w:suppressLineNumbers w:val="0"/>
              <w:jc w:val="center"/>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17</w:t>
            </w:r>
          </w:p>
        </w:tc>
        <w:tc>
          <w:tcPr>
            <w:tcW w:w="1216" w:type="dxa"/>
            <w:vMerge w:val="continue"/>
            <w:shd w:val="clear" w:color="auto" w:fill="auto"/>
            <w:vAlign w:val="center"/>
          </w:tcPr>
          <w:p w14:paraId="3045BF77">
            <w:pPr>
              <w:jc w:val="center"/>
              <w:rPr>
                <w:rFonts w:hint="eastAsia" w:ascii="宋体" w:hAnsi="宋体" w:eastAsia="宋体" w:cs="宋体"/>
                <w:b/>
                <w:bCs/>
                <w:i w:val="0"/>
                <w:iCs w:val="0"/>
                <w:color w:val="auto"/>
                <w:sz w:val="24"/>
                <w:szCs w:val="24"/>
                <w:highlight w:val="none"/>
                <w:u w:val="none"/>
              </w:rPr>
            </w:pPr>
          </w:p>
        </w:tc>
        <w:tc>
          <w:tcPr>
            <w:tcW w:w="1536" w:type="dxa"/>
            <w:vMerge w:val="continue"/>
            <w:shd w:val="clear" w:color="auto" w:fill="auto"/>
            <w:vAlign w:val="center"/>
          </w:tcPr>
          <w:p w14:paraId="645147AF">
            <w:pPr>
              <w:jc w:val="center"/>
              <w:rPr>
                <w:rFonts w:hint="eastAsia" w:ascii="宋体" w:hAnsi="宋体" w:eastAsia="宋体" w:cs="宋体"/>
                <w:b/>
                <w:bCs/>
                <w:i w:val="0"/>
                <w:iCs w:val="0"/>
                <w:color w:val="auto"/>
                <w:sz w:val="24"/>
                <w:szCs w:val="24"/>
                <w:highlight w:val="none"/>
                <w:u w:val="none"/>
              </w:rPr>
            </w:pPr>
          </w:p>
        </w:tc>
        <w:tc>
          <w:tcPr>
            <w:tcW w:w="6036" w:type="dxa"/>
            <w:shd w:val="clear" w:color="auto" w:fill="auto"/>
            <w:vAlign w:val="center"/>
          </w:tcPr>
          <w:p w14:paraId="00EB41E9">
            <w:pPr>
              <w:keepNext w:val="0"/>
              <w:keepLines w:val="0"/>
              <w:widowControl/>
              <w:suppressLineNumbers w:val="0"/>
              <w:jc w:val="both"/>
              <w:textAlignment w:val="bottom"/>
              <w:rPr>
                <w:rFonts w:hint="eastAsia" w:ascii="宋体" w:hAnsi="宋体" w:eastAsia="宋体" w:cs="宋体"/>
                <w:i w:val="0"/>
                <w:iCs w:val="0"/>
                <w:color w:val="auto"/>
                <w:sz w:val="24"/>
                <w:szCs w:val="24"/>
                <w:highlight w:val="none"/>
                <w:u w:val="none"/>
              </w:rPr>
            </w:pPr>
            <w:r>
              <w:rPr>
                <w:rFonts w:hint="default" w:cs="仿宋_GB2312" w:asciiTheme="minorEastAsia" w:hAnsiTheme="minorEastAsia" w:eastAsiaTheme="minorEastAsia"/>
                <w:color w:val="auto"/>
                <w:sz w:val="21"/>
                <w:szCs w:val="21"/>
                <w:highlight w:val="none"/>
              </w:rPr>
              <w:t>★</w:t>
            </w:r>
            <w:r>
              <w:rPr>
                <w:rFonts w:hint="eastAsia" w:ascii="宋体" w:hAnsi="宋体" w:eastAsia="宋体" w:cs="宋体"/>
                <w:i w:val="0"/>
                <w:iCs w:val="0"/>
                <w:color w:val="auto"/>
                <w:kern w:val="0"/>
                <w:sz w:val="24"/>
                <w:szCs w:val="24"/>
                <w:highlight w:val="none"/>
                <w:u w:val="none"/>
                <w:lang w:val="en-US" w:eastAsia="zh-CN" w:bidi="ar"/>
              </w:rPr>
              <w:t>9、集中考试时间安排：根据试卷编号课程，安排考试时间，可选是否判断学生课程上课时间冲突等；</w:t>
            </w:r>
            <w:r>
              <w:rPr>
                <w:rFonts w:hint="default" w:ascii="宋体" w:hAnsi="宋体" w:eastAsia="宋体" w:cs="宋体"/>
                <w:i w:val="0"/>
                <w:iCs w:val="0"/>
                <w:color w:val="auto"/>
                <w:kern w:val="0"/>
                <w:sz w:val="24"/>
                <w:szCs w:val="24"/>
                <w:highlight w:val="none"/>
                <w:u w:val="none"/>
                <w:lang w:val="en-US" w:eastAsia="zh-CN" w:bidi="ar"/>
              </w:rPr>
              <w:t>（</w:t>
            </w:r>
            <w:r>
              <w:rPr>
                <w:rFonts w:hint="eastAsia" w:ascii="宋体" w:hAnsi="宋体"/>
                <w:color w:val="auto"/>
                <w:sz w:val="24"/>
                <w:highlight w:val="none"/>
              </w:rPr>
              <w:t>提供类似项目同类功能截图并加盖公章</w:t>
            </w:r>
            <w:r>
              <w:rPr>
                <w:rFonts w:hint="eastAsia" w:ascii="宋体" w:hAnsi="宋体"/>
                <w:color w:val="auto"/>
                <w:sz w:val="24"/>
                <w:highlight w:val="none"/>
                <w:lang w:eastAsia="zh-CN"/>
              </w:rPr>
              <w:t>，</w:t>
            </w:r>
            <w:r>
              <w:rPr>
                <w:rFonts w:hint="eastAsia" w:ascii="宋体" w:hAnsi="宋体"/>
                <w:color w:val="auto"/>
                <w:sz w:val="24"/>
                <w:highlight w:val="none"/>
                <w:lang w:val="en-US" w:eastAsia="zh-CN"/>
              </w:rPr>
              <w:t>未提供视为负偏离</w:t>
            </w:r>
            <w:r>
              <w:rPr>
                <w:rFonts w:hint="default" w:ascii="宋体" w:hAnsi="宋体" w:eastAsia="宋体" w:cs="宋体"/>
                <w:i w:val="0"/>
                <w:iCs w:val="0"/>
                <w:color w:val="auto"/>
                <w:kern w:val="0"/>
                <w:sz w:val="24"/>
                <w:szCs w:val="24"/>
                <w:highlight w:val="none"/>
                <w:u w:val="none"/>
                <w:lang w:val="en-US" w:eastAsia="zh-CN" w:bidi="ar"/>
              </w:rPr>
              <w:t>)</w:t>
            </w:r>
          </w:p>
        </w:tc>
      </w:tr>
      <w:tr w14:paraId="7FDE9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55" w:hRule="atLeast"/>
          <w:jc w:val="center"/>
        </w:trPr>
        <w:tc>
          <w:tcPr>
            <w:tcW w:w="721" w:type="dxa"/>
            <w:shd w:val="clear" w:color="auto" w:fill="auto"/>
            <w:noWrap/>
            <w:vAlign w:val="center"/>
          </w:tcPr>
          <w:p w14:paraId="7C01DBD0">
            <w:pPr>
              <w:keepNext w:val="0"/>
              <w:keepLines w:val="0"/>
              <w:widowControl/>
              <w:suppressLineNumbers w:val="0"/>
              <w:jc w:val="center"/>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w:t>
            </w:r>
          </w:p>
        </w:tc>
        <w:tc>
          <w:tcPr>
            <w:tcW w:w="1216" w:type="dxa"/>
            <w:vMerge w:val="continue"/>
            <w:shd w:val="clear" w:color="auto" w:fill="auto"/>
            <w:vAlign w:val="center"/>
          </w:tcPr>
          <w:p w14:paraId="7152A92E">
            <w:pPr>
              <w:jc w:val="center"/>
              <w:rPr>
                <w:rFonts w:hint="eastAsia" w:ascii="宋体" w:hAnsi="宋体" w:eastAsia="宋体" w:cs="宋体"/>
                <w:b/>
                <w:bCs/>
                <w:i w:val="0"/>
                <w:iCs w:val="0"/>
                <w:color w:val="auto"/>
                <w:sz w:val="24"/>
                <w:szCs w:val="24"/>
                <w:highlight w:val="none"/>
                <w:u w:val="none"/>
              </w:rPr>
            </w:pPr>
          </w:p>
        </w:tc>
        <w:tc>
          <w:tcPr>
            <w:tcW w:w="1536" w:type="dxa"/>
            <w:vMerge w:val="continue"/>
            <w:shd w:val="clear" w:color="auto" w:fill="auto"/>
            <w:vAlign w:val="center"/>
          </w:tcPr>
          <w:p w14:paraId="6A142E8D">
            <w:pPr>
              <w:jc w:val="center"/>
              <w:rPr>
                <w:rFonts w:hint="eastAsia" w:ascii="宋体" w:hAnsi="宋体" w:eastAsia="宋体" w:cs="宋体"/>
                <w:b/>
                <w:bCs/>
                <w:i w:val="0"/>
                <w:iCs w:val="0"/>
                <w:color w:val="auto"/>
                <w:sz w:val="24"/>
                <w:szCs w:val="24"/>
                <w:highlight w:val="none"/>
                <w:u w:val="none"/>
              </w:rPr>
            </w:pPr>
          </w:p>
        </w:tc>
        <w:tc>
          <w:tcPr>
            <w:tcW w:w="6036" w:type="dxa"/>
            <w:shd w:val="clear" w:color="auto" w:fill="auto"/>
            <w:vAlign w:val="center"/>
          </w:tcPr>
          <w:p w14:paraId="48A9488F">
            <w:pPr>
              <w:keepNext w:val="0"/>
              <w:keepLines w:val="0"/>
              <w:widowControl/>
              <w:suppressLineNumbers w:val="0"/>
              <w:jc w:val="both"/>
              <w:textAlignment w:val="bottom"/>
              <w:rPr>
                <w:rFonts w:hint="eastAsia" w:ascii="宋体" w:hAnsi="宋体" w:eastAsia="宋体" w:cs="宋体"/>
                <w:i w:val="0"/>
                <w:iCs w:val="0"/>
                <w:color w:val="auto"/>
                <w:sz w:val="24"/>
                <w:szCs w:val="24"/>
                <w:highlight w:val="none"/>
                <w:u w:val="none"/>
              </w:rPr>
            </w:pPr>
            <w:r>
              <w:rPr>
                <w:rFonts w:hint="default" w:cs="仿宋_GB2312" w:asciiTheme="minorEastAsia" w:hAnsiTheme="minorEastAsia" w:eastAsiaTheme="minorEastAsia"/>
                <w:color w:val="auto"/>
                <w:sz w:val="21"/>
                <w:szCs w:val="21"/>
                <w:highlight w:val="none"/>
              </w:rPr>
              <w:t>★</w:t>
            </w:r>
            <w:r>
              <w:rPr>
                <w:rFonts w:hint="eastAsia" w:ascii="宋体" w:hAnsi="宋体" w:eastAsia="宋体" w:cs="宋体"/>
                <w:i w:val="0"/>
                <w:iCs w:val="0"/>
                <w:color w:val="auto"/>
                <w:kern w:val="0"/>
                <w:sz w:val="24"/>
                <w:szCs w:val="24"/>
                <w:highlight w:val="none"/>
                <w:u w:val="none"/>
                <w:lang w:val="en-US" w:eastAsia="zh-CN" w:bidi="ar"/>
              </w:rPr>
              <w:t>10、集中考试地点安排：可根据教学班、试卷等不同方式安排已经排完考试时间的考试地点信息安排，可控制场地是否允许重复排等；</w:t>
            </w:r>
            <w:r>
              <w:rPr>
                <w:rFonts w:hint="default" w:ascii="宋体" w:hAnsi="宋体" w:eastAsia="宋体" w:cs="宋体"/>
                <w:i w:val="0"/>
                <w:iCs w:val="0"/>
                <w:color w:val="auto"/>
                <w:kern w:val="0"/>
                <w:sz w:val="24"/>
                <w:szCs w:val="24"/>
                <w:highlight w:val="none"/>
                <w:u w:val="none"/>
                <w:lang w:val="en-US" w:eastAsia="zh-CN" w:bidi="ar"/>
              </w:rPr>
              <w:t>（</w:t>
            </w:r>
            <w:r>
              <w:rPr>
                <w:rFonts w:hint="default" w:ascii="宋体" w:hAnsi="宋体" w:cs="宋体"/>
                <w:color w:val="auto"/>
                <w:kern w:val="0"/>
                <w:sz w:val="24"/>
                <w:szCs w:val="24"/>
                <w:highlight w:val="none"/>
                <w:u w:val="none"/>
                <w:lang w:bidi="ar"/>
              </w:rPr>
              <w:t>提供类似项目同类功能截图并加盖公章</w:t>
            </w:r>
            <w:r>
              <w:rPr>
                <w:rFonts w:hint="default" w:ascii="宋体" w:hAnsi="宋体" w:cs="宋体"/>
                <w:color w:val="auto"/>
                <w:kern w:val="0"/>
                <w:sz w:val="24"/>
                <w:szCs w:val="24"/>
                <w:highlight w:val="none"/>
                <w:u w:val="none"/>
                <w:lang w:eastAsia="zh-CN" w:bidi="ar"/>
              </w:rPr>
              <w:t>，</w:t>
            </w:r>
            <w:r>
              <w:rPr>
                <w:rFonts w:hint="default" w:ascii="宋体" w:hAnsi="宋体" w:cs="宋体"/>
                <w:color w:val="auto"/>
                <w:kern w:val="0"/>
                <w:sz w:val="24"/>
                <w:szCs w:val="24"/>
                <w:highlight w:val="none"/>
                <w:u w:val="none"/>
                <w:lang w:val="en-US" w:eastAsia="zh-CN" w:bidi="ar"/>
              </w:rPr>
              <w:t>未提供视为负偏离</w:t>
            </w:r>
            <w:r>
              <w:rPr>
                <w:rFonts w:hint="default" w:ascii="宋体" w:hAnsi="宋体" w:eastAsia="宋体" w:cs="宋体"/>
                <w:i w:val="0"/>
                <w:iCs w:val="0"/>
                <w:color w:val="auto"/>
                <w:kern w:val="0"/>
                <w:sz w:val="24"/>
                <w:szCs w:val="24"/>
                <w:highlight w:val="none"/>
                <w:u w:val="none"/>
                <w:lang w:val="en-US" w:eastAsia="zh-CN" w:bidi="ar"/>
              </w:rPr>
              <w:t>)</w:t>
            </w:r>
          </w:p>
        </w:tc>
      </w:tr>
      <w:tr w14:paraId="450F6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6" w:hRule="atLeast"/>
          <w:jc w:val="center"/>
        </w:trPr>
        <w:tc>
          <w:tcPr>
            <w:tcW w:w="721" w:type="dxa"/>
            <w:shd w:val="clear" w:color="auto" w:fill="auto"/>
            <w:noWrap/>
            <w:vAlign w:val="center"/>
          </w:tcPr>
          <w:p w14:paraId="1CE4AAA0">
            <w:pPr>
              <w:keepNext w:val="0"/>
              <w:keepLines w:val="0"/>
              <w:widowControl/>
              <w:suppressLineNumbers w:val="0"/>
              <w:jc w:val="center"/>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19</w:t>
            </w:r>
          </w:p>
        </w:tc>
        <w:tc>
          <w:tcPr>
            <w:tcW w:w="1216" w:type="dxa"/>
            <w:vMerge w:val="continue"/>
            <w:shd w:val="clear" w:color="auto" w:fill="auto"/>
            <w:vAlign w:val="center"/>
          </w:tcPr>
          <w:p w14:paraId="5779452B">
            <w:pPr>
              <w:jc w:val="center"/>
              <w:rPr>
                <w:rFonts w:hint="eastAsia" w:ascii="宋体" w:hAnsi="宋体" w:eastAsia="宋体" w:cs="宋体"/>
                <w:b/>
                <w:bCs/>
                <w:i w:val="0"/>
                <w:iCs w:val="0"/>
                <w:color w:val="auto"/>
                <w:sz w:val="24"/>
                <w:szCs w:val="24"/>
                <w:highlight w:val="none"/>
                <w:u w:val="none"/>
              </w:rPr>
            </w:pPr>
          </w:p>
        </w:tc>
        <w:tc>
          <w:tcPr>
            <w:tcW w:w="1536" w:type="dxa"/>
            <w:vMerge w:val="continue"/>
            <w:shd w:val="clear" w:color="auto" w:fill="auto"/>
            <w:vAlign w:val="center"/>
          </w:tcPr>
          <w:p w14:paraId="33E22906">
            <w:pPr>
              <w:jc w:val="center"/>
              <w:rPr>
                <w:rFonts w:hint="eastAsia" w:ascii="宋体" w:hAnsi="宋体" w:eastAsia="宋体" w:cs="宋体"/>
                <w:b/>
                <w:bCs/>
                <w:i w:val="0"/>
                <w:iCs w:val="0"/>
                <w:color w:val="auto"/>
                <w:sz w:val="24"/>
                <w:szCs w:val="24"/>
                <w:highlight w:val="none"/>
                <w:u w:val="none"/>
              </w:rPr>
            </w:pPr>
          </w:p>
        </w:tc>
        <w:tc>
          <w:tcPr>
            <w:tcW w:w="6036" w:type="dxa"/>
            <w:shd w:val="clear" w:color="auto" w:fill="auto"/>
            <w:vAlign w:val="center"/>
          </w:tcPr>
          <w:p w14:paraId="135A9F40">
            <w:pPr>
              <w:keepNext w:val="0"/>
              <w:keepLines w:val="0"/>
              <w:widowControl/>
              <w:suppressLineNumbers w:val="0"/>
              <w:jc w:val="both"/>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11、考务信息查询：考场情况查询、考试信息查询、排考结果统计、考试人数统计、考试信息查询等。</w:t>
            </w:r>
            <w:r>
              <w:rPr>
                <w:rFonts w:hint="eastAsia" w:ascii="宋体" w:hAnsi="宋体" w:eastAsia="宋体" w:cs="宋体"/>
                <w:color w:val="auto"/>
                <w:sz w:val="24"/>
                <w:szCs w:val="24"/>
                <w:highlight w:val="none"/>
                <w:lang w:val="en-US" w:eastAsia="zh-CN"/>
              </w:rPr>
              <w:t>可根据学年学期，考试类别，培养层次(本科或研究生)查询学生考试安排情况，包括座位号、考试地点、考试时间等信息，同时可以导出考试安排信息,排考任务、考试场地等需调用一期二期已建设内容</w:t>
            </w:r>
            <w:r>
              <w:rPr>
                <w:rFonts w:hint="eastAsia" w:ascii="宋体" w:hAnsi="宋体" w:eastAsia="宋体" w:cs="宋体"/>
                <w:b/>
                <w:bCs/>
                <w:color w:val="auto"/>
                <w:sz w:val="21"/>
                <w:szCs w:val="21"/>
                <w:highlight w:val="none"/>
                <w:u w:val="single"/>
              </w:rPr>
              <w:t>（</w:t>
            </w:r>
            <w:r>
              <w:rPr>
                <w:rFonts w:hint="eastAsia" w:ascii="宋体" w:hAnsi="宋体" w:eastAsia="宋体" w:cs="宋体"/>
                <w:b/>
                <w:bCs/>
                <w:color w:val="auto"/>
                <w:sz w:val="21"/>
                <w:szCs w:val="21"/>
                <w:highlight w:val="none"/>
                <w:u w:val="single"/>
                <w:lang w:val="en-US" w:eastAsia="zh-CN"/>
              </w:rPr>
              <w:t>需进行功能演示</w:t>
            </w:r>
            <w:r>
              <w:rPr>
                <w:rFonts w:hint="eastAsia" w:ascii="宋体" w:hAnsi="宋体" w:eastAsia="宋体" w:cs="宋体"/>
                <w:b/>
                <w:bCs/>
                <w:color w:val="auto"/>
                <w:sz w:val="21"/>
                <w:szCs w:val="21"/>
                <w:highlight w:val="none"/>
                <w:u w:val="single"/>
              </w:rPr>
              <w:t>）</w:t>
            </w:r>
          </w:p>
        </w:tc>
      </w:tr>
      <w:tr w14:paraId="4D7D1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6" w:hRule="atLeast"/>
          <w:jc w:val="center"/>
        </w:trPr>
        <w:tc>
          <w:tcPr>
            <w:tcW w:w="721" w:type="dxa"/>
            <w:shd w:val="clear" w:color="auto" w:fill="auto"/>
            <w:noWrap/>
            <w:vAlign w:val="center"/>
          </w:tcPr>
          <w:p w14:paraId="4281850E">
            <w:pPr>
              <w:keepNext w:val="0"/>
              <w:keepLines w:val="0"/>
              <w:widowControl/>
              <w:suppressLineNumbers w:val="0"/>
              <w:jc w:val="center"/>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w:t>
            </w:r>
          </w:p>
        </w:tc>
        <w:tc>
          <w:tcPr>
            <w:tcW w:w="1216" w:type="dxa"/>
            <w:vMerge w:val="continue"/>
            <w:shd w:val="clear" w:color="auto" w:fill="auto"/>
            <w:vAlign w:val="center"/>
          </w:tcPr>
          <w:p w14:paraId="56C6C8A2">
            <w:pPr>
              <w:jc w:val="center"/>
              <w:rPr>
                <w:rFonts w:hint="eastAsia" w:ascii="宋体" w:hAnsi="宋体" w:eastAsia="宋体" w:cs="宋体"/>
                <w:b/>
                <w:bCs/>
                <w:i w:val="0"/>
                <w:iCs w:val="0"/>
                <w:color w:val="auto"/>
                <w:sz w:val="24"/>
                <w:szCs w:val="24"/>
                <w:highlight w:val="none"/>
                <w:u w:val="none"/>
              </w:rPr>
            </w:pPr>
          </w:p>
        </w:tc>
        <w:tc>
          <w:tcPr>
            <w:tcW w:w="1536" w:type="dxa"/>
            <w:vMerge w:val="restart"/>
            <w:shd w:val="clear" w:color="auto" w:fill="auto"/>
            <w:vAlign w:val="center"/>
          </w:tcPr>
          <w:p w14:paraId="61D46362">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毕业资格审核</w:t>
            </w:r>
          </w:p>
        </w:tc>
        <w:tc>
          <w:tcPr>
            <w:tcW w:w="6036" w:type="dxa"/>
            <w:shd w:val="clear" w:color="auto" w:fill="auto"/>
            <w:noWrap/>
            <w:vAlign w:val="center"/>
          </w:tcPr>
          <w:p w14:paraId="20BB554E">
            <w:pPr>
              <w:keepNext w:val="0"/>
              <w:keepLines w:val="0"/>
              <w:widowControl/>
              <w:suppressLineNumbers w:val="0"/>
              <w:jc w:val="both"/>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1、基础设置：毕业年份、毕业学年、毕业学期等基础信息维护；</w:t>
            </w:r>
          </w:p>
        </w:tc>
      </w:tr>
      <w:tr w14:paraId="15020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55" w:hRule="atLeast"/>
          <w:jc w:val="center"/>
        </w:trPr>
        <w:tc>
          <w:tcPr>
            <w:tcW w:w="721" w:type="dxa"/>
            <w:shd w:val="clear" w:color="auto" w:fill="auto"/>
            <w:noWrap/>
            <w:vAlign w:val="center"/>
          </w:tcPr>
          <w:p w14:paraId="191E2B43">
            <w:pPr>
              <w:keepNext w:val="0"/>
              <w:keepLines w:val="0"/>
              <w:widowControl/>
              <w:suppressLineNumbers w:val="0"/>
              <w:jc w:val="center"/>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21</w:t>
            </w:r>
          </w:p>
        </w:tc>
        <w:tc>
          <w:tcPr>
            <w:tcW w:w="1216" w:type="dxa"/>
            <w:vMerge w:val="continue"/>
            <w:shd w:val="clear" w:color="auto" w:fill="auto"/>
            <w:vAlign w:val="center"/>
          </w:tcPr>
          <w:p w14:paraId="72103749">
            <w:pPr>
              <w:jc w:val="center"/>
              <w:rPr>
                <w:rFonts w:hint="eastAsia" w:ascii="宋体" w:hAnsi="宋体" w:eastAsia="宋体" w:cs="宋体"/>
                <w:b/>
                <w:bCs/>
                <w:i w:val="0"/>
                <w:iCs w:val="0"/>
                <w:color w:val="auto"/>
                <w:sz w:val="24"/>
                <w:szCs w:val="24"/>
                <w:highlight w:val="none"/>
                <w:u w:val="none"/>
              </w:rPr>
            </w:pPr>
          </w:p>
        </w:tc>
        <w:tc>
          <w:tcPr>
            <w:tcW w:w="1536" w:type="dxa"/>
            <w:vMerge w:val="continue"/>
            <w:shd w:val="clear" w:color="auto" w:fill="auto"/>
            <w:vAlign w:val="center"/>
          </w:tcPr>
          <w:p w14:paraId="63F3BAED">
            <w:pPr>
              <w:jc w:val="center"/>
              <w:rPr>
                <w:rFonts w:hint="eastAsia" w:ascii="宋体" w:hAnsi="宋体" w:eastAsia="宋体" w:cs="宋体"/>
                <w:b/>
                <w:bCs/>
                <w:i w:val="0"/>
                <w:iCs w:val="0"/>
                <w:color w:val="auto"/>
                <w:sz w:val="24"/>
                <w:szCs w:val="24"/>
                <w:highlight w:val="none"/>
                <w:u w:val="none"/>
              </w:rPr>
            </w:pPr>
          </w:p>
        </w:tc>
        <w:tc>
          <w:tcPr>
            <w:tcW w:w="6036" w:type="dxa"/>
            <w:shd w:val="clear" w:color="auto" w:fill="auto"/>
            <w:vAlign w:val="center"/>
          </w:tcPr>
          <w:p w14:paraId="6D565EB5">
            <w:pPr>
              <w:keepNext w:val="0"/>
              <w:keepLines w:val="0"/>
              <w:widowControl/>
              <w:suppressLineNumbers w:val="0"/>
              <w:jc w:val="both"/>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2、毕业审核控制设置：主修毕业审核条件设置、主修学位审核条件设置，包括成绩要求条件、学分要求条件，课程要求条件等信息；</w:t>
            </w:r>
          </w:p>
        </w:tc>
      </w:tr>
      <w:tr w14:paraId="20521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46" w:hRule="atLeast"/>
          <w:jc w:val="center"/>
        </w:trPr>
        <w:tc>
          <w:tcPr>
            <w:tcW w:w="721" w:type="dxa"/>
            <w:shd w:val="clear" w:color="auto" w:fill="auto"/>
            <w:noWrap/>
            <w:vAlign w:val="center"/>
          </w:tcPr>
          <w:p w14:paraId="6761FF3F">
            <w:pPr>
              <w:keepNext w:val="0"/>
              <w:keepLines w:val="0"/>
              <w:widowControl/>
              <w:suppressLineNumbers w:val="0"/>
              <w:jc w:val="center"/>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22</w:t>
            </w:r>
          </w:p>
        </w:tc>
        <w:tc>
          <w:tcPr>
            <w:tcW w:w="1216" w:type="dxa"/>
            <w:vMerge w:val="continue"/>
            <w:shd w:val="clear" w:color="auto" w:fill="auto"/>
            <w:vAlign w:val="center"/>
          </w:tcPr>
          <w:p w14:paraId="63F58F62">
            <w:pPr>
              <w:jc w:val="center"/>
              <w:rPr>
                <w:rFonts w:hint="eastAsia" w:ascii="宋体" w:hAnsi="宋体" w:eastAsia="宋体" w:cs="宋体"/>
                <w:b/>
                <w:bCs/>
                <w:i w:val="0"/>
                <w:iCs w:val="0"/>
                <w:color w:val="auto"/>
                <w:sz w:val="24"/>
                <w:szCs w:val="24"/>
                <w:highlight w:val="none"/>
                <w:u w:val="none"/>
              </w:rPr>
            </w:pPr>
          </w:p>
        </w:tc>
        <w:tc>
          <w:tcPr>
            <w:tcW w:w="1536" w:type="dxa"/>
            <w:vMerge w:val="continue"/>
            <w:shd w:val="clear" w:color="auto" w:fill="auto"/>
            <w:vAlign w:val="center"/>
          </w:tcPr>
          <w:p w14:paraId="716AAC98">
            <w:pPr>
              <w:jc w:val="center"/>
              <w:rPr>
                <w:rFonts w:hint="eastAsia" w:ascii="宋体" w:hAnsi="宋体" w:eastAsia="宋体" w:cs="宋体"/>
                <w:b/>
                <w:bCs/>
                <w:i w:val="0"/>
                <w:iCs w:val="0"/>
                <w:color w:val="auto"/>
                <w:sz w:val="24"/>
                <w:szCs w:val="24"/>
                <w:highlight w:val="none"/>
                <w:u w:val="none"/>
              </w:rPr>
            </w:pPr>
          </w:p>
        </w:tc>
        <w:tc>
          <w:tcPr>
            <w:tcW w:w="6036" w:type="dxa"/>
            <w:shd w:val="clear" w:color="auto" w:fill="auto"/>
            <w:vAlign w:val="center"/>
          </w:tcPr>
          <w:p w14:paraId="39A87E75">
            <w:pPr>
              <w:keepNext w:val="0"/>
              <w:keepLines w:val="0"/>
              <w:widowControl/>
              <w:suppressLineNumbers w:val="0"/>
              <w:jc w:val="both"/>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3、毕业生名单生成，根据年级与学制信息、生成预毕业学生名单，在预毕业名单中可设置学生学籍状态等信息；</w:t>
            </w:r>
          </w:p>
        </w:tc>
      </w:tr>
      <w:tr w14:paraId="2F659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34" w:hRule="atLeast"/>
          <w:jc w:val="center"/>
        </w:trPr>
        <w:tc>
          <w:tcPr>
            <w:tcW w:w="721" w:type="dxa"/>
            <w:shd w:val="clear" w:color="auto" w:fill="auto"/>
            <w:noWrap/>
            <w:vAlign w:val="center"/>
          </w:tcPr>
          <w:p w14:paraId="70B6553A">
            <w:pPr>
              <w:keepNext w:val="0"/>
              <w:keepLines w:val="0"/>
              <w:widowControl/>
              <w:suppressLineNumbers w:val="0"/>
              <w:jc w:val="center"/>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23</w:t>
            </w:r>
          </w:p>
        </w:tc>
        <w:tc>
          <w:tcPr>
            <w:tcW w:w="1216" w:type="dxa"/>
            <w:vMerge w:val="continue"/>
            <w:shd w:val="clear" w:color="auto" w:fill="auto"/>
            <w:vAlign w:val="center"/>
          </w:tcPr>
          <w:p w14:paraId="7B81DF8C">
            <w:pPr>
              <w:jc w:val="center"/>
              <w:rPr>
                <w:rFonts w:hint="eastAsia" w:ascii="宋体" w:hAnsi="宋体" w:eastAsia="宋体" w:cs="宋体"/>
                <w:b/>
                <w:bCs/>
                <w:i w:val="0"/>
                <w:iCs w:val="0"/>
                <w:color w:val="auto"/>
                <w:sz w:val="24"/>
                <w:szCs w:val="24"/>
                <w:highlight w:val="none"/>
                <w:u w:val="none"/>
              </w:rPr>
            </w:pPr>
          </w:p>
        </w:tc>
        <w:tc>
          <w:tcPr>
            <w:tcW w:w="1536" w:type="dxa"/>
            <w:vMerge w:val="continue"/>
            <w:shd w:val="clear" w:color="auto" w:fill="auto"/>
            <w:vAlign w:val="center"/>
          </w:tcPr>
          <w:p w14:paraId="64B424CF">
            <w:pPr>
              <w:jc w:val="center"/>
              <w:rPr>
                <w:rFonts w:hint="eastAsia" w:ascii="宋体" w:hAnsi="宋体" w:eastAsia="宋体" w:cs="宋体"/>
                <w:b/>
                <w:bCs/>
                <w:i w:val="0"/>
                <w:iCs w:val="0"/>
                <w:color w:val="auto"/>
                <w:sz w:val="24"/>
                <w:szCs w:val="24"/>
                <w:highlight w:val="none"/>
                <w:u w:val="none"/>
              </w:rPr>
            </w:pPr>
          </w:p>
        </w:tc>
        <w:tc>
          <w:tcPr>
            <w:tcW w:w="6036" w:type="dxa"/>
            <w:shd w:val="clear" w:color="auto" w:fill="auto"/>
            <w:vAlign w:val="center"/>
          </w:tcPr>
          <w:p w14:paraId="5366B2A7">
            <w:pPr>
              <w:keepNext w:val="0"/>
              <w:keepLines w:val="0"/>
              <w:widowControl/>
              <w:suppressLineNumbers w:val="0"/>
              <w:jc w:val="both"/>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4、毕业预审核条件设置：设置审核条件池，根据毕业要求与学位要求分别设置毕业条件与获得学位条件；</w:t>
            </w:r>
          </w:p>
        </w:tc>
      </w:tr>
      <w:tr w14:paraId="3234A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79" w:hRule="atLeast"/>
          <w:jc w:val="center"/>
        </w:trPr>
        <w:tc>
          <w:tcPr>
            <w:tcW w:w="721" w:type="dxa"/>
            <w:shd w:val="clear" w:color="auto" w:fill="auto"/>
            <w:noWrap/>
            <w:vAlign w:val="center"/>
          </w:tcPr>
          <w:p w14:paraId="15559C89">
            <w:pPr>
              <w:keepNext w:val="0"/>
              <w:keepLines w:val="0"/>
              <w:widowControl/>
              <w:suppressLineNumbers w:val="0"/>
              <w:jc w:val="center"/>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24</w:t>
            </w:r>
          </w:p>
        </w:tc>
        <w:tc>
          <w:tcPr>
            <w:tcW w:w="1216" w:type="dxa"/>
            <w:vMerge w:val="continue"/>
            <w:shd w:val="clear" w:color="auto" w:fill="auto"/>
            <w:vAlign w:val="center"/>
          </w:tcPr>
          <w:p w14:paraId="2208AFAD">
            <w:pPr>
              <w:jc w:val="center"/>
              <w:rPr>
                <w:rFonts w:hint="eastAsia" w:ascii="宋体" w:hAnsi="宋体" w:eastAsia="宋体" w:cs="宋体"/>
                <w:b/>
                <w:bCs/>
                <w:i w:val="0"/>
                <w:iCs w:val="0"/>
                <w:color w:val="auto"/>
                <w:sz w:val="24"/>
                <w:szCs w:val="24"/>
                <w:highlight w:val="none"/>
                <w:u w:val="none"/>
              </w:rPr>
            </w:pPr>
          </w:p>
        </w:tc>
        <w:tc>
          <w:tcPr>
            <w:tcW w:w="1536" w:type="dxa"/>
            <w:vMerge w:val="continue"/>
            <w:shd w:val="clear" w:color="auto" w:fill="auto"/>
            <w:vAlign w:val="center"/>
          </w:tcPr>
          <w:p w14:paraId="731FFC07">
            <w:pPr>
              <w:jc w:val="center"/>
              <w:rPr>
                <w:rFonts w:hint="eastAsia" w:ascii="宋体" w:hAnsi="宋体" w:eastAsia="宋体" w:cs="宋体"/>
                <w:b/>
                <w:bCs/>
                <w:i w:val="0"/>
                <w:iCs w:val="0"/>
                <w:color w:val="auto"/>
                <w:sz w:val="24"/>
                <w:szCs w:val="24"/>
                <w:highlight w:val="none"/>
                <w:u w:val="none"/>
              </w:rPr>
            </w:pPr>
          </w:p>
        </w:tc>
        <w:tc>
          <w:tcPr>
            <w:tcW w:w="6036" w:type="dxa"/>
            <w:shd w:val="clear" w:color="auto" w:fill="auto"/>
            <w:vAlign w:val="center"/>
          </w:tcPr>
          <w:p w14:paraId="32046418">
            <w:pPr>
              <w:keepNext w:val="0"/>
              <w:keepLines w:val="0"/>
              <w:widowControl/>
              <w:suppressLineNumbers w:val="0"/>
              <w:jc w:val="both"/>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5、主修专业毕业预审：根据主修专业毕业预审条件，审核当前毕业年份预毕业学生是否符合毕业要求，对不符合要求的标记是哪个条件不符合要求；</w:t>
            </w:r>
            <w:r>
              <w:rPr>
                <w:rFonts w:hint="eastAsia" w:ascii="宋体" w:hAnsi="宋体" w:eastAsia="宋体" w:cs="宋体"/>
                <w:b/>
                <w:bCs/>
                <w:color w:val="auto"/>
                <w:sz w:val="21"/>
                <w:szCs w:val="21"/>
                <w:highlight w:val="none"/>
                <w:u w:val="single"/>
              </w:rPr>
              <w:t>（</w:t>
            </w:r>
            <w:r>
              <w:rPr>
                <w:rFonts w:hint="eastAsia" w:ascii="宋体" w:hAnsi="宋体" w:eastAsia="宋体" w:cs="宋体"/>
                <w:b/>
                <w:bCs/>
                <w:color w:val="auto"/>
                <w:sz w:val="21"/>
                <w:szCs w:val="21"/>
                <w:highlight w:val="none"/>
                <w:u w:val="single"/>
                <w:lang w:val="en-US" w:eastAsia="zh-CN"/>
              </w:rPr>
              <w:t>需进行功能演示</w:t>
            </w:r>
            <w:r>
              <w:rPr>
                <w:rFonts w:hint="eastAsia" w:ascii="宋体" w:hAnsi="宋体" w:eastAsia="宋体" w:cs="宋体"/>
                <w:b/>
                <w:bCs/>
                <w:color w:val="auto"/>
                <w:sz w:val="21"/>
                <w:szCs w:val="21"/>
                <w:highlight w:val="none"/>
                <w:u w:val="single"/>
              </w:rPr>
              <w:t>）</w:t>
            </w:r>
          </w:p>
        </w:tc>
      </w:tr>
      <w:tr w14:paraId="0C46D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67" w:hRule="atLeast"/>
          <w:jc w:val="center"/>
        </w:trPr>
        <w:tc>
          <w:tcPr>
            <w:tcW w:w="721" w:type="dxa"/>
            <w:shd w:val="clear" w:color="auto" w:fill="auto"/>
            <w:noWrap/>
            <w:vAlign w:val="center"/>
          </w:tcPr>
          <w:p w14:paraId="747F504D">
            <w:pPr>
              <w:keepNext w:val="0"/>
              <w:keepLines w:val="0"/>
              <w:widowControl/>
              <w:suppressLineNumbers w:val="0"/>
              <w:jc w:val="center"/>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w:t>
            </w:r>
          </w:p>
        </w:tc>
        <w:tc>
          <w:tcPr>
            <w:tcW w:w="1216" w:type="dxa"/>
            <w:vMerge w:val="continue"/>
            <w:shd w:val="clear" w:color="auto" w:fill="auto"/>
            <w:vAlign w:val="center"/>
          </w:tcPr>
          <w:p w14:paraId="220FE7E9">
            <w:pPr>
              <w:jc w:val="center"/>
              <w:rPr>
                <w:rFonts w:hint="eastAsia" w:ascii="宋体" w:hAnsi="宋体" w:eastAsia="宋体" w:cs="宋体"/>
                <w:b/>
                <w:bCs/>
                <w:i w:val="0"/>
                <w:iCs w:val="0"/>
                <w:color w:val="auto"/>
                <w:sz w:val="24"/>
                <w:szCs w:val="24"/>
                <w:highlight w:val="none"/>
                <w:u w:val="none"/>
              </w:rPr>
            </w:pPr>
          </w:p>
        </w:tc>
        <w:tc>
          <w:tcPr>
            <w:tcW w:w="1536" w:type="dxa"/>
            <w:vMerge w:val="continue"/>
            <w:shd w:val="clear" w:color="auto" w:fill="auto"/>
            <w:vAlign w:val="center"/>
          </w:tcPr>
          <w:p w14:paraId="410885E7">
            <w:pPr>
              <w:jc w:val="center"/>
              <w:rPr>
                <w:rFonts w:hint="eastAsia" w:ascii="宋体" w:hAnsi="宋体" w:eastAsia="宋体" w:cs="宋体"/>
                <w:b/>
                <w:bCs/>
                <w:i w:val="0"/>
                <w:iCs w:val="0"/>
                <w:color w:val="auto"/>
                <w:sz w:val="24"/>
                <w:szCs w:val="24"/>
                <w:highlight w:val="none"/>
                <w:u w:val="none"/>
              </w:rPr>
            </w:pPr>
          </w:p>
        </w:tc>
        <w:tc>
          <w:tcPr>
            <w:tcW w:w="6036" w:type="dxa"/>
            <w:shd w:val="clear" w:color="auto" w:fill="auto"/>
            <w:vAlign w:val="center"/>
          </w:tcPr>
          <w:p w14:paraId="11AA6D2C">
            <w:pPr>
              <w:keepNext w:val="0"/>
              <w:keepLines w:val="0"/>
              <w:widowControl/>
              <w:suppressLineNumbers w:val="0"/>
              <w:jc w:val="both"/>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6、主修专业学位预审：根据主修专业学位预审条件，审核当前毕业年份预毕业学生是否符合学位获得要求，对不符合要求的标记是哪个条件不符合要求；</w:t>
            </w:r>
          </w:p>
        </w:tc>
      </w:tr>
      <w:tr w14:paraId="24038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8" w:hRule="atLeast"/>
          <w:jc w:val="center"/>
        </w:trPr>
        <w:tc>
          <w:tcPr>
            <w:tcW w:w="721" w:type="dxa"/>
            <w:shd w:val="clear" w:color="auto" w:fill="auto"/>
            <w:noWrap/>
            <w:vAlign w:val="center"/>
          </w:tcPr>
          <w:p w14:paraId="29FA64CD">
            <w:pPr>
              <w:keepNext w:val="0"/>
              <w:keepLines w:val="0"/>
              <w:widowControl/>
              <w:suppressLineNumbers w:val="0"/>
              <w:jc w:val="center"/>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26</w:t>
            </w:r>
          </w:p>
        </w:tc>
        <w:tc>
          <w:tcPr>
            <w:tcW w:w="1216" w:type="dxa"/>
            <w:vMerge w:val="continue"/>
            <w:shd w:val="clear" w:color="auto" w:fill="auto"/>
            <w:vAlign w:val="center"/>
          </w:tcPr>
          <w:p w14:paraId="6199F78F">
            <w:pPr>
              <w:jc w:val="center"/>
              <w:rPr>
                <w:rFonts w:hint="eastAsia" w:ascii="宋体" w:hAnsi="宋体" w:eastAsia="宋体" w:cs="宋体"/>
                <w:b/>
                <w:bCs/>
                <w:i w:val="0"/>
                <w:iCs w:val="0"/>
                <w:color w:val="auto"/>
                <w:sz w:val="24"/>
                <w:szCs w:val="24"/>
                <w:highlight w:val="none"/>
                <w:u w:val="none"/>
              </w:rPr>
            </w:pPr>
          </w:p>
        </w:tc>
        <w:tc>
          <w:tcPr>
            <w:tcW w:w="1536" w:type="dxa"/>
            <w:vMerge w:val="continue"/>
            <w:shd w:val="clear" w:color="auto" w:fill="auto"/>
            <w:vAlign w:val="center"/>
          </w:tcPr>
          <w:p w14:paraId="1FF8D7E1">
            <w:pPr>
              <w:jc w:val="center"/>
              <w:rPr>
                <w:rFonts w:hint="eastAsia" w:ascii="宋体" w:hAnsi="宋体" w:eastAsia="宋体" w:cs="宋体"/>
                <w:b/>
                <w:bCs/>
                <w:i w:val="0"/>
                <w:iCs w:val="0"/>
                <w:color w:val="auto"/>
                <w:sz w:val="24"/>
                <w:szCs w:val="24"/>
                <w:highlight w:val="none"/>
                <w:u w:val="none"/>
              </w:rPr>
            </w:pPr>
          </w:p>
        </w:tc>
        <w:tc>
          <w:tcPr>
            <w:tcW w:w="6036" w:type="dxa"/>
            <w:shd w:val="clear" w:color="auto" w:fill="auto"/>
            <w:vAlign w:val="center"/>
          </w:tcPr>
          <w:p w14:paraId="44B6CAB3">
            <w:pPr>
              <w:keepNext w:val="0"/>
              <w:keepLines w:val="0"/>
              <w:widowControl/>
              <w:suppressLineNumbers w:val="0"/>
              <w:jc w:val="both"/>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7、毕业资格终审条件设置：设置毕业资格终审条件池，设置主修毕业终审、主修学位终审条件；</w:t>
            </w:r>
          </w:p>
        </w:tc>
      </w:tr>
      <w:tr w14:paraId="339F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8" w:hRule="atLeast"/>
          <w:jc w:val="center"/>
        </w:trPr>
        <w:tc>
          <w:tcPr>
            <w:tcW w:w="721" w:type="dxa"/>
            <w:shd w:val="clear" w:color="auto" w:fill="auto"/>
            <w:noWrap/>
            <w:vAlign w:val="center"/>
          </w:tcPr>
          <w:p w14:paraId="59806401">
            <w:pPr>
              <w:keepNext w:val="0"/>
              <w:keepLines w:val="0"/>
              <w:widowControl/>
              <w:suppressLineNumbers w:val="0"/>
              <w:jc w:val="center"/>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27</w:t>
            </w:r>
          </w:p>
        </w:tc>
        <w:tc>
          <w:tcPr>
            <w:tcW w:w="1216" w:type="dxa"/>
            <w:vMerge w:val="continue"/>
            <w:shd w:val="clear" w:color="auto" w:fill="auto"/>
            <w:vAlign w:val="center"/>
          </w:tcPr>
          <w:p w14:paraId="210FCB96">
            <w:pPr>
              <w:jc w:val="center"/>
              <w:rPr>
                <w:rFonts w:hint="eastAsia" w:ascii="宋体" w:hAnsi="宋体" w:eastAsia="宋体" w:cs="宋体"/>
                <w:b/>
                <w:bCs/>
                <w:i w:val="0"/>
                <w:iCs w:val="0"/>
                <w:color w:val="auto"/>
                <w:sz w:val="24"/>
                <w:szCs w:val="24"/>
                <w:highlight w:val="none"/>
                <w:u w:val="none"/>
              </w:rPr>
            </w:pPr>
          </w:p>
        </w:tc>
        <w:tc>
          <w:tcPr>
            <w:tcW w:w="1536" w:type="dxa"/>
            <w:vMerge w:val="continue"/>
            <w:shd w:val="clear" w:color="auto" w:fill="auto"/>
            <w:vAlign w:val="center"/>
          </w:tcPr>
          <w:p w14:paraId="1BC72025">
            <w:pPr>
              <w:jc w:val="center"/>
              <w:rPr>
                <w:rFonts w:hint="eastAsia" w:ascii="宋体" w:hAnsi="宋体" w:eastAsia="宋体" w:cs="宋体"/>
                <w:b/>
                <w:bCs/>
                <w:i w:val="0"/>
                <w:iCs w:val="0"/>
                <w:color w:val="auto"/>
                <w:sz w:val="24"/>
                <w:szCs w:val="24"/>
                <w:highlight w:val="none"/>
                <w:u w:val="none"/>
              </w:rPr>
            </w:pPr>
          </w:p>
        </w:tc>
        <w:tc>
          <w:tcPr>
            <w:tcW w:w="6036" w:type="dxa"/>
            <w:shd w:val="clear" w:color="auto" w:fill="auto"/>
            <w:vAlign w:val="center"/>
          </w:tcPr>
          <w:p w14:paraId="68CAC329">
            <w:pPr>
              <w:keepNext w:val="0"/>
              <w:keepLines w:val="0"/>
              <w:widowControl/>
              <w:suppressLineNumbers w:val="0"/>
              <w:jc w:val="both"/>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8、主修专业毕业资格终审：根据主修专业毕业资格终审条件审核当前毕业年份毕业生是否符合毕业要求；</w:t>
            </w:r>
          </w:p>
        </w:tc>
      </w:tr>
      <w:tr w14:paraId="685DE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10" w:hRule="atLeast"/>
          <w:jc w:val="center"/>
        </w:trPr>
        <w:tc>
          <w:tcPr>
            <w:tcW w:w="721" w:type="dxa"/>
            <w:shd w:val="clear" w:color="auto" w:fill="auto"/>
            <w:noWrap/>
            <w:vAlign w:val="center"/>
          </w:tcPr>
          <w:p w14:paraId="17BBA428">
            <w:pPr>
              <w:keepNext w:val="0"/>
              <w:keepLines w:val="0"/>
              <w:widowControl/>
              <w:suppressLineNumbers w:val="0"/>
              <w:jc w:val="center"/>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28</w:t>
            </w:r>
          </w:p>
        </w:tc>
        <w:tc>
          <w:tcPr>
            <w:tcW w:w="1216" w:type="dxa"/>
            <w:vMerge w:val="continue"/>
            <w:shd w:val="clear" w:color="auto" w:fill="auto"/>
            <w:vAlign w:val="center"/>
          </w:tcPr>
          <w:p w14:paraId="586CCF99">
            <w:pPr>
              <w:jc w:val="center"/>
              <w:rPr>
                <w:rFonts w:hint="eastAsia" w:ascii="宋体" w:hAnsi="宋体" w:eastAsia="宋体" w:cs="宋体"/>
                <w:b/>
                <w:bCs/>
                <w:i w:val="0"/>
                <w:iCs w:val="0"/>
                <w:color w:val="auto"/>
                <w:sz w:val="24"/>
                <w:szCs w:val="24"/>
                <w:highlight w:val="none"/>
                <w:u w:val="none"/>
              </w:rPr>
            </w:pPr>
          </w:p>
        </w:tc>
        <w:tc>
          <w:tcPr>
            <w:tcW w:w="1536" w:type="dxa"/>
            <w:vMerge w:val="continue"/>
            <w:shd w:val="clear" w:color="auto" w:fill="auto"/>
            <w:vAlign w:val="center"/>
          </w:tcPr>
          <w:p w14:paraId="772C11EB">
            <w:pPr>
              <w:jc w:val="center"/>
              <w:rPr>
                <w:rFonts w:hint="eastAsia" w:ascii="宋体" w:hAnsi="宋体" w:eastAsia="宋体" w:cs="宋体"/>
                <w:b/>
                <w:bCs/>
                <w:i w:val="0"/>
                <w:iCs w:val="0"/>
                <w:color w:val="auto"/>
                <w:sz w:val="24"/>
                <w:szCs w:val="24"/>
                <w:highlight w:val="none"/>
                <w:u w:val="none"/>
              </w:rPr>
            </w:pPr>
          </w:p>
        </w:tc>
        <w:tc>
          <w:tcPr>
            <w:tcW w:w="6036" w:type="dxa"/>
            <w:shd w:val="clear" w:color="auto" w:fill="auto"/>
            <w:vAlign w:val="center"/>
          </w:tcPr>
          <w:p w14:paraId="36E50E0C">
            <w:pPr>
              <w:keepNext w:val="0"/>
              <w:keepLines w:val="0"/>
              <w:widowControl/>
              <w:suppressLineNumbers w:val="0"/>
              <w:jc w:val="both"/>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9、主修专业学位终审：根据主修专业学位获得条件审核当前毕业年份毕业生是否符合学位获得要求；</w:t>
            </w:r>
          </w:p>
        </w:tc>
      </w:tr>
      <w:tr w14:paraId="31FD3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8" w:hRule="atLeast"/>
          <w:jc w:val="center"/>
        </w:trPr>
        <w:tc>
          <w:tcPr>
            <w:tcW w:w="721" w:type="dxa"/>
            <w:shd w:val="clear" w:color="auto" w:fill="auto"/>
            <w:noWrap/>
            <w:vAlign w:val="center"/>
          </w:tcPr>
          <w:p w14:paraId="2682C6C4">
            <w:pPr>
              <w:keepNext w:val="0"/>
              <w:keepLines w:val="0"/>
              <w:widowControl/>
              <w:suppressLineNumbers w:val="0"/>
              <w:jc w:val="center"/>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29</w:t>
            </w:r>
          </w:p>
        </w:tc>
        <w:tc>
          <w:tcPr>
            <w:tcW w:w="1216" w:type="dxa"/>
            <w:vMerge w:val="continue"/>
            <w:shd w:val="clear" w:color="auto" w:fill="auto"/>
            <w:vAlign w:val="center"/>
          </w:tcPr>
          <w:p w14:paraId="145FE170">
            <w:pPr>
              <w:jc w:val="center"/>
              <w:rPr>
                <w:rFonts w:hint="eastAsia" w:ascii="宋体" w:hAnsi="宋体" w:eastAsia="宋体" w:cs="宋体"/>
                <w:b/>
                <w:bCs/>
                <w:i w:val="0"/>
                <w:iCs w:val="0"/>
                <w:color w:val="auto"/>
                <w:sz w:val="24"/>
                <w:szCs w:val="24"/>
                <w:highlight w:val="none"/>
                <w:u w:val="none"/>
              </w:rPr>
            </w:pPr>
          </w:p>
        </w:tc>
        <w:tc>
          <w:tcPr>
            <w:tcW w:w="1536" w:type="dxa"/>
            <w:vMerge w:val="continue"/>
            <w:shd w:val="clear" w:color="auto" w:fill="auto"/>
            <w:vAlign w:val="center"/>
          </w:tcPr>
          <w:p w14:paraId="1B3A56C9">
            <w:pPr>
              <w:jc w:val="center"/>
              <w:rPr>
                <w:rFonts w:hint="eastAsia" w:ascii="宋体" w:hAnsi="宋体" w:eastAsia="宋体" w:cs="宋体"/>
                <w:b/>
                <w:bCs/>
                <w:i w:val="0"/>
                <w:iCs w:val="0"/>
                <w:color w:val="auto"/>
                <w:sz w:val="24"/>
                <w:szCs w:val="24"/>
                <w:highlight w:val="none"/>
                <w:u w:val="none"/>
              </w:rPr>
            </w:pPr>
          </w:p>
        </w:tc>
        <w:tc>
          <w:tcPr>
            <w:tcW w:w="6036" w:type="dxa"/>
            <w:shd w:val="clear" w:color="auto" w:fill="auto"/>
            <w:vAlign w:val="center"/>
          </w:tcPr>
          <w:p w14:paraId="70EDE5E3">
            <w:pPr>
              <w:keepNext w:val="0"/>
              <w:keepLines w:val="0"/>
              <w:widowControl/>
              <w:suppressLineNumbers w:val="0"/>
              <w:jc w:val="both"/>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10、研究生毕业资格初审：根据研究生处毕业资格初审条件，进行毕业资格初审；</w:t>
            </w:r>
          </w:p>
        </w:tc>
      </w:tr>
      <w:tr w14:paraId="2870B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6" w:hRule="atLeast"/>
          <w:jc w:val="center"/>
        </w:trPr>
        <w:tc>
          <w:tcPr>
            <w:tcW w:w="721" w:type="dxa"/>
            <w:shd w:val="clear" w:color="auto" w:fill="auto"/>
            <w:noWrap/>
            <w:vAlign w:val="center"/>
          </w:tcPr>
          <w:p w14:paraId="11034D54">
            <w:pPr>
              <w:keepNext w:val="0"/>
              <w:keepLines w:val="0"/>
              <w:widowControl/>
              <w:suppressLineNumbers w:val="0"/>
              <w:jc w:val="center"/>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30</w:t>
            </w:r>
          </w:p>
        </w:tc>
        <w:tc>
          <w:tcPr>
            <w:tcW w:w="1216" w:type="dxa"/>
            <w:vMerge w:val="continue"/>
            <w:shd w:val="clear" w:color="auto" w:fill="auto"/>
            <w:vAlign w:val="center"/>
          </w:tcPr>
          <w:p w14:paraId="11DAA554">
            <w:pPr>
              <w:jc w:val="center"/>
              <w:rPr>
                <w:rFonts w:hint="eastAsia" w:ascii="宋体" w:hAnsi="宋体" w:eastAsia="宋体" w:cs="宋体"/>
                <w:b/>
                <w:bCs/>
                <w:i w:val="0"/>
                <w:iCs w:val="0"/>
                <w:color w:val="auto"/>
                <w:sz w:val="24"/>
                <w:szCs w:val="24"/>
                <w:highlight w:val="none"/>
                <w:u w:val="none"/>
              </w:rPr>
            </w:pPr>
          </w:p>
        </w:tc>
        <w:tc>
          <w:tcPr>
            <w:tcW w:w="1536" w:type="dxa"/>
            <w:vMerge w:val="continue"/>
            <w:shd w:val="clear" w:color="auto" w:fill="auto"/>
            <w:vAlign w:val="center"/>
          </w:tcPr>
          <w:p w14:paraId="4537EFB4">
            <w:pPr>
              <w:jc w:val="center"/>
              <w:rPr>
                <w:rFonts w:hint="eastAsia" w:ascii="宋体" w:hAnsi="宋体" w:eastAsia="宋体" w:cs="宋体"/>
                <w:b/>
                <w:bCs/>
                <w:i w:val="0"/>
                <w:iCs w:val="0"/>
                <w:color w:val="auto"/>
                <w:sz w:val="24"/>
                <w:szCs w:val="24"/>
                <w:highlight w:val="none"/>
                <w:u w:val="none"/>
              </w:rPr>
            </w:pPr>
          </w:p>
        </w:tc>
        <w:tc>
          <w:tcPr>
            <w:tcW w:w="6036" w:type="dxa"/>
            <w:shd w:val="clear" w:color="auto" w:fill="auto"/>
            <w:vAlign w:val="center"/>
          </w:tcPr>
          <w:p w14:paraId="53B2CC55">
            <w:pPr>
              <w:keepNext w:val="0"/>
              <w:keepLines w:val="0"/>
              <w:widowControl/>
              <w:suppressLineNumbers w:val="0"/>
              <w:jc w:val="both"/>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11、研究生毕业资格终审：根据研究生处毕业资格终审条件，进行毕业资格终审；</w:t>
            </w:r>
          </w:p>
        </w:tc>
      </w:tr>
      <w:tr w14:paraId="67015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10" w:hRule="atLeast"/>
          <w:jc w:val="center"/>
        </w:trPr>
        <w:tc>
          <w:tcPr>
            <w:tcW w:w="721" w:type="dxa"/>
            <w:shd w:val="clear" w:color="auto" w:fill="auto"/>
            <w:noWrap/>
            <w:vAlign w:val="center"/>
          </w:tcPr>
          <w:p w14:paraId="47C5CCD7">
            <w:pPr>
              <w:keepNext w:val="0"/>
              <w:keepLines w:val="0"/>
              <w:widowControl/>
              <w:suppressLineNumbers w:val="0"/>
              <w:jc w:val="center"/>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31</w:t>
            </w:r>
          </w:p>
        </w:tc>
        <w:tc>
          <w:tcPr>
            <w:tcW w:w="1216" w:type="dxa"/>
            <w:vMerge w:val="continue"/>
            <w:shd w:val="clear" w:color="auto" w:fill="auto"/>
            <w:vAlign w:val="center"/>
          </w:tcPr>
          <w:p w14:paraId="68938A40">
            <w:pPr>
              <w:jc w:val="center"/>
              <w:rPr>
                <w:rFonts w:hint="eastAsia" w:ascii="宋体" w:hAnsi="宋体" w:eastAsia="宋体" w:cs="宋体"/>
                <w:b/>
                <w:bCs/>
                <w:i w:val="0"/>
                <w:iCs w:val="0"/>
                <w:color w:val="auto"/>
                <w:sz w:val="24"/>
                <w:szCs w:val="24"/>
                <w:highlight w:val="none"/>
                <w:u w:val="none"/>
              </w:rPr>
            </w:pPr>
          </w:p>
        </w:tc>
        <w:tc>
          <w:tcPr>
            <w:tcW w:w="1536" w:type="dxa"/>
            <w:vMerge w:val="continue"/>
            <w:shd w:val="clear" w:color="auto" w:fill="auto"/>
            <w:vAlign w:val="center"/>
          </w:tcPr>
          <w:p w14:paraId="0E90CE9A">
            <w:pPr>
              <w:jc w:val="center"/>
              <w:rPr>
                <w:rFonts w:hint="eastAsia" w:ascii="宋体" w:hAnsi="宋体" w:eastAsia="宋体" w:cs="宋体"/>
                <w:b/>
                <w:bCs/>
                <w:i w:val="0"/>
                <w:iCs w:val="0"/>
                <w:color w:val="auto"/>
                <w:sz w:val="24"/>
                <w:szCs w:val="24"/>
                <w:highlight w:val="none"/>
                <w:u w:val="none"/>
              </w:rPr>
            </w:pPr>
          </w:p>
        </w:tc>
        <w:tc>
          <w:tcPr>
            <w:tcW w:w="6036" w:type="dxa"/>
            <w:shd w:val="clear" w:color="auto" w:fill="auto"/>
            <w:vAlign w:val="center"/>
          </w:tcPr>
          <w:p w14:paraId="34E94201">
            <w:pPr>
              <w:keepNext w:val="0"/>
              <w:keepLines w:val="0"/>
              <w:widowControl/>
              <w:suppressLineNumbers w:val="0"/>
              <w:jc w:val="both"/>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12、研究生毕业学位资格初审：根据研究生处毕业学位资格初审条件，进行毕业学位初审；</w:t>
            </w:r>
          </w:p>
        </w:tc>
      </w:tr>
      <w:tr w14:paraId="15059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8" w:hRule="atLeast"/>
          <w:jc w:val="center"/>
        </w:trPr>
        <w:tc>
          <w:tcPr>
            <w:tcW w:w="721" w:type="dxa"/>
            <w:shd w:val="clear" w:color="auto" w:fill="auto"/>
            <w:noWrap/>
            <w:vAlign w:val="center"/>
          </w:tcPr>
          <w:p w14:paraId="239D8989">
            <w:pPr>
              <w:keepNext w:val="0"/>
              <w:keepLines w:val="0"/>
              <w:widowControl/>
              <w:suppressLineNumbers w:val="0"/>
              <w:jc w:val="center"/>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32</w:t>
            </w:r>
          </w:p>
        </w:tc>
        <w:tc>
          <w:tcPr>
            <w:tcW w:w="1216" w:type="dxa"/>
            <w:vMerge w:val="continue"/>
            <w:shd w:val="clear" w:color="auto" w:fill="auto"/>
            <w:vAlign w:val="center"/>
          </w:tcPr>
          <w:p w14:paraId="26FA97A5">
            <w:pPr>
              <w:jc w:val="center"/>
              <w:rPr>
                <w:rFonts w:hint="eastAsia" w:ascii="宋体" w:hAnsi="宋体" w:eastAsia="宋体" w:cs="宋体"/>
                <w:b/>
                <w:bCs/>
                <w:i w:val="0"/>
                <w:iCs w:val="0"/>
                <w:color w:val="auto"/>
                <w:sz w:val="24"/>
                <w:szCs w:val="24"/>
                <w:highlight w:val="none"/>
                <w:u w:val="none"/>
              </w:rPr>
            </w:pPr>
          </w:p>
        </w:tc>
        <w:tc>
          <w:tcPr>
            <w:tcW w:w="1536" w:type="dxa"/>
            <w:vMerge w:val="continue"/>
            <w:shd w:val="clear" w:color="auto" w:fill="auto"/>
            <w:vAlign w:val="center"/>
          </w:tcPr>
          <w:p w14:paraId="0AA25786">
            <w:pPr>
              <w:jc w:val="center"/>
              <w:rPr>
                <w:rFonts w:hint="eastAsia" w:ascii="宋体" w:hAnsi="宋体" w:eastAsia="宋体" w:cs="宋体"/>
                <w:b/>
                <w:bCs/>
                <w:i w:val="0"/>
                <w:iCs w:val="0"/>
                <w:color w:val="auto"/>
                <w:sz w:val="24"/>
                <w:szCs w:val="24"/>
                <w:highlight w:val="none"/>
                <w:u w:val="none"/>
              </w:rPr>
            </w:pPr>
          </w:p>
        </w:tc>
        <w:tc>
          <w:tcPr>
            <w:tcW w:w="6036" w:type="dxa"/>
            <w:shd w:val="clear" w:color="auto" w:fill="auto"/>
            <w:vAlign w:val="center"/>
          </w:tcPr>
          <w:p w14:paraId="42E1576F">
            <w:pPr>
              <w:keepNext w:val="0"/>
              <w:keepLines w:val="0"/>
              <w:widowControl/>
              <w:suppressLineNumbers w:val="0"/>
              <w:jc w:val="both"/>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13、研究生毕业学位资格终审：根据研究生处毕业学位资格终审条件，进行毕业学位终审。</w:t>
            </w:r>
          </w:p>
        </w:tc>
      </w:tr>
      <w:tr w14:paraId="53F33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8" w:hRule="atLeast"/>
          <w:jc w:val="center"/>
        </w:trPr>
        <w:tc>
          <w:tcPr>
            <w:tcW w:w="721" w:type="dxa"/>
            <w:shd w:val="clear" w:color="auto" w:fill="auto"/>
            <w:noWrap/>
            <w:vAlign w:val="center"/>
          </w:tcPr>
          <w:p w14:paraId="4F093594">
            <w:pPr>
              <w:keepNext w:val="0"/>
              <w:keepLines w:val="0"/>
              <w:widowControl/>
              <w:suppressLineNumbers w:val="0"/>
              <w:jc w:val="center"/>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33</w:t>
            </w:r>
          </w:p>
        </w:tc>
        <w:tc>
          <w:tcPr>
            <w:tcW w:w="1216" w:type="dxa"/>
            <w:vMerge w:val="restart"/>
            <w:shd w:val="clear" w:color="auto" w:fill="auto"/>
            <w:vAlign w:val="center"/>
          </w:tcPr>
          <w:p w14:paraId="07DDBBC3">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PC端视觉设计</w:t>
            </w:r>
          </w:p>
        </w:tc>
        <w:tc>
          <w:tcPr>
            <w:tcW w:w="1536" w:type="dxa"/>
            <w:vMerge w:val="restart"/>
            <w:shd w:val="clear" w:color="auto" w:fill="auto"/>
            <w:vAlign w:val="center"/>
          </w:tcPr>
          <w:p w14:paraId="4229E997">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培养方案</w:t>
            </w:r>
          </w:p>
        </w:tc>
        <w:tc>
          <w:tcPr>
            <w:tcW w:w="6036" w:type="dxa"/>
            <w:shd w:val="clear" w:color="auto" w:fill="auto"/>
            <w:vAlign w:val="center"/>
          </w:tcPr>
          <w:p w14:paraId="747C3F29">
            <w:pPr>
              <w:keepNext w:val="0"/>
              <w:keepLines w:val="0"/>
              <w:widowControl/>
              <w:suppressLineNumbers w:val="0"/>
              <w:jc w:val="both"/>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1、学生端培养方案视觉设计，根据功能要求设计一套学生端培养方案视觉页面；</w:t>
            </w:r>
          </w:p>
        </w:tc>
      </w:tr>
      <w:tr w14:paraId="255F8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20" w:hRule="atLeast"/>
          <w:jc w:val="center"/>
        </w:trPr>
        <w:tc>
          <w:tcPr>
            <w:tcW w:w="721" w:type="dxa"/>
            <w:shd w:val="clear" w:color="auto" w:fill="auto"/>
            <w:noWrap/>
            <w:vAlign w:val="center"/>
          </w:tcPr>
          <w:p w14:paraId="777C1C78">
            <w:pPr>
              <w:keepNext w:val="0"/>
              <w:keepLines w:val="0"/>
              <w:widowControl/>
              <w:suppressLineNumbers w:val="0"/>
              <w:jc w:val="center"/>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34</w:t>
            </w:r>
          </w:p>
        </w:tc>
        <w:tc>
          <w:tcPr>
            <w:tcW w:w="1216" w:type="dxa"/>
            <w:vMerge w:val="continue"/>
            <w:shd w:val="clear" w:color="auto" w:fill="auto"/>
            <w:vAlign w:val="center"/>
          </w:tcPr>
          <w:p w14:paraId="39BCC899">
            <w:pPr>
              <w:jc w:val="center"/>
              <w:rPr>
                <w:rFonts w:hint="eastAsia" w:ascii="宋体" w:hAnsi="宋体" w:eastAsia="宋体" w:cs="宋体"/>
                <w:b/>
                <w:bCs/>
                <w:i w:val="0"/>
                <w:iCs w:val="0"/>
                <w:color w:val="auto"/>
                <w:sz w:val="24"/>
                <w:szCs w:val="24"/>
                <w:highlight w:val="none"/>
                <w:u w:val="none"/>
              </w:rPr>
            </w:pPr>
          </w:p>
        </w:tc>
        <w:tc>
          <w:tcPr>
            <w:tcW w:w="1536" w:type="dxa"/>
            <w:vMerge w:val="continue"/>
            <w:shd w:val="clear" w:color="auto" w:fill="auto"/>
            <w:vAlign w:val="center"/>
          </w:tcPr>
          <w:p w14:paraId="5EDBD693">
            <w:pPr>
              <w:jc w:val="center"/>
              <w:rPr>
                <w:rFonts w:hint="eastAsia" w:ascii="宋体" w:hAnsi="宋体" w:eastAsia="宋体" w:cs="宋体"/>
                <w:b/>
                <w:bCs/>
                <w:i w:val="0"/>
                <w:iCs w:val="0"/>
                <w:color w:val="auto"/>
                <w:sz w:val="24"/>
                <w:szCs w:val="24"/>
                <w:highlight w:val="none"/>
                <w:u w:val="none"/>
              </w:rPr>
            </w:pPr>
          </w:p>
        </w:tc>
        <w:tc>
          <w:tcPr>
            <w:tcW w:w="6036" w:type="dxa"/>
            <w:shd w:val="clear" w:color="auto" w:fill="auto"/>
            <w:vAlign w:val="center"/>
          </w:tcPr>
          <w:p w14:paraId="51FF8D00">
            <w:pPr>
              <w:keepNext w:val="0"/>
              <w:keepLines w:val="0"/>
              <w:widowControl/>
              <w:suppressLineNumbers w:val="0"/>
              <w:jc w:val="both"/>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2、教师端培养方案视觉设计，根据功能要求设计一套教师端培养方案视觉页面；</w:t>
            </w:r>
          </w:p>
        </w:tc>
      </w:tr>
      <w:tr w14:paraId="3C0BD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6" w:hRule="atLeast"/>
          <w:jc w:val="center"/>
        </w:trPr>
        <w:tc>
          <w:tcPr>
            <w:tcW w:w="721" w:type="dxa"/>
            <w:shd w:val="clear" w:color="auto" w:fill="auto"/>
            <w:noWrap/>
            <w:vAlign w:val="center"/>
          </w:tcPr>
          <w:p w14:paraId="1FC84DFA">
            <w:pPr>
              <w:keepNext w:val="0"/>
              <w:keepLines w:val="0"/>
              <w:widowControl/>
              <w:suppressLineNumbers w:val="0"/>
              <w:jc w:val="center"/>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35</w:t>
            </w:r>
          </w:p>
        </w:tc>
        <w:tc>
          <w:tcPr>
            <w:tcW w:w="1216" w:type="dxa"/>
            <w:vMerge w:val="continue"/>
            <w:shd w:val="clear" w:color="auto" w:fill="auto"/>
            <w:vAlign w:val="center"/>
          </w:tcPr>
          <w:p w14:paraId="5EBDCD31">
            <w:pPr>
              <w:jc w:val="center"/>
              <w:rPr>
                <w:rFonts w:hint="eastAsia" w:ascii="宋体" w:hAnsi="宋体" w:eastAsia="宋体" w:cs="宋体"/>
                <w:b/>
                <w:bCs/>
                <w:i w:val="0"/>
                <w:iCs w:val="0"/>
                <w:color w:val="auto"/>
                <w:sz w:val="24"/>
                <w:szCs w:val="24"/>
                <w:highlight w:val="none"/>
                <w:u w:val="none"/>
              </w:rPr>
            </w:pPr>
          </w:p>
        </w:tc>
        <w:tc>
          <w:tcPr>
            <w:tcW w:w="1536" w:type="dxa"/>
            <w:vMerge w:val="continue"/>
            <w:shd w:val="clear" w:color="auto" w:fill="auto"/>
            <w:vAlign w:val="center"/>
          </w:tcPr>
          <w:p w14:paraId="492648B8">
            <w:pPr>
              <w:jc w:val="center"/>
              <w:rPr>
                <w:rFonts w:hint="eastAsia" w:ascii="宋体" w:hAnsi="宋体" w:eastAsia="宋体" w:cs="宋体"/>
                <w:b/>
                <w:bCs/>
                <w:i w:val="0"/>
                <w:iCs w:val="0"/>
                <w:color w:val="auto"/>
                <w:sz w:val="24"/>
                <w:szCs w:val="24"/>
                <w:highlight w:val="none"/>
                <w:u w:val="none"/>
              </w:rPr>
            </w:pPr>
          </w:p>
        </w:tc>
        <w:tc>
          <w:tcPr>
            <w:tcW w:w="6036" w:type="dxa"/>
            <w:shd w:val="clear" w:color="auto" w:fill="auto"/>
            <w:vAlign w:val="center"/>
          </w:tcPr>
          <w:p w14:paraId="3509F671">
            <w:pPr>
              <w:keepNext w:val="0"/>
              <w:keepLines w:val="0"/>
              <w:widowControl/>
              <w:suppressLineNumbers w:val="0"/>
              <w:jc w:val="both"/>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3、二级学院管理端培养方案视觉设计，根据功能要求设计一套二级学院管理端培养方案视觉页面；</w:t>
            </w:r>
          </w:p>
        </w:tc>
      </w:tr>
      <w:tr w14:paraId="76C6D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44" w:hRule="atLeast"/>
          <w:jc w:val="center"/>
        </w:trPr>
        <w:tc>
          <w:tcPr>
            <w:tcW w:w="721" w:type="dxa"/>
            <w:shd w:val="clear" w:color="auto" w:fill="auto"/>
            <w:noWrap/>
            <w:vAlign w:val="center"/>
          </w:tcPr>
          <w:p w14:paraId="0017D3BB">
            <w:pPr>
              <w:keepNext w:val="0"/>
              <w:keepLines w:val="0"/>
              <w:widowControl/>
              <w:suppressLineNumbers w:val="0"/>
              <w:jc w:val="center"/>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36</w:t>
            </w:r>
          </w:p>
        </w:tc>
        <w:tc>
          <w:tcPr>
            <w:tcW w:w="1216" w:type="dxa"/>
            <w:vMerge w:val="continue"/>
            <w:shd w:val="clear" w:color="auto" w:fill="auto"/>
            <w:vAlign w:val="center"/>
          </w:tcPr>
          <w:p w14:paraId="596F6711">
            <w:pPr>
              <w:jc w:val="center"/>
              <w:rPr>
                <w:rFonts w:hint="eastAsia" w:ascii="宋体" w:hAnsi="宋体" w:eastAsia="宋体" w:cs="宋体"/>
                <w:b/>
                <w:bCs/>
                <w:i w:val="0"/>
                <w:iCs w:val="0"/>
                <w:color w:val="auto"/>
                <w:sz w:val="24"/>
                <w:szCs w:val="24"/>
                <w:highlight w:val="none"/>
                <w:u w:val="none"/>
              </w:rPr>
            </w:pPr>
          </w:p>
        </w:tc>
        <w:tc>
          <w:tcPr>
            <w:tcW w:w="1536" w:type="dxa"/>
            <w:vMerge w:val="continue"/>
            <w:shd w:val="clear" w:color="auto" w:fill="auto"/>
            <w:vAlign w:val="center"/>
          </w:tcPr>
          <w:p w14:paraId="6FE1FC13">
            <w:pPr>
              <w:jc w:val="center"/>
              <w:rPr>
                <w:rFonts w:hint="eastAsia" w:ascii="宋体" w:hAnsi="宋体" w:eastAsia="宋体" w:cs="宋体"/>
                <w:b/>
                <w:bCs/>
                <w:i w:val="0"/>
                <w:iCs w:val="0"/>
                <w:color w:val="auto"/>
                <w:sz w:val="24"/>
                <w:szCs w:val="24"/>
                <w:highlight w:val="none"/>
                <w:u w:val="none"/>
              </w:rPr>
            </w:pPr>
          </w:p>
        </w:tc>
        <w:tc>
          <w:tcPr>
            <w:tcW w:w="6036" w:type="dxa"/>
            <w:shd w:val="clear" w:color="auto" w:fill="auto"/>
            <w:vAlign w:val="center"/>
          </w:tcPr>
          <w:p w14:paraId="0D023F53">
            <w:pPr>
              <w:keepNext w:val="0"/>
              <w:keepLines w:val="0"/>
              <w:widowControl/>
              <w:suppressLineNumbers w:val="0"/>
              <w:jc w:val="both"/>
              <w:textAlignment w:val="bottom"/>
              <w:rPr>
                <w:rFonts w:hint="default" w:ascii="宋体" w:hAnsi="宋体" w:eastAsia="宋体" w:cs="宋体"/>
                <w:i w:val="0"/>
                <w:iCs w:val="0"/>
                <w:color w:val="auto"/>
                <w:sz w:val="24"/>
                <w:szCs w:val="24"/>
                <w:highlight w:val="none"/>
                <w:u w:val="none"/>
                <w:lang w:val="en-US"/>
              </w:rPr>
            </w:pPr>
            <w:r>
              <w:rPr>
                <w:rFonts w:hint="default" w:cs="仿宋_GB2312" w:asciiTheme="minorEastAsia" w:hAnsiTheme="minorEastAsia" w:eastAsiaTheme="minorEastAsia"/>
                <w:color w:val="auto"/>
                <w:sz w:val="21"/>
                <w:szCs w:val="21"/>
                <w:highlight w:val="none"/>
              </w:rPr>
              <w:t>★</w:t>
            </w:r>
            <w:r>
              <w:rPr>
                <w:rFonts w:hint="eastAsia" w:ascii="宋体" w:hAnsi="宋体" w:eastAsia="宋体" w:cs="宋体"/>
                <w:i w:val="0"/>
                <w:iCs w:val="0"/>
                <w:color w:val="auto"/>
                <w:kern w:val="0"/>
                <w:sz w:val="24"/>
                <w:szCs w:val="24"/>
                <w:highlight w:val="none"/>
                <w:u w:val="none"/>
                <w:lang w:val="en-US" w:eastAsia="zh-CN" w:bidi="ar"/>
              </w:rPr>
              <w:t>4、教务管理端培养方案视觉设计，根据功能要求设计一套教务管理端培养方案视觉页面</w:t>
            </w:r>
            <w:r>
              <w:rPr>
                <w:rFonts w:hint="eastAsia" w:ascii="宋体" w:hAnsi="宋体" w:cs="宋体"/>
                <w:i w:val="0"/>
                <w:iCs w:val="0"/>
                <w:color w:val="auto"/>
                <w:kern w:val="0"/>
                <w:sz w:val="24"/>
                <w:szCs w:val="24"/>
                <w:highlight w:val="none"/>
                <w:u w:val="none"/>
                <w:lang w:val="en-US" w:eastAsia="zh-CN" w:bidi="ar"/>
              </w:rPr>
              <w:t>，风格需与一二期保持一致</w:t>
            </w:r>
            <w:r>
              <w:rPr>
                <w:rFonts w:hint="default" w:ascii="宋体" w:hAnsi="宋体" w:eastAsia="宋体" w:cs="宋体"/>
                <w:i w:val="0"/>
                <w:iCs w:val="0"/>
                <w:color w:val="auto"/>
                <w:kern w:val="0"/>
                <w:sz w:val="24"/>
                <w:szCs w:val="24"/>
                <w:highlight w:val="none"/>
                <w:u w:val="none"/>
                <w:lang w:val="en-US" w:eastAsia="zh-CN" w:bidi="ar"/>
              </w:rPr>
              <w:t>（</w:t>
            </w:r>
            <w:r>
              <w:rPr>
                <w:rFonts w:hint="eastAsia" w:ascii="宋体" w:hAnsi="宋体"/>
                <w:color w:val="auto"/>
                <w:sz w:val="24"/>
                <w:highlight w:val="none"/>
              </w:rPr>
              <w:t>提供类似项目同类功能截图并加盖公章</w:t>
            </w:r>
            <w:r>
              <w:rPr>
                <w:rFonts w:hint="eastAsia" w:ascii="宋体" w:hAnsi="宋体"/>
                <w:color w:val="auto"/>
                <w:sz w:val="24"/>
                <w:highlight w:val="none"/>
                <w:lang w:eastAsia="zh-CN"/>
              </w:rPr>
              <w:t>，</w:t>
            </w:r>
            <w:r>
              <w:rPr>
                <w:rFonts w:hint="eastAsia" w:ascii="宋体" w:hAnsi="宋体"/>
                <w:color w:val="auto"/>
                <w:sz w:val="24"/>
                <w:highlight w:val="none"/>
                <w:lang w:val="en-US" w:eastAsia="zh-CN"/>
              </w:rPr>
              <w:t>未提供视为负偏离</w:t>
            </w:r>
            <w:r>
              <w:rPr>
                <w:rFonts w:hint="default" w:ascii="宋体" w:hAnsi="宋体" w:eastAsia="宋体" w:cs="宋体"/>
                <w:i w:val="0"/>
                <w:iCs w:val="0"/>
                <w:color w:val="auto"/>
                <w:kern w:val="0"/>
                <w:sz w:val="24"/>
                <w:szCs w:val="24"/>
                <w:highlight w:val="none"/>
                <w:u w:val="none"/>
                <w:lang w:val="en-US" w:eastAsia="zh-CN" w:bidi="ar"/>
              </w:rPr>
              <w:t>)</w:t>
            </w:r>
          </w:p>
        </w:tc>
      </w:tr>
      <w:tr w14:paraId="5724C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jc w:val="center"/>
        </w:trPr>
        <w:tc>
          <w:tcPr>
            <w:tcW w:w="721" w:type="dxa"/>
            <w:shd w:val="clear" w:color="auto" w:fill="auto"/>
            <w:noWrap/>
            <w:vAlign w:val="center"/>
          </w:tcPr>
          <w:p w14:paraId="5EB8A954">
            <w:pPr>
              <w:keepNext w:val="0"/>
              <w:keepLines w:val="0"/>
              <w:widowControl/>
              <w:suppressLineNumbers w:val="0"/>
              <w:jc w:val="center"/>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37</w:t>
            </w:r>
          </w:p>
        </w:tc>
        <w:tc>
          <w:tcPr>
            <w:tcW w:w="1216" w:type="dxa"/>
            <w:vMerge w:val="continue"/>
            <w:shd w:val="clear" w:color="auto" w:fill="auto"/>
            <w:vAlign w:val="center"/>
          </w:tcPr>
          <w:p w14:paraId="693FD1B7">
            <w:pPr>
              <w:jc w:val="center"/>
              <w:rPr>
                <w:rFonts w:hint="eastAsia" w:ascii="宋体" w:hAnsi="宋体" w:eastAsia="宋体" w:cs="宋体"/>
                <w:b/>
                <w:bCs/>
                <w:i w:val="0"/>
                <w:iCs w:val="0"/>
                <w:color w:val="auto"/>
                <w:sz w:val="24"/>
                <w:szCs w:val="24"/>
                <w:highlight w:val="none"/>
                <w:u w:val="none"/>
              </w:rPr>
            </w:pPr>
          </w:p>
        </w:tc>
        <w:tc>
          <w:tcPr>
            <w:tcW w:w="1536" w:type="dxa"/>
            <w:shd w:val="clear" w:color="auto" w:fill="auto"/>
            <w:vAlign w:val="center"/>
          </w:tcPr>
          <w:p w14:paraId="64E72B32">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考试管理</w:t>
            </w:r>
          </w:p>
        </w:tc>
        <w:tc>
          <w:tcPr>
            <w:tcW w:w="6036" w:type="dxa"/>
            <w:shd w:val="clear" w:color="auto" w:fill="auto"/>
            <w:vAlign w:val="center"/>
          </w:tcPr>
          <w:p w14:paraId="410491FB">
            <w:pPr>
              <w:keepNext w:val="0"/>
              <w:keepLines w:val="0"/>
              <w:widowControl/>
              <w:suppressLineNumbers w:val="0"/>
              <w:jc w:val="both"/>
              <w:textAlignment w:val="bottom"/>
              <w:rPr>
                <w:rFonts w:hint="default" w:ascii="宋体" w:hAnsi="宋体" w:eastAsia="宋体" w:cs="宋体"/>
                <w:i w:val="0"/>
                <w:iCs w:val="0"/>
                <w:color w:val="auto"/>
                <w:sz w:val="24"/>
                <w:szCs w:val="24"/>
                <w:highlight w:val="none"/>
                <w:u w:val="none"/>
                <w:lang w:val="en-US"/>
              </w:rPr>
            </w:pPr>
            <w:r>
              <w:rPr>
                <w:rFonts w:hint="default" w:cs="仿宋_GB2312" w:asciiTheme="minorEastAsia" w:hAnsiTheme="minorEastAsia" w:eastAsiaTheme="minorEastAsia"/>
                <w:color w:val="auto"/>
                <w:sz w:val="21"/>
                <w:szCs w:val="21"/>
                <w:highlight w:val="none"/>
              </w:rPr>
              <w:t>★</w:t>
            </w:r>
            <w:r>
              <w:rPr>
                <w:rFonts w:hint="eastAsia" w:ascii="宋体" w:hAnsi="宋体" w:eastAsia="宋体" w:cs="宋体"/>
                <w:i w:val="0"/>
                <w:iCs w:val="0"/>
                <w:color w:val="auto"/>
                <w:kern w:val="0"/>
                <w:sz w:val="24"/>
                <w:szCs w:val="24"/>
                <w:highlight w:val="none"/>
                <w:u w:val="none"/>
                <w:lang w:val="en-US" w:eastAsia="zh-CN" w:bidi="ar"/>
              </w:rPr>
              <w:t>根据考试管理功能需求设计考试管理视觉页面</w:t>
            </w:r>
            <w:r>
              <w:rPr>
                <w:rFonts w:hint="eastAsia" w:ascii="宋体" w:hAnsi="宋体" w:cs="宋体"/>
                <w:i w:val="0"/>
                <w:iCs w:val="0"/>
                <w:color w:val="auto"/>
                <w:kern w:val="0"/>
                <w:sz w:val="24"/>
                <w:szCs w:val="24"/>
                <w:highlight w:val="none"/>
                <w:u w:val="none"/>
                <w:lang w:val="en-US" w:eastAsia="zh-CN" w:bidi="ar"/>
              </w:rPr>
              <w:t>，风格需与一、二期保</w:t>
            </w:r>
            <w:r>
              <w:rPr>
                <w:rFonts w:hint="eastAsia" w:ascii="宋体" w:hAnsi="宋体" w:eastAsia="宋体" w:cs="宋体"/>
                <w:i w:val="0"/>
                <w:iCs w:val="0"/>
                <w:color w:val="auto"/>
                <w:kern w:val="0"/>
                <w:sz w:val="24"/>
                <w:szCs w:val="24"/>
                <w:highlight w:val="none"/>
                <w:u w:val="none"/>
                <w:lang w:val="en-US" w:eastAsia="zh-CN" w:bidi="ar"/>
              </w:rPr>
              <w:t>持一致</w:t>
            </w:r>
            <w:r>
              <w:rPr>
                <w:rFonts w:hint="default" w:ascii="宋体" w:hAnsi="宋体" w:eastAsia="宋体" w:cs="宋体"/>
                <w:i w:val="0"/>
                <w:iCs w:val="0"/>
                <w:color w:val="auto"/>
                <w:kern w:val="0"/>
                <w:sz w:val="24"/>
                <w:szCs w:val="24"/>
                <w:highlight w:val="none"/>
                <w:u w:val="none"/>
                <w:lang w:val="en-US" w:eastAsia="zh-CN" w:bidi="ar"/>
              </w:rPr>
              <w:t>（</w:t>
            </w:r>
            <w:r>
              <w:rPr>
                <w:rFonts w:hint="eastAsia" w:ascii="宋体" w:hAnsi="宋体"/>
                <w:color w:val="auto"/>
                <w:sz w:val="24"/>
                <w:highlight w:val="none"/>
              </w:rPr>
              <w:t>提供类似项目同类功能截图并加盖公章</w:t>
            </w:r>
            <w:r>
              <w:rPr>
                <w:rFonts w:hint="eastAsia" w:ascii="宋体" w:hAnsi="宋体"/>
                <w:color w:val="auto"/>
                <w:sz w:val="24"/>
                <w:highlight w:val="none"/>
                <w:lang w:eastAsia="zh-CN"/>
              </w:rPr>
              <w:t>，</w:t>
            </w:r>
            <w:r>
              <w:rPr>
                <w:rFonts w:hint="eastAsia" w:ascii="宋体" w:hAnsi="宋体"/>
                <w:color w:val="auto"/>
                <w:sz w:val="24"/>
                <w:highlight w:val="none"/>
                <w:lang w:val="en-US" w:eastAsia="zh-CN"/>
              </w:rPr>
              <w:t>未提供视为负偏离</w:t>
            </w:r>
            <w:r>
              <w:rPr>
                <w:rFonts w:hint="default" w:ascii="宋体" w:hAnsi="宋体" w:eastAsia="宋体" w:cs="宋体"/>
                <w:i w:val="0"/>
                <w:iCs w:val="0"/>
                <w:color w:val="auto"/>
                <w:kern w:val="0"/>
                <w:sz w:val="24"/>
                <w:szCs w:val="24"/>
                <w:highlight w:val="none"/>
                <w:u w:val="none"/>
                <w:lang w:val="en-US" w:eastAsia="zh-CN" w:bidi="ar"/>
              </w:rPr>
              <w:t>)</w:t>
            </w:r>
          </w:p>
        </w:tc>
      </w:tr>
      <w:tr w14:paraId="37450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44" w:hRule="atLeast"/>
          <w:jc w:val="center"/>
        </w:trPr>
        <w:tc>
          <w:tcPr>
            <w:tcW w:w="721" w:type="dxa"/>
            <w:shd w:val="clear" w:color="auto" w:fill="auto"/>
            <w:noWrap/>
            <w:vAlign w:val="center"/>
          </w:tcPr>
          <w:p w14:paraId="2A481BEC">
            <w:pPr>
              <w:keepNext w:val="0"/>
              <w:keepLines w:val="0"/>
              <w:widowControl/>
              <w:suppressLineNumbers w:val="0"/>
              <w:jc w:val="center"/>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38</w:t>
            </w:r>
          </w:p>
        </w:tc>
        <w:tc>
          <w:tcPr>
            <w:tcW w:w="1216" w:type="dxa"/>
            <w:vMerge w:val="continue"/>
            <w:shd w:val="clear" w:color="auto" w:fill="auto"/>
            <w:vAlign w:val="center"/>
          </w:tcPr>
          <w:p w14:paraId="313E340D">
            <w:pPr>
              <w:jc w:val="center"/>
              <w:rPr>
                <w:rFonts w:hint="eastAsia" w:ascii="宋体" w:hAnsi="宋体" w:eastAsia="宋体" w:cs="宋体"/>
                <w:b/>
                <w:bCs/>
                <w:i w:val="0"/>
                <w:iCs w:val="0"/>
                <w:color w:val="auto"/>
                <w:sz w:val="24"/>
                <w:szCs w:val="24"/>
                <w:highlight w:val="none"/>
                <w:u w:val="none"/>
              </w:rPr>
            </w:pPr>
          </w:p>
        </w:tc>
        <w:tc>
          <w:tcPr>
            <w:tcW w:w="1536" w:type="dxa"/>
            <w:vMerge w:val="restart"/>
            <w:shd w:val="clear" w:color="auto" w:fill="auto"/>
            <w:vAlign w:val="center"/>
          </w:tcPr>
          <w:p w14:paraId="2060DE5E">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毕业资格审核</w:t>
            </w:r>
          </w:p>
        </w:tc>
        <w:tc>
          <w:tcPr>
            <w:tcW w:w="6036" w:type="dxa"/>
            <w:shd w:val="clear" w:color="auto" w:fill="auto"/>
            <w:vAlign w:val="center"/>
          </w:tcPr>
          <w:p w14:paraId="1C5AECC7">
            <w:pPr>
              <w:keepNext w:val="0"/>
              <w:keepLines w:val="0"/>
              <w:widowControl/>
              <w:suppressLineNumbers w:val="0"/>
              <w:jc w:val="both"/>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1、二级学院管理端，根据毕业资格审核功能需求，设计毕业资格审核视觉页面；</w:t>
            </w:r>
          </w:p>
        </w:tc>
      </w:tr>
      <w:tr w14:paraId="456A9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6" w:hRule="atLeast"/>
          <w:jc w:val="center"/>
        </w:trPr>
        <w:tc>
          <w:tcPr>
            <w:tcW w:w="721" w:type="dxa"/>
            <w:shd w:val="clear" w:color="auto" w:fill="auto"/>
            <w:noWrap/>
            <w:vAlign w:val="center"/>
          </w:tcPr>
          <w:p w14:paraId="634584D6">
            <w:pPr>
              <w:keepNext w:val="0"/>
              <w:keepLines w:val="0"/>
              <w:widowControl/>
              <w:suppressLineNumbers w:val="0"/>
              <w:jc w:val="center"/>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39</w:t>
            </w:r>
          </w:p>
        </w:tc>
        <w:tc>
          <w:tcPr>
            <w:tcW w:w="1216" w:type="dxa"/>
            <w:vMerge w:val="continue"/>
            <w:shd w:val="clear" w:color="auto" w:fill="auto"/>
            <w:vAlign w:val="center"/>
          </w:tcPr>
          <w:p w14:paraId="2441B110">
            <w:pPr>
              <w:jc w:val="center"/>
              <w:rPr>
                <w:rFonts w:hint="eastAsia" w:ascii="宋体" w:hAnsi="宋体" w:eastAsia="宋体" w:cs="宋体"/>
                <w:b/>
                <w:bCs/>
                <w:i w:val="0"/>
                <w:iCs w:val="0"/>
                <w:color w:val="auto"/>
                <w:sz w:val="24"/>
                <w:szCs w:val="24"/>
                <w:highlight w:val="none"/>
                <w:u w:val="none"/>
              </w:rPr>
            </w:pPr>
          </w:p>
        </w:tc>
        <w:tc>
          <w:tcPr>
            <w:tcW w:w="1536" w:type="dxa"/>
            <w:vMerge w:val="continue"/>
            <w:shd w:val="clear" w:color="auto" w:fill="auto"/>
            <w:vAlign w:val="center"/>
          </w:tcPr>
          <w:p w14:paraId="19611A16">
            <w:pPr>
              <w:jc w:val="center"/>
              <w:rPr>
                <w:rFonts w:hint="eastAsia" w:ascii="宋体" w:hAnsi="宋体" w:eastAsia="宋体" w:cs="宋体"/>
                <w:b/>
                <w:bCs/>
                <w:i w:val="0"/>
                <w:iCs w:val="0"/>
                <w:color w:val="auto"/>
                <w:sz w:val="24"/>
                <w:szCs w:val="24"/>
                <w:highlight w:val="none"/>
                <w:u w:val="none"/>
              </w:rPr>
            </w:pPr>
          </w:p>
        </w:tc>
        <w:tc>
          <w:tcPr>
            <w:tcW w:w="6036" w:type="dxa"/>
            <w:shd w:val="clear" w:color="auto" w:fill="auto"/>
            <w:vAlign w:val="center"/>
          </w:tcPr>
          <w:p w14:paraId="6788FC10">
            <w:pPr>
              <w:keepNext w:val="0"/>
              <w:keepLines w:val="0"/>
              <w:widowControl/>
              <w:suppressLineNumbers w:val="0"/>
              <w:jc w:val="both"/>
              <w:textAlignment w:val="bottom"/>
              <w:rPr>
                <w:rFonts w:hint="default" w:ascii="宋体" w:hAnsi="宋体" w:eastAsia="宋体" w:cs="宋体"/>
                <w:i w:val="0"/>
                <w:iCs w:val="0"/>
                <w:color w:val="auto"/>
                <w:sz w:val="24"/>
                <w:szCs w:val="24"/>
                <w:highlight w:val="none"/>
                <w:u w:val="none"/>
                <w:lang w:val="en-US"/>
              </w:rPr>
            </w:pPr>
            <w:r>
              <w:rPr>
                <w:rFonts w:hint="default" w:cs="仿宋_GB2312" w:asciiTheme="minorEastAsia" w:hAnsiTheme="minorEastAsia" w:eastAsiaTheme="minorEastAsia"/>
                <w:color w:val="auto"/>
                <w:sz w:val="21"/>
                <w:szCs w:val="21"/>
                <w:highlight w:val="none"/>
              </w:rPr>
              <w:t>★</w:t>
            </w:r>
            <w:r>
              <w:rPr>
                <w:rFonts w:hint="eastAsia" w:ascii="宋体" w:hAnsi="宋体" w:eastAsia="宋体" w:cs="宋体"/>
                <w:i w:val="0"/>
                <w:iCs w:val="0"/>
                <w:color w:val="auto"/>
                <w:kern w:val="0"/>
                <w:sz w:val="24"/>
                <w:szCs w:val="24"/>
                <w:highlight w:val="none"/>
                <w:u w:val="none"/>
                <w:lang w:val="en-US" w:eastAsia="zh-CN" w:bidi="ar"/>
              </w:rPr>
              <w:t>2、教务管理端，根据毕业资格审核功能需求，设计毕业资格审核视觉页面</w:t>
            </w:r>
            <w:r>
              <w:rPr>
                <w:rFonts w:hint="eastAsia" w:ascii="宋体" w:hAnsi="宋体" w:cs="宋体"/>
                <w:i w:val="0"/>
                <w:iCs w:val="0"/>
                <w:color w:val="auto"/>
                <w:kern w:val="0"/>
                <w:sz w:val="24"/>
                <w:szCs w:val="24"/>
                <w:highlight w:val="none"/>
                <w:u w:val="none"/>
                <w:lang w:val="en-US" w:eastAsia="zh-CN" w:bidi="ar"/>
              </w:rPr>
              <w:t>,风格需与一二期保持一致</w:t>
            </w:r>
            <w:r>
              <w:rPr>
                <w:rFonts w:hint="default" w:ascii="宋体" w:hAnsi="宋体" w:eastAsia="宋体" w:cs="宋体"/>
                <w:i w:val="0"/>
                <w:iCs w:val="0"/>
                <w:color w:val="auto"/>
                <w:kern w:val="0"/>
                <w:sz w:val="24"/>
                <w:szCs w:val="24"/>
                <w:highlight w:val="none"/>
                <w:u w:val="none"/>
                <w:lang w:val="en-US" w:eastAsia="zh-CN" w:bidi="ar"/>
              </w:rPr>
              <w:t>（</w:t>
            </w:r>
            <w:r>
              <w:rPr>
                <w:rFonts w:hint="eastAsia" w:ascii="宋体" w:hAnsi="宋体"/>
                <w:color w:val="auto"/>
                <w:sz w:val="24"/>
                <w:highlight w:val="none"/>
              </w:rPr>
              <w:t>提供类似项目同类功能截图并加盖公章</w:t>
            </w:r>
            <w:r>
              <w:rPr>
                <w:rFonts w:hint="eastAsia" w:ascii="宋体" w:hAnsi="宋体"/>
                <w:color w:val="auto"/>
                <w:sz w:val="24"/>
                <w:highlight w:val="none"/>
                <w:lang w:eastAsia="zh-CN"/>
              </w:rPr>
              <w:t>，</w:t>
            </w:r>
            <w:r>
              <w:rPr>
                <w:rFonts w:hint="eastAsia" w:ascii="宋体" w:hAnsi="宋体"/>
                <w:color w:val="auto"/>
                <w:sz w:val="24"/>
                <w:highlight w:val="none"/>
                <w:lang w:val="en-US" w:eastAsia="zh-CN"/>
              </w:rPr>
              <w:t>未提供视为负偏离</w:t>
            </w:r>
            <w:r>
              <w:rPr>
                <w:rFonts w:hint="default" w:ascii="宋体" w:hAnsi="宋体" w:eastAsia="宋体" w:cs="宋体"/>
                <w:i w:val="0"/>
                <w:iCs w:val="0"/>
                <w:color w:val="auto"/>
                <w:kern w:val="0"/>
                <w:sz w:val="24"/>
                <w:szCs w:val="24"/>
                <w:highlight w:val="none"/>
                <w:u w:val="none"/>
                <w:lang w:val="en-US" w:eastAsia="zh-CN" w:bidi="ar"/>
              </w:rPr>
              <w:t>)</w:t>
            </w:r>
          </w:p>
        </w:tc>
      </w:tr>
      <w:tr w14:paraId="745F1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721" w:type="dxa"/>
            <w:shd w:val="clear" w:color="auto" w:fill="auto"/>
            <w:noWrap/>
            <w:vAlign w:val="center"/>
          </w:tcPr>
          <w:p w14:paraId="0E22F11B">
            <w:pPr>
              <w:keepNext w:val="0"/>
              <w:keepLines w:val="0"/>
              <w:widowControl/>
              <w:suppressLineNumbers w:val="0"/>
              <w:jc w:val="center"/>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40</w:t>
            </w:r>
          </w:p>
        </w:tc>
        <w:tc>
          <w:tcPr>
            <w:tcW w:w="1216" w:type="dxa"/>
            <w:vMerge w:val="restart"/>
            <w:shd w:val="clear" w:color="auto" w:fill="auto"/>
            <w:vAlign w:val="center"/>
          </w:tcPr>
          <w:p w14:paraId="17700A79">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移动端视觉设计</w:t>
            </w:r>
          </w:p>
        </w:tc>
        <w:tc>
          <w:tcPr>
            <w:tcW w:w="1536" w:type="dxa"/>
            <w:vMerge w:val="restart"/>
            <w:shd w:val="clear" w:color="auto" w:fill="auto"/>
            <w:vAlign w:val="center"/>
          </w:tcPr>
          <w:p w14:paraId="328BDA02">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学生端</w:t>
            </w:r>
          </w:p>
        </w:tc>
        <w:tc>
          <w:tcPr>
            <w:tcW w:w="6036" w:type="dxa"/>
            <w:shd w:val="clear" w:color="auto" w:fill="auto"/>
            <w:vAlign w:val="center"/>
          </w:tcPr>
          <w:p w14:paraId="7A966A44">
            <w:pPr>
              <w:keepNext w:val="0"/>
              <w:keepLines w:val="0"/>
              <w:widowControl/>
              <w:suppressLineNumbers w:val="0"/>
              <w:jc w:val="both"/>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1、请假</w:t>
            </w:r>
          </w:p>
        </w:tc>
      </w:tr>
      <w:tr w14:paraId="1359B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721" w:type="dxa"/>
            <w:shd w:val="clear" w:color="auto" w:fill="auto"/>
            <w:noWrap/>
            <w:vAlign w:val="center"/>
          </w:tcPr>
          <w:p w14:paraId="7A6EF761">
            <w:pPr>
              <w:keepNext w:val="0"/>
              <w:keepLines w:val="0"/>
              <w:widowControl/>
              <w:suppressLineNumbers w:val="0"/>
              <w:jc w:val="center"/>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41</w:t>
            </w:r>
          </w:p>
        </w:tc>
        <w:tc>
          <w:tcPr>
            <w:tcW w:w="1216" w:type="dxa"/>
            <w:vMerge w:val="continue"/>
            <w:shd w:val="clear" w:color="auto" w:fill="auto"/>
            <w:vAlign w:val="center"/>
          </w:tcPr>
          <w:p w14:paraId="2738109E">
            <w:pPr>
              <w:jc w:val="center"/>
              <w:rPr>
                <w:rFonts w:hint="eastAsia" w:ascii="宋体" w:hAnsi="宋体" w:eastAsia="宋体" w:cs="宋体"/>
                <w:b/>
                <w:bCs/>
                <w:i w:val="0"/>
                <w:iCs w:val="0"/>
                <w:color w:val="auto"/>
                <w:sz w:val="24"/>
                <w:szCs w:val="24"/>
                <w:highlight w:val="none"/>
                <w:u w:val="none"/>
              </w:rPr>
            </w:pPr>
          </w:p>
        </w:tc>
        <w:tc>
          <w:tcPr>
            <w:tcW w:w="1536" w:type="dxa"/>
            <w:vMerge w:val="continue"/>
            <w:shd w:val="clear" w:color="auto" w:fill="auto"/>
            <w:vAlign w:val="center"/>
          </w:tcPr>
          <w:p w14:paraId="292D0B4B">
            <w:pPr>
              <w:jc w:val="center"/>
              <w:rPr>
                <w:rFonts w:hint="eastAsia" w:ascii="宋体" w:hAnsi="宋体" w:eastAsia="宋体" w:cs="宋体"/>
                <w:b/>
                <w:bCs/>
                <w:i w:val="0"/>
                <w:iCs w:val="0"/>
                <w:color w:val="auto"/>
                <w:sz w:val="24"/>
                <w:szCs w:val="24"/>
                <w:highlight w:val="none"/>
                <w:u w:val="none"/>
              </w:rPr>
            </w:pPr>
          </w:p>
        </w:tc>
        <w:tc>
          <w:tcPr>
            <w:tcW w:w="6036" w:type="dxa"/>
            <w:shd w:val="clear" w:color="auto" w:fill="auto"/>
            <w:vAlign w:val="center"/>
          </w:tcPr>
          <w:p w14:paraId="7000DC59">
            <w:pPr>
              <w:keepNext w:val="0"/>
              <w:keepLines w:val="0"/>
              <w:widowControl/>
              <w:suppressLineNumbers w:val="0"/>
              <w:jc w:val="both"/>
              <w:textAlignment w:val="bottom"/>
              <w:rPr>
                <w:rFonts w:hint="eastAsia" w:ascii="宋体" w:hAnsi="宋体" w:eastAsia="宋体" w:cs="宋体"/>
                <w:i w:val="0"/>
                <w:iCs w:val="0"/>
                <w:color w:val="auto"/>
                <w:sz w:val="24"/>
                <w:szCs w:val="24"/>
                <w:highlight w:val="none"/>
                <w:u w:val="none"/>
              </w:rPr>
            </w:pPr>
            <w:r>
              <w:rPr>
                <w:rFonts w:hint="default" w:cs="仿宋_GB2312" w:asciiTheme="minorEastAsia" w:hAnsiTheme="minorEastAsia" w:eastAsiaTheme="minorEastAsia"/>
                <w:color w:val="auto"/>
                <w:sz w:val="21"/>
                <w:szCs w:val="21"/>
                <w:highlight w:val="none"/>
              </w:rPr>
              <w:t>★</w:t>
            </w:r>
            <w:r>
              <w:rPr>
                <w:rFonts w:hint="eastAsia" w:ascii="宋体" w:hAnsi="宋体" w:eastAsia="宋体" w:cs="宋体"/>
                <w:i w:val="0"/>
                <w:iCs w:val="0"/>
                <w:color w:val="auto"/>
                <w:kern w:val="0"/>
                <w:sz w:val="24"/>
                <w:szCs w:val="24"/>
                <w:highlight w:val="none"/>
                <w:u w:val="none"/>
                <w:lang w:val="en-US" w:eastAsia="zh-CN" w:bidi="ar"/>
              </w:rPr>
              <w:t>3、课表查询</w:t>
            </w:r>
            <w:r>
              <w:rPr>
                <w:rFonts w:hint="default" w:ascii="宋体" w:hAnsi="宋体" w:eastAsia="宋体" w:cs="宋体"/>
                <w:i w:val="0"/>
                <w:iCs w:val="0"/>
                <w:color w:val="auto"/>
                <w:kern w:val="0"/>
                <w:sz w:val="24"/>
                <w:szCs w:val="24"/>
                <w:highlight w:val="none"/>
                <w:u w:val="none"/>
                <w:lang w:val="en-US" w:eastAsia="zh-CN" w:bidi="ar"/>
              </w:rPr>
              <w:t>（</w:t>
            </w:r>
            <w:r>
              <w:rPr>
                <w:rFonts w:hint="eastAsia" w:ascii="宋体" w:hAnsi="宋体"/>
                <w:color w:val="auto"/>
                <w:sz w:val="24"/>
                <w:highlight w:val="none"/>
              </w:rPr>
              <w:t>提供类似项目同类功能截图并加盖公章</w:t>
            </w:r>
            <w:r>
              <w:rPr>
                <w:rFonts w:hint="eastAsia" w:ascii="宋体" w:hAnsi="宋体"/>
                <w:color w:val="auto"/>
                <w:sz w:val="24"/>
                <w:highlight w:val="none"/>
                <w:lang w:eastAsia="zh-CN"/>
              </w:rPr>
              <w:t>，</w:t>
            </w:r>
            <w:r>
              <w:rPr>
                <w:rFonts w:hint="eastAsia" w:ascii="宋体" w:hAnsi="宋体"/>
                <w:color w:val="auto"/>
                <w:sz w:val="24"/>
                <w:highlight w:val="none"/>
                <w:lang w:val="en-US" w:eastAsia="zh-CN"/>
              </w:rPr>
              <w:t>未提供视为负偏离</w:t>
            </w:r>
            <w:r>
              <w:rPr>
                <w:rFonts w:hint="default" w:ascii="宋体" w:hAnsi="宋体" w:eastAsia="宋体" w:cs="宋体"/>
                <w:i w:val="0"/>
                <w:iCs w:val="0"/>
                <w:color w:val="auto"/>
                <w:kern w:val="0"/>
                <w:sz w:val="24"/>
                <w:szCs w:val="24"/>
                <w:highlight w:val="none"/>
                <w:u w:val="none"/>
                <w:lang w:val="en-US" w:eastAsia="zh-CN" w:bidi="ar"/>
              </w:rPr>
              <w:t>)</w:t>
            </w:r>
          </w:p>
        </w:tc>
      </w:tr>
      <w:tr w14:paraId="7137C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721" w:type="dxa"/>
            <w:shd w:val="clear" w:color="auto" w:fill="auto"/>
            <w:noWrap/>
            <w:vAlign w:val="center"/>
          </w:tcPr>
          <w:p w14:paraId="2B489FFF">
            <w:pPr>
              <w:keepNext w:val="0"/>
              <w:keepLines w:val="0"/>
              <w:widowControl/>
              <w:suppressLineNumbers w:val="0"/>
              <w:jc w:val="center"/>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42</w:t>
            </w:r>
          </w:p>
        </w:tc>
        <w:tc>
          <w:tcPr>
            <w:tcW w:w="1216" w:type="dxa"/>
            <w:vMerge w:val="continue"/>
            <w:shd w:val="clear" w:color="auto" w:fill="auto"/>
            <w:vAlign w:val="center"/>
          </w:tcPr>
          <w:p w14:paraId="0D42DE8B">
            <w:pPr>
              <w:jc w:val="center"/>
              <w:rPr>
                <w:rFonts w:hint="eastAsia" w:ascii="宋体" w:hAnsi="宋体" w:eastAsia="宋体" w:cs="宋体"/>
                <w:b/>
                <w:bCs/>
                <w:i w:val="0"/>
                <w:iCs w:val="0"/>
                <w:color w:val="auto"/>
                <w:sz w:val="24"/>
                <w:szCs w:val="24"/>
                <w:highlight w:val="none"/>
                <w:u w:val="none"/>
              </w:rPr>
            </w:pPr>
          </w:p>
        </w:tc>
        <w:tc>
          <w:tcPr>
            <w:tcW w:w="1536" w:type="dxa"/>
            <w:vMerge w:val="continue"/>
            <w:shd w:val="clear" w:color="auto" w:fill="auto"/>
            <w:vAlign w:val="center"/>
          </w:tcPr>
          <w:p w14:paraId="79CBDA9D">
            <w:pPr>
              <w:jc w:val="center"/>
              <w:rPr>
                <w:rFonts w:hint="eastAsia" w:ascii="宋体" w:hAnsi="宋体" w:eastAsia="宋体" w:cs="宋体"/>
                <w:b/>
                <w:bCs/>
                <w:i w:val="0"/>
                <w:iCs w:val="0"/>
                <w:color w:val="auto"/>
                <w:sz w:val="24"/>
                <w:szCs w:val="24"/>
                <w:highlight w:val="none"/>
                <w:u w:val="none"/>
              </w:rPr>
            </w:pPr>
          </w:p>
        </w:tc>
        <w:tc>
          <w:tcPr>
            <w:tcW w:w="6036" w:type="dxa"/>
            <w:shd w:val="clear" w:color="auto" w:fill="auto"/>
            <w:vAlign w:val="center"/>
          </w:tcPr>
          <w:p w14:paraId="3AFE5CB5">
            <w:pPr>
              <w:keepNext w:val="0"/>
              <w:keepLines w:val="0"/>
              <w:widowControl/>
              <w:suppressLineNumbers w:val="0"/>
              <w:jc w:val="both"/>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4、成绩查询</w:t>
            </w:r>
          </w:p>
        </w:tc>
      </w:tr>
      <w:tr w14:paraId="0953D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721" w:type="dxa"/>
            <w:shd w:val="clear" w:color="auto" w:fill="auto"/>
            <w:noWrap/>
            <w:vAlign w:val="center"/>
          </w:tcPr>
          <w:p w14:paraId="25E6A91C">
            <w:pPr>
              <w:keepNext w:val="0"/>
              <w:keepLines w:val="0"/>
              <w:widowControl/>
              <w:suppressLineNumbers w:val="0"/>
              <w:jc w:val="center"/>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43</w:t>
            </w:r>
          </w:p>
        </w:tc>
        <w:tc>
          <w:tcPr>
            <w:tcW w:w="1216" w:type="dxa"/>
            <w:vMerge w:val="continue"/>
            <w:shd w:val="clear" w:color="auto" w:fill="auto"/>
            <w:vAlign w:val="center"/>
          </w:tcPr>
          <w:p w14:paraId="49B3F889">
            <w:pPr>
              <w:jc w:val="center"/>
              <w:rPr>
                <w:rFonts w:hint="eastAsia" w:ascii="宋体" w:hAnsi="宋体" w:eastAsia="宋体" w:cs="宋体"/>
                <w:b/>
                <w:bCs/>
                <w:i w:val="0"/>
                <w:iCs w:val="0"/>
                <w:color w:val="auto"/>
                <w:sz w:val="24"/>
                <w:szCs w:val="24"/>
                <w:highlight w:val="none"/>
                <w:u w:val="none"/>
              </w:rPr>
            </w:pPr>
          </w:p>
        </w:tc>
        <w:tc>
          <w:tcPr>
            <w:tcW w:w="1536" w:type="dxa"/>
            <w:vMerge w:val="continue"/>
            <w:shd w:val="clear" w:color="auto" w:fill="auto"/>
            <w:vAlign w:val="center"/>
          </w:tcPr>
          <w:p w14:paraId="7188B1AA">
            <w:pPr>
              <w:jc w:val="center"/>
              <w:rPr>
                <w:rFonts w:hint="eastAsia" w:ascii="宋体" w:hAnsi="宋体" w:eastAsia="宋体" w:cs="宋体"/>
                <w:b/>
                <w:bCs/>
                <w:i w:val="0"/>
                <w:iCs w:val="0"/>
                <w:color w:val="auto"/>
                <w:sz w:val="24"/>
                <w:szCs w:val="24"/>
                <w:highlight w:val="none"/>
                <w:u w:val="none"/>
              </w:rPr>
            </w:pPr>
          </w:p>
        </w:tc>
        <w:tc>
          <w:tcPr>
            <w:tcW w:w="6036" w:type="dxa"/>
            <w:shd w:val="clear" w:color="auto" w:fill="auto"/>
            <w:vAlign w:val="center"/>
          </w:tcPr>
          <w:p w14:paraId="533F7875">
            <w:pPr>
              <w:keepNext w:val="0"/>
              <w:keepLines w:val="0"/>
              <w:widowControl/>
              <w:suppressLineNumbers w:val="0"/>
              <w:jc w:val="both"/>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5、培养方案</w:t>
            </w:r>
          </w:p>
        </w:tc>
      </w:tr>
      <w:tr w14:paraId="56032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721" w:type="dxa"/>
            <w:shd w:val="clear" w:color="auto" w:fill="auto"/>
            <w:noWrap/>
            <w:vAlign w:val="center"/>
          </w:tcPr>
          <w:p w14:paraId="5D7F8CCD">
            <w:pPr>
              <w:keepNext w:val="0"/>
              <w:keepLines w:val="0"/>
              <w:widowControl/>
              <w:suppressLineNumbers w:val="0"/>
              <w:jc w:val="center"/>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44</w:t>
            </w:r>
          </w:p>
        </w:tc>
        <w:tc>
          <w:tcPr>
            <w:tcW w:w="1216" w:type="dxa"/>
            <w:vMerge w:val="continue"/>
            <w:shd w:val="clear" w:color="auto" w:fill="auto"/>
            <w:vAlign w:val="center"/>
          </w:tcPr>
          <w:p w14:paraId="4F50A229">
            <w:pPr>
              <w:jc w:val="center"/>
              <w:rPr>
                <w:rFonts w:hint="eastAsia" w:ascii="宋体" w:hAnsi="宋体" w:eastAsia="宋体" w:cs="宋体"/>
                <w:b/>
                <w:bCs/>
                <w:i w:val="0"/>
                <w:iCs w:val="0"/>
                <w:color w:val="auto"/>
                <w:sz w:val="24"/>
                <w:szCs w:val="24"/>
                <w:highlight w:val="none"/>
                <w:u w:val="none"/>
              </w:rPr>
            </w:pPr>
          </w:p>
        </w:tc>
        <w:tc>
          <w:tcPr>
            <w:tcW w:w="1536" w:type="dxa"/>
            <w:vMerge w:val="continue"/>
            <w:shd w:val="clear" w:color="auto" w:fill="auto"/>
            <w:vAlign w:val="center"/>
          </w:tcPr>
          <w:p w14:paraId="58B22106">
            <w:pPr>
              <w:jc w:val="center"/>
              <w:rPr>
                <w:rFonts w:hint="eastAsia" w:ascii="宋体" w:hAnsi="宋体" w:eastAsia="宋体" w:cs="宋体"/>
                <w:b/>
                <w:bCs/>
                <w:i w:val="0"/>
                <w:iCs w:val="0"/>
                <w:color w:val="auto"/>
                <w:sz w:val="24"/>
                <w:szCs w:val="24"/>
                <w:highlight w:val="none"/>
                <w:u w:val="none"/>
              </w:rPr>
            </w:pPr>
          </w:p>
        </w:tc>
        <w:tc>
          <w:tcPr>
            <w:tcW w:w="6036" w:type="dxa"/>
            <w:shd w:val="clear" w:color="auto" w:fill="auto"/>
            <w:vAlign w:val="center"/>
          </w:tcPr>
          <w:p w14:paraId="6E6B6D65">
            <w:pPr>
              <w:keepNext w:val="0"/>
              <w:keepLines w:val="0"/>
              <w:widowControl/>
              <w:suppressLineNumbers w:val="0"/>
              <w:jc w:val="both"/>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6、课程介绍</w:t>
            </w:r>
          </w:p>
        </w:tc>
      </w:tr>
      <w:tr w14:paraId="1850B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721" w:type="dxa"/>
            <w:shd w:val="clear" w:color="auto" w:fill="auto"/>
            <w:noWrap/>
            <w:vAlign w:val="center"/>
          </w:tcPr>
          <w:p w14:paraId="407221E4">
            <w:pPr>
              <w:keepNext w:val="0"/>
              <w:keepLines w:val="0"/>
              <w:widowControl/>
              <w:suppressLineNumbers w:val="0"/>
              <w:jc w:val="center"/>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45</w:t>
            </w:r>
          </w:p>
        </w:tc>
        <w:tc>
          <w:tcPr>
            <w:tcW w:w="1216" w:type="dxa"/>
            <w:vMerge w:val="continue"/>
            <w:shd w:val="clear" w:color="auto" w:fill="auto"/>
            <w:vAlign w:val="center"/>
          </w:tcPr>
          <w:p w14:paraId="41F5897A">
            <w:pPr>
              <w:jc w:val="center"/>
              <w:rPr>
                <w:rFonts w:hint="eastAsia" w:ascii="宋体" w:hAnsi="宋体" w:eastAsia="宋体" w:cs="宋体"/>
                <w:b/>
                <w:bCs/>
                <w:i w:val="0"/>
                <w:iCs w:val="0"/>
                <w:color w:val="auto"/>
                <w:sz w:val="24"/>
                <w:szCs w:val="24"/>
                <w:highlight w:val="none"/>
                <w:u w:val="none"/>
              </w:rPr>
            </w:pPr>
          </w:p>
        </w:tc>
        <w:tc>
          <w:tcPr>
            <w:tcW w:w="1536" w:type="dxa"/>
            <w:vMerge w:val="continue"/>
            <w:shd w:val="clear" w:color="auto" w:fill="auto"/>
            <w:vAlign w:val="center"/>
          </w:tcPr>
          <w:p w14:paraId="44395652">
            <w:pPr>
              <w:jc w:val="center"/>
              <w:rPr>
                <w:rFonts w:hint="eastAsia" w:ascii="宋体" w:hAnsi="宋体" w:eastAsia="宋体" w:cs="宋体"/>
                <w:b/>
                <w:bCs/>
                <w:i w:val="0"/>
                <w:iCs w:val="0"/>
                <w:color w:val="auto"/>
                <w:sz w:val="24"/>
                <w:szCs w:val="24"/>
                <w:highlight w:val="none"/>
                <w:u w:val="none"/>
              </w:rPr>
            </w:pPr>
          </w:p>
        </w:tc>
        <w:tc>
          <w:tcPr>
            <w:tcW w:w="6036" w:type="dxa"/>
            <w:shd w:val="clear" w:color="auto" w:fill="auto"/>
            <w:vAlign w:val="center"/>
          </w:tcPr>
          <w:p w14:paraId="2B2469FF">
            <w:pPr>
              <w:keepNext w:val="0"/>
              <w:keepLines w:val="0"/>
              <w:widowControl/>
              <w:suppressLineNumbers w:val="0"/>
              <w:jc w:val="both"/>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7、用户登录</w:t>
            </w:r>
          </w:p>
        </w:tc>
      </w:tr>
      <w:tr w14:paraId="72D9E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721" w:type="dxa"/>
            <w:shd w:val="clear" w:color="auto" w:fill="auto"/>
            <w:noWrap/>
            <w:vAlign w:val="center"/>
          </w:tcPr>
          <w:p w14:paraId="64CB4FDC">
            <w:pPr>
              <w:keepNext w:val="0"/>
              <w:keepLines w:val="0"/>
              <w:widowControl/>
              <w:suppressLineNumbers w:val="0"/>
              <w:jc w:val="center"/>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46</w:t>
            </w:r>
          </w:p>
        </w:tc>
        <w:tc>
          <w:tcPr>
            <w:tcW w:w="1216" w:type="dxa"/>
            <w:vMerge w:val="continue"/>
            <w:shd w:val="clear" w:color="auto" w:fill="auto"/>
            <w:vAlign w:val="center"/>
          </w:tcPr>
          <w:p w14:paraId="193D1653">
            <w:pPr>
              <w:jc w:val="center"/>
              <w:rPr>
                <w:rFonts w:hint="eastAsia" w:ascii="宋体" w:hAnsi="宋体" w:eastAsia="宋体" w:cs="宋体"/>
                <w:b/>
                <w:bCs/>
                <w:i w:val="0"/>
                <w:iCs w:val="0"/>
                <w:color w:val="auto"/>
                <w:sz w:val="24"/>
                <w:szCs w:val="24"/>
                <w:highlight w:val="none"/>
                <w:u w:val="none"/>
              </w:rPr>
            </w:pPr>
          </w:p>
        </w:tc>
        <w:tc>
          <w:tcPr>
            <w:tcW w:w="1536" w:type="dxa"/>
            <w:vMerge w:val="continue"/>
            <w:shd w:val="clear" w:color="auto" w:fill="auto"/>
            <w:vAlign w:val="center"/>
          </w:tcPr>
          <w:p w14:paraId="1EFA583D">
            <w:pPr>
              <w:jc w:val="center"/>
              <w:rPr>
                <w:rFonts w:hint="eastAsia" w:ascii="宋体" w:hAnsi="宋体" w:eastAsia="宋体" w:cs="宋体"/>
                <w:b/>
                <w:bCs/>
                <w:i w:val="0"/>
                <w:iCs w:val="0"/>
                <w:color w:val="auto"/>
                <w:sz w:val="24"/>
                <w:szCs w:val="24"/>
                <w:highlight w:val="none"/>
                <w:u w:val="none"/>
              </w:rPr>
            </w:pPr>
          </w:p>
        </w:tc>
        <w:tc>
          <w:tcPr>
            <w:tcW w:w="6036" w:type="dxa"/>
            <w:shd w:val="clear" w:color="auto" w:fill="auto"/>
            <w:vAlign w:val="center"/>
          </w:tcPr>
          <w:p w14:paraId="4ECF6968">
            <w:pPr>
              <w:keepNext w:val="0"/>
              <w:keepLines w:val="0"/>
              <w:widowControl/>
              <w:suppressLineNumbers w:val="0"/>
              <w:jc w:val="both"/>
              <w:textAlignment w:val="bottom"/>
              <w:rPr>
                <w:rFonts w:hint="eastAsia" w:ascii="宋体" w:hAnsi="宋体" w:eastAsia="宋体" w:cs="宋体"/>
                <w:i w:val="0"/>
                <w:iCs w:val="0"/>
                <w:color w:val="auto"/>
                <w:sz w:val="24"/>
                <w:szCs w:val="24"/>
                <w:highlight w:val="none"/>
                <w:u w:val="none"/>
              </w:rPr>
            </w:pPr>
            <w:r>
              <w:rPr>
                <w:rFonts w:hint="default" w:cs="仿宋_GB2312" w:asciiTheme="minorEastAsia" w:hAnsiTheme="minorEastAsia" w:eastAsiaTheme="minorEastAsia"/>
                <w:color w:val="auto"/>
                <w:sz w:val="21"/>
                <w:szCs w:val="21"/>
                <w:highlight w:val="none"/>
              </w:rPr>
              <w:t>★</w:t>
            </w:r>
            <w:r>
              <w:rPr>
                <w:rFonts w:hint="eastAsia" w:ascii="宋体" w:hAnsi="宋体" w:eastAsia="宋体" w:cs="宋体"/>
                <w:i w:val="0"/>
                <w:iCs w:val="0"/>
                <w:color w:val="auto"/>
                <w:kern w:val="0"/>
                <w:sz w:val="24"/>
                <w:szCs w:val="24"/>
                <w:highlight w:val="none"/>
                <w:u w:val="none"/>
                <w:lang w:val="en-US" w:eastAsia="zh-CN" w:bidi="ar"/>
              </w:rPr>
              <w:t>8、个人信息中心</w:t>
            </w:r>
            <w:r>
              <w:rPr>
                <w:rFonts w:hint="default" w:ascii="宋体" w:hAnsi="宋体" w:eastAsia="宋体" w:cs="宋体"/>
                <w:i w:val="0"/>
                <w:iCs w:val="0"/>
                <w:color w:val="auto"/>
                <w:kern w:val="0"/>
                <w:sz w:val="24"/>
                <w:szCs w:val="24"/>
                <w:highlight w:val="none"/>
                <w:u w:val="none"/>
                <w:lang w:val="en-US" w:eastAsia="zh-CN" w:bidi="ar"/>
              </w:rPr>
              <w:t>（</w:t>
            </w:r>
            <w:r>
              <w:rPr>
                <w:rFonts w:hint="eastAsia" w:ascii="宋体" w:hAnsi="宋体"/>
                <w:color w:val="auto"/>
                <w:sz w:val="24"/>
                <w:highlight w:val="none"/>
              </w:rPr>
              <w:t>提供类似项目同类功能截图并加盖公章</w:t>
            </w:r>
            <w:r>
              <w:rPr>
                <w:rFonts w:hint="eastAsia" w:ascii="宋体" w:hAnsi="宋体"/>
                <w:color w:val="auto"/>
                <w:sz w:val="24"/>
                <w:highlight w:val="none"/>
                <w:lang w:eastAsia="zh-CN"/>
              </w:rPr>
              <w:t>，</w:t>
            </w:r>
            <w:r>
              <w:rPr>
                <w:rFonts w:hint="eastAsia" w:ascii="宋体" w:hAnsi="宋体"/>
                <w:color w:val="auto"/>
                <w:sz w:val="24"/>
                <w:highlight w:val="none"/>
                <w:lang w:val="en-US" w:eastAsia="zh-CN"/>
              </w:rPr>
              <w:t>未提供视为负偏离</w:t>
            </w:r>
            <w:r>
              <w:rPr>
                <w:rFonts w:hint="default" w:ascii="宋体" w:hAnsi="宋体" w:eastAsia="宋体" w:cs="宋体"/>
                <w:i w:val="0"/>
                <w:iCs w:val="0"/>
                <w:color w:val="auto"/>
                <w:kern w:val="0"/>
                <w:sz w:val="24"/>
                <w:szCs w:val="24"/>
                <w:highlight w:val="none"/>
                <w:u w:val="none"/>
                <w:lang w:val="en-US" w:eastAsia="zh-CN" w:bidi="ar"/>
              </w:rPr>
              <w:t>)</w:t>
            </w:r>
          </w:p>
        </w:tc>
      </w:tr>
      <w:tr w14:paraId="3B78F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721" w:type="dxa"/>
            <w:shd w:val="clear" w:color="auto" w:fill="auto"/>
            <w:noWrap/>
            <w:vAlign w:val="center"/>
          </w:tcPr>
          <w:p w14:paraId="50B9FC33">
            <w:pPr>
              <w:keepNext w:val="0"/>
              <w:keepLines w:val="0"/>
              <w:widowControl/>
              <w:suppressLineNumbers w:val="0"/>
              <w:jc w:val="center"/>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47</w:t>
            </w:r>
          </w:p>
        </w:tc>
        <w:tc>
          <w:tcPr>
            <w:tcW w:w="1216" w:type="dxa"/>
            <w:vMerge w:val="continue"/>
            <w:shd w:val="clear" w:color="auto" w:fill="auto"/>
            <w:vAlign w:val="center"/>
          </w:tcPr>
          <w:p w14:paraId="3DE12DA9">
            <w:pPr>
              <w:jc w:val="center"/>
              <w:rPr>
                <w:rFonts w:hint="eastAsia" w:ascii="宋体" w:hAnsi="宋体" w:eastAsia="宋体" w:cs="宋体"/>
                <w:b/>
                <w:bCs/>
                <w:i w:val="0"/>
                <w:iCs w:val="0"/>
                <w:color w:val="auto"/>
                <w:sz w:val="24"/>
                <w:szCs w:val="24"/>
                <w:highlight w:val="none"/>
                <w:u w:val="none"/>
              </w:rPr>
            </w:pPr>
          </w:p>
        </w:tc>
        <w:tc>
          <w:tcPr>
            <w:tcW w:w="1536" w:type="dxa"/>
            <w:vMerge w:val="restart"/>
            <w:shd w:val="clear" w:color="auto" w:fill="auto"/>
            <w:vAlign w:val="center"/>
          </w:tcPr>
          <w:p w14:paraId="74D13BC0">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教师端</w:t>
            </w:r>
          </w:p>
        </w:tc>
        <w:tc>
          <w:tcPr>
            <w:tcW w:w="6036" w:type="dxa"/>
            <w:shd w:val="clear" w:color="auto" w:fill="auto"/>
            <w:vAlign w:val="center"/>
          </w:tcPr>
          <w:p w14:paraId="65299BE7">
            <w:pPr>
              <w:keepNext w:val="0"/>
              <w:keepLines w:val="0"/>
              <w:widowControl/>
              <w:suppressLineNumbers w:val="0"/>
              <w:jc w:val="both"/>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1、请假</w:t>
            </w:r>
          </w:p>
        </w:tc>
      </w:tr>
      <w:tr w14:paraId="023AA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721" w:type="dxa"/>
            <w:shd w:val="clear" w:color="auto" w:fill="auto"/>
            <w:noWrap/>
            <w:vAlign w:val="center"/>
          </w:tcPr>
          <w:p w14:paraId="12CFC8C3">
            <w:pPr>
              <w:keepNext w:val="0"/>
              <w:keepLines w:val="0"/>
              <w:widowControl/>
              <w:suppressLineNumbers w:val="0"/>
              <w:jc w:val="center"/>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48</w:t>
            </w:r>
          </w:p>
        </w:tc>
        <w:tc>
          <w:tcPr>
            <w:tcW w:w="1216" w:type="dxa"/>
            <w:vMerge w:val="continue"/>
            <w:shd w:val="clear" w:color="auto" w:fill="auto"/>
            <w:vAlign w:val="center"/>
          </w:tcPr>
          <w:p w14:paraId="5A2235CF">
            <w:pPr>
              <w:jc w:val="center"/>
              <w:rPr>
                <w:rFonts w:hint="eastAsia" w:ascii="宋体" w:hAnsi="宋体" w:eastAsia="宋体" w:cs="宋体"/>
                <w:b/>
                <w:bCs/>
                <w:i w:val="0"/>
                <w:iCs w:val="0"/>
                <w:color w:val="auto"/>
                <w:sz w:val="24"/>
                <w:szCs w:val="24"/>
                <w:highlight w:val="none"/>
                <w:u w:val="none"/>
              </w:rPr>
            </w:pPr>
          </w:p>
        </w:tc>
        <w:tc>
          <w:tcPr>
            <w:tcW w:w="1536" w:type="dxa"/>
            <w:vMerge w:val="continue"/>
            <w:shd w:val="clear" w:color="auto" w:fill="auto"/>
            <w:vAlign w:val="center"/>
          </w:tcPr>
          <w:p w14:paraId="29ABFE15">
            <w:pPr>
              <w:jc w:val="center"/>
              <w:rPr>
                <w:rFonts w:hint="eastAsia" w:ascii="宋体" w:hAnsi="宋体" w:eastAsia="宋体" w:cs="宋体"/>
                <w:b/>
                <w:bCs/>
                <w:i w:val="0"/>
                <w:iCs w:val="0"/>
                <w:color w:val="auto"/>
                <w:sz w:val="24"/>
                <w:szCs w:val="24"/>
                <w:highlight w:val="none"/>
                <w:u w:val="none"/>
              </w:rPr>
            </w:pPr>
          </w:p>
        </w:tc>
        <w:tc>
          <w:tcPr>
            <w:tcW w:w="6036" w:type="dxa"/>
            <w:shd w:val="clear" w:color="auto" w:fill="auto"/>
            <w:vAlign w:val="center"/>
          </w:tcPr>
          <w:p w14:paraId="1759F8A2">
            <w:pPr>
              <w:keepNext w:val="0"/>
              <w:keepLines w:val="0"/>
              <w:widowControl/>
              <w:suppressLineNumbers w:val="0"/>
              <w:jc w:val="both"/>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3、学生点名</w:t>
            </w:r>
          </w:p>
        </w:tc>
      </w:tr>
      <w:tr w14:paraId="01DD1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721" w:type="dxa"/>
            <w:shd w:val="clear" w:color="auto" w:fill="auto"/>
            <w:noWrap/>
            <w:vAlign w:val="center"/>
          </w:tcPr>
          <w:p w14:paraId="56303316">
            <w:pPr>
              <w:keepNext w:val="0"/>
              <w:keepLines w:val="0"/>
              <w:widowControl/>
              <w:suppressLineNumbers w:val="0"/>
              <w:jc w:val="center"/>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49</w:t>
            </w:r>
          </w:p>
        </w:tc>
        <w:tc>
          <w:tcPr>
            <w:tcW w:w="1216" w:type="dxa"/>
            <w:vMerge w:val="continue"/>
            <w:shd w:val="clear" w:color="auto" w:fill="auto"/>
            <w:vAlign w:val="center"/>
          </w:tcPr>
          <w:p w14:paraId="15A1C65F">
            <w:pPr>
              <w:jc w:val="center"/>
              <w:rPr>
                <w:rFonts w:hint="eastAsia" w:ascii="宋体" w:hAnsi="宋体" w:eastAsia="宋体" w:cs="宋体"/>
                <w:b/>
                <w:bCs/>
                <w:i w:val="0"/>
                <w:iCs w:val="0"/>
                <w:color w:val="auto"/>
                <w:sz w:val="24"/>
                <w:szCs w:val="24"/>
                <w:highlight w:val="none"/>
                <w:u w:val="none"/>
              </w:rPr>
            </w:pPr>
          </w:p>
        </w:tc>
        <w:tc>
          <w:tcPr>
            <w:tcW w:w="1536" w:type="dxa"/>
            <w:vMerge w:val="continue"/>
            <w:shd w:val="clear" w:color="auto" w:fill="auto"/>
            <w:vAlign w:val="center"/>
          </w:tcPr>
          <w:p w14:paraId="6E0EB03D">
            <w:pPr>
              <w:jc w:val="center"/>
              <w:rPr>
                <w:rFonts w:hint="eastAsia" w:ascii="宋体" w:hAnsi="宋体" w:eastAsia="宋体" w:cs="宋体"/>
                <w:b/>
                <w:bCs/>
                <w:i w:val="0"/>
                <w:iCs w:val="0"/>
                <w:color w:val="auto"/>
                <w:sz w:val="24"/>
                <w:szCs w:val="24"/>
                <w:highlight w:val="none"/>
                <w:u w:val="none"/>
              </w:rPr>
            </w:pPr>
          </w:p>
        </w:tc>
        <w:tc>
          <w:tcPr>
            <w:tcW w:w="6036" w:type="dxa"/>
            <w:shd w:val="clear" w:color="auto" w:fill="auto"/>
            <w:vAlign w:val="center"/>
          </w:tcPr>
          <w:p w14:paraId="0B7FBF41">
            <w:pPr>
              <w:keepNext w:val="0"/>
              <w:keepLines w:val="0"/>
              <w:widowControl/>
              <w:suppressLineNumbers w:val="0"/>
              <w:jc w:val="both"/>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4、课表查询</w:t>
            </w:r>
          </w:p>
        </w:tc>
      </w:tr>
      <w:tr w14:paraId="53F70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721" w:type="dxa"/>
            <w:shd w:val="clear" w:color="auto" w:fill="auto"/>
            <w:noWrap/>
            <w:vAlign w:val="center"/>
          </w:tcPr>
          <w:p w14:paraId="5D14DD5F">
            <w:pPr>
              <w:keepNext w:val="0"/>
              <w:keepLines w:val="0"/>
              <w:widowControl/>
              <w:suppressLineNumbers w:val="0"/>
              <w:jc w:val="center"/>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w:t>
            </w:r>
          </w:p>
        </w:tc>
        <w:tc>
          <w:tcPr>
            <w:tcW w:w="1216" w:type="dxa"/>
            <w:vMerge w:val="continue"/>
            <w:shd w:val="clear" w:color="auto" w:fill="auto"/>
            <w:vAlign w:val="center"/>
          </w:tcPr>
          <w:p w14:paraId="603A2868">
            <w:pPr>
              <w:jc w:val="center"/>
              <w:rPr>
                <w:rFonts w:hint="eastAsia" w:ascii="宋体" w:hAnsi="宋体" w:eastAsia="宋体" w:cs="宋体"/>
                <w:b/>
                <w:bCs/>
                <w:i w:val="0"/>
                <w:iCs w:val="0"/>
                <w:color w:val="auto"/>
                <w:sz w:val="24"/>
                <w:szCs w:val="24"/>
                <w:highlight w:val="none"/>
                <w:u w:val="none"/>
              </w:rPr>
            </w:pPr>
          </w:p>
        </w:tc>
        <w:tc>
          <w:tcPr>
            <w:tcW w:w="1536" w:type="dxa"/>
            <w:vMerge w:val="continue"/>
            <w:shd w:val="clear" w:color="auto" w:fill="auto"/>
            <w:vAlign w:val="center"/>
          </w:tcPr>
          <w:p w14:paraId="3B5EE6AF">
            <w:pPr>
              <w:jc w:val="center"/>
              <w:rPr>
                <w:rFonts w:hint="eastAsia" w:ascii="宋体" w:hAnsi="宋体" w:eastAsia="宋体" w:cs="宋体"/>
                <w:b/>
                <w:bCs/>
                <w:i w:val="0"/>
                <w:iCs w:val="0"/>
                <w:color w:val="auto"/>
                <w:sz w:val="24"/>
                <w:szCs w:val="24"/>
                <w:highlight w:val="none"/>
                <w:u w:val="none"/>
              </w:rPr>
            </w:pPr>
          </w:p>
        </w:tc>
        <w:tc>
          <w:tcPr>
            <w:tcW w:w="6036" w:type="dxa"/>
            <w:shd w:val="clear" w:color="auto" w:fill="auto"/>
            <w:vAlign w:val="center"/>
          </w:tcPr>
          <w:p w14:paraId="7CF70ECE">
            <w:pPr>
              <w:keepNext w:val="0"/>
              <w:keepLines w:val="0"/>
              <w:widowControl/>
              <w:suppressLineNumbers w:val="0"/>
              <w:jc w:val="both"/>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5、成绩查询</w:t>
            </w:r>
          </w:p>
        </w:tc>
      </w:tr>
      <w:tr w14:paraId="7F672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721" w:type="dxa"/>
            <w:shd w:val="clear" w:color="auto" w:fill="auto"/>
            <w:noWrap/>
            <w:vAlign w:val="center"/>
          </w:tcPr>
          <w:p w14:paraId="3F9F7613">
            <w:pPr>
              <w:keepNext w:val="0"/>
              <w:keepLines w:val="0"/>
              <w:widowControl/>
              <w:suppressLineNumbers w:val="0"/>
              <w:jc w:val="center"/>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51</w:t>
            </w:r>
          </w:p>
        </w:tc>
        <w:tc>
          <w:tcPr>
            <w:tcW w:w="1216" w:type="dxa"/>
            <w:vMerge w:val="continue"/>
            <w:shd w:val="clear" w:color="auto" w:fill="auto"/>
            <w:vAlign w:val="center"/>
          </w:tcPr>
          <w:p w14:paraId="287E5F90">
            <w:pPr>
              <w:jc w:val="center"/>
              <w:rPr>
                <w:rFonts w:hint="eastAsia" w:ascii="宋体" w:hAnsi="宋体" w:eastAsia="宋体" w:cs="宋体"/>
                <w:b/>
                <w:bCs/>
                <w:i w:val="0"/>
                <w:iCs w:val="0"/>
                <w:color w:val="auto"/>
                <w:sz w:val="24"/>
                <w:szCs w:val="24"/>
                <w:highlight w:val="none"/>
                <w:u w:val="none"/>
              </w:rPr>
            </w:pPr>
          </w:p>
        </w:tc>
        <w:tc>
          <w:tcPr>
            <w:tcW w:w="1536" w:type="dxa"/>
            <w:vMerge w:val="continue"/>
            <w:shd w:val="clear" w:color="auto" w:fill="auto"/>
            <w:vAlign w:val="center"/>
          </w:tcPr>
          <w:p w14:paraId="3434205E">
            <w:pPr>
              <w:jc w:val="center"/>
              <w:rPr>
                <w:rFonts w:hint="eastAsia" w:ascii="宋体" w:hAnsi="宋体" w:eastAsia="宋体" w:cs="宋体"/>
                <w:b/>
                <w:bCs/>
                <w:i w:val="0"/>
                <w:iCs w:val="0"/>
                <w:color w:val="auto"/>
                <w:sz w:val="24"/>
                <w:szCs w:val="24"/>
                <w:highlight w:val="none"/>
                <w:u w:val="none"/>
              </w:rPr>
            </w:pPr>
          </w:p>
        </w:tc>
        <w:tc>
          <w:tcPr>
            <w:tcW w:w="6036" w:type="dxa"/>
            <w:shd w:val="clear" w:color="auto" w:fill="auto"/>
            <w:vAlign w:val="center"/>
          </w:tcPr>
          <w:p w14:paraId="30E60325">
            <w:pPr>
              <w:keepNext w:val="0"/>
              <w:keepLines w:val="0"/>
              <w:widowControl/>
              <w:suppressLineNumbers w:val="0"/>
              <w:jc w:val="both"/>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6、培养方案</w:t>
            </w:r>
          </w:p>
        </w:tc>
      </w:tr>
      <w:tr w14:paraId="77415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721" w:type="dxa"/>
            <w:shd w:val="clear" w:color="auto" w:fill="auto"/>
            <w:noWrap/>
            <w:vAlign w:val="center"/>
          </w:tcPr>
          <w:p w14:paraId="06CFC325">
            <w:pPr>
              <w:keepNext w:val="0"/>
              <w:keepLines w:val="0"/>
              <w:widowControl/>
              <w:suppressLineNumbers w:val="0"/>
              <w:jc w:val="center"/>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52</w:t>
            </w:r>
          </w:p>
        </w:tc>
        <w:tc>
          <w:tcPr>
            <w:tcW w:w="1216" w:type="dxa"/>
            <w:vMerge w:val="continue"/>
            <w:shd w:val="clear" w:color="auto" w:fill="auto"/>
            <w:vAlign w:val="center"/>
          </w:tcPr>
          <w:p w14:paraId="3FB973DF">
            <w:pPr>
              <w:jc w:val="center"/>
              <w:rPr>
                <w:rFonts w:hint="eastAsia" w:ascii="宋体" w:hAnsi="宋体" w:eastAsia="宋体" w:cs="宋体"/>
                <w:b/>
                <w:bCs/>
                <w:i w:val="0"/>
                <w:iCs w:val="0"/>
                <w:color w:val="auto"/>
                <w:sz w:val="24"/>
                <w:szCs w:val="24"/>
                <w:highlight w:val="none"/>
                <w:u w:val="none"/>
              </w:rPr>
            </w:pPr>
          </w:p>
        </w:tc>
        <w:tc>
          <w:tcPr>
            <w:tcW w:w="1536" w:type="dxa"/>
            <w:vMerge w:val="continue"/>
            <w:shd w:val="clear" w:color="auto" w:fill="auto"/>
            <w:vAlign w:val="center"/>
          </w:tcPr>
          <w:p w14:paraId="0D744C45">
            <w:pPr>
              <w:jc w:val="center"/>
              <w:rPr>
                <w:rFonts w:hint="eastAsia" w:ascii="宋体" w:hAnsi="宋体" w:eastAsia="宋体" w:cs="宋体"/>
                <w:b/>
                <w:bCs/>
                <w:i w:val="0"/>
                <w:iCs w:val="0"/>
                <w:color w:val="auto"/>
                <w:sz w:val="24"/>
                <w:szCs w:val="24"/>
                <w:highlight w:val="none"/>
                <w:u w:val="none"/>
              </w:rPr>
            </w:pPr>
          </w:p>
        </w:tc>
        <w:tc>
          <w:tcPr>
            <w:tcW w:w="6036" w:type="dxa"/>
            <w:shd w:val="clear" w:color="auto" w:fill="auto"/>
            <w:vAlign w:val="center"/>
          </w:tcPr>
          <w:p w14:paraId="013F1003">
            <w:pPr>
              <w:keepNext w:val="0"/>
              <w:keepLines w:val="0"/>
              <w:widowControl/>
              <w:suppressLineNumbers w:val="0"/>
              <w:jc w:val="both"/>
              <w:textAlignment w:val="bottom"/>
              <w:rPr>
                <w:rFonts w:hint="eastAsia" w:ascii="宋体" w:hAnsi="宋体" w:eastAsia="宋体" w:cs="宋体"/>
                <w:i w:val="0"/>
                <w:iCs w:val="0"/>
                <w:color w:val="auto"/>
                <w:sz w:val="24"/>
                <w:szCs w:val="24"/>
                <w:highlight w:val="none"/>
                <w:u w:val="none"/>
              </w:rPr>
            </w:pPr>
            <w:r>
              <w:rPr>
                <w:rFonts w:hint="default" w:cs="仿宋_GB2312" w:asciiTheme="minorEastAsia" w:hAnsiTheme="minorEastAsia" w:eastAsiaTheme="minorEastAsia"/>
                <w:color w:val="auto"/>
                <w:sz w:val="21"/>
                <w:szCs w:val="21"/>
                <w:highlight w:val="none"/>
              </w:rPr>
              <w:t>★</w:t>
            </w:r>
            <w:r>
              <w:rPr>
                <w:rFonts w:hint="eastAsia" w:ascii="宋体" w:hAnsi="宋体" w:eastAsia="宋体" w:cs="宋体"/>
                <w:i w:val="0"/>
                <w:iCs w:val="0"/>
                <w:color w:val="auto"/>
                <w:kern w:val="0"/>
                <w:sz w:val="24"/>
                <w:szCs w:val="24"/>
                <w:highlight w:val="none"/>
                <w:u w:val="none"/>
                <w:lang w:val="en-US" w:eastAsia="zh-CN" w:bidi="ar"/>
              </w:rPr>
              <w:t>7、课程介绍</w:t>
            </w:r>
            <w:r>
              <w:rPr>
                <w:rFonts w:hint="default" w:ascii="宋体" w:hAnsi="宋体" w:eastAsia="宋体" w:cs="宋体"/>
                <w:i w:val="0"/>
                <w:iCs w:val="0"/>
                <w:color w:val="auto"/>
                <w:kern w:val="0"/>
                <w:sz w:val="24"/>
                <w:szCs w:val="24"/>
                <w:highlight w:val="none"/>
                <w:u w:val="none"/>
                <w:lang w:val="en-US" w:eastAsia="zh-CN" w:bidi="ar"/>
              </w:rPr>
              <w:t>（</w:t>
            </w:r>
            <w:r>
              <w:rPr>
                <w:rFonts w:hint="eastAsia" w:ascii="宋体" w:hAnsi="宋体"/>
                <w:color w:val="auto"/>
                <w:sz w:val="24"/>
                <w:highlight w:val="none"/>
              </w:rPr>
              <w:t>提供类似项目同类功能截图并加盖公章</w:t>
            </w:r>
            <w:r>
              <w:rPr>
                <w:rFonts w:hint="eastAsia" w:ascii="宋体" w:hAnsi="宋体"/>
                <w:color w:val="auto"/>
                <w:sz w:val="24"/>
                <w:highlight w:val="none"/>
                <w:lang w:eastAsia="zh-CN"/>
              </w:rPr>
              <w:t>，</w:t>
            </w:r>
            <w:r>
              <w:rPr>
                <w:rFonts w:hint="eastAsia" w:ascii="宋体" w:hAnsi="宋体"/>
                <w:color w:val="auto"/>
                <w:sz w:val="24"/>
                <w:highlight w:val="none"/>
                <w:lang w:val="en-US" w:eastAsia="zh-CN"/>
              </w:rPr>
              <w:t>未提供视为负偏离</w:t>
            </w:r>
            <w:r>
              <w:rPr>
                <w:rFonts w:hint="default" w:ascii="宋体" w:hAnsi="宋体" w:eastAsia="宋体" w:cs="宋体"/>
                <w:i w:val="0"/>
                <w:iCs w:val="0"/>
                <w:color w:val="auto"/>
                <w:kern w:val="0"/>
                <w:sz w:val="24"/>
                <w:szCs w:val="24"/>
                <w:highlight w:val="none"/>
                <w:u w:val="none"/>
                <w:lang w:val="en-US" w:eastAsia="zh-CN" w:bidi="ar"/>
              </w:rPr>
              <w:t>)</w:t>
            </w:r>
          </w:p>
        </w:tc>
      </w:tr>
      <w:tr w14:paraId="48309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721" w:type="dxa"/>
            <w:shd w:val="clear" w:color="auto" w:fill="auto"/>
            <w:noWrap/>
            <w:vAlign w:val="center"/>
          </w:tcPr>
          <w:p w14:paraId="7E8B691B">
            <w:pPr>
              <w:keepNext w:val="0"/>
              <w:keepLines w:val="0"/>
              <w:widowControl/>
              <w:suppressLineNumbers w:val="0"/>
              <w:jc w:val="center"/>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53</w:t>
            </w:r>
          </w:p>
        </w:tc>
        <w:tc>
          <w:tcPr>
            <w:tcW w:w="1216" w:type="dxa"/>
            <w:vMerge w:val="continue"/>
            <w:shd w:val="clear" w:color="auto" w:fill="auto"/>
            <w:vAlign w:val="center"/>
          </w:tcPr>
          <w:p w14:paraId="0F5E9706">
            <w:pPr>
              <w:jc w:val="center"/>
              <w:rPr>
                <w:rFonts w:hint="eastAsia" w:ascii="宋体" w:hAnsi="宋体" w:eastAsia="宋体" w:cs="宋体"/>
                <w:b/>
                <w:bCs/>
                <w:i w:val="0"/>
                <w:iCs w:val="0"/>
                <w:color w:val="auto"/>
                <w:sz w:val="24"/>
                <w:szCs w:val="24"/>
                <w:highlight w:val="none"/>
                <w:u w:val="none"/>
              </w:rPr>
            </w:pPr>
          </w:p>
        </w:tc>
        <w:tc>
          <w:tcPr>
            <w:tcW w:w="1536" w:type="dxa"/>
            <w:vMerge w:val="continue"/>
            <w:shd w:val="clear" w:color="auto" w:fill="auto"/>
            <w:vAlign w:val="center"/>
          </w:tcPr>
          <w:p w14:paraId="574C7261">
            <w:pPr>
              <w:jc w:val="center"/>
              <w:rPr>
                <w:rFonts w:hint="eastAsia" w:ascii="宋体" w:hAnsi="宋体" w:eastAsia="宋体" w:cs="宋体"/>
                <w:b/>
                <w:bCs/>
                <w:i w:val="0"/>
                <w:iCs w:val="0"/>
                <w:color w:val="auto"/>
                <w:sz w:val="24"/>
                <w:szCs w:val="24"/>
                <w:highlight w:val="none"/>
                <w:u w:val="none"/>
              </w:rPr>
            </w:pPr>
          </w:p>
        </w:tc>
        <w:tc>
          <w:tcPr>
            <w:tcW w:w="6036" w:type="dxa"/>
            <w:shd w:val="clear" w:color="auto" w:fill="auto"/>
            <w:vAlign w:val="center"/>
          </w:tcPr>
          <w:p w14:paraId="0EB96821">
            <w:pPr>
              <w:keepNext w:val="0"/>
              <w:keepLines w:val="0"/>
              <w:widowControl/>
              <w:suppressLineNumbers w:val="0"/>
              <w:jc w:val="both"/>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8、用户登录</w:t>
            </w:r>
          </w:p>
        </w:tc>
      </w:tr>
      <w:tr w14:paraId="31F18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721" w:type="dxa"/>
            <w:shd w:val="clear" w:color="auto" w:fill="auto"/>
            <w:noWrap/>
            <w:vAlign w:val="center"/>
          </w:tcPr>
          <w:p w14:paraId="7290AA8D">
            <w:pPr>
              <w:keepNext w:val="0"/>
              <w:keepLines w:val="0"/>
              <w:widowControl/>
              <w:suppressLineNumbers w:val="0"/>
              <w:jc w:val="center"/>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54</w:t>
            </w:r>
          </w:p>
        </w:tc>
        <w:tc>
          <w:tcPr>
            <w:tcW w:w="1216" w:type="dxa"/>
            <w:vMerge w:val="continue"/>
            <w:shd w:val="clear" w:color="auto" w:fill="auto"/>
            <w:vAlign w:val="center"/>
          </w:tcPr>
          <w:p w14:paraId="122297A3">
            <w:pPr>
              <w:jc w:val="center"/>
              <w:rPr>
                <w:rFonts w:hint="eastAsia" w:ascii="宋体" w:hAnsi="宋体" w:eastAsia="宋体" w:cs="宋体"/>
                <w:b/>
                <w:bCs/>
                <w:i w:val="0"/>
                <w:iCs w:val="0"/>
                <w:color w:val="auto"/>
                <w:sz w:val="24"/>
                <w:szCs w:val="24"/>
                <w:highlight w:val="none"/>
                <w:u w:val="none"/>
              </w:rPr>
            </w:pPr>
          </w:p>
        </w:tc>
        <w:tc>
          <w:tcPr>
            <w:tcW w:w="1536" w:type="dxa"/>
            <w:vMerge w:val="continue"/>
            <w:shd w:val="clear" w:color="auto" w:fill="auto"/>
            <w:vAlign w:val="center"/>
          </w:tcPr>
          <w:p w14:paraId="26E861BC">
            <w:pPr>
              <w:jc w:val="center"/>
              <w:rPr>
                <w:rFonts w:hint="eastAsia" w:ascii="宋体" w:hAnsi="宋体" w:eastAsia="宋体" w:cs="宋体"/>
                <w:b/>
                <w:bCs/>
                <w:i w:val="0"/>
                <w:iCs w:val="0"/>
                <w:color w:val="auto"/>
                <w:sz w:val="24"/>
                <w:szCs w:val="24"/>
                <w:highlight w:val="none"/>
                <w:u w:val="none"/>
              </w:rPr>
            </w:pPr>
          </w:p>
        </w:tc>
        <w:tc>
          <w:tcPr>
            <w:tcW w:w="6036" w:type="dxa"/>
            <w:shd w:val="clear" w:color="auto" w:fill="auto"/>
            <w:vAlign w:val="center"/>
          </w:tcPr>
          <w:p w14:paraId="2BE28B20">
            <w:pPr>
              <w:keepNext w:val="0"/>
              <w:keepLines w:val="0"/>
              <w:widowControl/>
              <w:suppressLineNumbers w:val="0"/>
              <w:jc w:val="both"/>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9、个人信息中心</w:t>
            </w:r>
          </w:p>
        </w:tc>
      </w:tr>
      <w:tr w14:paraId="12525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721" w:type="dxa"/>
            <w:shd w:val="clear" w:color="auto" w:fill="auto"/>
            <w:noWrap/>
            <w:vAlign w:val="center"/>
          </w:tcPr>
          <w:p w14:paraId="35A8FD9C">
            <w:pPr>
              <w:keepNext w:val="0"/>
              <w:keepLines w:val="0"/>
              <w:widowControl/>
              <w:suppressLineNumbers w:val="0"/>
              <w:jc w:val="center"/>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55</w:t>
            </w:r>
          </w:p>
        </w:tc>
        <w:tc>
          <w:tcPr>
            <w:tcW w:w="1216" w:type="dxa"/>
            <w:vMerge w:val="continue"/>
            <w:shd w:val="clear" w:color="auto" w:fill="auto"/>
            <w:vAlign w:val="center"/>
          </w:tcPr>
          <w:p w14:paraId="7E42AC43">
            <w:pPr>
              <w:jc w:val="center"/>
              <w:rPr>
                <w:rFonts w:hint="eastAsia" w:ascii="宋体" w:hAnsi="宋体" w:eastAsia="宋体" w:cs="宋体"/>
                <w:b/>
                <w:bCs/>
                <w:i w:val="0"/>
                <w:iCs w:val="0"/>
                <w:color w:val="auto"/>
                <w:sz w:val="24"/>
                <w:szCs w:val="24"/>
                <w:highlight w:val="none"/>
                <w:u w:val="none"/>
              </w:rPr>
            </w:pPr>
          </w:p>
        </w:tc>
        <w:tc>
          <w:tcPr>
            <w:tcW w:w="1536" w:type="dxa"/>
            <w:vMerge w:val="restart"/>
            <w:shd w:val="clear" w:color="auto" w:fill="auto"/>
            <w:vAlign w:val="center"/>
          </w:tcPr>
          <w:p w14:paraId="5E0F665F">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管理端</w:t>
            </w:r>
          </w:p>
        </w:tc>
        <w:tc>
          <w:tcPr>
            <w:tcW w:w="6036" w:type="dxa"/>
            <w:shd w:val="clear" w:color="auto" w:fill="auto"/>
            <w:vAlign w:val="center"/>
          </w:tcPr>
          <w:p w14:paraId="72A6A1A3">
            <w:pPr>
              <w:keepNext w:val="0"/>
              <w:keepLines w:val="0"/>
              <w:widowControl/>
              <w:suppressLineNumbers w:val="0"/>
              <w:jc w:val="both"/>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1、请假</w:t>
            </w:r>
          </w:p>
        </w:tc>
      </w:tr>
      <w:tr w14:paraId="7E1AF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721" w:type="dxa"/>
            <w:shd w:val="clear" w:color="auto" w:fill="auto"/>
            <w:noWrap/>
            <w:vAlign w:val="center"/>
          </w:tcPr>
          <w:p w14:paraId="32688603">
            <w:pPr>
              <w:keepNext w:val="0"/>
              <w:keepLines w:val="0"/>
              <w:widowControl/>
              <w:suppressLineNumbers w:val="0"/>
              <w:jc w:val="center"/>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56</w:t>
            </w:r>
          </w:p>
        </w:tc>
        <w:tc>
          <w:tcPr>
            <w:tcW w:w="1216" w:type="dxa"/>
            <w:vMerge w:val="continue"/>
            <w:shd w:val="clear" w:color="auto" w:fill="auto"/>
            <w:vAlign w:val="center"/>
          </w:tcPr>
          <w:p w14:paraId="3F7ECBA9">
            <w:pPr>
              <w:jc w:val="center"/>
              <w:rPr>
                <w:rFonts w:hint="eastAsia" w:ascii="宋体" w:hAnsi="宋体" w:eastAsia="宋体" w:cs="宋体"/>
                <w:b/>
                <w:bCs/>
                <w:i w:val="0"/>
                <w:iCs w:val="0"/>
                <w:color w:val="auto"/>
                <w:sz w:val="24"/>
                <w:szCs w:val="24"/>
                <w:highlight w:val="none"/>
                <w:u w:val="none"/>
              </w:rPr>
            </w:pPr>
          </w:p>
        </w:tc>
        <w:tc>
          <w:tcPr>
            <w:tcW w:w="1536" w:type="dxa"/>
            <w:vMerge w:val="continue"/>
            <w:shd w:val="clear" w:color="auto" w:fill="auto"/>
            <w:vAlign w:val="center"/>
          </w:tcPr>
          <w:p w14:paraId="4F16E007">
            <w:pPr>
              <w:jc w:val="center"/>
              <w:rPr>
                <w:rFonts w:hint="eastAsia" w:ascii="宋体" w:hAnsi="宋体" w:eastAsia="宋体" w:cs="宋体"/>
                <w:b/>
                <w:bCs/>
                <w:i w:val="0"/>
                <w:iCs w:val="0"/>
                <w:color w:val="auto"/>
                <w:sz w:val="24"/>
                <w:szCs w:val="24"/>
                <w:highlight w:val="none"/>
                <w:u w:val="none"/>
              </w:rPr>
            </w:pPr>
          </w:p>
        </w:tc>
        <w:tc>
          <w:tcPr>
            <w:tcW w:w="6036" w:type="dxa"/>
            <w:shd w:val="clear" w:color="auto" w:fill="auto"/>
            <w:vAlign w:val="center"/>
          </w:tcPr>
          <w:p w14:paraId="1BD3A76C">
            <w:pPr>
              <w:keepNext w:val="0"/>
              <w:keepLines w:val="0"/>
              <w:widowControl/>
              <w:suppressLineNumbers w:val="0"/>
              <w:jc w:val="both"/>
              <w:textAlignment w:val="bottom"/>
              <w:rPr>
                <w:rFonts w:hint="default" w:ascii="宋体" w:hAnsi="宋体" w:eastAsia="宋体" w:cs="宋体"/>
                <w:i w:val="0"/>
                <w:iCs w:val="0"/>
                <w:color w:val="auto"/>
                <w:sz w:val="24"/>
                <w:szCs w:val="24"/>
                <w:highlight w:val="none"/>
                <w:u w:val="none"/>
                <w:lang w:val="en-US"/>
              </w:rPr>
            </w:pPr>
            <w:r>
              <w:rPr>
                <w:rFonts w:hint="eastAsia" w:ascii="宋体" w:hAnsi="宋体" w:eastAsia="宋体" w:cs="宋体"/>
                <w:i w:val="0"/>
                <w:iCs w:val="0"/>
                <w:color w:val="auto"/>
                <w:kern w:val="0"/>
                <w:sz w:val="24"/>
                <w:szCs w:val="24"/>
                <w:highlight w:val="none"/>
                <w:u w:val="none"/>
                <w:lang w:val="en-US" w:eastAsia="zh-CN" w:bidi="ar"/>
              </w:rPr>
              <w:t>3、学生点名</w:t>
            </w:r>
          </w:p>
        </w:tc>
      </w:tr>
      <w:tr w14:paraId="6381F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721" w:type="dxa"/>
            <w:shd w:val="clear" w:color="auto" w:fill="auto"/>
            <w:noWrap/>
            <w:vAlign w:val="center"/>
          </w:tcPr>
          <w:p w14:paraId="5EB1544E">
            <w:pPr>
              <w:keepNext w:val="0"/>
              <w:keepLines w:val="0"/>
              <w:widowControl/>
              <w:suppressLineNumbers w:val="0"/>
              <w:jc w:val="center"/>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57</w:t>
            </w:r>
          </w:p>
        </w:tc>
        <w:tc>
          <w:tcPr>
            <w:tcW w:w="1216" w:type="dxa"/>
            <w:vMerge w:val="continue"/>
            <w:shd w:val="clear" w:color="auto" w:fill="auto"/>
            <w:vAlign w:val="center"/>
          </w:tcPr>
          <w:p w14:paraId="788BF407">
            <w:pPr>
              <w:jc w:val="center"/>
              <w:rPr>
                <w:rFonts w:hint="eastAsia" w:ascii="宋体" w:hAnsi="宋体" w:eastAsia="宋体" w:cs="宋体"/>
                <w:b/>
                <w:bCs/>
                <w:i w:val="0"/>
                <w:iCs w:val="0"/>
                <w:color w:val="auto"/>
                <w:sz w:val="24"/>
                <w:szCs w:val="24"/>
                <w:highlight w:val="none"/>
                <w:u w:val="none"/>
              </w:rPr>
            </w:pPr>
          </w:p>
        </w:tc>
        <w:tc>
          <w:tcPr>
            <w:tcW w:w="1536" w:type="dxa"/>
            <w:vMerge w:val="continue"/>
            <w:shd w:val="clear" w:color="auto" w:fill="auto"/>
            <w:vAlign w:val="center"/>
          </w:tcPr>
          <w:p w14:paraId="5EC694AA">
            <w:pPr>
              <w:jc w:val="center"/>
              <w:rPr>
                <w:rFonts w:hint="eastAsia" w:ascii="宋体" w:hAnsi="宋体" w:eastAsia="宋体" w:cs="宋体"/>
                <w:b/>
                <w:bCs/>
                <w:i w:val="0"/>
                <w:iCs w:val="0"/>
                <w:color w:val="auto"/>
                <w:sz w:val="24"/>
                <w:szCs w:val="24"/>
                <w:highlight w:val="none"/>
                <w:u w:val="none"/>
              </w:rPr>
            </w:pPr>
          </w:p>
        </w:tc>
        <w:tc>
          <w:tcPr>
            <w:tcW w:w="6036" w:type="dxa"/>
            <w:shd w:val="clear" w:color="auto" w:fill="auto"/>
            <w:vAlign w:val="center"/>
          </w:tcPr>
          <w:p w14:paraId="20D2C207">
            <w:pPr>
              <w:keepNext w:val="0"/>
              <w:keepLines w:val="0"/>
              <w:widowControl/>
              <w:suppressLineNumbers w:val="0"/>
              <w:jc w:val="both"/>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4、课表查询</w:t>
            </w:r>
          </w:p>
        </w:tc>
      </w:tr>
      <w:tr w14:paraId="07712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721" w:type="dxa"/>
            <w:shd w:val="clear" w:color="auto" w:fill="auto"/>
            <w:noWrap/>
            <w:vAlign w:val="center"/>
          </w:tcPr>
          <w:p w14:paraId="6C0AEFD0">
            <w:pPr>
              <w:keepNext w:val="0"/>
              <w:keepLines w:val="0"/>
              <w:widowControl/>
              <w:suppressLineNumbers w:val="0"/>
              <w:jc w:val="center"/>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58</w:t>
            </w:r>
          </w:p>
        </w:tc>
        <w:tc>
          <w:tcPr>
            <w:tcW w:w="1216" w:type="dxa"/>
            <w:vMerge w:val="continue"/>
            <w:shd w:val="clear" w:color="auto" w:fill="auto"/>
            <w:vAlign w:val="center"/>
          </w:tcPr>
          <w:p w14:paraId="370D95C9">
            <w:pPr>
              <w:jc w:val="center"/>
              <w:rPr>
                <w:rFonts w:hint="eastAsia" w:ascii="宋体" w:hAnsi="宋体" w:eastAsia="宋体" w:cs="宋体"/>
                <w:b/>
                <w:bCs/>
                <w:i w:val="0"/>
                <w:iCs w:val="0"/>
                <w:color w:val="auto"/>
                <w:sz w:val="24"/>
                <w:szCs w:val="24"/>
                <w:highlight w:val="none"/>
                <w:u w:val="none"/>
              </w:rPr>
            </w:pPr>
          </w:p>
        </w:tc>
        <w:tc>
          <w:tcPr>
            <w:tcW w:w="1536" w:type="dxa"/>
            <w:vMerge w:val="continue"/>
            <w:shd w:val="clear" w:color="auto" w:fill="auto"/>
            <w:vAlign w:val="center"/>
          </w:tcPr>
          <w:p w14:paraId="71F86C2B">
            <w:pPr>
              <w:jc w:val="center"/>
              <w:rPr>
                <w:rFonts w:hint="eastAsia" w:ascii="宋体" w:hAnsi="宋体" w:eastAsia="宋体" w:cs="宋体"/>
                <w:b/>
                <w:bCs/>
                <w:i w:val="0"/>
                <w:iCs w:val="0"/>
                <w:color w:val="auto"/>
                <w:sz w:val="24"/>
                <w:szCs w:val="24"/>
                <w:highlight w:val="none"/>
                <w:u w:val="none"/>
              </w:rPr>
            </w:pPr>
          </w:p>
        </w:tc>
        <w:tc>
          <w:tcPr>
            <w:tcW w:w="6036" w:type="dxa"/>
            <w:shd w:val="clear" w:color="auto" w:fill="auto"/>
            <w:vAlign w:val="center"/>
          </w:tcPr>
          <w:p w14:paraId="132468C5">
            <w:pPr>
              <w:keepNext w:val="0"/>
              <w:keepLines w:val="0"/>
              <w:widowControl/>
              <w:suppressLineNumbers w:val="0"/>
              <w:jc w:val="both"/>
              <w:textAlignment w:val="bottom"/>
              <w:rPr>
                <w:rFonts w:hint="default" w:ascii="宋体" w:hAnsi="宋体" w:eastAsia="宋体" w:cs="宋体"/>
                <w:i w:val="0"/>
                <w:iCs w:val="0"/>
                <w:color w:val="auto"/>
                <w:sz w:val="24"/>
                <w:szCs w:val="24"/>
                <w:highlight w:val="none"/>
                <w:u w:val="none"/>
                <w:lang w:val="en-US"/>
              </w:rPr>
            </w:pPr>
            <w:r>
              <w:rPr>
                <w:rFonts w:hint="eastAsia" w:ascii="宋体" w:hAnsi="宋体" w:eastAsia="宋体" w:cs="宋体"/>
                <w:i w:val="0"/>
                <w:iCs w:val="0"/>
                <w:color w:val="auto"/>
                <w:kern w:val="0"/>
                <w:sz w:val="24"/>
                <w:szCs w:val="24"/>
                <w:highlight w:val="none"/>
                <w:u w:val="none"/>
                <w:lang w:val="en-US" w:eastAsia="zh-CN" w:bidi="ar"/>
              </w:rPr>
              <w:t>5、成绩查询</w:t>
            </w:r>
          </w:p>
        </w:tc>
      </w:tr>
      <w:tr w14:paraId="72793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721" w:type="dxa"/>
            <w:shd w:val="clear" w:color="auto" w:fill="auto"/>
            <w:noWrap/>
            <w:vAlign w:val="center"/>
          </w:tcPr>
          <w:p w14:paraId="72AA4CCC">
            <w:pPr>
              <w:keepNext w:val="0"/>
              <w:keepLines w:val="0"/>
              <w:widowControl/>
              <w:suppressLineNumbers w:val="0"/>
              <w:jc w:val="center"/>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59</w:t>
            </w:r>
          </w:p>
        </w:tc>
        <w:tc>
          <w:tcPr>
            <w:tcW w:w="1216" w:type="dxa"/>
            <w:vMerge w:val="continue"/>
            <w:shd w:val="clear" w:color="auto" w:fill="auto"/>
            <w:vAlign w:val="center"/>
          </w:tcPr>
          <w:p w14:paraId="64263D60">
            <w:pPr>
              <w:jc w:val="center"/>
              <w:rPr>
                <w:rFonts w:hint="eastAsia" w:ascii="宋体" w:hAnsi="宋体" w:eastAsia="宋体" w:cs="宋体"/>
                <w:b/>
                <w:bCs/>
                <w:i w:val="0"/>
                <w:iCs w:val="0"/>
                <w:color w:val="auto"/>
                <w:sz w:val="24"/>
                <w:szCs w:val="24"/>
                <w:highlight w:val="none"/>
                <w:u w:val="none"/>
              </w:rPr>
            </w:pPr>
          </w:p>
        </w:tc>
        <w:tc>
          <w:tcPr>
            <w:tcW w:w="1536" w:type="dxa"/>
            <w:vMerge w:val="continue"/>
            <w:shd w:val="clear" w:color="auto" w:fill="auto"/>
            <w:vAlign w:val="center"/>
          </w:tcPr>
          <w:p w14:paraId="398716FA">
            <w:pPr>
              <w:jc w:val="center"/>
              <w:rPr>
                <w:rFonts w:hint="eastAsia" w:ascii="宋体" w:hAnsi="宋体" w:eastAsia="宋体" w:cs="宋体"/>
                <w:b/>
                <w:bCs/>
                <w:i w:val="0"/>
                <w:iCs w:val="0"/>
                <w:color w:val="auto"/>
                <w:sz w:val="24"/>
                <w:szCs w:val="24"/>
                <w:highlight w:val="none"/>
                <w:u w:val="none"/>
              </w:rPr>
            </w:pPr>
          </w:p>
        </w:tc>
        <w:tc>
          <w:tcPr>
            <w:tcW w:w="6036" w:type="dxa"/>
            <w:shd w:val="clear" w:color="auto" w:fill="auto"/>
            <w:vAlign w:val="center"/>
          </w:tcPr>
          <w:p w14:paraId="6A1BBE11">
            <w:pPr>
              <w:keepNext w:val="0"/>
              <w:keepLines w:val="0"/>
              <w:widowControl/>
              <w:suppressLineNumbers w:val="0"/>
              <w:jc w:val="both"/>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6、培养方案</w:t>
            </w:r>
          </w:p>
        </w:tc>
      </w:tr>
      <w:tr w14:paraId="0B3A7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721" w:type="dxa"/>
            <w:shd w:val="clear" w:color="auto" w:fill="auto"/>
            <w:noWrap/>
            <w:vAlign w:val="center"/>
          </w:tcPr>
          <w:p w14:paraId="21557DF8">
            <w:pPr>
              <w:keepNext w:val="0"/>
              <w:keepLines w:val="0"/>
              <w:widowControl/>
              <w:suppressLineNumbers w:val="0"/>
              <w:jc w:val="center"/>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60</w:t>
            </w:r>
          </w:p>
        </w:tc>
        <w:tc>
          <w:tcPr>
            <w:tcW w:w="1216" w:type="dxa"/>
            <w:vMerge w:val="continue"/>
            <w:shd w:val="clear" w:color="auto" w:fill="auto"/>
            <w:vAlign w:val="center"/>
          </w:tcPr>
          <w:p w14:paraId="78C2E83F">
            <w:pPr>
              <w:jc w:val="center"/>
              <w:rPr>
                <w:rFonts w:hint="eastAsia" w:ascii="宋体" w:hAnsi="宋体" w:eastAsia="宋体" w:cs="宋体"/>
                <w:b/>
                <w:bCs/>
                <w:i w:val="0"/>
                <w:iCs w:val="0"/>
                <w:color w:val="auto"/>
                <w:sz w:val="24"/>
                <w:szCs w:val="24"/>
                <w:highlight w:val="none"/>
                <w:u w:val="none"/>
              </w:rPr>
            </w:pPr>
          </w:p>
        </w:tc>
        <w:tc>
          <w:tcPr>
            <w:tcW w:w="1536" w:type="dxa"/>
            <w:vMerge w:val="continue"/>
            <w:shd w:val="clear" w:color="auto" w:fill="auto"/>
            <w:vAlign w:val="center"/>
          </w:tcPr>
          <w:p w14:paraId="764F987D">
            <w:pPr>
              <w:jc w:val="center"/>
              <w:rPr>
                <w:rFonts w:hint="eastAsia" w:ascii="宋体" w:hAnsi="宋体" w:eastAsia="宋体" w:cs="宋体"/>
                <w:b/>
                <w:bCs/>
                <w:i w:val="0"/>
                <w:iCs w:val="0"/>
                <w:color w:val="auto"/>
                <w:sz w:val="24"/>
                <w:szCs w:val="24"/>
                <w:highlight w:val="none"/>
                <w:u w:val="none"/>
              </w:rPr>
            </w:pPr>
          </w:p>
        </w:tc>
        <w:tc>
          <w:tcPr>
            <w:tcW w:w="6036" w:type="dxa"/>
            <w:shd w:val="clear" w:color="auto" w:fill="auto"/>
            <w:vAlign w:val="center"/>
          </w:tcPr>
          <w:p w14:paraId="7F34158D">
            <w:pPr>
              <w:keepNext w:val="0"/>
              <w:keepLines w:val="0"/>
              <w:widowControl/>
              <w:suppressLineNumbers w:val="0"/>
              <w:jc w:val="both"/>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7、课程介绍</w:t>
            </w:r>
          </w:p>
        </w:tc>
      </w:tr>
      <w:tr w14:paraId="01BD9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721" w:type="dxa"/>
            <w:shd w:val="clear" w:color="auto" w:fill="auto"/>
            <w:noWrap/>
            <w:vAlign w:val="center"/>
          </w:tcPr>
          <w:p w14:paraId="4F400A70">
            <w:pPr>
              <w:keepNext w:val="0"/>
              <w:keepLines w:val="0"/>
              <w:widowControl/>
              <w:suppressLineNumbers w:val="0"/>
              <w:jc w:val="center"/>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61</w:t>
            </w:r>
          </w:p>
        </w:tc>
        <w:tc>
          <w:tcPr>
            <w:tcW w:w="1216" w:type="dxa"/>
            <w:vMerge w:val="continue"/>
            <w:shd w:val="clear" w:color="auto" w:fill="auto"/>
            <w:vAlign w:val="center"/>
          </w:tcPr>
          <w:p w14:paraId="539E1F8E">
            <w:pPr>
              <w:jc w:val="center"/>
              <w:rPr>
                <w:rFonts w:hint="eastAsia" w:ascii="宋体" w:hAnsi="宋体" w:eastAsia="宋体" w:cs="宋体"/>
                <w:b/>
                <w:bCs/>
                <w:i w:val="0"/>
                <w:iCs w:val="0"/>
                <w:color w:val="auto"/>
                <w:sz w:val="24"/>
                <w:szCs w:val="24"/>
                <w:highlight w:val="none"/>
                <w:u w:val="none"/>
              </w:rPr>
            </w:pPr>
          </w:p>
        </w:tc>
        <w:tc>
          <w:tcPr>
            <w:tcW w:w="1536" w:type="dxa"/>
            <w:vMerge w:val="continue"/>
            <w:shd w:val="clear" w:color="auto" w:fill="auto"/>
            <w:vAlign w:val="center"/>
          </w:tcPr>
          <w:p w14:paraId="480AF140">
            <w:pPr>
              <w:jc w:val="center"/>
              <w:rPr>
                <w:rFonts w:hint="eastAsia" w:ascii="宋体" w:hAnsi="宋体" w:eastAsia="宋体" w:cs="宋体"/>
                <w:b/>
                <w:bCs/>
                <w:i w:val="0"/>
                <w:iCs w:val="0"/>
                <w:color w:val="auto"/>
                <w:sz w:val="24"/>
                <w:szCs w:val="24"/>
                <w:highlight w:val="none"/>
                <w:u w:val="none"/>
              </w:rPr>
            </w:pPr>
          </w:p>
        </w:tc>
        <w:tc>
          <w:tcPr>
            <w:tcW w:w="6036" w:type="dxa"/>
            <w:shd w:val="clear" w:color="auto" w:fill="auto"/>
            <w:vAlign w:val="center"/>
          </w:tcPr>
          <w:p w14:paraId="05786927">
            <w:pPr>
              <w:keepNext w:val="0"/>
              <w:keepLines w:val="0"/>
              <w:widowControl/>
              <w:suppressLineNumbers w:val="0"/>
              <w:jc w:val="both"/>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8、用户登录</w:t>
            </w:r>
          </w:p>
        </w:tc>
      </w:tr>
      <w:tr w14:paraId="7B03D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721" w:type="dxa"/>
            <w:shd w:val="clear" w:color="auto" w:fill="auto"/>
            <w:noWrap/>
            <w:vAlign w:val="center"/>
          </w:tcPr>
          <w:p w14:paraId="6F9B1965">
            <w:pPr>
              <w:keepNext w:val="0"/>
              <w:keepLines w:val="0"/>
              <w:widowControl/>
              <w:suppressLineNumbers w:val="0"/>
              <w:jc w:val="center"/>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62</w:t>
            </w:r>
          </w:p>
        </w:tc>
        <w:tc>
          <w:tcPr>
            <w:tcW w:w="1216" w:type="dxa"/>
            <w:vMerge w:val="continue"/>
            <w:shd w:val="clear" w:color="auto" w:fill="auto"/>
            <w:vAlign w:val="center"/>
          </w:tcPr>
          <w:p w14:paraId="745C7AB1">
            <w:pPr>
              <w:jc w:val="center"/>
              <w:rPr>
                <w:rFonts w:hint="eastAsia" w:ascii="宋体" w:hAnsi="宋体" w:eastAsia="宋体" w:cs="宋体"/>
                <w:b/>
                <w:bCs/>
                <w:i w:val="0"/>
                <w:iCs w:val="0"/>
                <w:color w:val="auto"/>
                <w:sz w:val="24"/>
                <w:szCs w:val="24"/>
                <w:highlight w:val="none"/>
                <w:u w:val="none"/>
              </w:rPr>
            </w:pPr>
          </w:p>
        </w:tc>
        <w:tc>
          <w:tcPr>
            <w:tcW w:w="1536" w:type="dxa"/>
            <w:vMerge w:val="continue"/>
            <w:shd w:val="clear" w:color="auto" w:fill="auto"/>
            <w:vAlign w:val="center"/>
          </w:tcPr>
          <w:p w14:paraId="323DAD45">
            <w:pPr>
              <w:jc w:val="center"/>
              <w:rPr>
                <w:rFonts w:hint="eastAsia" w:ascii="宋体" w:hAnsi="宋体" w:eastAsia="宋体" w:cs="宋体"/>
                <w:b/>
                <w:bCs/>
                <w:i w:val="0"/>
                <w:iCs w:val="0"/>
                <w:color w:val="auto"/>
                <w:sz w:val="24"/>
                <w:szCs w:val="24"/>
                <w:highlight w:val="none"/>
                <w:u w:val="none"/>
              </w:rPr>
            </w:pPr>
          </w:p>
        </w:tc>
        <w:tc>
          <w:tcPr>
            <w:tcW w:w="6036" w:type="dxa"/>
            <w:shd w:val="clear" w:color="auto" w:fill="auto"/>
            <w:vAlign w:val="center"/>
          </w:tcPr>
          <w:p w14:paraId="6733B056">
            <w:pPr>
              <w:keepNext w:val="0"/>
              <w:keepLines w:val="0"/>
              <w:widowControl/>
              <w:suppressLineNumbers w:val="0"/>
              <w:jc w:val="both"/>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9、个人信息中心</w:t>
            </w:r>
          </w:p>
        </w:tc>
      </w:tr>
      <w:tr w14:paraId="28BA3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721" w:type="dxa"/>
            <w:shd w:val="clear" w:color="auto" w:fill="auto"/>
            <w:noWrap/>
            <w:vAlign w:val="center"/>
          </w:tcPr>
          <w:p w14:paraId="100E4DAB">
            <w:pPr>
              <w:keepNext w:val="0"/>
              <w:keepLines w:val="0"/>
              <w:widowControl/>
              <w:suppressLineNumbers w:val="0"/>
              <w:jc w:val="center"/>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63</w:t>
            </w:r>
          </w:p>
        </w:tc>
        <w:tc>
          <w:tcPr>
            <w:tcW w:w="1216" w:type="dxa"/>
            <w:vMerge w:val="restart"/>
            <w:shd w:val="clear" w:color="auto" w:fill="auto"/>
            <w:vAlign w:val="center"/>
          </w:tcPr>
          <w:p w14:paraId="5D62C106">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移动端前端交互开发</w:t>
            </w:r>
          </w:p>
        </w:tc>
        <w:tc>
          <w:tcPr>
            <w:tcW w:w="1536" w:type="dxa"/>
            <w:shd w:val="clear" w:color="auto" w:fill="auto"/>
            <w:vAlign w:val="center"/>
          </w:tcPr>
          <w:p w14:paraId="111B783A">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学生端</w:t>
            </w:r>
          </w:p>
        </w:tc>
        <w:tc>
          <w:tcPr>
            <w:tcW w:w="6036" w:type="dxa"/>
            <w:shd w:val="clear" w:color="auto" w:fill="auto"/>
            <w:vAlign w:val="center"/>
          </w:tcPr>
          <w:p w14:paraId="46DE8087">
            <w:pPr>
              <w:keepNext w:val="0"/>
              <w:keepLines w:val="0"/>
              <w:widowControl/>
              <w:suppressLineNumbers w:val="0"/>
              <w:jc w:val="both"/>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学生端所有模块的前端交互开发</w:t>
            </w:r>
          </w:p>
        </w:tc>
      </w:tr>
      <w:tr w14:paraId="27000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721" w:type="dxa"/>
            <w:shd w:val="clear" w:color="auto" w:fill="auto"/>
            <w:noWrap/>
            <w:vAlign w:val="center"/>
          </w:tcPr>
          <w:p w14:paraId="5D1A97D6">
            <w:pPr>
              <w:keepNext w:val="0"/>
              <w:keepLines w:val="0"/>
              <w:widowControl/>
              <w:suppressLineNumbers w:val="0"/>
              <w:jc w:val="center"/>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64</w:t>
            </w:r>
          </w:p>
        </w:tc>
        <w:tc>
          <w:tcPr>
            <w:tcW w:w="1216" w:type="dxa"/>
            <w:vMerge w:val="continue"/>
            <w:shd w:val="clear" w:color="auto" w:fill="auto"/>
            <w:vAlign w:val="center"/>
          </w:tcPr>
          <w:p w14:paraId="60B2A442">
            <w:pPr>
              <w:jc w:val="center"/>
              <w:rPr>
                <w:rFonts w:hint="eastAsia" w:ascii="宋体" w:hAnsi="宋体" w:eastAsia="宋体" w:cs="宋体"/>
                <w:b/>
                <w:bCs/>
                <w:i w:val="0"/>
                <w:iCs w:val="0"/>
                <w:color w:val="auto"/>
                <w:sz w:val="24"/>
                <w:szCs w:val="24"/>
                <w:highlight w:val="none"/>
                <w:u w:val="none"/>
              </w:rPr>
            </w:pPr>
          </w:p>
        </w:tc>
        <w:tc>
          <w:tcPr>
            <w:tcW w:w="1536" w:type="dxa"/>
            <w:shd w:val="clear" w:color="auto" w:fill="auto"/>
            <w:vAlign w:val="center"/>
          </w:tcPr>
          <w:p w14:paraId="20170239">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教师端</w:t>
            </w:r>
          </w:p>
        </w:tc>
        <w:tc>
          <w:tcPr>
            <w:tcW w:w="6036" w:type="dxa"/>
            <w:shd w:val="clear" w:color="auto" w:fill="auto"/>
            <w:vAlign w:val="center"/>
          </w:tcPr>
          <w:p w14:paraId="4083DA44">
            <w:pPr>
              <w:keepNext w:val="0"/>
              <w:keepLines w:val="0"/>
              <w:widowControl/>
              <w:suppressLineNumbers w:val="0"/>
              <w:jc w:val="both"/>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教师端所有模块的前端交互开发</w:t>
            </w:r>
          </w:p>
        </w:tc>
      </w:tr>
      <w:tr w14:paraId="5A0F2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721" w:type="dxa"/>
            <w:shd w:val="clear" w:color="auto" w:fill="auto"/>
            <w:noWrap/>
            <w:vAlign w:val="center"/>
          </w:tcPr>
          <w:p w14:paraId="0F85477A">
            <w:pPr>
              <w:keepNext w:val="0"/>
              <w:keepLines w:val="0"/>
              <w:widowControl/>
              <w:suppressLineNumbers w:val="0"/>
              <w:jc w:val="center"/>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65</w:t>
            </w:r>
          </w:p>
        </w:tc>
        <w:tc>
          <w:tcPr>
            <w:tcW w:w="1216" w:type="dxa"/>
            <w:vMerge w:val="continue"/>
            <w:shd w:val="clear" w:color="auto" w:fill="auto"/>
            <w:vAlign w:val="center"/>
          </w:tcPr>
          <w:p w14:paraId="569C6624">
            <w:pPr>
              <w:jc w:val="center"/>
              <w:rPr>
                <w:rFonts w:hint="eastAsia" w:ascii="宋体" w:hAnsi="宋体" w:eastAsia="宋体" w:cs="宋体"/>
                <w:b/>
                <w:bCs/>
                <w:i w:val="0"/>
                <w:iCs w:val="0"/>
                <w:color w:val="auto"/>
                <w:sz w:val="24"/>
                <w:szCs w:val="24"/>
                <w:highlight w:val="none"/>
                <w:u w:val="none"/>
              </w:rPr>
            </w:pPr>
          </w:p>
        </w:tc>
        <w:tc>
          <w:tcPr>
            <w:tcW w:w="1536" w:type="dxa"/>
            <w:shd w:val="clear" w:color="auto" w:fill="auto"/>
            <w:vAlign w:val="center"/>
          </w:tcPr>
          <w:p w14:paraId="38A91AF2">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管理端</w:t>
            </w:r>
          </w:p>
        </w:tc>
        <w:tc>
          <w:tcPr>
            <w:tcW w:w="6036" w:type="dxa"/>
            <w:shd w:val="clear" w:color="auto" w:fill="auto"/>
            <w:vAlign w:val="center"/>
          </w:tcPr>
          <w:p w14:paraId="416568DD">
            <w:pPr>
              <w:keepNext w:val="0"/>
              <w:keepLines w:val="0"/>
              <w:widowControl/>
              <w:suppressLineNumbers w:val="0"/>
              <w:jc w:val="both"/>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管理端所有模块的前端交互开发</w:t>
            </w:r>
          </w:p>
        </w:tc>
      </w:tr>
      <w:tr w14:paraId="473C2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721" w:type="dxa"/>
            <w:shd w:val="clear" w:color="auto" w:fill="auto"/>
            <w:noWrap/>
            <w:vAlign w:val="center"/>
          </w:tcPr>
          <w:p w14:paraId="1378FEC3">
            <w:pPr>
              <w:keepNext w:val="0"/>
              <w:keepLines w:val="0"/>
              <w:widowControl/>
              <w:suppressLineNumbers w:val="0"/>
              <w:jc w:val="center"/>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66</w:t>
            </w:r>
          </w:p>
        </w:tc>
        <w:tc>
          <w:tcPr>
            <w:tcW w:w="1216" w:type="dxa"/>
            <w:vMerge w:val="restart"/>
            <w:shd w:val="clear" w:color="auto" w:fill="auto"/>
            <w:noWrap/>
            <w:vAlign w:val="center"/>
          </w:tcPr>
          <w:p w14:paraId="3D1AB0CA">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移动端后台</w:t>
            </w:r>
          </w:p>
        </w:tc>
        <w:tc>
          <w:tcPr>
            <w:tcW w:w="1536" w:type="dxa"/>
            <w:vMerge w:val="restart"/>
            <w:shd w:val="clear" w:color="auto" w:fill="auto"/>
            <w:vAlign w:val="center"/>
          </w:tcPr>
          <w:p w14:paraId="0B8ED1EE">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学生端</w:t>
            </w:r>
          </w:p>
        </w:tc>
        <w:tc>
          <w:tcPr>
            <w:tcW w:w="6036" w:type="dxa"/>
            <w:shd w:val="clear" w:color="auto" w:fill="auto"/>
            <w:vAlign w:val="center"/>
          </w:tcPr>
          <w:p w14:paraId="424C5683">
            <w:pPr>
              <w:keepNext w:val="0"/>
              <w:keepLines w:val="0"/>
              <w:widowControl/>
              <w:suppressLineNumbers w:val="0"/>
              <w:jc w:val="both"/>
              <w:textAlignment w:val="bottom"/>
              <w:rPr>
                <w:rFonts w:hint="default" w:ascii="宋体" w:hAnsi="宋体" w:eastAsia="宋体" w:cs="宋体"/>
                <w:i w:val="0"/>
                <w:iCs w:val="0"/>
                <w:color w:val="auto"/>
                <w:sz w:val="24"/>
                <w:szCs w:val="24"/>
                <w:highlight w:val="none"/>
                <w:u w:val="none"/>
                <w:lang w:val="en-US"/>
              </w:rPr>
            </w:pPr>
            <w:r>
              <w:rPr>
                <w:rFonts w:hint="eastAsia" w:ascii="宋体" w:hAnsi="宋体" w:eastAsia="宋体" w:cs="宋体"/>
                <w:i w:val="0"/>
                <w:iCs w:val="0"/>
                <w:color w:val="auto"/>
                <w:kern w:val="0"/>
                <w:sz w:val="24"/>
                <w:szCs w:val="24"/>
                <w:highlight w:val="none"/>
                <w:u w:val="none"/>
                <w:lang w:val="en-US" w:eastAsia="zh-CN" w:bidi="ar"/>
              </w:rPr>
              <w:t>1、请假</w:t>
            </w:r>
            <w:r>
              <w:rPr>
                <w:rFonts w:hint="eastAsia" w:ascii="宋体" w:hAnsi="宋体" w:cs="宋体"/>
                <w:i w:val="0"/>
                <w:iCs w:val="0"/>
                <w:color w:val="auto"/>
                <w:kern w:val="0"/>
                <w:sz w:val="24"/>
                <w:szCs w:val="24"/>
                <w:highlight w:val="none"/>
                <w:u w:val="none"/>
                <w:lang w:val="en-US" w:eastAsia="zh-CN" w:bidi="ar"/>
              </w:rPr>
              <w:t>,学生个人进行自主请假申报，</w:t>
            </w:r>
            <w:r>
              <w:rPr>
                <w:rFonts w:hint="eastAsia" w:ascii="宋体" w:hAnsi="宋体" w:eastAsia="宋体" w:cs="宋体"/>
                <w:color w:val="auto"/>
                <w:sz w:val="24"/>
                <w:szCs w:val="24"/>
                <w:highlight w:val="none"/>
                <w:lang w:val="en-US" w:eastAsia="zh-CN"/>
              </w:rPr>
              <w:t>选择请假类型，请假日期以及请假节次等信息，</w:t>
            </w:r>
            <w:r>
              <w:rPr>
                <w:rFonts w:hint="eastAsia" w:ascii="宋体" w:hAnsi="宋体" w:cs="宋体"/>
                <w:i w:val="0"/>
                <w:iCs w:val="0"/>
                <w:color w:val="auto"/>
                <w:kern w:val="0"/>
                <w:sz w:val="24"/>
                <w:szCs w:val="24"/>
                <w:highlight w:val="none"/>
                <w:u w:val="none"/>
                <w:lang w:val="en-US" w:eastAsia="zh-CN" w:bidi="ar"/>
              </w:rPr>
              <w:t>提交后有相应审批人进行审批</w:t>
            </w:r>
            <w:r>
              <w:rPr>
                <w:rFonts w:hint="eastAsia" w:ascii="宋体" w:hAnsi="宋体" w:eastAsia="宋体" w:cs="宋体"/>
                <w:b/>
                <w:bCs/>
                <w:color w:val="auto"/>
                <w:sz w:val="21"/>
                <w:szCs w:val="21"/>
                <w:highlight w:val="none"/>
                <w:u w:val="single"/>
              </w:rPr>
              <w:t>（</w:t>
            </w:r>
            <w:r>
              <w:rPr>
                <w:rFonts w:hint="eastAsia" w:ascii="宋体" w:hAnsi="宋体" w:eastAsia="宋体" w:cs="宋体"/>
                <w:b/>
                <w:bCs/>
                <w:color w:val="auto"/>
                <w:sz w:val="21"/>
                <w:szCs w:val="21"/>
                <w:highlight w:val="none"/>
                <w:u w:val="single"/>
                <w:lang w:val="en-US" w:eastAsia="zh-CN"/>
              </w:rPr>
              <w:t>需进行功能演示</w:t>
            </w:r>
            <w:r>
              <w:rPr>
                <w:rFonts w:hint="eastAsia" w:ascii="宋体" w:hAnsi="宋体" w:eastAsia="宋体" w:cs="宋体"/>
                <w:b/>
                <w:bCs/>
                <w:color w:val="auto"/>
                <w:sz w:val="21"/>
                <w:szCs w:val="21"/>
                <w:highlight w:val="none"/>
                <w:u w:val="single"/>
              </w:rPr>
              <w:t>）</w:t>
            </w:r>
          </w:p>
        </w:tc>
      </w:tr>
      <w:tr w14:paraId="53635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721" w:type="dxa"/>
            <w:shd w:val="clear" w:color="auto" w:fill="auto"/>
            <w:noWrap/>
            <w:vAlign w:val="center"/>
          </w:tcPr>
          <w:p w14:paraId="3E9C5761">
            <w:pPr>
              <w:keepNext w:val="0"/>
              <w:keepLines w:val="0"/>
              <w:widowControl/>
              <w:suppressLineNumbers w:val="0"/>
              <w:jc w:val="center"/>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67</w:t>
            </w:r>
          </w:p>
        </w:tc>
        <w:tc>
          <w:tcPr>
            <w:tcW w:w="1216" w:type="dxa"/>
            <w:vMerge w:val="continue"/>
            <w:shd w:val="clear" w:color="auto" w:fill="auto"/>
            <w:noWrap/>
            <w:vAlign w:val="center"/>
          </w:tcPr>
          <w:p w14:paraId="635F219C">
            <w:pPr>
              <w:jc w:val="center"/>
              <w:rPr>
                <w:rFonts w:hint="eastAsia" w:ascii="宋体" w:hAnsi="宋体" w:eastAsia="宋体" w:cs="宋体"/>
                <w:b/>
                <w:bCs/>
                <w:i w:val="0"/>
                <w:iCs w:val="0"/>
                <w:color w:val="auto"/>
                <w:sz w:val="24"/>
                <w:szCs w:val="24"/>
                <w:highlight w:val="none"/>
                <w:u w:val="none"/>
              </w:rPr>
            </w:pPr>
          </w:p>
        </w:tc>
        <w:tc>
          <w:tcPr>
            <w:tcW w:w="1536" w:type="dxa"/>
            <w:vMerge w:val="continue"/>
            <w:shd w:val="clear" w:color="auto" w:fill="auto"/>
            <w:vAlign w:val="center"/>
          </w:tcPr>
          <w:p w14:paraId="0751DEC5">
            <w:pPr>
              <w:jc w:val="center"/>
              <w:rPr>
                <w:rFonts w:hint="eastAsia" w:ascii="宋体" w:hAnsi="宋体" w:eastAsia="宋体" w:cs="宋体"/>
                <w:b/>
                <w:bCs/>
                <w:i w:val="0"/>
                <w:iCs w:val="0"/>
                <w:color w:val="auto"/>
                <w:sz w:val="24"/>
                <w:szCs w:val="24"/>
                <w:highlight w:val="none"/>
                <w:u w:val="none"/>
              </w:rPr>
            </w:pPr>
          </w:p>
        </w:tc>
        <w:tc>
          <w:tcPr>
            <w:tcW w:w="6036" w:type="dxa"/>
            <w:shd w:val="clear" w:color="auto" w:fill="auto"/>
            <w:vAlign w:val="center"/>
          </w:tcPr>
          <w:p w14:paraId="539CDEBA">
            <w:pPr>
              <w:keepNext w:val="0"/>
              <w:keepLines w:val="0"/>
              <w:widowControl/>
              <w:suppressLineNumbers w:val="0"/>
              <w:jc w:val="both"/>
              <w:textAlignment w:val="bottom"/>
              <w:rPr>
                <w:rFonts w:hint="default" w:ascii="宋体" w:hAnsi="宋体" w:eastAsia="宋体" w:cs="宋体"/>
                <w:i w:val="0"/>
                <w:iCs w:val="0"/>
                <w:color w:val="auto"/>
                <w:sz w:val="24"/>
                <w:szCs w:val="24"/>
                <w:highlight w:val="none"/>
                <w:u w:val="none"/>
                <w:lang w:val="en-US"/>
              </w:rPr>
            </w:pPr>
            <w:r>
              <w:rPr>
                <w:rFonts w:hint="eastAsia" w:ascii="宋体" w:hAnsi="宋体" w:eastAsia="宋体" w:cs="宋体"/>
                <w:i w:val="0"/>
                <w:iCs w:val="0"/>
                <w:color w:val="auto"/>
                <w:kern w:val="0"/>
                <w:sz w:val="24"/>
                <w:szCs w:val="24"/>
                <w:highlight w:val="none"/>
                <w:u w:val="none"/>
                <w:lang w:val="en-US" w:eastAsia="zh-CN" w:bidi="ar"/>
              </w:rPr>
              <w:t>2、课表查询</w:t>
            </w:r>
            <w:r>
              <w:rPr>
                <w:rFonts w:hint="eastAsia" w:ascii="宋体" w:hAnsi="宋体" w:cs="宋体"/>
                <w:i w:val="0"/>
                <w:iCs w:val="0"/>
                <w:color w:val="auto"/>
                <w:kern w:val="0"/>
                <w:sz w:val="24"/>
                <w:szCs w:val="24"/>
                <w:highlight w:val="none"/>
                <w:u w:val="none"/>
                <w:lang w:val="en-US" w:eastAsia="zh-CN" w:bidi="ar"/>
              </w:rPr>
              <w:t>，可按照日期或月份日期进行个人课表的查询，查询课表时可查看课程的相关介绍</w:t>
            </w:r>
          </w:p>
        </w:tc>
      </w:tr>
      <w:tr w14:paraId="13FA3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721" w:type="dxa"/>
            <w:shd w:val="clear" w:color="auto" w:fill="auto"/>
            <w:noWrap/>
            <w:vAlign w:val="center"/>
          </w:tcPr>
          <w:p w14:paraId="7D22462D">
            <w:pPr>
              <w:keepNext w:val="0"/>
              <w:keepLines w:val="0"/>
              <w:widowControl/>
              <w:suppressLineNumbers w:val="0"/>
              <w:jc w:val="center"/>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68</w:t>
            </w:r>
          </w:p>
        </w:tc>
        <w:tc>
          <w:tcPr>
            <w:tcW w:w="1216" w:type="dxa"/>
            <w:vMerge w:val="continue"/>
            <w:shd w:val="clear" w:color="auto" w:fill="auto"/>
            <w:noWrap/>
            <w:vAlign w:val="center"/>
          </w:tcPr>
          <w:p w14:paraId="4F9AED4C">
            <w:pPr>
              <w:jc w:val="center"/>
              <w:rPr>
                <w:rFonts w:hint="eastAsia" w:ascii="宋体" w:hAnsi="宋体" w:eastAsia="宋体" w:cs="宋体"/>
                <w:b/>
                <w:bCs/>
                <w:i w:val="0"/>
                <w:iCs w:val="0"/>
                <w:color w:val="auto"/>
                <w:sz w:val="24"/>
                <w:szCs w:val="24"/>
                <w:highlight w:val="none"/>
                <w:u w:val="none"/>
              </w:rPr>
            </w:pPr>
          </w:p>
        </w:tc>
        <w:tc>
          <w:tcPr>
            <w:tcW w:w="1536" w:type="dxa"/>
            <w:vMerge w:val="continue"/>
            <w:shd w:val="clear" w:color="auto" w:fill="auto"/>
            <w:vAlign w:val="center"/>
          </w:tcPr>
          <w:p w14:paraId="60500D5B">
            <w:pPr>
              <w:jc w:val="center"/>
              <w:rPr>
                <w:rFonts w:hint="eastAsia" w:ascii="宋体" w:hAnsi="宋体" w:eastAsia="宋体" w:cs="宋体"/>
                <w:b/>
                <w:bCs/>
                <w:i w:val="0"/>
                <w:iCs w:val="0"/>
                <w:color w:val="auto"/>
                <w:sz w:val="24"/>
                <w:szCs w:val="24"/>
                <w:highlight w:val="none"/>
                <w:u w:val="none"/>
              </w:rPr>
            </w:pPr>
          </w:p>
        </w:tc>
        <w:tc>
          <w:tcPr>
            <w:tcW w:w="6036" w:type="dxa"/>
            <w:shd w:val="clear" w:color="auto" w:fill="auto"/>
            <w:vAlign w:val="center"/>
          </w:tcPr>
          <w:p w14:paraId="39A15B26">
            <w:pPr>
              <w:keepNext w:val="0"/>
              <w:keepLines w:val="0"/>
              <w:widowControl/>
              <w:suppressLineNumbers w:val="0"/>
              <w:jc w:val="both"/>
              <w:textAlignment w:val="bottom"/>
              <w:rPr>
                <w:rFonts w:hint="default" w:ascii="宋体" w:hAnsi="宋体" w:eastAsia="宋体" w:cs="宋体"/>
                <w:i w:val="0"/>
                <w:iCs w:val="0"/>
                <w:color w:val="auto"/>
                <w:sz w:val="24"/>
                <w:szCs w:val="24"/>
                <w:highlight w:val="none"/>
                <w:u w:val="none"/>
                <w:lang w:val="en-US"/>
              </w:rPr>
            </w:pPr>
            <w:r>
              <w:rPr>
                <w:rFonts w:hint="default" w:cs="仿宋_GB2312" w:asciiTheme="minorEastAsia" w:hAnsiTheme="minorEastAsia" w:eastAsiaTheme="minorEastAsia"/>
                <w:color w:val="auto"/>
                <w:sz w:val="21"/>
                <w:szCs w:val="21"/>
                <w:highlight w:val="none"/>
              </w:rPr>
              <w:t>★</w:t>
            </w:r>
            <w:r>
              <w:rPr>
                <w:rFonts w:hint="eastAsia" w:ascii="宋体" w:hAnsi="宋体" w:eastAsia="宋体" w:cs="宋体"/>
                <w:i w:val="0"/>
                <w:iCs w:val="0"/>
                <w:color w:val="auto"/>
                <w:kern w:val="0"/>
                <w:sz w:val="24"/>
                <w:szCs w:val="24"/>
                <w:highlight w:val="none"/>
                <w:u w:val="none"/>
                <w:lang w:val="en-US" w:eastAsia="zh-CN" w:bidi="ar"/>
              </w:rPr>
              <w:t>3、成绩查询</w:t>
            </w:r>
            <w:r>
              <w:rPr>
                <w:rFonts w:hint="eastAsia" w:ascii="宋体" w:hAnsi="宋体" w:cs="宋体"/>
                <w:i w:val="0"/>
                <w:iCs w:val="0"/>
                <w:color w:val="auto"/>
                <w:kern w:val="0"/>
                <w:sz w:val="24"/>
                <w:szCs w:val="24"/>
                <w:highlight w:val="none"/>
                <w:u w:val="none"/>
                <w:lang w:val="en-US" w:eastAsia="zh-CN" w:bidi="ar"/>
              </w:rPr>
              <w:t>，可根据学年学期等条件查询个人成绩信息</w:t>
            </w:r>
            <w:r>
              <w:rPr>
                <w:rFonts w:hint="default" w:ascii="宋体" w:hAnsi="宋体" w:eastAsia="宋体" w:cs="宋体"/>
                <w:i w:val="0"/>
                <w:iCs w:val="0"/>
                <w:color w:val="auto"/>
                <w:kern w:val="0"/>
                <w:sz w:val="24"/>
                <w:szCs w:val="24"/>
                <w:highlight w:val="none"/>
                <w:u w:val="none"/>
                <w:lang w:val="en-US" w:eastAsia="zh-CN" w:bidi="ar"/>
              </w:rPr>
              <w:t>（</w:t>
            </w:r>
            <w:r>
              <w:rPr>
                <w:rFonts w:hint="eastAsia" w:ascii="宋体" w:hAnsi="宋体"/>
                <w:color w:val="auto"/>
                <w:sz w:val="24"/>
                <w:highlight w:val="none"/>
              </w:rPr>
              <w:t>提供类似项目同类功能截图并加盖公章</w:t>
            </w:r>
            <w:r>
              <w:rPr>
                <w:rFonts w:hint="eastAsia" w:ascii="宋体" w:hAnsi="宋体"/>
                <w:color w:val="auto"/>
                <w:sz w:val="24"/>
                <w:highlight w:val="none"/>
                <w:lang w:eastAsia="zh-CN"/>
              </w:rPr>
              <w:t>，</w:t>
            </w:r>
            <w:r>
              <w:rPr>
                <w:rFonts w:hint="eastAsia" w:ascii="宋体" w:hAnsi="宋体"/>
                <w:color w:val="auto"/>
                <w:sz w:val="24"/>
                <w:highlight w:val="none"/>
                <w:lang w:val="en-US" w:eastAsia="zh-CN"/>
              </w:rPr>
              <w:t>未提供视为负偏离</w:t>
            </w:r>
            <w:r>
              <w:rPr>
                <w:rFonts w:hint="default" w:ascii="宋体" w:hAnsi="宋体" w:eastAsia="宋体" w:cs="宋体"/>
                <w:i w:val="0"/>
                <w:iCs w:val="0"/>
                <w:color w:val="auto"/>
                <w:kern w:val="0"/>
                <w:sz w:val="24"/>
                <w:szCs w:val="24"/>
                <w:highlight w:val="none"/>
                <w:u w:val="none"/>
                <w:lang w:val="en-US" w:eastAsia="zh-CN" w:bidi="ar"/>
              </w:rPr>
              <w:t>)</w:t>
            </w:r>
          </w:p>
        </w:tc>
      </w:tr>
      <w:tr w14:paraId="0B517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721" w:type="dxa"/>
            <w:shd w:val="clear" w:color="auto" w:fill="auto"/>
            <w:noWrap/>
            <w:vAlign w:val="center"/>
          </w:tcPr>
          <w:p w14:paraId="54270583">
            <w:pPr>
              <w:keepNext w:val="0"/>
              <w:keepLines w:val="0"/>
              <w:widowControl/>
              <w:suppressLineNumbers w:val="0"/>
              <w:jc w:val="center"/>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69</w:t>
            </w:r>
          </w:p>
        </w:tc>
        <w:tc>
          <w:tcPr>
            <w:tcW w:w="1216" w:type="dxa"/>
            <w:vMerge w:val="continue"/>
            <w:shd w:val="clear" w:color="auto" w:fill="auto"/>
            <w:noWrap/>
            <w:vAlign w:val="center"/>
          </w:tcPr>
          <w:p w14:paraId="504F58B3">
            <w:pPr>
              <w:jc w:val="center"/>
              <w:rPr>
                <w:rFonts w:hint="eastAsia" w:ascii="宋体" w:hAnsi="宋体" w:eastAsia="宋体" w:cs="宋体"/>
                <w:b/>
                <w:bCs/>
                <w:i w:val="0"/>
                <w:iCs w:val="0"/>
                <w:color w:val="auto"/>
                <w:sz w:val="24"/>
                <w:szCs w:val="24"/>
                <w:highlight w:val="none"/>
                <w:u w:val="none"/>
              </w:rPr>
            </w:pPr>
          </w:p>
        </w:tc>
        <w:tc>
          <w:tcPr>
            <w:tcW w:w="1536" w:type="dxa"/>
            <w:vMerge w:val="continue"/>
            <w:shd w:val="clear" w:color="auto" w:fill="auto"/>
            <w:vAlign w:val="center"/>
          </w:tcPr>
          <w:p w14:paraId="5CA69828">
            <w:pPr>
              <w:jc w:val="center"/>
              <w:rPr>
                <w:rFonts w:hint="eastAsia" w:ascii="宋体" w:hAnsi="宋体" w:eastAsia="宋体" w:cs="宋体"/>
                <w:b/>
                <w:bCs/>
                <w:i w:val="0"/>
                <w:iCs w:val="0"/>
                <w:color w:val="auto"/>
                <w:sz w:val="24"/>
                <w:szCs w:val="24"/>
                <w:highlight w:val="none"/>
                <w:u w:val="none"/>
              </w:rPr>
            </w:pPr>
          </w:p>
        </w:tc>
        <w:tc>
          <w:tcPr>
            <w:tcW w:w="6036" w:type="dxa"/>
            <w:shd w:val="clear" w:color="auto" w:fill="auto"/>
            <w:vAlign w:val="center"/>
          </w:tcPr>
          <w:p w14:paraId="2DAB6893">
            <w:pPr>
              <w:keepNext w:val="0"/>
              <w:keepLines w:val="0"/>
              <w:widowControl/>
              <w:suppressLineNumbers w:val="0"/>
              <w:jc w:val="both"/>
              <w:textAlignment w:val="bottom"/>
              <w:rPr>
                <w:rFonts w:hint="default" w:ascii="宋体" w:hAnsi="宋体" w:eastAsia="宋体" w:cs="宋体"/>
                <w:i w:val="0"/>
                <w:iCs w:val="0"/>
                <w:color w:val="auto"/>
                <w:sz w:val="24"/>
                <w:szCs w:val="24"/>
                <w:highlight w:val="none"/>
                <w:u w:val="none"/>
                <w:lang w:val="en-US"/>
              </w:rPr>
            </w:pPr>
            <w:r>
              <w:rPr>
                <w:rFonts w:hint="eastAsia" w:ascii="宋体" w:hAnsi="宋体" w:eastAsia="宋体" w:cs="宋体"/>
                <w:i w:val="0"/>
                <w:iCs w:val="0"/>
                <w:color w:val="auto"/>
                <w:kern w:val="0"/>
                <w:sz w:val="24"/>
                <w:szCs w:val="24"/>
                <w:highlight w:val="none"/>
                <w:u w:val="none"/>
                <w:lang w:val="en-US" w:eastAsia="zh-CN" w:bidi="ar"/>
              </w:rPr>
              <w:t>4、培养方案</w:t>
            </w:r>
            <w:r>
              <w:rPr>
                <w:rFonts w:hint="eastAsia" w:ascii="宋体" w:hAnsi="宋体" w:cs="宋体"/>
                <w:i w:val="0"/>
                <w:iCs w:val="0"/>
                <w:color w:val="auto"/>
                <w:kern w:val="0"/>
                <w:sz w:val="24"/>
                <w:szCs w:val="24"/>
                <w:highlight w:val="none"/>
                <w:u w:val="none"/>
                <w:lang w:val="en-US" w:eastAsia="zh-CN" w:bidi="ar"/>
              </w:rPr>
              <w:t>，可根据个人专业或专业大类查询专业培养方案信息</w:t>
            </w:r>
          </w:p>
        </w:tc>
      </w:tr>
      <w:tr w14:paraId="20BA3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721" w:type="dxa"/>
            <w:shd w:val="clear" w:color="auto" w:fill="auto"/>
            <w:noWrap/>
            <w:vAlign w:val="center"/>
          </w:tcPr>
          <w:p w14:paraId="65F88C3B">
            <w:pPr>
              <w:keepNext w:val="0"/>
              <w:keepLines w:val="0"/>
              <w:widowControl/>
              <w:suppressLineNumbers w:val="0"/>
              <w:jc w:val="center"/>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70</w:t>
            </w:r>
          </w:p>
        </w:tc>
        <w:tc>
          <w:tcPr>
            <w:tcW w:w="1216" w:type="dxa"/>
            <w:vMerge w:val="continue"/>
            <w:shd w:val="clear" w:color="auto" w:fill="auto"/>
            <w:noWrap/>
            <w:vAlign w:val="center"/>
          </w:tcPr>
          <w:p w14:paraId="6BD5C585">
            <w:pPr>
              <w:jc w:val="center"/>
              <w:rPr>
                <w:rFonts w:hint="eastAsia" w:ascii="宋体" w:hAnsi="宋体" w:eastAsia="宋体" w:cs="宋体"/>
                <w:b/>
                <w:bCs/>
                <w:i w:val="0"/>
                <w:iCs w:val="0"/>
                <w:color w:val="auto"/>
                <w:sz w:val="24"/>
                <w:szCs w:val="24"/>
                <w:highlight w:val="none"/>
                <w:u w:val="none"/>
              </w:rPr>
            </w:pPr>
          </w:p>
        </w:tc>
        <w:tc>
          <w:tcPr>
            <w:tcW w:w="1536" w:type="dxa"/>
            <w:vMerge w:val="continue"/>
            <w:shd w:val="clear" w:color="auto" w:fill="auto"/>
            <w:vAlign w:val="center"/>
          </w:tcPr>
          <w:p w14:paraId="174B11FF">
            <w:pPr>
              <w:jc w:val="center"/>
              <w:rPr>
                <w:rFonts w:hint="eastAsia" w:ascii="宋体" w:hAnsi="宋体" w:eastAsia="宋体" w:cs="宋体"/>
                <w:b/>
                <w:bCs/>
                <w:i w:val="0"/>
                <w:iCs w:val="0"/>
                <w:color w:val="auto"/>
                <w:sz w:val="24"/>
                <w:szCs w:val="24"/>
                <w:highlight w:val="none"/>
                <w:u w:val="none"/>
              </w:rPr>
            </w:pPr>
          </w:p>
        </w:tc>
        <w:tc>
          <w:tcPr>
            <w:tcW w:w="6036" w:type="dxa"/>
            <w:shd w:val="clear" w:color="auto" w:fill="auto"/>
            <w:vAlign w:val="center"/>
          </w:tcPr>
          <w:p w14:paraId="0F5ABB6B">
            <w:pPr>
              <w:keepNext w:val="0"/>
              <w:keepLines w:val="0"/>
              <w:widowControl/>
              <w:suppressLineNumbers w:val="0"/>
              <w:jc w:val="both"/>
              <w:textAlignment w:val="bottom"/>
              <w:rPr>
                <w:rFonts w:hint="default" w:ascii="宋体" w:hAnsi="宋体" w:eastAsia="宋体" w:cs="宋体"/>
                <w:i w:val="0"/>
                <w:iCs w:val="0"/>
                <w:color w:val="auto"/>
                <w:sz w:val="24"/>
                <w:szCs w:val="24"/>
                <w:highlight w:val="none"/>
                <w:u w:val="none"/>
                <w:lang w:val="en-US"/>
              </w:rPr>
            </w:pPr>
            <w:r>
              <w:rPr>
                <w:rFonts w:hint="default" w:cs="仿宋_GB2312" w:asciiTheme="minorEastAsia" w:hAnsiTheme="minorEastAsia" w:eastAsiaTheme="minorEastAsia"/>
                <w:color w:val="auto"/>
                <w:sz w:val="21"/>
                <w:szCs w:val="21"/>
                <w:highlight w:val="none"/>
              </w:rPr>
              <w:t>★</w:t>
            </w:r>
            <w:r>
              <w:rPr>
                <w:rFonts w:hint="eastAsia" w:ascii="宋体" w:hAnsi="宋体" w:eastAsia="宋体" w:cs="宋体"/>
                <w:i w:val="0"/>
                <w:iCs w:val="0"/>
                <w:color w:val="auto"/>
                <w:kern w:val="0"/>
                <w:sz w:val="24"/>
                <w:szCs w:val="24"/>
                <w:highlight w:val="none"/>
                <w:u w:val="none"/>
                <w:lang w:val="en-US" w:eastAsia="zh-CN" w:bidi="ar"/>
              </w:rPr>
              <w:t>5、课程介绍</w:t>
            </w:r>
            <w:r>
              <w:rPr>
                <w:rFonts w:hint="eastAsia" w:ascii="宋体" w:hAnsi="宋体" w:cs="宋体"/>
                <w:i w:val="0"/>
                <w:iCs w:val="0"/>
                <w:color w:val="auto"/>
                <w:kern w:val="0"/>
                <w:sz w:val="24"/>
                <w:szCs w:val="24"/>
                <w:highlight w:val="none"/>
                <w:u w:val="none"/>
                <w:lang w:val="en-US" w:eastAsia="zh-CN" w:bidi="ar"/>
              </w:rPr>
              <w:t>，可查询课程大纲，课程上课周次，任课教师以及任课教师基本信息等</w:t>
            </w:r>
            <w:r>
              <w:rPr>
                <w:rFonts w:hint="default" w:ascii="宋体" w:hAnsi="宋体" w:eastAsia="宋体" w:cs="宋体"/>
                <w:i w:val="0"/>
                <w:iCs w:val="0"/>
                <w:color w:val="auto"/>
                <w:kern w:val="0"/>
                <w:sz w:val="24"/>
                <w:szCs w:val="24"/>
                <w:highlight w:val="none"/>
                <w:u w:val="none"/>
                <w:lang w:val="en-US" w:eastAsia="zh-CN" w:bidi="ar"/>
              </w:rPr>
              <w:t>（</w:t>
            </w:r>
            <w:r>
              <w:rPr>
                <w:rFonts w:hint="eastAsia" w:ascii="宋体" w:hAnsi="宋体"/>
                <w:color w:val="auto"/>
                <w:sz w:val="24"/>
                <w:highlight w:val="none"/>
              </w:rPr>
              <w:t>提供类似项目同类功能截图并加盖公章</w:t>
            </w:r>
            <w:r>
              <w:rPr>
                <w:rFonts w:hint="eastAsia" w:ascii="宋体" w:hAnsi="宋体"/>
                <w:color w:val="auto"/>
                <w:sz w:val="24"/>
                <w:highlight w:val="none"/>
                <w:lang w:eastAsia="zh-CN"/>
              </w:rPr>
              <w:t>，</w:t>
            </w:r>
            <w:r>
              <w:rPr>
                <w:rFonts w:hint="eastAsia" w:ascii="宋体" w:hAnsi="宋体"/>
                <w:color w:val="auto"/>
                <w:sz w:val="24"/>
                <w:highlight w:val="none"/>
                <w:lang w:val="en-US" w:eastAsia="zh-CN"/>
              </w:rPr>
              <w:t>未提供视为负偏离</w:t>
            </w:r>
            <w:r>
              <w:rPr>
                <w:rFonts w:hint="default" w:ascii="宋体" w:hAnsi="宋体" w:eastAsia="宋体" w:cs="宋体"/>
                <w:i w:val="0"/>
                <w:iCs w:val="0"/>
                <w:color w:val="auto"/>
                <w:kern w:val="0"/>
                <w:sz w:val="24"/>
                <w:szCs w:val="24"/>
                <w:highlight w:val="none"/>
                <w:u w:val="none"/>
                <w:lang w:val="en-US" w:eastAsia="zh-CN" w:bidi="ar"/>
              </w:rPr>
              <w:t>)</w:t>
            </w:r>
          </w:p>
        </w:tc>
      </w:tr>
      <w:tr w14:paraId="48B6C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721" w:type="dxa"/>
            <w:shd w:val="clear" w:color="auto" w:fill="auto"/>
            <w:noWrap/>
            <w:vAlign w:val="center"/>
          </w:tcPr>
          <w:p w14:paraId="104DA56B">
            <w:pPr>
              <w:keepNext w:val="0"/>
              <w:keepLines w:val="0"/>
              <w:widowControl/>
              <w:suppressLineNumbers w:val="0"/>
              <w:jc w:val="center"/>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71</w:t>
            </w:r>
          </w:p>
        </w:tc>
        <w:tc>
          <w:tcPr>
            <w:tcW w:w="1216" w:type="dxa"/>
            <w:vMerge w:val="continue"/>
            <w:shd w:val="clear" w:color="auto" w:fill="auto"/>
            <w:noWrap/>
            <w:vAlign w:val="center"/>
          </w:tcPr>
          <w:p w14:paraId="3809AE37">
            <w:pPr>
              <w:jc w:val="center"/>
              <w:rPr>
                <w:rFonts w:hint="eastAsia" w:ascii="宋体" w:hAnsi="宋体" w:eastAsia="宋体" w:cs="宋体"/>
                <w:b/>
                <w:bCs/>
                <w:i w:val="0"/>
                <w:iCs w:val="0"/>
                <w:color w:val="auto"/>
                <w:sz w:val="24"/>
                <w:szCs w:val="24"/>
                <w:highlight w:val="none"/>
                <w:u w:val="none"/>
              </w:rPr>
            </w:pPr>
          </w:p>
        </w:tc>
        <w:tc>
          <w:tcPr>
            <w:tcW w:w="1536" w:type="dxa"/>
            <w:vMerge w:val="continue"/>
            <w:shd w:val="clear" w:color="auto" w:fill="auto"/>
            <w:vAlign w:val="center"/>
          </w:tcPr>
          <w:p w14:paraId="12A71D45">
            <w:pPr>
              <w:jc w:val="center"/>
              <w:rPr>
                <w:rFonts w:hint="eastAsia" w:ascii="宋体" w:hAnsi="宋体" w:eastAsia="宋体" w:cs="宋体"/>
                <w:b/>
                <w:bCs/>
                <w:i w:val="0"/>
                <w:iCs w:val="0"/>
                <w:color w:val="auto"/>
                <w:sz w:val="24"/>
                <w:szCs w:val="24"/>
                <w:highlight w:val="none"/>
                <w:u w:val="none"/>
              </w:rPr>
            </w:pPr>
          </w:p>
        </w:tc>
        <w:tc>
          <w:tcPr>
            <w:tcW w:w="6036" w:type="dxa"/>
            <w:shd w:val="clear" w:color="auto" w:fill="auto"/>
            <w:vAlign w:val="center"/>
          </w:tcPr>
          <w:p w14:paraId="43F975BF">
            <w:pPr>
              <w:keepNext w:val="0"/>
              <w:keepLines w:val="0"/>
              <w:widowControl/>
              <w:suppressLineNumbers w:val="0"/>
              <w:jc w:val="both"/>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6、用户登录</w:t>
            </w:r>
          </w:p>
        </w:tc>
      </w:tr>
      <w:tr w14:paraId="5AA81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721" w:type="dxa"/>
            <w:shd w:val="clear" w:color="auto" w:fill="auto"/>
            <w:noWrap/>
            <w:vAlign w:val="center"/>
          </w:tcPr>
          <w:p w14:paraId="03745B76">
            <w:pPr>
              <w:keepNext w:val="0"/>
              <w:keepLines w:val="0"/>
              <w:widowControl/>
              <w:suppressLineNumbers w:val="0"/>
              <w:jc w:val="center"/>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72</w:t>
            </w:r>
          </w:p>
        </w:tc>
        <w:tc>
          <w:tcPr>
            <w:tcW w:w="1216" w:type="dxa"/>
            <w:vMerge w:val="continue"/>
            <w:shd w:val="clear" w:color="auto" w:fill="auto"/>
            <w:noWrap/>
            <w:vAlign w:val="center"/>
          </w:tcPr>
          <w:p w14:paraId="59F11BA5">
            <w:pPr>
              <w:jc w:val="center"/>
              <w:rPr>
                <w:rFonts w:hint="eastAsia" w:ascii="宋体" w:hAnsi="宋体" w:eastAsia="宋体" w:cs="宋体"/>
                <w:b/>
                <w:bCs/>
                <w:i w:val="0"/>
                <w:iCs w:val="0"/>
                <w:color w:val="auto"/>
                <w:sz w:val="24"/>
                <w:szCs w:val="24"/>
                <w:highlight w:val="none"/>
                <w:u w:val="none"/>
              </w:rPr>
            </w:pPr>
          </w:p>
        </w:tc>
        <w:tc>
          <w:tcPr>
            <w:tcW w:w="1536" w:type="dxa"/>
            <w:vMerge w:val="continue"/>
            <w:shd w:val="clear" w:color="auto" w:fill="auto"/>
            <w:vAlign w:val="center"/>
          </w:tcPr>
          <w:p w14:paraId="59782AB5">
            <w:pPr>
              <w:jc w:val="center"/>
              <w:rPr>
                <w:rFonts w:hint="eastAsia" w:ascii="宋体" w:hAnsi="宋体" w:eastAsia="宋体" w:cs="宋体"/>
                <w:b/>
                <w:bCs/>
                <w:i w:val="0"/>
                <w:iCs w:val="0"/>
                <w:color w:val="auto"/>
                <w:sz w:val="24"/>
                <w:szCs w:val="24"/>
                <w:highlight w:val="none"/>
                <w:u w:val="none"/>
              </w:rPr>
            </w:pPr>
          </w:p>
        </w:tc>
        <w:tc>
          <w:tcPr>
            <w:tcW w:w="6036" w:type="dxa"/>
            <w:shd w:val="clear" w:color="auto" w:fill="auto"/>
            <w:vAlign w:val="center"/>
          </w:tcPr>
          <w:p w14:paraId="18FC258C">
            <w:pPr>
              <w:keepNext w:val="0"/>
              <w:keepLines w:val="0"/>
              <w:widowControl/>
              <w:suppressLineNumbers w:val="0"/>
              <w:jc w:val="both"/>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7、个人信息中心</w:t>
            </w:r>
          </w:p>
        </w:tc>
      </w:tr>
      <w:tr w14:paraId="641A3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721" w:type="dxa"/>
            <w:shd w:val="clear" w:color="auto" w:fill="auto"/>
            <w:noWrap/>
            <w:vAlign w:val="center"/>
          </w:tcPr>
          <w:p w14:paraId="309D31B1">
            <w:pPr>
              <w:keepNext w:val="0"/>
              <w:keepLines w:val="0"/>
              <w:widowControl/>
              <w:suppressLineNumbers w:val="0"/>
              <w:jc w:val="center"/>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73</w:t>
            </w:r>
          </w:p>
        </w:tc>
        <w:tc>
          <w:tcPr>
            <w:tcW w:w="1216" w:type="dxa"/>
            <w:vMerge w:val="continue"/>
            <w:shd w:val="clear" w:color="auto" w:fill="auto"/>
            <w:noWrap/>
            <w:vAlign w:val="center"/>
          </w:tcPr>
          <w:p w14:paraId="7982A528">
            <w:pPr>
              <w:jc w:val="center"/>
              <w:rPr>
                <w:rFonts w:hint="eastAsia" w:ascii="宋体" w:hAnsi="宋体" w:eastAsia="宋体" w:cs="宋体"/>
                <w:b/>
                <w:bCs/>
                <w:i w:val="0"/>
                <w:iCs w:val="0"/>
                <w:color w:val="auto"/>
                <w:sz w:val="24"/>
                <w:szCs w:val="24"/>
                <w:highlight w:val="none"/>
                <w:u w:val="none"/>
              </w:rPr>
            </w:pPr>
          </w:p>
        </w:tc>
        <w:tc>
          <w:tcPr>
            <w:tcW w:w="1536" w:type="dxa"/>
            <w:vMerge w:val="restart"/>
            <w:shd w:val="clear" w:color="auto" w:fill="auto"/>
            <w:vAlign w:val="center"/>
          </w:tcPr>
          <w:p w14:paraId="53532CE6">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教师端</w:t>
            </w:r>
          </w:p>
        </w:tc>
        <w:tc>
          <w:tcPr>
            <w:tcW w:w="6036" w:type="dxa"/>
            <w:shd w:val="clear" w:color="auto" w:fill="auto"/>
            <w:vAlign w:val="center"/>
          </w:tcPr>
          <w:p w14:paraId="46A66218">
            <w:pPr>
              <w:keepNext w:val="0"/>
              <w:keepLines w:val="0"/>
              <w:widowControl/>
              <w:suppressLineNumbers w:val="0"/>
              <w:jc w:val="both"/>
              <w:textAlignment w:val="bottom"/>
              <w:rPr>
                <w:rFonts w:hint="default" w:ascii="宋体" w:hAnsi="宋体" w:eastAsia="宋体" w:cs="宋体"/>
                <w:i w:val="0"/>
                <w:iCs w:val="0"/>
                <w:color w:val="auto"/>
                <w:sz w:val="24"/>
                <w:szCs w:val="24"/>
                <w:highlight w:val="none"/>
                <w:u w:val="none"/>
                <w:lang w:val="en-US"/>
              </w:rPr>
            </w:pPr>
            <w:r>
              <w:rPr>
                <w:rFonts w:hint="eastAsia" w:ascii="宋体" w:hAnsi="宋体" w:eastAsia="宋体" w:cs="宋体"/>
                <w:i w:val="0"/>
                <w:iCs w:val="0"/>
                <w:color w:val="auto"/>
                <w:kern w:val="0"/>
                <w:sz w:val="24"/>
                <w:szCs w:val="24"/>
                <w:highlight w:val="none"/>
                <w:u w:val="none"/>
                <w:lang w:val="en-US" w:eastAsia="zh-CN" w:bidi="ar"/>
              </w:rPr>
              <w:t>1、</w:t>
            </w:r>
            <w:r>
              <w:rPr>
                <w:rFonts w:hint="eastAsia" w:ascii="宋体" w:hAnsi="宋体" w:cs="宋体"/>
                <w:i w:val="0"/>
                <w:iCs w:val="0"/>
                <w:color w:val="auto"/>
                <w:kern w:val="0"/>
                <w:sz w:val="24"/>
                <w:szCs w:val="24"/>
                <w:highlight w:val="none"/>
                <w:u w:val="none"/>
                <w:lang w:val="en-US" w:eastAsia="zh-CN" w:bidi="ar"/>
              </w:rPr>
              <w:t>学生</w:t>
            </w:r>
            <w:r>
              <w:rPr>
                <w:rFonts w:hint="eastAsia" w:ascii="宋体" w:hAnsi="宋体" w:eastAsia="宋体" w:cs="宋体"/>
                <w:i w:val="0"/>
                <w:iCs w:val="0"/>
                <w:color w:val="auto"/>
                <w:kern w:val="0"/>
                <w:sz w:val="24"/>
                <w:szCs w:val="24"/>
                <w:highlight w:val="none"/>
                <w:u w:val="none"/>
                <w:lang w:val="en-US" w:eastAsia="zh-CN" w:bidi="ar"/>
              </w:rPr>
              <w:t>请假</w:t>
            </w:r>
            <w:r>
              <w:rPr>
                <w:rFonts w:hint="eastAsia" w:ascii="宋体" w:hAnsi="宋体" w:cs="宋体"/>
                <w:i w:val="0"/>
                <w:iCs w:val="0"/>
                <w:color w:val="auto"/>
                <w:kern w:val="0"/>
                <w:sz w:val="24"/>
                <w:szCs w:val="24"/>
                <w:highlight w:val="none"/>
                <w:u w:val="none"/>
                <w:lang w:val="en-US" w:eastAsia="zh-CN" w:bidi="ar"/>
              </w:rPr>
              <w:t>审批，主导师可对学生申请的请假进行审批操作</w:t>
            </w:r>
          </w:p>
        </w:tc>
      </w:tr>
      <w:tr w14:paraId="512C4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721" w:type="dxa"/>
            <w:shd w:val="clear" w:color="auto" w:fill="auto"/>
            <w:noWrap/>
            <w:vAlign w:val="center"/>
          </w:tcPr>
          <w:p w14:paraId="6DED9BC4">
            <w:pPr>
              <w:keepNext w:val="0"/>
              <w:keepLines w:val="0"/>
              <w:widowControl/>
              <w:suppressLineNumbers w:val="0"/>
              <w:jc w:val="center"/>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74</w:t>
            </w:r>
          </w:p>
        </w:tc>
        <w:tc>
          <w:tcPr>
            <w:tcW w:w="1216" w:type="dxa"/>
            <w:vMerge w:val="continue"/>
            <w:shd w:val="clear" w:color="auto" w:fill="auto"/>
            <w:noWrap/>
            <w:vAlign w:val="center"/>
          </w:tcPr>
          <w:p w14:paraId="663ED908">
            <w:pPr>
              <w:jc w:val="center"/>
              <w:rPr>
                <w:rFonts w:hint="eastAsia" w:ascii="宋体" w:hAnsi="宋体" w:eastAsia="宋体" w:cs="宋体"/>
                <w:b/>
                <w:bCs/>
                <w:i w:val="0"/>
                <w:iCs w:val="0"/>
                <w:color w:val="auto"/>
                <w:sz w:val="24"/>
                <w:szCs w:val="24"/>
                <w:highlight w:val="none"/>
                <w:u w:val="none"/>
              </w:rPr>
            </w:pPr>
          </w:p>
        </w:tc>
        <w:tc>
          <w:tcPr>
            <w:tcW w:w="1536" w:type="dxa"/>
            <w:vMerge w:val="continue"/>
            <w:shd w:val="clear" w:color="auto" w:fill="auto"/>
            <w:vAlign w:val="center"/>
          </w:tcPr>
          <w:p w14:paraId="68A72E7B">
            <w:pPr>
              <w:jc w:val="center"/>
              <w:rPr>
                <w:rFonts w:hint="eastAsia" w:ascii="宋体" w:hAnsi="宋体" w:eastAsia="宋体" w:cs="宋体"/>
                <w:b/>
                <w:bCs/>
                <w:i w:val="0"/>
                <w:iCs w:val="0"/>
                <w:color w:val="auto"/>
                <w:sz w:val="24"/>
                <w:szCs w:val="24"/>
                <w:highlight w:val="none"/>
                <w:u w:val="none"/>
              </w:rPr>
            </w:pPr>
          </w:p>
        </w:tc>
        <w:tc>
          <w:tcPr>
            <w:tcW w:w="6036" w:type="dxa"/>
            <w:shd w:val="clear" w:color="auto" w:fill="auto"/>
            <w:vAlign w:val="center"/>
          </w:tcPr>
          <w:p w14:paraId="0CB9389C">
            <w:pPr>
              <w:keepNext w:val="0"/>
              <w:keepLines w:val="0"/>
              <w:widowControl/>
              <w:suppressLineNumbers w:val="0"/>
              <w:jc w:val="both"/>
              <w:textAlignment w:val="bottom"/>
              <w:rPr>
                <w:rFonts w:hint="default" w:ascii="宋体" w:hAnsi="宋体" w:eastAsia="宋体" w:cs="宋体"/>
                <w:i w:val="0"/>
                <w:iCs w:val="0"/>
                <w:color w:val="auto"/>
                <w:sz w:val="24"/>
                <w:szCs w:val="24"/>
                <w:highlight w:val="none"/>
                <w:u w:val="none"/>
                <w:lang w:val="en-US"/>
              </w:rPr>
            </w:pPr>
            <w:r>
              <w:rPr>
                <w:rFonts w:hint="eastAsia" w:ascii="宋体" w:hAnsi="宋体" w:eastAsia="宋体" w:cs="宋体"/>
                <w:i w:val="0"/>
                <w:iCs w:val="0"/>
                <w:color w:val="auto"/>
                <w:kern w:val="0"/>
                <w:sz w:val="24"/>
                <w:szCs w:val="24"/>
                <w:highlight w:val="none"/>
                <w:u w:val="none"/>
                <w:lang w:val="en-US" w:eastAsia="zh-CN" w:bidi="ar"/>
              </w:rPr>
              <w:t>2、学生点名</w:t>
            </w:r>
            <w:r>
              <w:rPr>
                <w:rFonts w:hint="eastAsia" w:ascii="宋体" w:hAnsi="宋体" w:cs="宋体"/>
                <w:i w:val="0"/>
                <w:iCs w:val="0"/>
                <w:color w:val="auto"/>
                <w:kern w:val="0"/>
                <w:sz w:val="24"/>
                <w:szCs w:val="24"/>
                <w:highlight w:val="none"/>
                <w:u w:val="none"/>
                <w:lang w:val="en-US" w:eastAsia="zh-CN" w:bidi="ar"/>
              </w:rPr>
              <w:t>，可根据个人所开课程，以及学生选课情况，按照日期对学生进行考勤签到，同时关联学生请假信息，在考勤点名页面可查询请假情况。</w:t>
            </w:r>
            <w:r>
              <w:rPr>
                <w:rFonts w:hint="eastAsia" w:ascii="宋体" w:hAnsi="宋体" w:eastAsia="宋体" w:cs="宋体"/>
                <w:b/>
                <w:bCs/>
                <w:color w:val="auto"/>
                <w:sz w:val="21"/>
                <w:szCs w:val="21"/>
                <w:highlight w:val="none"/>
                <w:u w:val="single"/>
              </w:rPr>
              <w:t>（</w:t>
            </w:r>
            <w:r>
              <w:rPr>
                <w:rFonts w:hint="eastAsia" w:ascii="宋体" w:hAnsi="宋体" w:eastAsia="宋体" w:cs="宋体"/>
                <w:b/>
                <w:bCs/>
                <w:color w:val="auto"/>
                <w:sz w:val="21"/>
                <w:szCs w:val="21"/>
                <w:highlight w:val="none"/>
                <w:u w:val="single"/>
                <w:lang w:val="en-US" w:eastAsia="zh-CN"/>
              </w:rPr>
              <w:t>需进行功能演示</w:t>
            </w:r>
            <w:r>
              <w:rPr>
                <w:rFonts w:hint="eastAsia" w:ascii="宋体" w:hAnsi="宋体" w:eastAsia="宋体" w:cs="宋体"/>
                <w:b/>
                <w:bCs/>
                <w:color w:val="auto"/>
                <w:sz w:val="21"/>
                <w:szCs w:val="21"/>
                <w:highlight w:val="none"/>
                <w:u w:val="single"/>
              </w:rPr>
              <w:t>）</w:t>
            </w:r>
          </w:p>
        </w:tc>
      </w:tr>
      <w:tr w14:paraId="0C97C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721" w:type="dxa"/>
            <w:shd w:val="clear" w:color="auto" w:fill="auto"/>
            <w:noWrap/>
            <w:vAlign w:val="center"/>
          </w:tcPr>
          <w:p w14:paraId="7F3CEE02">
            <w:pPr>
              <w:keepNext w:val="0"/>
              <w:keepLines w:val="0"/>
              <w:widowControl/>
              <w:suppressLineNumbers w:val="0"/>
              <w:jc w:val="center"/>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75</w:t>
            </w:r>
          </w:p>
        </w:tc>
        <w:tc>
          <w:tcPr>
            <w:tcW w:w="1216" w:type="dxa"/>
            <w:vMerge w:val="continue"/>
            <w:shd w:val="clear" w:color="auto" w:fill="auto"/>
            <w:noWrap/>
            <w:vAlign w:val="center"/>
          </w:tcPr>
          <w:p w14:paraId="1290C2F4">
            <w:pPr>
              <w:jc w:val="center"/>
              <w:rPr>
                <w:rFonts w:hint="eastAsia" w:ascii="宋体" w:hAnsi="宋体" w:eastAsia="宋体" w:cs="宋体"/>
                <w:b/>
                <w:bCs/>
                <w:i w:val="0"/>
                <w:iCs w:val="0"/>
                <w:color w:val="auto"/>
                <w:sz w:val="24"/>
                <w:szCs w:val="24"/>
                <w:highlight w:val="none"/>
                <w:u w:val="none"/>
              </w:rPr>
            </w:pPr>
          </w:p>
        </w:tc>
        <w:tc>
          <w:tcPr>
            <w:tcW w:w="1536" w:type="dxa"/>
            <w:vMerge w:val="continue"/>
            <w:shd w:val="clear" w:color="auto" w:fill="auto"/>
            <w:vAlign w:val="center"/>
          </w:tcPr>
          <w:p w14:paraId="21F62839">
            <w:pPr>
              <w:jc w:val="center"/>
              <w:rPr>
                <w:rFonts w:hint="eastAsia" w:ascii="宋体" w:hAnsi="宋体" w:eastAsia="宋体" w:cs="宋体"/>
                <w:b/>
                <w:bCs/>
                <w:i w:val="0"/>
                <w:iCs w:val="0"/>
                <w:color w:val="auto"/>
                <w:sz w:val="24"/>
                <w:szCs w:val="24"/>
                <w:highlight w:val="none"/>
                <w:u w:val="none"/>
              </w:rPr>
            </w:pPr>
          </w:p>
        </w:tc>
        <w:tc>
          <w:tcPr>
            <w:tcW w:w="6036" w:type="dxa"/>
            <w:shd w:val="clear" w:color="auto" w:fill="auto"/>
            <w:vAlign w:val="center"/>
          </w:tcPr>
          <w:p w14:paraId="6176C4C4">
            <w:pPr>
              <w:keepNext w:val="0"/>
              <w:keepLines w:val="0"/>
              <w:widowControl/>
              <w:suppressLineNumbers w:val="0"/>
              <w:jc w:val="both"/>
              <w:textAlignment w:val="bottom"/>
              <w:rPr>
                <w:rFonts w:hint="default" w:ascii="宋体" w:hAnsi="宋体" w:eastAsia="宋体" w:cs="宋体"/>
                <w:i w:val="0"/>
                <w:iCs w:val="0"/>
                <w:color w:val="auto"/>
                <w:sz w:val="24"/>
                <w:szCs w:val="24"/>
                <w:highlight w:val="none"/>
                <w:u w:val="none"/>
                <w:lang w:val="en-US"/>
              </w:rPr>
            </w:pPr>
            <w:r>
              <w:rPr>
                <w:rFonts w:hint="eastAsia" w:ascii="宋体" w:hAnsi="宋体" w:eastAsia="宋体" w:cs="宋体"/>
                <w:i w:val="0"/>
                <w:iCs w:val="0"/>
                <w:color w:val="auto"/>
                <w:kern w:val="0"/>
                <w:sz w:val="24"/>
                <w:szCs w:val="24"/>
                <w:highlight w:val="none"/>
                <w:u w:val="none"/>
                <w:lang w:val="en-US" w:eastAsia="zh-CN" w:bidi="ar"/>
              </w:rPr>
              <w:t>3、课表查询</w:t>
            </w:r>
            <w:r>
              <w:rPr>
                <w:rFonts w:hint="eastAsia" w:ascii="宋体" w:hAnsi="宋体" w:cs="宋体"/>
                <w:i w:val="0"/>
                <w:iCs w:val="0"/>
                <w:color w:val="auto"/>
                <w:kern w:val="0"/>
                <w:sz w:val="24"/>
                <w:szCs w:val="24"/>
                <w:highlight w:val="none"/>
                <w:u w:val="none"/>
                <w:lang w:val="en-US" w:eastAsia="zh-CN" w:bidi="ar"/>
              </w:rPr>
              <w:t>，可根据月份与日期查询个人课表，</w:t>
            </w:r>
            <w:r>
              <w:rPr>
                <w:rFonts w:hint="eastAsia" w:ascii="宋体" w:hAnsi="宋体" w:eastAsia="宋体" w:cs="宋体"/>
                <w:color w:val="auto"/>
                <w:sz w:val="24"/>
                <w:szCs w:val="24"/>
                <w:highlight w:val="none"/>
                <w:lang w:val="en-US" w:eastAsia="zh-CN"/>
              </w:rPr>
              <w:t>同时可查询课程介绍等基本信息以及课程教学大纲，教学计划等</w:t>
            </w:r>
            <w:r>
              <w:rPr>
                <w:rFonts w:hint="eastAsia" w:ascii="宋体" w:hAnsi="宋体" w:eastAsia="宋体" w:cs="宋体"/>
                <w:b/>
                <w:bCs/>
                <w:color w:val="auto"/>
                <w:sz w:val="21"/>
                <w:szCs w:val="21"/>
                <w:highlight w:val="none"/>
                <w:u w:val="single"/>
              </w:rPr>
              <w:t>（</w:t>
            </w:r>
            <w:r>
              <w:rPr>
                <w:rFonts w:hint="eastAsia" w:ascii="宋体" w:hAnsi="宋体" w:eastAsia="宋体" w:cs="宋体"/>
                <w:b/>
                <w:bCs/>
                <w:color w:val="auto"/>
                <w:sz w:val="21"/>
                <w:szCs w:val="21"/>
                <w:highlight w:val="none"/>
                <w:u w:val="single"/>
                <w:lang w:val="en-US" w:eastAsia="zh-CN"/>
              </w:rPr>
              <w:t>需进行功能演示</w:t>
            </w:r>
            <w:r>
              <w:rPr>
                <w:rFonts w:hint="eastAsia" w:ascii="宋体" w:hAnsi="宋体" w:eastAsia="宋体" w:cs="宋体"/>
                <w:b/>
                <w:bCs/>
                <w:color w:val="auto"/>
                <w:sz w:val="21"/>
                <w:szCs w:val="21"/>
                <w:highlight w:val="none"/>
                <w:u w:val="single"/>
              </w:rPr>
              <w:t>）</w:t>
            </w:r>
          </w:p>
        </w:tc>
      </w:tr>
      <w:tr w14:paraId="2FA95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721" w:type="dxa"/>
            <w:shd w:val="clear" w:color="auto" w:fill="auto"/>
            <w:noWrap/>
            <w:vAlign w:val="center"/>
          </w:tcPr>
          <w:p w14:paraId="207CD1B9">
            <w:pPr>
              <w:keepNext w:val="0"/>
              <w:keepLines w:val="0"/>
              <w:widowControl/>
              <w:suppressLineNumbers w:val="0"/>
              <w:jc w:val="center"/>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76</w:t>
            </w:r>
          </w:p>
        </w:tc>
        <w:tc>
          <w:tcPr>
            <w:tcW w:w="1216" w:type="dxa"/>
            <w:vMerge w:val="continue"/>
            <w:shd w:val="clear" w:color="auto" w:fill="auto"/>
            <w:noWrap/>
            <w:vAlign w:val="center"/>
          </w:tcPr>
          <w:p w14:paraId="34B3BB83">
            <w:pPr>
              <w:jc w:val="center"/>
              <w:rPr>
                <w:rFonts w:hint="eastAsia" w:ascii="宋体" w:hAnsi="宋体" w:eastAsia="宋体" w:cs="宋体"/>
                <w:b/>
                <w:bCs/>
                <w:i w:val="0"/>
                <w:iCs w:val="0"/>
                <w:color w:val="auto"/>
                <w:sz w:val="24"/>
                <w:szCs w:val="24"/>
                <w:highlight w:val="none"/>
                <w:u w:val="none"/>
              </w:rPr>
            </w:pPr>
          </w:p>
        </w:tc>
        <w:tc>
          <w:tcPr>
            <w:tcW w:w="1536" w:type="dxa"/>
            <w:vMerge w:val="continue"/>
            <w:shd w:val="clear" w:color="auto" w:fill="auto"/>
            <w:vAlign w:val="center"/>
          </w:tcPr>
          <w:p w14:paraId="435324E6">
            <w:pPr>
              <w:jc w:val="center"/>
              <w:rPr>
                <w:rFonts w:hint="eastAsia" w:ascii="宋体" w:hAnsi="宋体" w:eastAsia="宋体" w:cs="宋体"/>
                <w:b/>
                <w:bCs/>
                <w:i w:val="0"/>
                <w:iCs w:val="0"/>
                <w:color w:val="auto"/>
                <w:sz w:val="24"/>
                <w:szCs w:val="24"/>
                <w:highlight w:val="none"/>
                <w:u w:val="none"/>
              </w:rPr>
            </w:pPr>
          </w:p>
        </w:tc>
        <w:tc>
          <w:tcPr>
            <w:tcW w:w="6036" w:type="dxa"/>
            <w:shd w:val="clear" w:color="auto" w:fill="auto"/>
            <w:vAlign w:val="center"/>
          </w:tcPr>
          <w:p w14:paraId="22A1602F">
            <w:pPr>
              <w:keepNext w:val="0"/>
              <w:keepLines w:val="0"/>
              <w:widowControl/>
              <w:suppressLineNumbers w:val="0"/>
              <w:jc w:val="both"/>
              <w:textAlignment w:val="bottom"/>
              <w:rPr>
                <w:rFonts w:hint="default" w:ascii="宋体" w:hAnsi="宋体" w:eastAsia="宋体" w:cs="宋体"/>
                <w:i w:val="0"/>
                <w:iCs w:val="0"/>
                <w:color w:val="auto"/>
                <w:sz w:val="24"/>
                <w:szCs w:val="24"/>
                <w:highlight w:val="none"/>
                <w:u w:val="none"/>
                <w:lang w:val="en-US"/>
              </w:rPr>
            </w:pPr>
            <w:r>
              <w:rPr>
                <w:rFonts w:hint="eastAsia" w:ascii="宋体" w:hAnsi="宋体" w:eastAsia="宋体" w:cs="宋体"/>
                <w:i w:val="0"/>
                <w:iCs w:val="0"/>
                <w:color w:val="auto"/>
                <w:kern w:val="0"/>
                <w:sz w:val="24"/>
                <w:szCs w:val="24"/>
                <w:highlight w:val="none"/>
                <w:u w:val="none"/>
                <w:lang w:val="en-US" w:eastAsia="zh-CN" w:bidi="ar"/>
              </w:rPr>
              <w:t>4、成绩查询</w:t>
            </w:r>
            <w:r>
              <w:rPr>
                <w:rFonts w:hint="eastAsia" w:ascii="宋体" w:hAnsi="宋体" w:cs="宋体"/>
                <w:i w:val="0"/>
                <w:iCs w:val="0"/>
                <w:color w:val="auto"/>
                <w:kern w:val="0"/>
                <w:sz w:val="24"/>
                <w:szCs w:val="24"/>
                <w:highlight w:val="none"/>
                <w:u w:val="none"/>
                <w:lang w:val="en-US" w:eastAsia="zh-CN" w:bidi="ar"/>
              </w:rPr>
              <w:t>，可查询学生成绩信息</w:t>
            </w:r>
          </w:p>
        </w:tc>
      </w:tr>
      <w:tr w14:paraId="41F26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721" w:type="dxa"/>
            <w:shd w:val="clear" w:color="auto" w:fill="auto"/>
            <w:noWrap/>
            <w:vAlign w:val="center"/>
          </w:tcPr>
          <w:p w14:paraId="16AB9EDC">
            <w:pPr>
              <w:keepNext w:val="0"/>
              <w:keepLines w:val="0"/>
              <w:widowControl/>
              <w:suppressLineNumbers w:val="0"/>
              <w:jc w:val="center"/>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77</w:t>
            </w:r>
          </w:p>
        </w:tc>
        <w:tc>
          <w:tcPr>
            <w:tcW w:w="1216" w:type="dxa"/>
            <w:vMerge w:val="continue"/>
            <w:shd w:val="clear" w:color="auto" w:fill="auto"/>
            <w:noWrap/>
            <w:vAlign w:val="center"/>
          </w:tcPr>
          <w:p w14:paraId="024D59F3">
            <w:pPr>
              <w:jc w:val="center"/>
              <w:rPr>
                <w:rFonts w:hint="eastAsia" w:ascii="宋体" w:hAnsi="宋体" w:eastAsia="宋体" w:cs="宋体"/>
                <w:b/>
                <w:bCs/>
                <w:i w:val="0"/>
                <w:iCs w:val="0"/>
                <w:color w:val="auto"/>
                <w:sz w:val="24"/>
                <w:szCs w:val="24"/>
                <w:highlight w:val="none"/>
                <w:u w:val="none"/>
              </w:rPr>
            </w:pPr>
          </w:p>
        </w:tc>
        <w:tc>
          <w:tcPr>
            <w:tcW w:w="1536" w:type="dxa"/>
            <w:vMerge w:val="continue"/>
            <w:shd w:val="clear" w:color="auto" w:fill="auto"/>
            <w:vAlign w:val="center"/>
          </w:tcPr>
          <w:p w14:paraId="0FA84792">
            <w:pPr>
              <w:jc w:val="center"/>
              <w:rPr>
                <w:rFonts w:hint="eastAsia" w:ascii="宋体" w:hAnsi="宋体" w:eastAsia="宋体" w:cs="宋体"/>
                <w:b/>
                <w:bCs/>
                <w:i w:val="0"/>
                <w:iCs w:val="0"/>
                <w:color w:val="auto"/>
                <w:sz w:val="24"/>
                <w:szCs w:val="24"/>
                <w:highlight w:val="none"/>
                <w:u w:val="none"/>
              </w:rPr>
            </w:pPr>
          </w:p>
        </w:tc>
        <w:tc>
          <w:tcPr>
            <w:tcW w:w="6036" w:type="dxa"/>
            <w:shd w:val="clear" w:color="auto" w:fill="auto"/>
            <w:vAlign w:val="center"/>
          </w:tcPr>
          <w:p w14:paraId="21F278F7">
            <w:pPr>
              <w:keepNext w:val="0"/>
              <w:keepLines w:val="0"/>
              <w:widowControl/>
              <w:suppressLineNumbers w:val="0"/>
              <w:jc w:val="both"/>
              <w:textAlignment w:val="bottom"/>
              <w:rPr>
                <w:rFonts w:hint="default" w:ascii="宋体" w:hAnsi="宋体" w:eastAsia="宋体" w:cs="宋体"/>
                <w:i w:val="0"/>
                <w:iCs w:val="0"/>
                <w:color w:val="auto"/>
                <w:sz w:val="24"/>
                <w:szCs w:val="24"/>
                <w:highlight w:val="none"/>
                <w:u w:val="none"/>
                <w:lang w:val="en-US"/>
              </w:rPr>
            </w:pPr>
            <w:r>
              <w:rPr>
                <w:rFonts w:hint="eastAsia" w:ascii="宋体" w:hAnsi="宋体" w:eastAsia="宋体" w:cs="宋体"/>
                <w:i w:val="0"/>
                <w:iCs w:val="0"/>
                <w:color w:val="auto"/>
                <w:kern w:val="0"/>
                <w:sz w:val="24"/>
                <w:szCs w:val="24"/>
                <w:highlight w:val="none"/>
                <w:u w:val="none"/>
                <w:lang w:val="en-US" w:eastAsia="zh-CN" w:bidi="ar"/>
              </w:rPr>
              <w:t>5、培养方案</w:t>
            </w:r>
            <w:r>
              <w:rPr>
                <w:rFonts w:hint="eastAsia" w:ascii="宋体" w:hAnsi="宋体" w:cs="宋体"/>
                <w:i w:val="0"/>
                <w:iCs w:val="0"/>
                <w:color w:val="auto"/>
                <w:kern w:val="0"/>
                <w:sz w:val="24"/>
                <w:szCs w:val="24"/>
                <w:highlight w:val="none"/>
                <w:u w:val="none"/>
                <w:lang w:val="en-US" w:eastAsia="zh-CN" w:bidi="ar"/>
              </w:rPr>
              <w:t>，可根据年级、专业大类以及专业查询专业培养方案</w:t>
            </w:r>
          </w:p>
        </w:tc>
      </w:tr>
      <w:tr w14:paraId="40609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721" w:type="dxa"/>
            <w:shd w:val="clear" w:color="auto" w:fill="auto"/>
            <w:noWrap/>
            <w:vAlign w:val="center"/>
          </w:tcPr>
          <w:p w14:paraId="63EC154D">
            <w:pPr>
              <w:keepNext w:val="0"/>
              <w:keepLines w:val="0"/>
              <w:widowControl/>
              <w:suppressLineNumbers w:val="0"/>
              <w:jc w:val="center"/>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78</w:t>
            </w:r>
          </w:p>
        </w:tc>
        <w:tc>
          <w:tcPr>
            <w:tcW w:w="1216" w:type="dxa"/>
            <w:vMerge w:val="continue"/>
            <w:shd w:val="clear" w:color="auto" w:fill="auto"/>
            <w:noWrap/>
            <w:vAlign w:val="center"/>
          </w:tcPr>
          <w:p w14:paraId="1681B6A3">
            <w:pPr>
              <w:jc w:val="center"/>
              <w:rPr>
                <w:rFonts w:hint="eastAsia" w:ascii="宋体" w:hAnsi="宋体" w:eastAsia="宋体" w:cs="宋体"/>
                <w:b/>
                <w:bCs/>
                <w:i w:val="0"/>
                <w:iCs w:val="0"/>
                <w:color w:val="auto"/>
                <w:sz w:val="24"/>
                <w:szCs w:val="24"/>
                <w:highlight w:val="none"/>
                <w:u w:val="none"/>
              </w:rPr>
            </w:pPr>
          </w:p>
        </w:tc>
        <w:tc>
          <w:tcPr>
            <w:tcW w:w="1536" w:type="dxa"/>
            <w:vMerge w:val="continue"/>
            <w:shd w:val="clear" w:color="auto" w:fill="auto"/>
            <w:vAlign w:val="center"/>
          </w:tcPr>
          <w:p w14:paraId="7D525C36">
            <w:pPr>
              <w:jc w:val="center"/>
              <w:rPr>
                <w:rFonts w:hint="eastAsia" w:ascii="宋体" w:hAnsi="宋体" w:eastAsia="宋体" w:cs="宋体"/>
                <w:b/>
                <w:bCs/>
                <w:i w:val="0"/>
                <w:iCs w:val="0"/>
                <w:color w:val="auto"/>
                <w:sz w:val="24"/>
                <w:szCs w:val="24"/>
                <w:highlight w:val="none"/>
                <w:u w:val="none"/>
              </w:rPr>
            </w:pPr>
          </w:p>
        </w:tc>
        <w:tc>
          <w:tcPr>
            <w:tcW w:w="6036" w:type="dxa"/>
            <w:shd w:val="clear" w:color="auto" w:fill="auto"/>
            <w:vAlign w:val="center"/>
          </w:tcPr>
          <w:p w14:paraId="2D86700F">
            <w:pPr>
              <w:keepNext w:val="0"/>
              <w:keepLines w:val="0"/>
              <w:widowControl/>
              <w:suppressLineNumbers w:val="0"/>
              <w:jc w:val="both"/>
              <w:textAlignment w:val="bottom"/>
              <w:rPr>
                <w:rFonts w:hint="default" w:ascii="宋体" w:hAnsi="宋体" w:eastAsia="宋体" w:cs="宋体"/>
                <w:i w:val="0"/>
                <w:iCs w:val="0"/>
                <w:color w:val="auto"/>
                <w:sz w:val="24"/>
                <w:szCs w:val="24"/>
                <w:highlight w:val="none"/>
                <w:u w:val="none"/>
                <w:lang w:val="en-US"/>
              </w:rPr>
            </w:pPr>
            <w:r>
              <w:rPr>
                <w:rFonts w:hint="eastAsia" w:ascii="宋体" w:hAnsi="宋体" w:eastAsia="宋体" w:cs="宋体"/>
                <w:i w:val="0"/>
                <w:iCs w:val="0"/>
                <w:color w:val="auto"/>
                <w:kern w:val="0"/>
                <w:sz w:val="24"/>
                <w:szCs w:val="24"/>
                <w:highlight w:val="none"/>
                <w:u w:val="none"/>
                <w:lang w:val="en-US" w:eastAsia="zh-CN" w:bidi="ar"/>
              </w:rPr>
              <w:t>6、课程介绍</w:t>
            </w:r>
            <w:r>
              <w:rPr>
                <w:rFonts w:hint="eastAsia" w:ascii="宋体" w:hAnsi="宋体" w:cs="宋体"/>
                <w:i w:val="0"/>
                <w:iCs w:val="0"/>
                <w:color w:val="auto"/>
                <w:kern w:val="0"/>
                <w:sz w:val="24"/>
                <w:szCs w:val="24"/>
                <w:highlight w:val="none"/>
                <w:u w:val="none"/>
                <w:lang w:val="en-US" w:eastAsia="zh-CN" w:bidi="ar"/>
              </w:rPr>
              <w:t>，可查询课程开课周次，课程大纲、课程教学教案等信息</w:t>
            </w:r>
          </w:p>
        </w:tc>
      </w:tr>
      <w:tr w14:paraId="6DF78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721" w:type="dxa"/>
            <w:shd w:val="clear" w:color="auto" w:fill="auto"/>
            <w:noWrap/>
            <w:vAlign w:val="center"/>
          </w:tcPr>
          <w:p w14:paraId="64D597A1">
            <w:pPr>
              <w:keepNext w:val="0"/>
              <w:keepLines w:val="0"/>
              <w:widowControl/>
              <w:suppressLineNumbers w:val="0"/>
              <w:jc w:val="center"/>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79</w:t>
            </w:r>
          </w:p>
        </w:tc>
        <w:tc>
          <w:tcPr>
            <w:tcW w:w="1216" w:type="dxa"/>
            <w:vMerge w:val="continue"/>
            <w:shd w:val="clear" w:color="auto" w:fill="auto"/>
            <w:noWrap/>
            <w:vAlign w:val="center"/>
          </w:tcPr>
          <w:p w14:paraId="64E00D5D">
            <w:pPr>
              <w:jc w:val="center"/>
              <w:rPr>
                <w:rFonts w:hint="eastAsia" w:ascii="宋体" w:hAnsi="宋体" w:eastAsia="宋体" w:cs="宋体"/>
                <w:b/>
                <w:bCs/>
                <w:i w:val="0"/>
                <w:iCs w:val="0"/>
                <w:color w:val="auto"/>
                <w:sz w:val="24"/>
                <w:szCs w:val="24"/>
                <w:highlight w:val="none"/>
                <w:u w:val="none"/>
              </w:rPr>
            </w:pPr>
          </w:p>
        </w:tc>
        <w:tc>
          <w:tcPr>
            <w:tcW w:w="1536" w:type="dxa"/>
            <w:vMerge w:val="continue"/>
            <w:shd w:val="clear" w:color="auto" w:fill="auto"/>
            <w:vAlign w:val="center"/>
          </w:tcPr>
          <w:p w14:paraId="2A017D50">
            <w:pPr>
              <w:jc w:val="center"/>
              <w:rPr>
                <w:rFonts w:hint="eastAsia" w:ascii="宋体" w:hAnsi="宋体" w:eastAsia="宋体" w:cs="宋体"/>
                <w:b/>
                <w:bCs/>
                <w:i w:val="0"/>
                <w:iCs w:val="0"/>
                <w:color w:val="auto"/>
                <w:sz w:val="24"/>
                <w:szCs w:val="24"/>
                <w:highlight w:val="none"/>
                <w:u w:val="none"/>
              </w:rPr>
            </w:pPr>
          </w:p>
        </w:tc>
        <w:tc>
          <w:tcPr>
            <w:tcW w:w="6036" w:type="dxa"/>
            <w:shd w:val="clear" w:color="auto" w:fill="auto"/>
            <w:vAlign w:val="center"/>
          </w:tcPr>
          <w:p w14:paraId="0E8D8481">
            <w:pPr>
              <w:keepNext w:val="0"/>
              <w:keepLines w:val="0"/>
              <w:widowControl/>
              <w:suppressLineNumbers w:val="0"/>
              <w:jc w:val="both"/>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7、用户登录</w:t>
            </w:r>
          </w:p>
        </w:tc>
      </w:tr>
      <w:tr w14:paraId="47E38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721" w:type="dxa"/>
            <w:shd w:val="clear" w:color="auto" w:fill="auto"/>
            <w:noWrap/>
            <w:vAlign w:val="center"/>
          </w:tcPr>
          <w:p w14:paraId="5DAD03AD">
            <w:pPr>
              <w:keepNext w:val="0"/>
              <w:keepLines w:val="0"/>
              <w:widowControl/>
              <w:suppressLineNumbers w:val="0"/>
              <w:jc w:val="center"/>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80</w:t>
            </w:r>
          </w:p>
        </w:tc>
        <w:tc>
          <w:tcPr>
            <w:tcW w:w="1216" w:type="dxa"/>
            <w:vMerge w:val="continue"/>
            <w:shd w:val="clear" w:color="auto" w:fill="auto"/>
            <w:noWrap/>
            <w:vAlign w:val="center"/>
          </w:tcPr>
          <w:p w14:paraId="2EE968C7">
            <w:pPr>
              <w:jc w:val="center"/>
              <w:rPr>
                <w:rFonts w:hint="eastAsia" w:ascii="宋体" w:hAnsi="宋体" w:eastAsia="宋体" w:cs="宋体"/>
                <w:b/>
                <w:bCs/>
                <w:i w:val="0"/>
                <w:iCs w:val="0"/>
                <w:color w:val="auto"/>
                <w:sz w:val="24"/>
                <w:szCs w:val="24"/>
                <w:highlight w:val="none"/>
                <w:u w:val="none"/>
              </w:rPr>
            </w:pPr>
          </w:p>
        </w:tc>
        <w:tc>
          <w:tcPr>
            <w:tcW w:w="1536" w:type="dxa"/>
            <w:vMerge w:val="continue"/>
            <w:shd w:val="clear" w:color="auto" w:fill="auto"/>
            <w:vAlign w:val="center"/>
          </w:tcPr>
          <w:p w14:paraId="511E90D8">
            <w:pPr>
              <w:jc w:val="center"/>
              <w:rPr>
                <w:rFonts w:hint="eastAsia" w:ascii="宋体" w:hAnsi="宋体" w:eastAsia="宋体" w:cs="宋体"/>
                <w:b/>
                <w:bCs/>
                <w:i w:val="0"/>
                <w:iCs w:val="0"/>
                <w:color w:val="auto"/>
                <w:sz w:val="24"/>
                <w:szCs w:val="24"/>
                <w:highlight w:val="none"/>
                <w:u w:val="none"/>
              </w:rPr>
            </w:pPr>
          </w:p>
        </w:tc>
        <w:tc>
          <w:tcPr>
            <w:tcW w:w="6036" w:type="dxa"/>
            <w:shd w:val="clear" w:color="auto" w:fill="auto"/>
            <w:vAlign w:val="center"/>
          </w:tcPr>
          <w:p w14:paraId="79403857">
            <w:pPr>
              <w:keepNext w:val="0"/>
              <w:keepLines w:val="0"/>
              <w:widowControl/>
              <w:suppressLineNumbers w:val="0"/>
              <w:jc w:val="both"/>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8、个人信息中心</w:t>
            </w:r>
            <w:r>
              <w:rPr>
                <w:rFonts w:hint="eastAsia" w:ascii="宋体" w:hAnsi="宋体" w:cs="宋体"/>
                <w:i w:val="0"/>
                <w:iCs w:val="0"/>
                <w:color w:val="auto"/>
                <w:kern w:val="0"/>
                <w:sz w:val="24"/>
                <w:szCs w:val="24"/>
                <w:highlight w:val="none"/>
                <w:u w:val="none"/>
                <w:lang w:val="en-US" w:eastAsia="zh-CN" w:bidi="ar"/>
              </w:rPr>
              <w:t>，在个人信息中心可查询学年授课课时情况，教研信息与教研分，教学业绩以及所带研究生或博士生情况</w:t>
            </w:r>
            <w:r>
              <w:rPr>
                <w:rFonts w:hint="eastAsia" w:ascii="宋体" w:hAnsi="宋体" w:eastAsia="宋体" w:cs="宋体"/>
                <w:b/>
                <w:bCs/>
                <w:color w:val="auto"/>
                <w:sz w:val="21"/>
                <w:szCs w:val="21"/>
                <w:highlight w:val="none"/>
                <w:u w:val="single"/>
              </w:rPr>
              <w:t>（</w:t>
            </w:r>
            <w:r>
              <w:rPr>
                <w:rFonts w:hint="eastAsia" w:ascii="宋体" w:hAnsi="宋体" w:eastAsia="宋体" w:cs="宋体"/>
                <w:b/>
                <w:bCs/>
                <w:color w:val="auto"/>
                <w:sz w:val="21"/>
                <w:szCs w:val="21"/>
                <w:highlight w:val="none"/>
                <w:u w:val="single"/>
                <w:lang w:val="en-US" w:eastAsia="zh-CN"/>
              </w:rPr>
              <w:t>需进行功能演示</w:t>
            </w:r>
            <w:r>
              <w:rPr>
                <w:rFonts w:hint="eastAsia" w:ascii="宋体" w:hAnsi="宋体" w:eastAsia="宋体" w:cs="宋体"/>
                <w:b/>
                <w:bCs/>
                <w:color w:val="auto"/>
                <w:sz w:val="21"/>
                <w:szCs w:val="21"/>
                <w:highlight w:val="none"/>
                <w:u w:val="single"/>
              </w:rPr>
              <w:t>）</w:t>
            </w:r>
          </w:p>
        </w:tc>
      </w:tr>
      <w:tr w14:paraId="44E03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721" w:type="dxa"/>
            <w:shd w:val="clear" w:color="auto" w:fill="auto"/>
            <w:noWrap/>
            <w:vAlign w:val="center"/>
          </w:tcPr>
          <w:p w14:paraId="1ACE52E6">
            <w:pPr>
              <w:keepNext w:val="0"/>
              <w:keepLines w:val="0"/>
              <w:widowControl/>
              <w:suppressLineNumbers w:val="0"/>
              <w:jc w:val="center"/>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81</w:t>
            </w:r>
          </w:p>
        </w:tc>
        <w:tc>
          <w:tcPr>
            <w:tcW w:w="1216" w:type="dxa"/>
            <w:vMerge w:val="continue"/>
            <w:shd w:val="clear" w:color="auto" w:fill="auto"/>
            <w:noWrap/>
            <w:vAlign w:val="center"/>
          </w:tcPr>
          <w:p w14:paraId="7482477A">
            <w:pPr>
              <w:jc w:val="center"/>
              <w:rPr>
                <w:rFonts w:hint="eastAsia" w:ascii="宋体" w:hAnsi="宋体" w:eastAsia="宋体" w:cs="宋体"/>
                <w:b/>
                <w:bCs/>
                <w:i w:val="0"/>
                <w:iCs w:val="0"/>
                <w:color w:val="auto"/>
                <w:sz w:val="24"/>
                <w:szCs w:val="24"/>
                <w:highlight w:val="none"/>
                <w:u w:val="none"/>
              </w:rPr>
            </w:pPr>
          </w:p>
        </w:tc>
        <w:tc>
          <w:tcPr>
            <w:tcW w:w="1536" w:type="dxa"/>
            <w:vMerge w:val="restart"/>
            <w:shd w:val="clear" w:color="auto" w:fill="auto"/>
            <w:vAlign w:val="center"/>
          </w:tcPr>
          <w:p w14:paraId="2FB5B480">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管理端</w:t>
            </w:r>
          </w:p>
        </w:tc>
        <w:tc>
          <w:tcPr>
            <w:tcW w:w="6036" w:type="dxa"/>
            <w:shd w:val="clear" w:color="auto" w:fill="auto"/>
            <w:vAlign w:val="center"/>
          </w:tcPr>
          <w:p w14:paraId="19B346E0">
            <w:pPr>
              <w:keepNext w:val="0"/>
              <w:keepLines w:val="0"/>
              <w:widowControl/>
              <w:suppressLineNumbers w:val="0"/>
              <w:jc w:val="both"/>
              <w:textAlignment w:val="bottom"/>
              <w:rPr>
                <w:rFonts w:hint="default" w:ascii="宋体" w:hAnsi="宋体" w:eastAsia="宋体" w:cs="宋体"/>
                <w:i w:val="0"/>
                <w:iCs w:val="0"/>
                <w:color w:val="auto"/>
                <w:sz w:val="24"/>
                <w:szCs w:val="24"/>
                <w:highlight w:val="none"/>
                <w:u w:val="none"/>
                <w:lang w:val="en-US"/>
              </w:rPr>
            </w:pPr>
            <w:r>
              <w:rPr>
                <w:rFonts w:hint="eastAsia" w:ascii="宋体" w:hAnsi="宋体" w:eastAsia="宋体" w:cs="宋体"/>
                <w:i w:val="0"/>
                <w:iCs w:val="0"/>
                <w:color w:val="auto"/>
                <w:kern w:val="0"/>
                <w:sz w:val="24"/>
                <w:szCs w:val="24"/>
                <w:highlight w:val="none"/>
                <w:u w:val="none"/>
                <w:lang w:val="en-US" w:eastAsia="zh-CN" w:bidi="ar"/>
              </w:rPr>
              <w:t>1、</w:t>
            </w:r>
            <w:r>
              <w:rPr>
                <w:rFonts w:hint="eastAsia" w:ascii="宋体" w:hAnsi="宋体" w:cs="宋体"/>
                <w:i w:val="0"/>
                <w:iCs w:val="0"/>
                <w:color w:val="auto"/>
                <w:kern w:val="0"/>
                <w:sz w:val="24"/>
                <w:szCs w:val="24"/>
                <w:highlight w:val="none"/>
                <w:u w:val="none"/>
                <w:lang w:val="en-US" w:eastAsia="zh-CN" w:bidi="ar"/>
              </w:rPr>
              <w:t>学生请假审批，可对学生请假信息进行审批操作</w:t>
            </w:r>
          </w:p>
        </w:tc>
      </w:tr>
      <w:tr w14:paraId="77D4C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721" w:type="dxa"/>
            <w:shd w:val="clear" w:color="auto" w:fill="auto"/>
            <w:noWrap/>
            <w:vAlign w:val="center"/>
          </w:tcPr>
          <w:p w14:paraId="7666FE1D">
            <w:pPr>
              <w:keepNext w:val="0"/>
              <w:keepLines w:val="0"/>
              <w:widowControl/>
              <w:suppressLineNumbers w:val="0"/>
              <w:jc w:val="center"/>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82</w:t>
            </w:r>
          </w:p>
        </w:tc>
        <w:tc>
          <w:tcPr>
            <w:tcW w:w="1216" w:type="dxa"/>
            <w:vMerge w:val="continue"/>
            <w:shd w:val="clear" w:color="auto" w:fill="auto"/>
            <w:noWrap/>
            <w:vAlign w:val="center"/>
          </w:tcPr>
          <w:p w14:paraId="44D2B7DE">
            <w:pPr>
              <w:jc w:val="center"/>
              <w:rPr>
                <w:rFonts w:hint="eastAsia" w:ascii="宋体" w:hAnsi="宋体" w:eastAsia="宋体" w:cs="宋体"/>
                <w:b/>
                <w:bCs/>
                <w:i w:val="0"/>
                <w:iCs w:val="0"/>
                <w:color w:val="auto"/>
                <w:sz w:val="24"/>
                <w:szCs w:val="24"/>
                <w:highlight w:val="none"/>
                <w:u w:val="none"/>
              </w:rPr>
            </w:pPr>
          </w:p>
        </w:tc>
        <w:tc>
          <w:tcPr>
            <w:tcW w:w="1536" w:type="dxa"/>
            <w:vMerge w:val="continue"/>
            <w:shd w:val="clear" w:color="auto" w:fill="auto"/>
            <w:vAlign w:val="center"/>
          </w:tcPr>
          <w:p w14:paraId="372C345D">
            <w:pPr>
              <w:jc w:val="center"/>
              <w:rPr>
                <w:rFonts w:hint="eastAsia" w:ascii="宋体" w:hAnsi="宋体" w:eastAsia="宋体" w:cs="宋体"/>
                <w:b/>
                <w:bCs/>
                <w:i w:val="0"/>
                <w:iCs w:val="0"/>
                <w:color w:val="auto"/>
                <w:sz w:val="24"/>
                <w:szCs w:val="24"/>
                <w:highlight w:val="none"/>
                <w:u w:val="none"/>
              </w:rPr>
            </w:pPr>
          </w:p>
        </w:tc>
        <w:tc>
          <w:tcPr>
            <w:tcW w:w="6036" w:type="dxa"/>
            <w:shd w:val="clear" w:color="auto" w:fill="auto"/>
            <w:vAlign w:val="center"/>
          </w:tcPr>
          <w:p w14:paraId="4E7FBC2B">
            <w:pPr>
              <w:keepNext w:val="0"/>
              <w:keepLines w:val="0"/>
              <w:widowControl/>
              <w:suppressLineNumbers w:val="0"/>
              <w:jc w:val="both"/>
              <w:textAlignment w:val="bottom"/>
              <w:rPr>
                <w:rFonts w:hint="default" w:ascii="宋体" w:hAnsi="宋体" w:eastAsia="宋体" w:cs="宋体"/>
                <w:i w:val="0"/>
                <w:iCs w:val="0"/>
                <w:color w:val="auto"/>
                <w:sz w:val="24"/>
                <w:szCs w:val="24"/>
                <w:highlight w:val="none"/>
                <w:u w:val="none"/>
                <w:lang w:val="en-US"/>
              </w:rPr>
            </w:pPr>
            <w:r>
              <w:rPr>
                <w:rFonts w:hint="eastAsia" w:ascii="宋体" w:hAnsi="宋体" w:eastAsia="宋体" w:cs="宋体"/>
                <w:i w:val="0"/>
                <w:iCs w:val="0"/>
                <w:color w:val="auto"/>
                <w:kern w:val="0"/>
                <w:sz w:val="24"/>
                <w:szCs w:val="24"/>
                <w:highlight w:val="none"/>
                <w:u w:val="none"/>
                <w:lang w:val="en-US" w:eastAsia="zh-CN" w:bidi="ar"/>
              </w:rPr>
              <w:t>2、学生点名</w:t>
            </w:r>
            <w:r>
              <w:rPr>
                <w:rFonts w:hint="eastAsia" w:ascii="宋体" w:hAnsi="宋体" w:cs="宋体"/>
                <w:i w:val="0"/>
                <w:iCs w:val="0"/>
                <w:color w:val="auto"/>
                <w:kern w:val="0"/>
                <w:sz w:val="24"/>
                <w:szCs w:val="24"/>
                <w:highlight w:val="none"/>
                <w:u w:val="none"/>
                <w:lang w:val="en-US" w:eastAsia="zh-CN" w:bidi="ar"/>
              </w:rPr>
              <w:t>，可查询学生点名情况</w:t>
            </w:r>
          </w:p>
        </w:tc>
      </w:tr>
      <w:tr w14:paraId="15334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721" w:type="dxa"/>
            <w:shd w:val="clear" w:color="auto" w:fill="auto"/>
            <w:noWrap/>
            <w:vAlign w:val="center"/>
          </w:tcPr>
          <w:p w14:paraId="71030D44">
            <w:pPr>
              <w:keepNext w:val="0"/>
              <w:keepLines w:val="0"/>
              <w:widowControl/>
              <w:suppressLineNumbers w:val="0"/>
              <w:jc w:val="center"/>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83</w:t>
            </w:r>
          </w:p>
        </w:tc>
        <w:tc>
          <w:tcPr>
            <w:tcW w:w="1216" w:type="dxa"/>
            <w:vMerge w:val="continue"/>
            <w:shd w:val="clear" w:color="auto" w:fill="auto"/>
            <w:noWrap/>
            <w:vAlign w:val="center"/>
          </w:tcPr>
          <w:p w14:paraId="5793206F">
            <w:pPr>
              <w:jc w:val="center"/>
              <w:rPr>
                <w:rFonts w:hint="eastAsia" w:ascii="宋体" w:hAnsi="宋体" w:eastAsia="宋体" w:cs="宋体"/>
                <w:b/>
                <w:bCs/>
                <w:i w:val="0"/>
                <w:iCs w:val="0"/>
                <w:color w:val="auto"/>
                <w:sz w:val="24"/>
                <w:szCs w:val="24"/>
                <w:highlight w:val="none"/>
                <w:u w:val="none"/>
              </w:rPr>
            </w:pPr>
          </w:p>
        </w:tc>
        <w:tc>
          <w:tcPr>
            <w:tcW w:w="1536" w:type="dxa"/>
            <w:vMerge w:val="continue"/>
            <w:shd w:val="clear" w:color="auto" w:fill="auto"/>
            <w:vAlign w:val="center"/>
          </w:tcPr>
          <w:p w14:paraId="2EDEA062">
            <w:pPr>
              <w:jc w:val="center"/>
              <w:rPr>
                <w:rFonts w:hint="eastAsia" w:ascii="宋体" w:hAnsi="宋体" w:eastAsia="宋体" w:cs="宋体"/>
                <w:b/>
                <w:bCs/>
                <w:i w:val="0"/>
                <w:iCs w:val="0"/>
                <w:color w:val="auto"/>
                <w:sz w:val="24"/>
                <w:szCs w:val="24"/>
                <w:highlight w:val="none"/>
                <w:u w:val="none"/>
              </w:rPr>
            </w:pPr>
          </w:p>
        </w:tc>
        <w:tc>
          <w:tcPr>
            <w:tcW w:w="6036" w:type="dxa"/>
            <w:shd w:val="clear" w:color="auto" w:fill="auto"/>
            <w:vAlign w:val="center"/>
          </w:tcPr>
          <w:p w14:paraId="28AEF3AB">
            <w:pPr>
              <w:keepNext w:val="0"/>
              <w:keepLines w:val="0"/>
              <w:widowControl/>
              <w:suppressLineNumbers w:val="0"/>
              <w:jc w:val="both"/>
              <w:textAlignment w:val="bottom"/>
              <w:rPr>
                <w:rFonts w:hint="default" w:ascii="宋体" w:hAnsi="宋体" w:eastAsia="宋体" w:cs="宋体"/>
                <w:i w:val="0"/>
                <w:iCs w:val="0"/>
                <w:color w:val="auto"/>
                <w:sz w:val="24"/>
                <w:szCs w:val="24"/>
                <w:highlight w:val="none"/>
                <w:u w:val="none"/>
                <w:lang w:val="en-US"/>
              </w:rPr>
            </w:pPr>
            <w:r>
              <w:rPr>
                <w:rFonts w:hint="eastAsia" w:ascii="宋体" w:hAnsi="宋体" w:eastAsia="宋体" w:cs="宋体"/>
                <w:i w:val="0"/>
                <w:iCs w:val="0"/>
                <w:color w:val="auto"/>
                <w:kern w:val="0"/>
                <w:sz w:val="24"/>
                <w:szCs w:val="24"/>
                <w:highlight w:val="none"/>
                <w:u w:val="none"/>
                <w:lang w:val="en-US" w:eastAsia="zh-CN" w:bidi="ar"/>
              </w:rPr>
              <w:t>3、课表查询</w:t>
            </w:r>
            <w:r>
              <w:rPr>
                <w:rFonts w:hint="eastAsia" w:ascii="宋体" w:hAnsi="宋体" w:cs="宋体"/>
                <w:i w:val="0"/>
                <w:iCs w:val="0"/>
                <w:color w:val="auto"/>
                <w:kern w:val="0"/>
                <w:sz w:val="24"/>
                <w:szCs w:val="24"/>
                <w:highlight w:val="none"/>
                <w:u w:val="none"/>
                <w:lang w:val="en-US" w:eastAsia="zh-CN" w:bidi="ar"/>
              </w:rPr>
              <w:t>，可查询上课课表情况</w:t>
            </w:r>
          </w:p>
        </w:tc>
      </w:tr>
      <w:tr w14:paraId="27236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721" w:type="dxa"/>
            <w:shd w:val="clear" w:color="auto" w:fill="auto"/>
            <w:noWrap/>
            <w:vAlign w:val="center"/>
          </w:tcPr>
          <w:p w14:paraId="4F9B6528">
            <w:pPr>
              <w:keepNext w:val="0"/>
              <w:keepLines w:val="0"/>
              <w:widowControl/>
              <w:suppressLineNumbers w:val="0"/>
              <w:jc w:val="center"/>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84</w:t>
            </w:r>
          </w:p>
        </w:tc>
        <w:tc>
          <w:tcPr>
            <w:tcW w:w="1216" w:type="dxa"/>
            <w:vMerge w:val="continue"/>
            <w:shd w:val="clear" w:color="auto" w:fill="auto"/>
            <w:noWrap/>
            <w:vAlign w:val="center"/>
          </w:tcPr>
          <w:p w14:paraId="3C58DF82">
            <w:pPr>
              <w:jc w:val="center"/>
              <w:rPr>
                <w:rFonts w:hint="eastAsia" w:ascii="宋体" w:hAnsi="宋体" w:eastAsia="宋体" w:cs="宋体"/>
                <w:b/>
                <w:bCs/>
                <w:i w:val="0"/>
                <w:iCs w:val="0"/>
                <w:color w:val="auto"/>
                <w:sz w:val="24"/>
                <w:szCs w:val="24"/>
                <w:highlight w:val="none"/>
                <w:u w:val="none"/>
              </w:rPr>
            </w:pPr>
          </w:p>
        </w:tc>
        <w:tc>
          <w:tcPr>
            <w:tcW w:w="1536" w:type="dxa"/>
            <w:vMerge w:val="continue"/>
            <w:shd w:val="clear" w:color="auto" w:fill="auto"/>
            <w:vAlign w:val="center"/>
          </w:tcPr>
          <w:p w14:paraId="20C2C1E1">
            <w:pPr>
              <w:jc w:val="center"/>
              <w:rPr>
                <w:rFonts w:hint="eastAsia" w:ascii="宋体" w:hAnsi="宋体" w:eastAsia="宋体" w:cs="宋体"/>
                <w:b/>
                <w:bCs/>
                <w:i w:val="0"/>
                <w:iCs w:val="0"/>
                <w:color w:val="auto"/>
                <w:sz w:val="24"/>
                <w:szCs w:val="24"/>
                <w:highlight w:val="none"/>
                <w:u w:val="none"/>
              </w:rPr>
            </w:pPr>
          </w:p>
        </w:tc>
        <w:tc>
          <w:tcPr>
            <w:tcW w:w="6036" w:type="dxa"/>
            <w:shd w:val="clear" w:color="auto" w:fill="auto"/>
            <w:vAlign w:val="center"/>
          </w:tcPr>
          <w:p w14:paraId="32690493">
            <w:pPr>
              <w:keepNext w:val="0"/>
              <w:keepLines w:val="0"/>
              <w:widowControl/>
              <w:suppressLineNumbers w:val="0"/>
              <w:jc w:val="both"/>
              <w:textAlignment w:val="bottom"/>
              <w:rPr>
                <w:rFonts w:hint="default" w:ascii="宋体" w:hAnsi="宋体" w:eastAsia="宋体" w:cs="宋体"/>
                <w:i w:val="0"/>
                <w:iCs w:val="0"/>
                <w:color w:val="auto"/>
                <w:sz w:val="24"/>
                <w:szCs w:val="24"/>
                <w:highlight w:val="none"/>
                <w:u w:val="none"/>
                <w:lang w:val="en-US"/>
              </w:rPr>
            </w:pPr>
            <w:r>
              <w:rPr>
                <w:rFonts w:hint="eastAsia" w:ascii="宋体" w:hAnsi="宋体" w:eastAsia="宋体" w:cs="宋体"/>
                <w:i w:val="0"/>
                <w:iCs w:val="0"/>
                <w:color w:val="auto"/>
                <w:kern w:val="0"/>
                <w:sz w:val="24"/>
                <w:szCs w:val="24"/>
                <w:highlight w:val="none"/>
                <w:u w:val="none"/>
                <w:lang w:val="en-US" w:eastAsia="zh-CN" w:bidi="ar"/>
              </w:rPr>
              <w:t>4、成绩查询</w:t>
            </w:r>
            <w:r>
              <w:rPr>
                <w:rFonts w:hint="eastAsia" w:ascii="宋体" w:hAnsi="宋体" w:cs="宋体"/>
                <w:i w:val="0"/>
                <w:iCs w:val="0"/>
                <w:color w:val="auto"/>
                <w:kern w:val="0"/>
                <w:sz w:val="24"/>
                <w:szCs w:val="24"/>
                <w:highlight w:val="none"/>
                <w:u w:val="none"/>
                <w:lang w:val="en-US" w:eastAsia="zh-CN" w:bidi="ar"/>
              </w:rPr>
              <w:t>，可查询学生成绩信息</w:t>
            </w:r>
          </w:p>
        </w:tc>
      </w:tr>
      <w:tr w14:paraId="1F2F9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721" w:type="dxa"/>
            <w:shd w:val="clear" w:color="auto" w:fill="auto"/>
            <w:noWrap/>
            <w:vAlign w:val="center"/>
          </w:tcPr>
          <w:p w14:paraId="1BB80C15">
            <w:pPr>
              <w:keepNext w:val="0"/>
              <w:keepLines w:val="0"/>
              <w:widowControl/>
              <w:suppressLineNumbers w:val="0"/>
              <w:jc w:val="center"/>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85</w:t>
            </w:r>
          </w:p>
        </w:tc>
        <w:tc>
          <w:tcPr>
            <w:tcW w:w="1216" w:type="dxa"/>
            <w:vMerge w:val="continue"/>
            <w:shd w:val="clear" w:color="auto" w:fill="auto"/>
            <w:noWrap/>
            <w:vAlign w:val="center"/>
          </w:tcPr>
          <w:p w14:paraId="002B3C3F">
            <w:pPr>
              <w:jc w:val="center"/>
              <w:rPr>
                <w:rFonts w:hint="eastAsia" w:ascii="宋体" w:hAnsi="宋体" w:eastAsia="宋体" w:cs="宋体"/>
                <w:b/>
                <w:bCs/>
                <w:i w:val="0"/>
                <w:iCs w:val="0"/>
                <w:color w:val="auto"/>
                <w:sz w:val="24"/>
                <w:szCs w:val="24"/>
                <w:highlight w:val="none"/>
                <w:u w:val="none"/>
              </w:rPr>
            </w:pPr>
          </w:p>
        </w:tc>
        <w:tc>
          <w:tcPr>
            <w:tcW w:w="1536" w:type="dxa"/>
            <w:vMerge w:val="continue"/>
            <w:shd w:val="clear" w:color="auto" w:fill="auto"/>
            <w:vAlign w:val="center"/>
          </w:tcPr>
          <w:p w14:paraId="082019D0">
            <w:pPr>
              <w:jc w:val="center"/>
              <w:rPr>
                <w:rFonts w:hint="eastAsia" w:ascii="宋体" w:hAnsi="宋体" w:eastAsia="宋体" w:cs="宋体"/>
                <w:b/>
                <w:bCs/>
                <w:i w:val="0"/>
                <w:iCs w:val="0"/>
                <w:color w:val="auto"/>
                <w:sz w:val="24"/>
                <w:szCs w:val="24"/>
                <w:highlight w:val="none"/>
                <w:u w:val="none"/>
              </w:rPr>
            </w:pPr>
          </w:p>
        </w:tc>
        <w:tc>
          <w:tcPr>
            <w:tcW w:w="6036" w:type="dxa"/>
            <w:shd w:val="clear" w:color="auto" w:fill="auto"/>
            <w:vAlign w:val="center"/>
          </w:tcPr>
          <w:p w14:paraId="21F456A2">
            <w:pPr>
              <w:keepNext w:val="0"/>
              <w:keepLines w:val="0"/>
              <w:widowControl/>
              <w:suppressLineNumbers w:val="0"/>
              <w:jc w:val="both"/>
              <w:textAlignment w:val="bottom"/>
              <w:rPr>
                <w:rFonts w:hint="default" w:ascii="宋体" w:hAnsi="宋体" w:eastAsia="宋体" w:cs="宋体"/>
                <w:i w:val="0"/>
                <w:iCs w:val="0"/>
                <w:color w:val="auto"/>
                <w:sz w:val="24"/>
                <w:szCs w:val="24"/>
                <w:highlight w:val="none"/>
                <w:u w:val="none"/>
                <w:lang w:val="en-US"/>
              </w:rPr>
            </w:pPr>
            <w:r>
              <w:rPr>
                <w:rFonts w:hint="eastAsia" w:ascii="宋体" w:hAnsi="宋体" w:eastAsia="宋体" w:cs="宋体"/>
                <w:i w:val="0"/>
                <w:iCs w:val="0"/>
                <w:color w:val="auto"/>
                <w:kern w:val="0"/>
                <w:sz w:val="24"/>
                <w:szCs w:val="24"/>
                <w:highlight w:val="none"/>
                <w:u w:val="none"/>
                <w:lang w:val="en-US" w:eastAsia="zh-CN" w:bidi="ar"/>
              </w:rPr>
              <w:t>5、培养方案</w:t>
            </w:r>
            <w:r>
              <w:rPr>
                <w:rFonts w:hint="eastAsia" w:ascii="宋体" w:hAnsi="宋体" w:cs="宋体"/>
                <w:i w:val="0"/>
                <w:iCs w:val="0"/>
                <w:color w:val="auto"/>
                <w:kern w:val="0"/>
                <w:sz w:val="24"/>
                <w:szCs w:val="24"/>
                <w:highlight w:val="none"/>
                <w:u w:val="none"/>
                <w:lang w:val="en-US" w:eastAsia="zh-CN" w:bidi="ar"/>
              </w:rPr>
              <w:t>，可根据年级、专业大类、专业等查询专业培养方案</w:t>
            </w:r>
            <w:r>
              <w:rPr>
                <w:rFonts w:hint="eastAsia" w:ascii="宋体" w:hAnsi="宋体" w:eastAsia="宋体" w:cs="宋体"/>
                <w:b/>
                <w:bCs/>
                <w:color w:val="auto"/>
                <w:sz w:val="21"/>
                <w:szCs w:val="21"/>
                <w:highlight w:val="none"/>
                <w:u w:val="single"/>
              </w:rPr>
              <w:t>（</w:t>
            </w:r>
            <w:r>
              <w:rPr>
                <w:rFonts w:hint="eastAsia" w:ascii="宋体" w:hAnsi="宋体" w:eastAsia="宋体" w:cs="宋体"/>
                <w:b/>
                <w:bCs/>
                <w:color w:val="auto"/>
                <w:sz w:val="21"/>
                <w:szCs w:val="21"/>
                <w:highlight w:val="none"/>
                <w:u w:val="single"/>
                <w:lang w:val="en-US" w:eastAsia="zh-CN"/>
              </w:rPr>
              <w:t>需进行功能演示</w:t>
            </w:r>
            <w:r>
              <w:rPr>
                <w:rFonts w:hint="eastAsia" w:ascii="宋体" w:hAnsi="宋体" w:eastAsia="宋体" w:cs="宋体"/>
                <w:b/>
                <w:bCs/>
                <w:color w:val="auto"/>
                <w:sz w:val="21"/>
                <w:szCs w:val="21"/>
                <w:highlight w:val="none"/>
                <w:u w:val="single"/>
              </w:rPr>
              <w:t>）</w:t>
            </w:r>
          </w:p>
        </w:tc>
      </w:tr>
      <w:tr w14:paraId="29E53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721" w:type="dxa"/>
            <w:shd w:val="clear" w:color="auto" w:fill="auto"/>
            <w:noWrap/>
            <w:vAlign w:val="center"/>
          </w:tcPr>
          <w:p w14:paraId="4EBD77B9">
            <w:pPr>
              <w:keepNext w:val="0"/>
              <w:keepLines w:val="0"/>
              <w:widowControl/>
              <w:suppressLineNumbers w:val="0"/>
              <w:jc w:val="center"/>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86</w:t>
            </w:r>
          </w:p>
        </w:tc>
        <w:tc>
          <w:tcPr>
            <w:tcW w:w="1216" w:type="dxa"/>
            <w:vMerge w:val="continue"/>
            <w:shd w:val="clear" w:color="auto" w:fill="auto"/>
            <w:noWrap/>
            <w:vAlign w:val="center"/>
          </w:tcPr>
          <w:p w14:paraId="326E330D">
            <w:pPr>
              <w:jc w:val="center"/>
              <w:rPr>
                <w:rFonts w:hint="eastAsia" w:ascii="宋体" w:hAnsi="宋体" w:eastAsia="宋体" w:cs="宋体"/>
                <w:b/>
                <w:bCs/>
                <w:i w:val="0"/>
                <w:iCs w:val="0"/>
                <w:color w:val="auto"/>
                <w:sz w:val="24"/>
                <w:szCs w:val="24"/>
                <w:highlight w:val="none"/>
                <w:u w:val="none"/>
              </w:rPr>
            </w:pPr>
          </w:p>
        </w:tc>
        <w:tc>
          <w:tcPr>
            <w:tcW w:w="1536" w:type="dxa"/>
            <w:vMerge w:val="continue"/>
            <w:shd w:val="clear" w:color="auto" w:fill="auto"/>
            <w:vAlign w:val="center"/>
          </w:tcPr>
          <w:p w14:paraId="6A6E251B">
            <w:pPr>
              <w:jc w:val="center"/>
              <w:rPr>
                <w:rFonts w:hint="eastAsia" w:ascii="宋体" w:hAnsi="宋体" w:eastAsia="宋体" w:cs="宋体"/>
                <w:b/>
                <w:bCs/>
                <w:i w:val="0"/>
                <w:iCs w:val="0"/>
                <w:color w:val="auto"/>
                <w:sz w:val="24"/>
                <w:szCs w:val="24"/>
                <w:highlight w:val="none"/>
                <w:u w:val="none"/>
              </w:rPr>
            </w:pPr>
          </w:p>
        </w:tc>
        <w:tc>
          <w:tcPr>
            <w:tcW w:w="6036" w:type="dxa"/>
            <w:shd w:val="clear" w:color="auto" w:fill="auto"/>
            <w:vAlign w:val="center"/>
          </w:tcPr>
          <w:p w14:paraId="7191DDC5">
            <w:pPr>
              <w:keepNext w:val="0"/>
              <w:keepLines w:val="0"/>
              <w:widowControl/>
              <w:suppressLineNumbers w:val="0"/>
              <w:jc w:val="both"/>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6、课程介绍</w:t>
            </w:r>
          </w:p>
        </w:tc>
      </w:tr>
      <w:tr w14:paraId="708C1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721" w:type="dxa"/>
            <w:shd w:val="clear" w:color="auto" w:fill="auto"/>
            <w:noWrap/>
            <w:vAlign w:val="center"/>
          </w:tcPr>
          <w:p w14:paraId="5DF73F13">
            <w:pPr>
              <w:keepNext w:val="0"/>
              <w:keepLines w:val="0"/>
              <w:widowControl/>
              <w:suppressLineNumbers w:val="0"/>
              <w:jc w:val="center"/>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87</w:t>
            </w:r>
          </w:p>
        </w:tc>
        <w:tc>
          <w:tcPr>
            <w:tcW w:w="1216" w:type="dxa"/>
            <w:vMerge w:val="continue"/>
            <w:shd w:val="clear" w:color="auto" w:fill="auto"/>
            <w:noWrap/>
            <w:vAlign w:val="center"/>
          </w:tcPr>
          <w:p w14:paraId="5A1368BC">
            <w:pPr>
              <w:jc w:val="center"/>
              <w:rPr>
                <w:rFonts w:hint="eastAsia" w:ascii="宋体" w:hAnsi="宋体" w:eastAsia="宋体" w:cs="宋体"/>
                <w:b/>
                <w:bCs/>
                <w:i w:val="0"/>
                <w:iCs w:val="0"/>
                <w:color w:val="auto"/>
                <w:sz w:val="24"/>
                <w:szCs w:val="24"/>
                <w:highlight w:val="none"/>
                <w:u w:val="none"/>
              </w:rPr>
            </w:pPr>
          </w:p>
        </w:tc>
        <w:tc>
          <w:tcPr>
            <w:tcW w:w="1536" w:type="dxa"/>
            <w:vMerge w:val="continue"/>
            <w:shd w:val="clear" w:color="auto" w:fill="auto"/>
            <w:vAlign w:val="center"/>
          </w:tcPr>
          <w:p w14:paraId="4E6513FE">
            <w:pPr>
              <w:jc w:val="center"/>
              <w:rPr>
                <w:rFonts w:hint="eastAsia" w:ascii="宋体" w:hAnsi="宋体" w:eastAsia="宋体" w:cs="宋体"/>
                <w:b/>
                <w:bCs/>
                <w:i w:val="0"/>
                <w:iCs w:val="0"/>
                <w:color w:val="auto"/>
                <w:sz w:val="24"/>
                <w:szCs w:val="24"/>
                <w:highlight w:val="none"/>
                <w:u w:val="none"/>
              </w:rPr>
            </w:pPr>
          </w:p>
        </w:tc>
        <w:tc>
          <w:tcPr>
            <w:tcW w:w="6036" w:type="dxa"/>
            <w:shd w:val="clear" w:color="auto" w:fill="auto"/>
            <w:vAlign w:val="center"/>
          </w:tcPr>
          <w:p w14:paraId="44C8D41C">
            <w:pPr>
              <w:keepNext w:val="0"/>
              <w:keepLines w:val="0"/>
              <w:widowControl/>
              <w:suppressLineNumbers w:val="0"/>
              <w:jc w:val="both"/>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7、用户登录</w:t>
            </w:r>
          </w:p>
        </w:tc>
      </w:tr>
      <w:tr w14:paraId="196CA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721" w:type="dxa"/>
            <w:shd w:val="clear" w:color="auto" w:fill="auto"/>
            <w:noWrap/>
            <w:vAlign w:val="center"/>
          </w:tcPr>
          <w:p w14:paraId="0D0907EB">
            <w:pPr>
              <w:keepNext w:val="0"/>
              <w:keepLines w:val="0"/>
              <w:widowControl/>
              <w:suppressLineNumbers w:val="0"/>
              <w:jc w:val="center"/>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88</w:t>
            </w:r>
          </w:p>
        </w:tc>
        <w:tc>
          <w:tcPr>
            <w:tcW w:w="1216" w:type="dxa"/>
            <w:vMerge w:val="continue"/>
            <w:shd w:val="clear" w:color="auto" w:fill="auto"/>
            <w:noWrap/>
            <w:vAlign w:val="center"/>
          </w:tcPr>
          <w:p w14:paraId="2C094AED">
            <w:pPr>
              <w:jc w:val="center"/>
              <w:rPr>
                <w:rFonts w:hint="eastAsia" w:ascii="宋体" w:hAnsi="宋体" w:eastAsia="宋体" w:cs="宋体"/>
                <w:b/>
                <w:bCs/>
                <w:i w:val="0"/>
                <w:iCs w:val="0"/>
                <w:color w:val="auto"/>
                <w:sz w:val="24"/>
                <w:szCs w:val="24"/>
                <w:highlight w:val="none"/>
                <w:u w:val="none"/>
              </w:rPr>
            </w:pPr>
          </w:p>
        </w:tc>
        <w:tc>
          <w:tcPr>
            <w:tcW w:w="1536" w:type="dxa"/>
            <w:vMerge w:val="continue"/>
            <w:shd w:val="clear" w:color="auto" w:fill="auto"/>
            <w:vAlign w:val="center"/>
          </w:tcPr>
          <w:p w14:paraId="6DC5A5CF">
            <w:pPr>
              <w:jc w:val="center"/>
              <w:rPr>
                <w:rFonts w:hint="eastAsia" w:ascii="宋体" w:hAnsi="宋体" w:eastAsia="宋体" w:cs="宋体"/>
                <w:b/>
                <w:bCs/>
                <w:i w:val="0"/>
                <w:iCs w:val="0"/>
                <w:color w:val="auto"/>
                <w:sz w:val="24"/>
                <w:szCs w:val="24"/>
                <w:highlight w:val="none"/>
                <w:u w:val="none"/>
              </w:rPr>
            </w:pPr>
          </w:p>
        </w:tc>
        <w:tc>
          <w:tcPr>
            <w:tcW w:w="6036" w:type="dxa"/>
            <w:shd w:val="clear" w:color="auto" w:fill="auto"/>
            <w:vAlign w:val="center"/>
          </w:tcPr>
          <w:p w14:paraId="0744D0E3">
            <w:pPr>
              <w:keepNext w:val="0"/>
              <w:keepLines w:val="0"/>
              <w:widowControl/>
              <w:suppressLineNumbers w:val="0"/>
              <w:jc w:val="both"/>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8、个人信息中心</w:t>
            </w:r>
          </w:p>
        </w:tc>
      </w:tr>
      <w:tr w14:paraId="7EE17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721" w:type="dxa"/>
            <w:shd w:val="clear" w:color="auto" w:fill="auto"/>
            <w:noWrap/>
            <w:vAlign w:val="center"/>
          </w:tcPr>
          <w:p w14:paraId="3DDA9375">
            <w:pPr>
              <w:keepNext w:val="0"/>
              <w:keepLines w:val="0"/>
              <w:widowControl/>
              <w:suppressLineNumbers w:val="0"/>
              <w:jc w:val="center"/>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89</w:t>
            </w:r>
          </w:p>
        </w:tc>
        <w:tc>
          <w:tcPr>
            <w:tcW w:w="1216" w:type="dxa"/>
            <w:vMerge w:val="restart"/>
            <w:shd w:val="clear" w:color="auto" w:fill="auto"/>
            <w:noWrap/>
            <w:vAlign w:val="center"/>
          </w:tcPr>
          <w:p w14:paraId="0EF44514">
            <w:pPr>
              <w:jc w:val="center"/>
              <w:rPr>
                <w:rFonts w:hint="default" w:ascii="宋体" w:hAnsi="宋体" w:eastAsia="宋体" w:cs="宋体"/>
                <w:b/>
                <w:bCs/>
                <w:i w:val="0"/>
                <w:iCs w:val="0"/>
                <w:color w:val="auto"/>
                <w:sz w:val="24"/>
                <w:szCs w:val="24"/>
                <w:highlight w:val="none"/>
                <w:u w:val="none"/>
                <w:lang w:val="en-US" w:eastAsia="zh-CN"/>
              </w:rPr>
            </w:pPr>
            <w:r>
              <w:rPr>
                <w:rFonts w:hint="eastAsia" w:ascii="宋体" w:hAnsi="宋体" w:cs="宋体"/>
                <w:b/>
                <w:bCs/>
                <w:i w:val="0"/>
                <w:iCs w:val="0"/>
                <w:color w:val="auto"/>
                <w:sz w:val="24"/>
                <w:szCs w:val="24"/>
                <w:highlight w:val="none"/>
                <w:u w:val="none"/>
                <w:lang w:val="en-US" w:eastAsia="zh-CN"/>
              </w:rPr>
              <w:t>基础设置</w:t>
            </w:r>
          </w:p>
        </w:tc>
        <w:tc>
          <w:tcPr>
            <w:tcW w:w="1536" w:type="dxa"/>
            <w:vMerge w:val="restart"/>
            <w:shd w:val="clear" w:color="auto" w:fill="auto"/>
            <w:vAlign w:val="center"/>
          </w:tcPr>
          <w:p w14:paraId="7EDBB4BE">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基础设置</w:t>
            </w:r>
          </w:p>
        </w:tc>
        <w:tc>
          <w:tcPr>
            <w:tcW w:w="6036" w:type="dxa"/>
            <w:shd w:val="clear" w:color="auto" w:fill="auto"/>
            <w:vAlign w:val="center"/>
          </w:tcPr>
          <w:p w14:paraId="38BB45DE">
            <w:pPr>
              <w:keepNext w:val="0"/>
              <w:keepLines w:val="0"/>
              <w:widowControl/>
              <w:suppressLineNumbers w:val="0"/>
              <w:jc w:val="both"/>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1、用户登录</w:t>
            </w:r>
          </w:p>
        </w:tc>
      </w:tr>
      <w:tr w14:paraId="7E8C0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721" w:type="dxa"/>
            <w:shd w:val="clear" w:color="auto" w:fill="auto"/>
            <w:noWrap/>
            <w:vAlign w:val="center"/>
          </w:tcPr>
          <w:p w14:paraId="0D8BB07B">
            <w:pPr>
              <w:keepNext w:val="0"/>
              <w:keepLines w:val="0"/>
              <w:widowControl/>
              <w:suppressLineNumbers w:val="0"/>
              <w:jc w:val="center"/>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90</w:t>
            </w:r>
          </w:p>
        </w:tc>
        <w:tc>
          <w:tcPr>
            <w:tcW w:w="1216" w:type="dxa"/>
            <w:vMerge w:val="continue"/>
            <w:shd w:val="clear" w:color="auto" w:fill="auto"/>
            <w:noWrap/>
            <w:vAlign w:val="center"/>
          </w:tcPr>
          <w:p w14:paraId="579BDDA4">
            <w:pPr>
              <w:jc w:val="center"/>
              <w:rPr>
                <w:rFonts w:hint="eastAsia" w:ascii="宋体" w:hAnsi="宋体" w:eastAsia="宋体" w:cs="宋体"/>
                <w:b/>
                <w:bCs/>
                <w:i w:val="0"/>
                <w:iCs w:val="0"/>
                <w:color w:val="auto"/>
                <w:sz w:val="24"/>
                <w:szCs w:val="24"/>
                <w:highlight w:val="none"/>
                <w:u w:val="none"/>
              </w:rPr>
            </w:pPr>
          </w:p>
        </w:tc>
        <w:tc>
          <w:tcPr>
            <w:tcW w:w="1536" w:type="dxa"/>
            <w:vMerge w:val="continue"/>
            <w:shd w:val="clear" w:color="auto" w:fill="auto"/>
            <w:vAlign w:val="center"/>
          </w:tcPr>
          <w:p w14:paraId="7D80006F">
            <w:pPr>
              <w:jc w:val="center"/>
              <w:rPr>
                <w:rFonts w:hint="eastAsia" w:ascii="宋体" w:hAnsi="宋体" w:eastAsia="宋体" w:cs="宋体"/>
                <w:b/>
                <w:bCs/>
                <w:i w:val="0"/>
                <w:iCs w:val="0"/>
                <w:color w:val="auto"/>
                <w:sz w:val="24"/>
                <w:szCs w:val="24"/>
                <w:highlight w:val="none"/>
                <w:u w:val="none"/>
              </w:rPr>
            </w:pPr>
          </w:p>
        </w:tc>
        <w:tc>
          <w:tcPr>
            <w:tcW w:w="6036" w:type="dxa"/>
            <w:shd w:val="clear" w:color="auto" w:fill="auto"/>
            <w:vAlign w:val="center"/>
          </w:tcPr>
          <w:p w14:paraId="7E19E98C">
            <w:pPr>
              <w:keepNext w:val="0"/>
              <w:keepLines w:val="0"/>
              <w:widowControl/>
              <w:suppressLineNumbers w:val="0"/>
              <w:jc w:val="both"/>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2、移动端菜单权限设置</w:t>
            </w:r>
          </w:p>
        </w:tc>
      </w:tr>
      <w:tr w14:paraId="75770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721" w:type="dxa"/>
            <w:shd w:val="clear" w:color="auto" w:fill="auto"/>
            <w:noWrap/>
            <w:vAlign w:val="center"/>
          </w:tcPr>
          <w:p w14:paraId="165BA72E">
            <w:pPr>
              <w:keepNext w:val="0"/>
              <w:keepLines w:val="0"/>
              <w:widowControl/>
              <w:suppressLineNumbers w:val="0"/>
              <w:jc w:val="center"/>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91</w:t>
            </w:r>
          </w:p>
        </w:tc>
        <w:tc>
          <w:tcPr>
            <w:tcW w:w="1216" w:type="dxa"/>
            <w:vMerge w:val="continue"/>
            <w:shd w:val="clear" w:color="auto" w:fill="auto"/>
            <w:noWrap/>
            <w:vAlign w:val="center"/>
          </w:tcPr>
          <w:p w14:paraId="59CC4ED9">
            <w:pPr>
              <w:jc w:val="center"/>
              <w:rPr>
                <w:rFonts w:hint="eastAsia" w:ascii="宋体" w:hAnsi="宋体" w:eastAsia="宋体" w:cs="宋体"/>
                <w:b/>
                <w:bCs/>
                <w:i w:val="0"/>
                <w:iCs w:val="0"/>
                <w:color w:val="auto"/>
                <w:sz w:val="24"/>
                <w:szCs w:val="24"/>
                <w:highlight w:val="none"/>
                <w:u w:val="none"/>
              </w:rPr>
            </w:pPr>
          </w:p>
        </w:tc>
        <w:tc>
          <w:tcPr>
            <w:tcW w:w="1536" w:type="dxa"/>
            <w:vMerge w:val="continue"/>
            <w:shd w:val="clear" w:color="auto" w:fill="auto"/>
            <w:vAlign w:val="center"/>
          </w:tcPr>
          <w:p w14:paraId="11A6F16F">
            <w:pPr>
              <w:jc w:val="center"/>
              <w:rPr>
                <w:rFonts w:hint="eastAsia" w:ascii="宋体" w:hAnsi="宋体" w:eastAsia="宋体" w:cs="宋体"/>
                <w:b/>
                <w:bCs/>
                <w:i w:val="0"/>
                <w:iCs w:val="0"/>
                <w:color w:val="auto"/>
                <w:sz w:val="24"/>
                <w:szCs w:val="24"/>
                <w:highlight w:val="none"/>
                <w:u w:val="none"/>
              </w:rPr>
            </w:pPr>
          </w:p>
        </w:tc>
        <w:tc>
          <w:tcPr>
            <w:tcW w:w="6036" w:type="dxa"/>
            <w:shd w:val="clear" w:color="auto" w:fill="auto"/>
            <w:vAlign w:val="center"/>
          </w:tcPr>
          <w:p w14:paraId="63E7935E">
            <w:pPr>
              <w:keepNext w:val="0"/>
              <w:keepLines w:val="0"/>
              <w:widowControl/>
              <w:suppressLineNumbers w:val="0"/>
              <w:jc w:val="both"/>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3、各类申请开放与开始截止时间等信息设置</w:t>
            </w:r>
          </w:p>
        </w:tc>
      </w:tr>
      <w:tr w14:paraId="3E06F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721" w:type="dxa"/>
            <w:shd w:val="clear" w:color="auto" w:fill="auto"/>
            <w:noWrap/>
            <w:vAlign w:val="center"/>
          </w:tcPr>
          <w:p w14:paraId="493FC3A0">
            <w:pPr>
              <w:keepNext w:val="0"/>
              <w:keepLines w:val="0"/>
              <w:widowControl/>
              <w:suppressLineNumbers w:val="0"/>
              <w:jc w:val="center"/>
              <w:textAlignment w:val="bottom"/>
              <w:rPr>
                <w:rFonts w:hint="default" w:ascii="宋体" w:hAnsi="宋体" w:eastAsia="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92</w:t>
            </w:r>
          </w:p>
        </w:tc>
        <w:tc>
          <w:tcPr>
            <w:tcW w:w="1216" w:type="dxa"/>
            <w:vMerge w:val="continue"/>
            <w:shd w:val="clear" w:color="auto" w:fill="auto"/>
            <w:noWrap/>
            <w:vAlign w:val="center"/>
          </w:tcPr>
          <w:p w14:paraId="595482E2">
            <w:pPr>
              <w:jc w:val="center"/>
              <w:rPr>
                <w:rFonts w:hint="eastAsia" w:ascii="宋体" w:hAnsi="宋体" w:eastAsia="宋体" w:cs="宋体"/>
                <w:b/>
                <w:bCs/>
                <w:i w:val="0"/>
                <w:iCs w:val="0"/>
                <w:color w:val="auto"/>
                <w:sz w:val="24"/>
                <w:szCs w:val="24"/>
                <w:highlight w:val="none"/>
                <w:u w:val="none"/>
              </w:rPr>
            </w:pPr>
          </w:p>
        </w:tc>
        <w:tc>
          <w:tcPr>
            <w:tcW w:w="1536" w:type="dxa"/>
            <w:vMerge w:val="continue"/>
            <w:shd w:val="clear" w:color="auto" w:fill="auto"/>
            <w:vAlign w:val="center"/>
          </w:tcPr>
          <w:p w14:paraId="166E9167">
            <w:pPr>
              <w:jc w:val="center"/>
              <w:rPr>
                <w:rFonts w:hint="eastAsia" w:ascii="宋体" w:hAnsi="宋体" w:eastAsia="宋体" w:cs="宋体"/>
                <w:b/>
                <w:bCs/>
                <w:i w:val="0"/>
                <w:iCs w:val="0"/>
                <w:color w:val="auto"/>
                <w:sz w:val="24"/>
                <w:szCs w:val="24"/>
                <w:highlight w:val="none"/>
                <w:u w:val="none"/>
              </w:rPr>
            </w:pPr>
          </w:p>
        </w:tc>
        <w:tc>
          <w:tcPr>
            <w:tcW w:w="6036" w:type="dxa"/>
            <w:shd w:val="clear" w:color="auto" w:fill="auto"/>
            <w:vAlign w:val="center"/>
          </w:tcPr>
          <w:p w14:paraId="3AFA5407">
            <w:pPr>
              <w:keepNext w:val="0"/>
              <w:keepLines w:val="0"/>
              <w:widowControl/>
              <w:suppressLineNumbers w:val="0"/>
              <w:jc w:val="both"/>
              <w:textAlignment w:val="bottom"/>
              <w:rPr>
                <w:rFonts w:hint="default" w:ascii="宋体" w:hAnsi="宋体" w:eastAsia="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4、列表列显示功能，在查询列表中可通过列显示功能，进行列表字段是否显示，显示位置，列宽度等进行控制设置，列表内容根据设置进行显示。</w:t>
            </w:r>
            <w:r>
              <w:rPr>
                <w:rFonts w:hint="eastAsia" w:ascii="宋体" w:hAnsi="宋体" w:eastAsia="宋体" w:cs="宋体"/>
                <w:b/>
                <w:bCs/>
                <w:color w:val="auto"/>
                <w:sz w:val="21"/>
                <w:szCs w:val="21"/>
                <w:highlight w:val="none"/>
                <w:u w:val="single"/>
              </w:rPr>
              <w:t>（</w:t>
            </w:r>
            <w:r>
              <w:rPr>
                <w:rFonts w:hint="eastAsia" w:ascii="宋体" w:hAnsi="宋体" w:eastAsia="宋体" w:cs="宋体"/>
                <w:b/>
                <w:bCs/>
                <w:color w:val="auto"/>
                <w:sz w:val="21"/>
                <w:szCs w:val="21"/>
                <w:highlight w:val="none"/>
                <w:u w:val="single"/>
                <w:lang w:val="en-US" w:eastAsia="zh-CN"/>
              </w:rPr>
              <w:t>需进行功能演示</w:t>
            </w:r>
            <w:r>
              <w:rPr>
                <w:rFonts w:hint="eastAsia" w:ascii="宋体" w:hAnsi="宋体" w:eastAsia="宋体" w:cs="宋体"/>
                <w:b/>
                <w:bCs/>
                <w:color w:val="auto"/>
                <w:sz w:val="21"/>
                <w:szCs w:val="21"/>
                <w:highlight w:val="none"/>
                <w:u w:val="single"/>
              </w:rPr>
              <w:t>）</w:t>
            </w:r>
          </w:p>
        </w:tc>
      </w:tr>
      <w:tr w14:paraId="49217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721" w:type="dxa"/>
            <w:shd w:val="clear" w:color="auto" w:fill="auto"/>
            <w:noWrap/>
            <w:vAlign w:val="center"/>
          </w:tcPr>
          <w:p w14:paraId="7BDFCAE3">
            <w:pPr>
              <w:keepNext w:val="0"/>
              <w:keepLines w:val="0"/>
              <w:widowControl/>
              <w:suppressLineNumbers w:val="0"/>
              <w:jc w:val="center"/>
              <w:textAlignment w:val="bottom"/>
              <w:rPr>
                <w:rFonts w:hint="default" w:ascii="宋体" w:hAnsi="宋体" w:eastAsia="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93</w:t>
            </w:r>
          </w:p>
        </w:tc>
        <w:tc>
          <w:tcPr>
            <w:tcW w:w="1216" w:type="dxa"/>
            <w:vMerge w:val="continue"/>
            <w:shd w:val="clear" w:color="auto" w:fill="auto"/>
            <w:noWrap/>
            <w:vAlign w:val="center"/>
          </w:tcPr>
          <w:p w14:paraId="4C89EFF5">
            <w:pPr>
              <w:jc w:val="center"/>
              <w:rPr>
                <w:rFonts w:hint="eastAsia" w:ascii="宋体" w:hAnsi="宋体" w:eastAsia="宋体" w:cs="宋体"/>
                <w:b/>
                <w:bCs/>
                <w:i w:val="0"/>
                <w:iCs w:val="0"/>
                <w:color w:val="auto"/>
                <w:sz w:val="24"/>
                <w:szCs w:val="24"/>
                <w:highlight w:val="none"/>
                <w:u w:val="none"/>
              </w:rPr>
            </w:pPr>
          </w:p>
        </w:tc>
        <w:tc>
          <w:tcPr>
            <w:tcW w:w="1536" w:type="dxa"/>
            <w:vMerge w:val="continue"/>
            <w:shd w:val="clear" w:color="auto" w:fill="auto"/>
            <w:vAlign w:val="center"/>
          </w:tcPr>
          <w:p w14:paraId="3FB1B92D">
            <w:pPr>
              <w:jc w:val="center"/>
              <w:rPr>
                <w:rFonts w:hint="eastAsia" w:ascii="宋体" w:hAnsi="宋体" w:eastAsia="宋体" w:cs="宋体"/>
                <w:b/>
                <w:bCs/>
                <w:i w:val="0"/>
                <w:iCs w:val="0"/>
                <w:color w:val="auto"/>
                <w:sz w:val="24"/>
                <w:szCs w:val="24"/>
                <w:highlight w:val="none"/>
                <w:u w:val="none"/>
              </w:rPr>
            </w:pPr>
          </w:p>
        </w:tc>
        <w:tc>
          <w:tcPr>
            <w:tcW w:w="6036" w:type="dxa"/>
            <w:shd w:val="clear" w:color="auto" w:fill="auto"/>
            <w:vAlign w:val="center"/>
          </w:tcPr>
          <w:p w14:paraId="67B52A33">
            <w:pPr>
              <w:keepNext w:val="0"/>
              <w:keepLines w:val="0"/>
              <w:widowControl/>
              <w:suppressLineNumbers w:val="0"/>
              <w:jc w:val="both"/>
              <w:textAlignment w:val="bottom"/>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5、</w:t>
            </w:r>
            <w:r>
              <w:rPr>
                <w:rFonts w:hint="eastAsia" w:ascii="宋体" w:hAnsi="宋体" w:eastAsia="宋体" w:cs="宋体"/>
                <w:i w:val="0"/>
                <w:iCs w:val="0"/>
                <w:color w:val="auto"/>
                <w:kern w:val="0"/>
                <w:sz w:val="24"/>
                <w:szCs w:val="24"/>
                <w:highlight w:val="none"/>
                <w:u w:val="none"/>
                <w:lang w:val="en-US" w:eastAsia="zh-CN" w:bidi="ar"/>
              </w:rPr>
              <w:t>数据透视表功能，在查询列表中，查询出数据内容后，可通过数据透视表功能按照单个字段或者组合字段进行筛选过滤，功能参照Excel表中的数据筛选功能。</w:t>
            </w:r>
            <w:r>
              <w:rPr>
                <w:rFonts w:hint="eastAsia" w:ascii="宋体" w:hAnsi="宋体" w:eastAsia="宋体" w:cs="宋体"/>
                <w:b/>
                <w:bCs/>
                <w:color w:val="auto"/>
                <w:sz w:val="21"/>
                <w:szCs w:val="21"/>
                <w:highlight w:val="none"/>
                <w:u w:val="single"/>
              </w:rPr>
              <w:t>（</w:t>
            </w:r>
            <w:r>
              <w:rPr>
                <w:rFonts w:hint="eastAsia" w:ascii="宋体" w:hAnsi="宋体" w:eastAsia="宋体" w:cs="宋体"/>
                <w:b/>
                <w:bCs/>
                <w:color w:val="auto"/>
                <w:sz w:val="21"/>
                <w:szCs w:val="21"/>
                <w:highlight w:val="none"/>
                <w:u w:val="single"/>
                <w:lang w:val="en-US" w:eastAsia="zh-CN"/>
              </w:rPr>
              <w:t>需进行功能演示</w:t>
            </w:r>
            <w:r>
              <w:rPr>
                <w:rFonts w:hint="eastAsia" w:ascii="宋体" w:hAnsi="宋体" w:eastAsia="宋体" w:cs="宋体"/>
                <w:b/>
                <w:bCs/>
                <w:color w:val="auto"/>
                <w:sz w:val="21"/>
                <w:szCs w:val="21"/>
                <w:highlight w:val="none"/>
                <w:u w:val="single"/>
              </w:rPr>
              <w:t>）</w:t>
            </w:r>
          </w:p>
        </w:tc>
      </w:tr>
      <w:tr w14:paraId="2E00D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721" w:type="dxa"/>
            <w:shd w:val="clear" w:color="auto" w:fill="auto"/>
            <w:noWrap/>
            <w:vAlign w:val="center"/>
          </w:tcPr>
          <w:p w14:paraId="616D2552">
            <w:pPr>
              <w:keepNext w:val="0"/>
              <w:keepLines w:val="0"/>
              <w:widowControl/>
              <w:suppressLineNumbers w:val="0"/>
              <w:jc w:val="center"/>
              <w:textAlignment w:val="bottom"/>
              <w:rPr>
                <w:rFonts w:hint="default" w:ascii="宋体" w:hAnsi="宋体" w:eastAsia="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94</w:t>
            </w:r>
          </w:p>
        </w:tc>
        <w:tc>
          <w:tcPr>
            <w:tcW w:w="1216" w:type="dxa"/>
            <w:shd w:val="clear" w:color="auto" w:fill="auto"/>
            <w:noWrap/>
            <w:vAlign w:val="center"/>
          </w:tcPr>
          <w:p w14:paraId="67F4D87A">
            <w:pPr>
              <w:snapToGrid w:val="0"/>
              <w:spacing w:line="240" w:lineRule="auto"/>
              <w:jc w:val="both"/>
              <w:rPr>
                <w:rFonts w:hint="eastAsia" w:ascii="宋体" w:hAnsi="宋体" w:eastAsia="宋体" w:cs="宋体"/>
                <w:b/>
                <w:bCs/>
                <w:i w:val="0"/>
                <w:iCs w:val="0"/>
                <w:color w:val="auto"/>
                <w:sz w:val="24"/>
                <w:szCs w:val="24"/>
                <w:highlight w:val="none"/>
                <w:u w:val="none"/>
              </w:rPr>
            </w:pPr>
            <w:r>
              <w:rPr>
                <w:rFonts w:hint="eastAsia" w:cs="仿宋_GB2312" w:asciiTheme="minorEastAsia" w:hAnsiTheme="minorEastAsia" w:eastAsiaTheme="minorEastAsia"/>
                <w:b/>
                <w:bCs/>
                <w:color w:val="auto"/>
                <w:sz w:val="21"/>
                <w:szCs w:val="21"/>
                <w:highlight w:val="none"/>
                <w:lang w:val="en-US" w:eastAsia="zh-CN"/>
              </w:rPr>
              <w:t>数据对接及集成</w:t>
            </w:r>
          </w:p>
        </w:tc>
        <w:tc>
          <w:tcPr>
            <w:tcW w:w="1536" w:type="dxa"/>
            <w:shd w:val="clear" w:color="auto" w:fill="auto"/>
            <w:vAlign w:val="center"/>
          </w:tcPr>
          <w:p w14:paraId="76F32736">
            <w:pPr>
              <w:jc w:val="center"/>
              <w:rPr>
                <w:rFonts w:hint="default" w:ascii="宋体" w:hAnsi="宋体" w:eastAsia="宋体" w:cs="宋体"/>
                <w:b/>
                <w:bCs/>
                <w:i w:val="0"/>
                <w:iCs w:val="0"/>
                <w:color w:val="auto"/>
                <w:sz w:val="24"/>
                <w:szCs w:val="24"/>
                <w:highlight w:val="none"/>
                <w:u w:val="none"/>
                <w:lang w:val="en-US" w:eastAsia="zh-CN"/>
              </w:rPr>
            </w:pPr>
            <w:r>
              <w:rPr>
                <w:rFonts w:hint="eastAsia" w:ascii="宋体" w:hAnsi="宋体" w:cs="宋体"/>
                <w:b/>
                <w:bCs/>
                <w:i w:val="0"/>
                <w:iCs w:val="0"/>
                <w:color w:val="auto"/>
                <w:sz w:val="24"/>
                <w:szCs w:val="24"/>
                <w:highlight w:val="none"/>
                <w:u w:val="none"/>
                <w:lang w:val="en-US" w:eastAsia="zh-CN"/>
              </w:rPr>
              <w:t>数据对接集成</w:t>
            </w:r>
          </w:p>
        </w:tc>
        <w:tc>
          <w:tcPr>
            <w:tcW w:w="6036" w:type="dxa"/>
            <w:shd w:val="clear" w:color="auto" w:fill="auto"/>
            <w:vAlign w:val="center"/>
          </w:tcPr>
          <w:p w14:paraId="28362581">
            <w:pPr>
              <w:keepNext w:val="0"/>
              <w:keepLines w:val="0"/>
              <w:widowControl/>
              <w:suppressLineNumbers w:val="0"/>
              <w:jc w:val="both"/>
              <w:textAlignment w:val="bottom"/>
              <w:rPr>
                <w:rFonts w:hint="eastAsia" w:ascii="宋体" w:hAnsi="宋体" w:cs="宋体"/>
                <w:i w:val="0"/>
                <w:iCs w:val="0"/>
                <w:color w:val="auto"/>
                <w:kern w:val="0"/>
                <w:sz w:val="24"/>
                <w:szCs w:val="24"/>
                <w:highlight w:val="none"/>
                <w:u w:val="none"/>
                <w:lang w:val="en-US" w:eastAsia="zh-CN" w:bidi="ar"/>
              </w:rPr>
            </w:pPr>
            <w:r>
              <w:rPr>
                <w:rFonts w:hint="default" w:cs="仿宋_GB2312" w:asciiTheme="minorEastAsia" w:hAnsiTheme="minorEastAsia" w:eastAsiaTheme="minorEastAsia"/>
                <w:color w:val="auto"/>
                <w:sz w:val="21"/>
                <w:szCs w:val="21"/>
                <w:highlight w:val="none"/>
              </w:rPr>
              <w:t>★</w:t>
            </w:r>
            <w:r>
              <w:rPr>
                <w:rFonts w:hint="eastAsia" w:cs="仿宋_GB2312" w:asciiTheme="minorEastAsia" w:hAnsiTheme="minorEastAsia" w:eastAsiaTheme="minorEastAsia"/>
                <w:color w:val="auto"/>
                <w:sz w:val="21"/>
                <w:szCs w:val="21"/>
                <w:highlight w:val="none"/>
                <w:lang w:val="en-US" w:eastAsia="zh-CN"/>
              </w:rPr>
              <w:t>本期项目</w:t>
            </w:r>
            <w:r>
              <w:rPr>
                <w:rFonts w:hint="eastAsia" w:ascii="宋体" w:hAnsi="宋体" w:cs="宋体"/>
                <w:i w:val="0"/>
                <w:iCs w:val="0"/>
                <w:color w:val="auto"/>
                <w:kern w:val="0"/>
                <w:sz w:val="24"/>
                <w:szCs w:val="24"/>
                <w:highlight w:val="none"/>
                <w:u w:val="none"/>
                <w:lang w:val="en-US" w:eastAsia="zh-CN" w:bidi="ar"/>
              </w:rPr>
              <w:t>需与一、二期进行数据对接集成，包括但不限本硕学生、教师信息；本硕课程任务信息；本硕课程大纲、教师课程申报信息、教师教案等信息，本硕拓展教育申报与报名、赋分；本硕学生选课信息、学生成绩信息、本硕学生课程作业作品信息、学生请假信息、学生科研信息、学生异动信息、学生延长学期、教师科研信息、钉钉群组信息、培养方案信息、硕士主导师信息等影响系统运行的主要数据。</w:t>
            </w:r>
          </w:p>
          <w:p w14:paraId="215910C5">
            <w:pPr>
              <w:keepNext w:val="0"/>
              <w:keepLines w:val="0"/>
              <w:widowControl/>
              <w:suppressLineNumbers w:val="0"/>
              <w:jc w:val="both"/>
              <w:textAlignment w:val="bottom"/>
              <w:rPr>
                <w:rFonts w:hint="default" w:ascii="宋体" w:hAnsi="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注：项目交付时须已经完成所有对接工作。相关费用包含在报价中（原系统的接口费用除外）,采购方不负责对接协调,由中标方自行协调。</w:t>
            </w:r>
          </w:p>
        </w:tc>
      </w:tr>
    </w:tbl>
    <w:p w14:paraId="0A348989">
      <w:pPr>
        <w:spacing w:line="360" w:lineRule="auto"/>
        <w:rPr>
          <w:rFonts w:hint="eastAsia" w:ascii="宋体" w:hAnsi="宋体" w:cs="宋体"/>
          <w:b/>
          <w:bCs/>
          <w:color w:val="auto"/>
          <w:sz w:val="24"/>
          <w:szCs w:val="24"/>
          <w:highlight w:val="none"/>
          <w:lang w:val="en-US" w:eastAsia="zh-CN"/>
        </w:rPr>
      </w:pPr>
      <w:r>
        <w:rPr>
          <w:rFonts w:hint="eastAsia" w:ascii="宋体" w:hAnsi="宋体" w:cs="宋体"/>
          <w:color w:val="auto"/>
          <w:sz w:val="24"/>
          <w:szCs w:val="24"/>
          <w:highlight w:val="none"/>
          <w:lang w:val="en-US" w:eastAsia="zh-CN"/>
        </w:rPr>
        <w:t>注：本项目不组织开标前答疑会或现场考察，本项目为中国美术学院教务处学分制教学改革管理平台三期建设项目，考虑到需要与一期、二期建设内容衔接、数据对接，各潜在供应商可自行前往采购人处了解一期、二期建设内容，并应</w:t>
      </w:r>
      <w:r>
        <w:rPr>
          <w:rFonts w:hint="eastAsia" w:ascii="宋体" w:hAnsi="宋体" w:eastAsia="宋体" w:cs="宋体"/>
          <w:color w:val="auto"/>
          <w:sz w:val="24"/>
          <w:szCs w:val="24"/>
          <w:highlight w:val="none"/>
        </w:rPr>
        <w:t>充分考虑影响本次报价的因素、预计实施过程中各种不利因素，由此可能发生的费用均由供应商考虑并包含在</w:t>
      </w:r>
      <w:r>
        <w:rPr>
          <w:rFonts w:hint="eastAsia" w:ascii="宋体" w:hAnsi="宋体" w:cs="宋体"/>
          <w:color w:val="auto"/>
          <w:sz w:val="24"/>
          <w:szCs w:val="24"/>
          <w:highlight w:val="none"/>
          <w:lang w:val="en-US" w:eastAsia="zh-CN"/>
        </w:rPr>
        <w:t>投标</w:t>
      </w:r>
      <w:r>
        <w:rPr>
          <w:rFonts w:hint="eastAsia" w:ascii="宋体" w:hAnsi="宋体" w:eastAsia="宋体" w:cs="宋体"/>
          <w:color w:val="auto"/>
          <w:sz w:val="24"/>
          <w:szCs w:val="24"/>
          <w:highlight w:val="none"/>
        </w:rPr>
        <w:t>报价中。成交后，供应商不得再以不完全了解</w:t>
      </w:r>
      <w:r>
        <w:rPr>
          <w:rFonts w:hint="eastAsia" w:ascii="宋体" w:hAnsi="宋体" w:cs="宋体"/>
          <w:color w:val="auto"/>
          <w:sz w:val="24"/>
          <w:szCs w:val="24"/>
          <w:highlight w:val="none"/>
          <w:lang w:val="en-US" w:eastAsia="zh-CN"/>
        </w:rPr>
        <w:t>项目</w:t>
      </w:r>
      <w:r>
        <w:rPr>
          <w:rFonts w:hint="eastAsia" w:ascii="宋体" w:hAnsi="宋体" w:eastAsia="宋体" w:cs="宋体"/>
          <w:color w:val="auto"/>
          <w:sz w:val="24"/>
          <w:szCs w:val="24"/>
          <w:highlight w:val="none"/>
        </w:rPr>
        <w:t>情况等为理由而提出额外付款或延长</w:t>
      </w:r>
      <w:r>
        <w:rPr>
          <w:rFonts w:hint="eastAsia" w:ascii="宋体" w:hAnsi="宋体" w:cs="宋体"/>
          <w:color w:val="auto"/>
          <w:sz w:val="24"/>
          <w:szCs w:val="24"/>
          <w:highlight w:val="none"/>
          <w:lang w:val="en-US" w:eastAsia="zh-CN"/>
        </w:rPr>
        <w:t>交付期</w:t>
      </w:r>
      <w:r>
        <w:rPr>
          <w:rFonts w:hint="eastAsia" w:ascii="宋体" w:hAnsi="宋体" w:eastAsia="宋体" w:cs="宋体"/>
          <w:color w:val="auto"/>
          <w:sz w:val="24"/>
          <w:szCs w:val="24"/>
          <w:highlight w:val="none"/>
        </w:rPr>
        <w:t>等要求，若有此类要求，采购人将不作任何答复与考虑，供应商应承担现场踏勘的责任和风险，踏勘现场的费用由供应商自行承担。</w:t>
      </w:r>
      <w:r>
        <w:rPr>
          <w:rFonts w:hint="eastAsia" w:ascii="宋体" w:hAnsi="宋体" w:cs="宋体"/>
          <w:color w:val="auto"/>
          <w:sz w:val="24"/>
          <w:szCs w:val="24"/>
          <w:highlight w:val="none"/>
          <w:lang w:val="en-US" w:eastAsia="zh-CN"/>
        </w:rPr>
        <w:t>地点：中国美术学院南山校区1B209</w:t>
      </w:r>
      <w:r>
        <w:rPr>
          <w:rFonts w:hint="eastAsia" w:ascii="宋体" w:hAnsi="宋体" w:eastAsia="宋体" w:cs="宋体"/>
          <w:color w:val="auto"/>
          <w:sz w:val="24"/>
          <w:szCs w:val="24"/>
          <w:highlight w:val="none"/>
          <w:lang w:val="en-US" w:eastAsia="zh-CN"/>
        </w:rPr>
        <w:t>，本项目</w:t>
      </w:r>
      <w:r>
        <w:rPr>
          <w:rFonts w:hint="eastAsia" w:ascii="宋体" w:hAnsi="宋体" w:eastAsia="宋体" w:cs="宋体"/>
          <w:b w:val="0"/>
          <w:bCs/>
          <w:color w:val="auto"/>
          <w:sz w:val="24"/>
          <w:szCs w:val="24"/>
          <w:highlight w:val="none"/>
        </w:rPr>
        <w:t>踏勘联</w:t>
      </w:r>
      <w:r>
        <w:rPr>
          <w:rFonts w:hint="eastAsia" w:ascii="宋体" w:hAnsi="宋体" w:eastAsia="宋体" w:cs="宋体"/>
          <w:color w:val="auto"/>
          <w:sz w:val="24"/>
          <w:szCs w:val="24"/>
          <w:highlight w:val="none"/>
        </w:rPr>
        <w:t>联系人：</w:t>
      </w:r>
      <w:r>
        <w:rPr>
          <w:rFonts w:hint="eastAsia" w:ascii="宋体" w:hAnsi="宋体" w:cs="宋体"/>
          <w:color w:val="auto"/>
          <w:sz w:val="24"/>
          <w:szCs w:val="24"/>
          <w:highlight w:val="none"/>
          <w:lang w:val="en-US" w:eastAsia="zh-CN"/>
        </w:rPr>
        <w:t>陈老师</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联系电话：</w:t>
      </w:r>
      <w:r>
        <w:rPr>
          <w:rFonts w:hAnsi="宋体" w:cs="宋体"/>
          <w:color w:val="auto"/>
          <w:sz w:val="24"/>
          <w:highlight w:val="none"/>
        </w:rPr>
        <w:t>13819100227</w:t>
      </w:r>
      <w:r>
        <w:rPr>
          <w:rFonts w:hint="eastAsia" w:ascii="宋体" w:hAnsi="宋体" w:eastAsia="宋体" w:cs="宋体"/>
          <w:b w:val="0"/>
          <w:bCs/>
          <w:color w:val="auto"/>
          <w:sz w:val="24"/>
          <w:szCs w:val="24"/>
          <w:highlight w:val="none"/>
          <w:lang w:val="en-US" w:eastAsia="zh-CN"/>
        </w:rPr>
        <w:t>。</w:t>
      </w:r>
    </w:p>
    <w:p w14:paraId="7B57A6C1">
      <w:pPr>
        <w:pStyle w:val="19"/>
        <w:ind w:left="0" w:leftChars="0" w:firstLine="0" w:firstLineChars="0"/>
        <w:rPr>
          <w:rFonts w:hint="eastAsia" w:ascii="宋体" w:hAnsi="宋体" w:cs="宋体"/>
          <w:b/>
          <w:bCs/>
          <w:color w:val="auto"/>
          <w:sz w:val="24"/>
          <w:szCs w:val="24"/>
          <w:highlight w:val="none"/>
          <w:lang w:val="en-US" w:eastAsia="zh-CN"/>
        </w:rPr>
      </w:pPr>
    </w:p>
    <w:p w14:paraId="6EC8AE33">
      <w:pPr>
        <w:pStyle w:val="19"/>
        <w:ind w:left="0" w:leftChars="0" w:firstLine="0" w:firstLineChars="0"/>
        <w:rPr>
          <w:rFonts w:hint="eastAsia" w:ascii="宋体" w:hAnsi="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附：原有一期二期部分视觉设计参考样例如下：</w:t>
      </w:r>
    </w:p>
    <w:p w14:paraId="549D95B6">
      <w:pPr>
        <w:pStyle w:val="19"/>
        <w:ind w:left="0" w:leftChars="0" w:firstLine="0" w:firstLineChars="0"/>
        <w:rPr>
          <w:rFonts w:hint="eastAsia" w:ascii="宋体" w:hAnsi="宋体" w:cs="宋体"/>
          <w:b/>
          <w:bCs/>
          <w:color w:val="auto"/>
          <w:sz w:val="24"/>
          <w:szCs w:val="24"/>
          <w:highlight w:val="none"/>
          <w:lang w:val="en-US" w:eastAsia="zh-CN"/>
        </w:rPr>
      </w:pPr>
    </w:p>
    <w:p w14:paraId="02ED5425">
      <w:pPr>
        <w:pStyle w:val="19"/>
        <w:ind w:left="0" w:leftChars="0" w:firstLine="0" w:firstLineChars="0"/>
        <w:rPr>
          <w:rFonts w:hint="default" w:ascii="宋体" w:hAnsi="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PC电脑端视觉设计</w:t>
      </w:r>
    </w:p>
    <w:p w14:paraId="28FBFF83">
      <w:pPr>
        <w:pStyle w:val="19"/>
        <w:ind w:left="0" w:leftChars="0" w:firstLine="0" w:firstLineChars="0"/>
        <w:rPr>
          <w:color w:val="auto"/>
          <w:highlight w:val="none"/>
        </w:rPr>
      </w:pPr>
      <w:r>
        <w:rPr>
          <w:color w:val="auto"/>
          <w:highlight w:val="none"/>
        </w:rPr>
        <w:drawing>
          <wp:inline distT="0" distB="0" distL="114300" distR="114300">
            <wp:extent cx="4241165" cy="7657465"/>
            <wp:effectExtent l="0" t="0" r="10795" b="8255"/>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21"/>
                    <a:stretch>
                      <a:fillRect/>
                    </a:stretch>
                  </pic:blipFill>
                  <pic:spPr>
                    <a:xfrm>
                      <a:off x="0" y="0"/>
                      <a:ext cx="4241165" cy="7657465"/>
                    </a:xfrm>
                    <a:prstGeom prst="rect">
                      <a:avLst/>
                    </a:prstGeom>
                    <a:noFill/>
                    <a:ln>
                      <a:noFill/>
                    </a:ln>
                  </pic:spPr>
                </pic:pic>
              </a:graphicData>
            </a:graphic>
          </wp:inline>
        </w:drawing>
      </w:r>
    </w:p>
    <w:p w14:paraId="1293D93C">
      <w:pPr>
        <w:pStyle w:val="19"/>
        <w:ind w:left="0" w:leftChars="0" w:firstLine="0" w:firstLineChars="0"/>
        <w:rPr>
          <w:color w:val="auto"/>
          <w:highlight w:val="none"/>
        </w:rPr>
      </w:pPr>
      <w:r>
        <w:rPr>
          <w:color w:val="auto"/>
          <w:highlight w:val="none"/>
        </w:rPr>
        <w:drawing>
          <wp:inline distT="0" distB="0" distL="114300" distR="114300">
            <wp:extent cx="5744845" cy="2689225"/>
            <wp:effectExtent l="0" t="0" r="8255" b="1587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22"/>
                    <a:stretch>
                      <a:fillRect/>
                    </a:stretch>
                  </pic:blipFill>
                  <pic:spPr>
                    <a:xfrm>
                      <a:off x="0" y="0"/>
                      <a:ext cx="5744845" cy="2689225"/>
                    </a:xfrm>
                    <a:prstGeom prst="rect">
                      <a:avLst/>
                    </a:prstGeom>
                    <a:noFill/>
                    <a:ln>
                      <a:noFill/>
                    </a:ln>
                  </pic:spPr>
                </pic:pic>
              </a:graphicData>
            </a:graphic>
          </wp:inline>
        </w:drawing>
      </w:r>
    </w:p>
    <w:p w14:paraId="630679A0">
      <w:pPr>
        <w:pStyle w:val="19"/>
        <w:ind w:left="0" w:leftChars="0" w:firstLine="0" w:firstLineChars="0"/>
        <w:rPr>
          <w:color w:val="auto"/>
          <w:highlight w:val="none"/>
        </w:rPr>
      </w:pPr>
      <w:r>
        <w:rPr>
          <w:color w:val="auto"/>
          <w:highlight w:val="none"/>
        </w:rPr>
        <w:drawing>
          <wp:inline distT="0" distB="0" distL="114300" distR="114300">
            <wp:extent cx="5748020" cy="2702560"/>
            <wp:effectExtent l="0" t="0" r="5080" b="254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23"/>
                    <a:stretch>
                      <a:fillRect/>
                    </a:stretch>
                  </pic:blipFill>
                  <pic:spPr>
                    <a:xfrm>
                      <a:off x="0" y="0"/>
                      <a:ext cx="5748020" cy="2702560"/>
                    </a:xfrm>
                    <a:prstGeom prst="rect">
                      <a:avLst/>
                    </a:prstGeom>
                    <a:noFill/>
                    <a:ln>
                      <a:noFill/>
                    </a:ln>
                  </pic:spPr>
                </pic:pic>
              </a:graphicData>
            </a:graphic>
          </wp:inline>
        </w:drawing>
      </w:r>
    </w:p>
    <w:p w14:paraId="2AE92A4D">
      <w:pPr>
        <w:pStyle w:val="19"/>
        <w:ind w:left="0" w:leftChars="0" w:firstLine="0" w:firstLineChars="0"/>
        <w:rPr>
          <w:color w:val="auto"/>
          <w:highlight w:val="none"/>
        </w:rPr>
      </w:pPr>
      <w:r>
        <w:rPr>
          <w:color w:val="auto"/>
          <w:highlight w:val="none"/>
        </w:rPr>
        <w:drawing>
          <wp:inline distT="0" distB="0" distL="114300" distR="114300">
            <wp:extent cx="5751830" cy="2700655"/>
            <wp:effectExtent l="0" t="0" r="1270" b="444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24"/>
                    <a:stretch>
                      <a:fillRect/>
                    </a:stretch>
                  </pic:blipFill>
                  <pic:spPr>
                    <a:xfrm>
                      <a:off x="0" y="0"/>
                      <a:ext cx="5751830" cy="2700655"/>
                    </a:xfrm>
                    <a:prstGeom prst="rect">
                      <a:avLst/>
                    </a:prstGeom>
                    <a:noFill/>
                    <a:ln>
                      <a:noFill/>
                    </a:ln>
                  </pic:spPr>
                </pic:pic>
              </a:graphicData>
            </a:graphic>
          </wp:inline>
        </w:drawing>
      </w:r>
    </w:p>
    <w:p w14:paraId="79DF9F5D">
      <w:pPr>
        <w:pStyle w:val="19"/>
        <w:ind w:left="0" w:leftChars="0" w:firstLine="0" w:firstLineChars="0"/>
        <w:rPr>
          <w:color w:val="auto"/>
          <w:highlight w:val="none"/>
        </w:rPr>
      </w:pPr>
      <w:r>
        <w:rPr>
          <w:color w:val="auto"/>
          <w:highlight w:val="none"/>
        </w:rPr>
        <w:drawing>
          <wp:inline distT="0" distB="0" distL="114300" distR="114300">
            <wp:extent cx="5742940" cy="2740660"/>
            <wp:effectExtent l="0" t="0" r="10160" b="254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25"/>
                    <a:stretch>
                      <a:fillRect/>
                    </a:stretch>
                  </pic:blipFill>
                  <pic:spPr>
                    <a:xfrm>
                      <a:off x="0" y="0"/>
                      <a:ext cx="5742940" cy="2740660"/>
                    </a:xfrm>
                    <a:prstGeom prst="rect">
                      <a:avLst/>
                    </a:prstGeom>
                    <a:noFill/>
                    <a:ln>
                      <a:noFill/>
                    </a:ln>
                  </pic:spPr>
                </pic:pic>
              </a:graphicData>
            </a:graphic>
          </wp:inline>
        </w:drawing>
      </w:r>
    </w:p>
    <w:p w14:paraId="67B44036">
      <w:pPr>
        <w:pStyle w:val="19"/>
        <w:ind w:left="0" w:leftChars="0" w:firstLine="0" w:firstLineChars="0"/>
        <w:rPr>
          <w:color w:val="auto"/>
          <w:highlight w:val="none"/>
        </w:rPr>
      </w:pPr>
      <w:r>
        <w:rPr>
          <w:color w:val="auto"/>
          <w:highlight w:val="none"/>
        </w:rPr>
        <w:drawing>
          <wp:inline distT="0" distB="0" distL="114300" distR="114300">
            <wp:extent cx="5746115" cy="2743835"/>
            <wp:effectExtent l="0" t="0" r="6985" b="1841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26"/>
                    <a:stretch>
                      <a:fillRect/>
                    </a:stretch>
                  </pic:blipFill>
                  <pic:spPr>
                    <a:xfrm>
                      <a:off x="0" y="0"/>
                      <a:ext cx="5746115" cy="2743835"/>
                    </a:xfrm>
                    <a:prstGeom prst="rect">
                      <a:avLst/>
                    </a:prstGeom>
                    <a:noFill/>
                    <a:ln>
                      <a:noFill/>
                    </a:ln>
                  </pic:spPr>
                </pic:pic>
              </a:graphicData>
            </a:graphic>
          </wp:inline>
        </w:drawing>
      </w:r>
    </w:p>
    <w:p w14:paraId="531CFC53">
      <w:pPr>
        <w:pStyle w:val="19"/>
        <w:ind w:left="0" w:leftChars="0" w:firstLine="0" w:firstLineChars="0"/>
        <w:rPr>
          <w:color w:val="auto"/>
          <w:highlight w:val="none"/>
        </w:rPr>
      </w:pPr>
      <w:r>
        <w:rPr>
          <w:color w:val="auto"/>
          <w:highlight w:val="none"/>
        </w:rPr>
        <w:drawing>
          <wp:inline distT="0" distB="0" distL="114300" distR="114300">
            <wp:extent cx="5755005" cy="2745740"/>
            <wp:effectExtent l="0" t="0" r="17145" b="16510"/>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27"/>
                    <a:stretch>
                      <a:fillRect/>
                    </a:stretch>
                  </pic:blipFill>
                  <pic:spPr>
                    <a:xfrm>
                      <a:off x="0" y="0"/>
                      <a:ext cx="5755005" cy="2745740"/>
                    </a:xfrm>
                    <a:prstGeom prst="rect">
                      <a:avLst/>
                    </a:prstGeom>
                    <a:noFill/>
                    <a:ln>
                      <a:noFill/>
                    </a:ln>
                  </pic:spPr>
                </pic:pic>
              </a:graphicData>
            </a:graphic>
          </wp:inline>
        </w:drawing>
      </w:r>
    </w:p>
    <w:p w14:paraId="0BBB554C">
      <w:pPr>
        <w:pStyle w:val="19"/>
        <w:ind w:left="0" w:leftChars="0" w:firstLine="0" w:firstLineChars="0"/>
        <w:jc w:val="center"/>
        <w:rPr>
          <w:color w:val="auto"/>
          <w:highlight w:val="none"/>
        </w:rPr>
      </w:pPr>
      <w:r>
        <w:rPr>
          <w:color w:val="auto"/>
          <w:highlight w:val="none"/>
        </w:rPr>
        <w:drawing>
          <wp:inline distT="0" distB="0" distL="114300" distR="114300">
            <wp:extent cx="4151630" cy="6992620"/>
            <wp:effectExtent l="0" t="0" r="1270" b="17780"/>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28"/>
                    <a:stretch>
                      <a:fillRect/>
                    </a:stretch>
                  </pic:blipFill>
                  <pic:spPr>
                    <a:xfrm>
                      <a:off x="0" y="0"/>
                      <a:ext cx="4151630" cy="6992620"/>
                    </a:xfrm>
                    <a:prstGeom prst="rect">
                      <a:avLst/>
                    </a:prstGeom>
                    <a:noFill/>
                    <a:ln>
                      <a:noFill/>
                    </a:ln>
                  </pic:spPr>
                </pic:pic>
              </a:graphicData>
            </a:graphic>
          </wp:inline>
        </w:drawing>
      </w:r>
    </w:p>
    <w:p w14:paraId="258E7770">
      <w:pPr>
        <w:pStyle w:val="19"/>
        <w:ind w:left="0" w:leftChars="0" w:firstLine="0" w:firstLineChars="0"/>
        <w:rPr>
          <w:color w:val="auto"/>
          <w:highlight w:val="none"/>
        </w:rPr>
      </w:pPr>
      <w:r>
        <w:rPr>
          <w:color w:val="auto"/>
          <w:highlight w:val="none"/>
        </w:rPr>
        <w:drawing>
          <wp:inline distT="0" distB="0" distL="114300" distR="114300">
            <wp:extent cx="5744210" cy="2624455"/>
            <wp:effectExtent l="0" t="0" r="8890" b="444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pic:cNvPicPr>
                  </pic:nvPicPr>
                  <pic:blipFill>
                    <a:blip r:embed="rId29"/>
                    <a:stretch>
                      <a:fillRect/>
                    </a:stretch>
                  </pic:blipFill>
                  <pic:spPr>
                    <a:xfrm>
                      <a:off x="0" y="0"/>
                      <a:ext cx="5744210" cy="2624455"/>
                    </a:xfrm>
                    <a:prstGeom prst="rect">
                      <a:avLst/>
                    </a:prstGeom>
                    <a:noFill/>
                    <a:ln>
                      <a:noFill/>
                    </a:ln>
                  </pic:spPr>
                </pic:pic>
              </a:graphicData>
            </a:graphic>
          </wp:inline>
        </w:drawing>
      </w:r>
    </w:p>
    <w:p w14:paraId="38CCC878">
      <w:pPr>
        <w:pStyle w:val="19"/>
        <w:ind w:left="0" w:leftChars="0" w:firstLine="0" w:firstLineChars="0"/>
        <w:rPr>
          <w:color w:val="auto"/>
          <w:highlight w:val="none"/>
        </w:rPr>
      </w:pPr>
    </w:p>
    <w:p w14:paraId="5562C4D1">
      <w:pPr>
        <w:pStyle w:val="19"/>
        <w:ind w:left="0" w:leftChars="0" w:firstLine="0" w:firstLineChars="0"/>
        <w:rPr>
          <w:rFonts w:hint="eastAsia" w:ascii="宋体" w:hAnsi="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移动端端视觉设计</w:t>
      </w:r>
    </w:p>
    <w:p w14:paraId="4A4D7FC5">
      <w:pPr>
        <w:pStyle w:val="19"/>
        <w:ind w:left="0" w:leftChars="0" w:firstLine="0" w:firstLineChars="0"/>
        <w:rPr>
          <w:color w:val="auto"/>
          <w:highlight w:val="none"/>
        </w:rPr>
      </w:pPr>
      <w:r>
        <w:rPr>
          <w:color w:val="auto"/>
          <w:highlight w:val="none"/>
        </w:rPr>
        <w:drawing>
          <wp:inline distT="0" distB="0" distL="114300" distR="114300">
            <wp:extent cx="2749550" cy="4420870"/>
            <wp:effectExtent l="0" t="0" r="12700" b="1778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30"/>
                    <a:stretch>
                      <a:fillRect/>
                    </a:stretch>
                  </pic:blipFill>
                  <pic:spPr>
                    <a:xfrm>
                      <a:off x="0" y="0"/>
                      <a:ext cx="2749550" cy="4420870"/>
                    </a:xfrm>
                    <a:prstGeom prst="rect">
                      <a:avLst/>
                    </a:prstGeom>
                    <a:noFill/>
                    <a:ln>
                      <a:noFill/>
                    </a:ln>
                  </pic:spPr>
                </pic:pic>
              </a:graphicData>
            </a:graphic>
          </wp:inline>
        </w:drawing>
      </w:r>
      <w:r>
        <w:rPr>
          <w:color w:val="auto"/>
          <w:highlight w:val="none"/>
        </w:rPr>
        <w:drawing>
          <wp:inline distT="0" distB="0" distL="114300" distR="114300">
            <wp:extent cx="2408555" cy="4409440"/>
            <wp:effectExtent l="0" t="0" r="10795" b="1016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31"/>
                    <a:stretch>
                      <a:fillRect/>
                    </a:stretch>
                  </pic:blipFill>
                  <pic:spPr>
                    <a:xfrm>
                      <a:off x="0" y="0"/>
                      <a:ext cx="2408555" cy="4409440"/>
                    </a:xfrm>
                    <a:prstGeom prst="rect">
                      <a:avLst/>
                    </a:prstGeom>
                    <a:noFill/>
                    <a:ln>
                      <a:noFill/>
                    </a:ln>
                  </pic:spPr>
                </pic:pic>
              </a:graphicData>
            </a:graphic>
          </wp:inline>
        </w:drawing>
      </w:r>
    </w:p>
    <w:p w14:paraId="2F7FBCBB">
      <w:pPr>
        <w:pStyle w:val="19"/>
        <w:ind w:left="0" w:leftChars="0" w:firstLine="0" w:firstLineChars="0"/>
        <w:rPr>
          <w:rFonts w:hint="default"/>
          <w:color w:val="auto"/>
          <w:highlight w:val="none"/>
          <w:lang w:val="en-US" w:eastAsia="zh-CN"/>
        </w:rPr>
      </w:pPr>
      <w:r>
        <w:rPr>
          <w:color w:val="auto"/>
          <w:highlight w:val="none"/>
        </w:rPr>
        <w:drawing>
          <wp:inline distT="0" distB="0" distL="114300" distR="114300">
            <wp:extent cx="2910205" cy="5380990"/>
            <wp:effectExtent l="0" t="0" r="4445" b="1016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32"/>
                    <a:stretch>
                      <a:fillRect/>
                    </a:stretch>
                  </pic:blipFill>
                  <pic:spPr>
                    <a:xfrm>
                      <a:off x="0" y="0"/>
                      <a:ext cx="2910205" cy="5380990"/>
                    </a:xfrm>
                    <a:prstGeom prst="rect">
                      <a:avLst/>
                    </a:prstGeom>
                    <a:noFill/>
                    <a:ln>
                      <a:noFill/>
                    </a:ln>
                  </pic:spPr>
                </pic:pic>
              </a:graphicData>
            </a:graphic>
          </wp:inline>
        </w:drawing>
      </w:r>
      <w:r>
        <w:rPr>
          <w:color w:val="auto"/>
          <w:highlight w:val="none"/>
        </w:rPr>
        <w:drawing>
          <wp:inline distT="0" distB="0" distL="114300" distR="114300">
            <wp:extent cx="2714625" cy="5678170"/>
            <wp:effectExtent l="0" t="0" r="9525" b="1778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33"/>
                    <a:stretch>
                      <a:fillRect/>
                    </a:stretch>
                  </pic:blipFill>
                  <pic:spPr>
                    <a:xfrm>
                      <a:off x="0" y="0"/>
                      <a:ext cx="2714625" cy="5678170"/>
                    </a:xfrm>
                    <a:prstGeom prst="rect">
                      <a:avLst/>
                    </a:prstGeom>
                    <a:noFill/>
                    <a:ln>
                      <a:noFill/>
                    </a:ln>
                  </pic:spPr>
                </pic:pic>
              </a:graphicData>
            </a:graphic>
          </wp:inline>
        </w:drawing>
      </w:r>
    </w:p>
    <w:p w14:paraId="4D4FCE72">
      <w:pPr>
        <w:pStyle w:val="19"/>
        <w:ind w:left="0" w:leftChars="0" w:firstLine="0" w:firstLineChars="0"/>
        <w:rPr>
          <w:rFonts w:hint="eastAsia"/>
          <w:color w:val="auto"/>
          <w:highlight w:val="none"/>
          <w:lang w:val="en-US" w:eastAsia="zh-CN"/>
        </w:rPr>
      </w:pPr>
    </w:p>
    <w:p w14:paraId="0B116B83">
      <w:pPr>
        <w:pStyle w:val="19"/>
        <w:ind w:left="0" w:leftChars="0" w:firstLine="0" w:firstLineChars="0"/>
        <w:rPr>
          <w:rFonts w:hint="eastAsia" w:ascii="宋体" w:hAnsi="宋体" w:cs="宋体"/>
          <w:color w:val="auto"/>
          <w:sz w:val="24"/>
          <w:szCs w:val="24"/>
          <w:highlight w:val="none"/>
          <w:lang w:val="en-US" w:eastAsia="zh-CN"/>
        </w:rPr>
      </w:pPr>
    </w:p>
    <w:p w14:paraId="601BF25C">
      <w:pPr>
        <w:pStyle w:val="5"/>
        <w:tabs>
          <w:tab w:val="left" w:pos="900"/>
        </w:tabs>
        <w:spacing w:line="240" w:lineRule="auto"/>
        <w:ind w:left="432" w:hanging="432"/>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二、服务要求</w:t>
      </w:r>
    </w:p>
    <w:p w14:paraId="3E514B08">
      <w:pPr>
        <w:pStyle w:val="5"/>
        <w:tabs>
          <w:tab w:val="left" w:pos="900"/>
        </w:tabs>
        <w:adjustRightInd/>
        <w:spacing w:before="0" w:after="0" w:line="360" w:lineRule="auto"/>
        <w:ind w:left="432" w:hanging="432"/>
        <w:jc w:val="both"/>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（一）交付期</w:t>
      </w:r>
    </w:p>
    <w:p w14:paraId="61CB7E54">
      <w:pPr>
        <w:spacing w:line="360" w:lineRule="auto"/>
        <w:ind w:firstLine="480" w:firstLineChars="200"/>
        <w:rPr>
          <w:rFonts w:hint="eastAsia" w:ascii="宋体" w:hAnsi="宋体" w:eastAsia="宋体" w:cs="宋体"/>
          <w:color w:val="auto"/>
          <w:sz w:val="24"/>
          <w:szCs w:val="24"/>
          <w:highlight w:val="none"/>
        </w:rPr>
      </w:pPr>
      <w:r>
        <w:rPr>
          <w:rFonts w:hint="eastAsia" w:cs="宋体"/>
          <w:color w:val="auto"/>
          <w:sz w:val="24"/>
          <w:highlight w:val="none"/>
        </w:rPr>
        <w:t>合同签订之日起</w:t>
      </w:r>
      <w:r>
        <w:rPr>
          <w:rFonts w:hint="eastAsia" w:cs="宋体"/>
          <w:color w:val="auto"/>
          <w:sz w:val="24"/>
          <w:highlight w:val="none"/>
          <w:lang w:val="en-US" w:eastAsia="zh-CN"/>
        </w:rPr>
        <w:t xml:space="preserve"> 30 </w:t>
      </w:r>
      <w:r>
        <w:rPr>
          <w:rFonts w:hint="eastAsia" w:cs="宋体"/>
          <w:color w:val="auto"/>
          <w:sz w:val="24"/>
          <w:highlight w:val="none"/>
        </w:rPr>
        <w:t>个日历</w:t>
      </w:r>
      <w:r>
        <w:rPr>
          <w:rFonts w:hint="eastAsia" w:cs="宋体"/>
          <w:color w:val="auto"/>
          <w:sz w:val="24"/>
          <w:highlight w:val="none"/>
          <w:lang w:val="en-US" w:eastAsia="zh-CN"/>
        </w:rPr>
        <w:t>天</w:t>
      </w:r>
      <w:r>
        <w:rPr>
          <w:rFonts w:cs="宋体"/>
          <w:color w:val="auto"/>
          <w:sz w:val="24"/>
          <w:highlight w:val="none"/>
        </w:rPr>
        <w:t>内</w:t>
      </w:r>
      <w:r>
        <w:rPr>
          <w:rFonts w:hint="eastAsia" w:cs="宋体"/>
          <w:color w:val="auto"/>
          <w:sz w:val="24"/>
          <w:highlight w:val="none"/>
        </w:rPr>
        <w:t>交付完成且验收通过</w:t>
      </w:r>
      <w:r>
        <w:rPr>
          <w:rFonts w:hint="eastAsia" w:cs="宋体"/>
          <w:color w:val="auto"/>
          <w:sz w:val="24"/>
          <w:highlight w:val="none"/>
          <w:lang w:eastAsia="zh-CN"/>
        </w:rPr>
        <w:t>，</w:t>
      </w:r>
      <w:r>
        <w:rPr>
          <w:rFonts w:hint="eastAsia" w:cs="宋体"/>
          <w:color w:val="auto"/>
          <w:sz w:val="24"/>
          <w:highlight w:val="none"/>
        </w:rPr>
        <w:t>提供数据对接、分析、需求调研、模型调试相关的驻场开发实施服务。</w:t>
      </w:r>
    </w:p>
    <w:p w14:paraId="2219F52A">
      <w:pPr>
        <w:spacing w:line="360" w:lineRule="auto"/>
        <w:rPr>
          <w:rFonts w:hint="eastAsia" w:ascii="宋体" w:hAnsi="宋体" w:eastAsia="宋体" w:cs="宋体"/>
          <w:color w:val="auto"/>
          <w:sz w:val="24"/>
          <w:szCs w:val="24"/>
          <w:highlight w:val="none"/>
        </w:rPr>
      </w:pPr>
    </w:p>
    <w:p w14:paraId="7EFA3447">
      <w:pPr>
        <w:pStyle w:val="5"/>
        <w:tabs>
          <w:tab w:val="left" w:pos="900"/>
        </w:tabs>
        <w:adjustRightInd/>
        <w:spacing w:before="0" w:after="0" w:line="360" w:lineRule="auto"/>
        <w:ind w:left="432" w:hanging="432"/>
        <w:jc w:val="both"/>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（二）技术服务要求</w:t>
      </w:r>
    </w:p>
    <w:p w14:paraId="1FF36087">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1.▲如采购人在项目运行中发现中标人所供产品、服务、数据等内容不满足本项目技术条款和相关标准、规范要求，采购人有权要求中标人修改完善或增加，为此引起的一切费用由中标人负责</w:t>
      </w:r>
    </w:p>
    <w:p w14:paraId="02FDCF2B">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技术规格中涉及的业务系统集成和数据对接、以及对外提供数据接口相关的所有内容，以及与学校数据资产门户等内容的对接服务等均属于交付内容；UI视觉设计的色系、样式布局、按钮风格等以及下载文件模板样式需与一期</w:t>
      </w:r>
      <w:r>
        <w:rPr>
          <w:rFonts w:hint="eastAsia" w:ascii="宋体" w:hAnsi="宋体" w:cs="宋体"/>
          <w:color w:val="auto"/>
          <w:sz w:val="24"/>
          <w:highlight w:val="none"/>
          <w:lang w:val="en-US" w:eastAsia="zh-CN"/>
        </w:rPr>
        <w:t>和二期</w:t>
      </w:r>
      <w:r>
        <w:rPr>
          <w:rFonts w:hint="eastAsia" w:ascii="宋体" w:hAnsi="宋体" w:cs="宋体"/>
          <w:color w:val="auto"/>
          <w:sz w:val="24"/>
          <w:highlight w:val="none"/>
        </w:rPr>
        <w:t>保持一致。以上所产生的一切费用均由中标人承担，包括但不限于接口费、人员费等，交钥匙工程。</w:t>
      </w:r>
    </w:p>
    <w:p w14:paraId="671940E2">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3.服务要求细则</w:t>
      </w:r>
    </w:p>
    <w:p w14:paraId="5876E812">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cs="宋体"/>
          <w:color w:val="auto"/>
          <w:sz w:val="24"/>
          <w:highlight w:val="none"/>
        </w:rPr>
        <w:t>实施期间开发人员现场驻点开发，驻场</w:t>
      </w:r>
      <w:r>
        <w:rPr>
          <w:rFonts w:hint="eastAsia" w:cs="宋体"/>
          <w:color w:val="auto"/>
          <w:sz w:val="24"/>
          <w:highlight w:val="none"/>
        </w:rPr>
        <w:t>服务人员包括项目经理一人，数据分析人员两人，需求分析师</w:t>
      </w:r>
      <w:r>
        <w:rPr>
          <w:rFonts w:hint="eastAsia" w:cs="宋体"/>
          <w:color w:val="auto"/>
          <w:sz w:val="24"/>
          <w:highlight w:val="none"/>
          <w:lang w:val="en-US" w:eastAsia="zh-CN"/>
        </w:rPr>
        <w:t>一</w:t>
      </w:r>
      <w:r>
        <w:rPr>
          <w:rFonts w:hint="eastAsia" w:cs="宋体"/>
          <w:color w:val="auto"/>
          <w:sz w:val="24"/>
          <w:highlight w:val="none"/>
        </w:rPr>
        <w:t>人</w:t>
      </w:r>
      <w:r>
        <w:rPr>
          <w:rFonts w:hint="eastAsia" w:ascii="宋体" w:hAnsi="宋体" w:cs="宋体"/>
          <w:color w:val="auto"/>
          <w:sz w:val="24"/>
          <w:highlight w:val="none"/>
        </w:rPr>
        <w:t>，视觉开发师</w:t>
      </w:r>
      <w:r>
        <w:rPr>
          <w:rFonts w:hint="eastAsia" w:ascii="宋体" w:hAnsi="宋体" w:cs="宋体"/>
          <w:color w:val="auto"/>
          <w:sz w:val="24"/>
          <w:highlight w:val="none"/>
          <w:lang w:val="en-US" w:eastAsia="zh-CN"/>
        </w:rPr>
        <w:t>一</w:t>
      </w:r>
      <w:r>
        <w:rPr>
          <w:rFonts w:hint="eastAsia" w:ascii="宋体" w:hAnsi="宋体" w:cs="宋体"/>
          <w:color w:val="auto"/>
          <w:sz w:val="24"/>
          <w:highlight w:val="none"/>
        </w:rPr>
        <w:t>人，由采购人提供场地，就餐等费用自理。验收完成后免费运行维护期内提供至少1个固定人员驻场服务，驻点人员需得到采购人认可。</w:t>
      </w:r>
    </w:p>
    <w:p w14:paraId="7C99F697">
      <w:pPr>
        <w:spacing w:line="360" w:lineRule="auto"/>
        <w:rPr>
          <w:rFonts w:hint="eastAsia" w:ascii="宋体" w:hAnsi="宋体" w:eastAsia="宋体" w:cs="宋体"/>
          <w:color w:val="auto"/>
          <w:sz w:val="24"/>
          <w:szCs w:val="24"/>
          <w:highlight w:val="none"/>
        </w:rPr>
      </w:pPr>
    </w:p>
    <w:p w14:paraId="62F9FA80">
      <w:pPr>
        <w:pStyle w:val="5"/>
        <w:tabs>
          <w:tab w:val="left" w:pos="900"/>
        </w:tabs>
        <w:adjustRightInd/>
        <w:spacing w:before="0" w:after="0" w:line="360" w:lineRule="auto"/>
        <w:ind w:left="432" w:hanging="432"/>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（三）权利保证</w:t>
      </w:r>
    </w:p>
    <w:p w14:paraId="7139E858">
      <w:pPr>
        <w:widowControl/>
        <w:spacing w:line="360" w:lineRule="auto"/>
        <w:ind w:right="-514" w:firstLine="480" w:firstLineChars="200"/>
        <w:rPr>
          <w:rFonts w:hint="eastAsia"/>
          <w:color w:val="auto"/>
          <w:sz w:val="24"/>
          <w:highlight w:val="none"/>
        </w:rPr>
      </w:pPr>
      <w:r>
        <w:rPr>
          <w:rFonts w:hint="eastAsia"/>
          <w:color w:val="auto"/>
          <w:sz w:val="24"/>
          <w:highlight w:val="none"/>
        </w:rPr>
        <w:t>1.</w:t>
      </w:r>
      <w:r>
        <w:rPr>
          <w:rFonts w:hint="eastAsia"/>
          <w:color w:val="auto"/>
          <w:sz w:val="24"/>
          <w:highlight w:val="none"/>
          <w:lang w:val="en-US" w:eastAsia="zh-CN"/>
        </w:rPr>
        <w:t>投标人</w:t>
      </w:r>
      <w:r>
        <w:rPr>
          <w:rFonts w:hint="eastAsia"/>
          <w:color w:val="auto"/>
          <w:sz w:val="24"/>
          <w:highlight w:val="none"/>
        </w:rPr>
        <w:t>承诺，其在受托开发本项目中，不会侵犯第三方的知识产权，同时，在交付本项目成果中也不会涉及或非法使用第三方的知识产权。若出现侵权行为，由</w:t>
      </w:r>
      <w:r>
        <w:rPr>
          <w:rFonts w:hint="eastAsia"/>
          <w:color w:val="auto"/>
          <w:sz w:val="24"/>
          <w:highlight w:val="none"/>
          <w:lang w:val="en-US" w:eastAsia="zh-CN"/>
        </w:rPr>
        <w:t>中标人</w:t>
      </w:r>
      <w:r>
        <w:rPr>
          <w:rFonts w:hint="eastAsia"/>
          <w:color w:val="auto"/>
          <w:sz w:val="24"/>
          <w:highlight w:val="none"/>
        </w:rPr>
        <w:t>全权负责，与采购方无关。</w:t>
      </w:r>
    </w:p>
    <w:p w14:paraId="36016708">
      <w:pPr>
        <w:widowControl/>
        <w:spacing w:line="360" w:lineRule="auto"/>
        <w:ind w:right="-514" w:firstLine="480" w:firstLineChars="200"/>
        <w:rPr>
          <w:rFonts w:hint="eastAsia" w:ascii="宋体" w:hAnsi="宋体" w:eastAsia="宋体" w:cs="宋体"/>
          <w:color w:val="auto"/>
          <w:sz w:val="24"/>
          <w:szCs w:val="24"/>
          <w:highlight w:val="none"/>
          <w:lang w:eastAsia="zh-CN"/>
        </w:rPr>
      </w:pPr>
      <w:r>
        <w:rPr>
          <w:rFonts w:hint="eastAsia"/>
          <w:color w:val="auto"/>
          <w:sz w:val="24"/>
          <w:highlight w:val="none"/>
        </w:rPr>
        <w:t>2.任何因采购</w:t>
      </w:r>
      <w:r>
        <w:rPr>
          <w:rFonts w:hint="eastAsia"/>
          <w:color w:val="auto"/>
          <w:sz w:val="24"/>
          <w:highlight w:val="none"/>
          <w:lang w:val="en-US" w:eastAsia="zh-CN"/>
        </w:rPr>
        <w:t>人</w:t>
      </w:r>
      <w:r>
        <w:rPr>
          <w:rFonts w:hint="eastAsia"/>
          <w:color w:val="auto"/>
          <w:sz w:val="24"/>
          <w:highlight w:val="none"/>
        </w:rPr>
        <w:t>使用本项目的成果而引起对第三方知识产权的侵权诉讼，</w:t>
      </w:r>
      <w:r>
        <w:rPr>
          <w:rFonts w:hint="eastAsia"/>
          <w:color w:val="auto"/>
          <w:sz w:val="24"/>
          <w:highlight w:val="none"/>
          <w:lang w:val="en-US" w:eastAsia="zh-CN"/>
        </w:rPr>
        <w:t>中标人</w:t>
      </w:r>
      <w:r>
        <w:rPr>
          <w:rFonts w:hint="eastAsia"/>
          <w:color w:val="auto"/>
          <w:sz w:val="24"/>
          <w:highlight w:val="none"/>
        </w:rPr>
        <w:t>应积极协助采购</w:t>
      </w:r>
      <w:r>
        <w:rPr>
          <w:rFonts w:hint="eastAsia"/>
          <w:color w:val="auto"/>
          <w:sz w:val="24"/>
          <w:highlight w:val="none"/>
          <w:lang w:val="en-US" w:eastAsia="zh-CN"/>
        </w:rPr>
        <w:t>人</w:t>
      </w:r>
      <w:r>
        <w:rPr>
          <w:rFonts w:hint="eastAsia"/>
          <w:color w:val="auto"/>
          <w:sz w:val="24"/>
          <w:highlight w:val="none"/>
        </w:rPr>
        <w:t>进行抗辩。如确因本项目成果引起的侵权，投标</w:t>
      </w:r>
      <w:r>
        <w:rPr>
          <w:rFonts w:hint="eastAsia"/>
          <w:color w:val="auto"/>
          <w:sz w:val="24"/>
          <w:highlight w:val="none"/>
          <w:lang w:val="en-US" w:eastAsia="zh-CN"/>
        </w:rPr>
        <w:t>人</w:t>
      </w:r>
      <w:r>
        <w:rPr>
          <w:rFonts w:hint="eastAsia"/>
          <w:color w:val="auto"/>
          <w:sz w:val="24"/>
          <w:highlight w:val="none"/>
        </w:rPr>
        <w:t>应承担所有的赔偿责任，包括采购</w:t>
      </w:r>
      <w:r>
        <w:rPr>
          <w:rFonts w:hint="eastAsia"/>
          <w:color w:val="auto"/>
          <w:sz w:val="24"/>
          <w:highlight w:val="none"/>
          <w:lang w:val="en-US" w:eastAsia="zh-CN"/>
        </w:rPr>
        <w:t>人</w:t>
      </w:r>
      <w:r>
        <w:rPr>
          <w:rFonts w:hint="eastAsia"/>
          <w:color w:val="auto"/>
          <w:sz w:val="24"/>
          <w:highlight w:val="none"/>
        </w:rPr>
        <w:t>因诉讼产生的一切费用，包括但不限于诉讼费、仲裁费、调查费、律师费等。</w:t>
      </w:r>
    </w:p>
    <w:p w14:paraId="082901BA">
      <w:pPr>
        <w:spacing w:line="360" w:lineRule="auto"/>
        <w:rPr>
          <w:rFonts w:hint="eastAsia" w:ascii="宋体" w:hAnsi="宋体" w:eastAsia="宋体" w:cs="宋体"/>
          <w:color w:val="auto"/>
          <w:sz w:val="24"/>
          <w:szCs w:val="24"/>
          <w:highlight w:val="none"/>
        </w:rPr>
      </w:pPr>
    </w:p>
    <w:p w14:paraId="72727992">
      <w:pPr>
        <w:pStyle w:val="5"/>
        <w:tabs>
          <w:tab w:val="left" w:pos="900"/>
        </w:tabs>
        <w:adjustRightInd/>
        <w:spacing w:before="0" w:after="0" w:line="360" w:lineRule="auto"/>
        <w:ind w:left="432" w:hanging="432"/>
        <w:jc w:val="both"/>
        <w:rPr>
          <w:rFonts w:hint="eastAsia" w:ascii="Times New Roman" w:hAnsi="Times New Roman" w:eastAsia="宋体" w:cs="Times New Roman"/>
          <w:b/>
          <w:color w:val="auto"/>
          <w:sz w:val="24"/>
          <w:szCs w:val="24"/>
          <w:highlight w:val="none"/>
          <w:lang w:val="en-US"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四</w:t>
      </w:r>
      <w:r>
        <w:rPr>
          <w:rFonts w:hint="eastAsia" w:ascii="宋体" w:hAnsi="宋体" w:eastAsia="宋体" w:cs="宋体"/>
          <w:color w:val="auto"/>
          <w:sz w:val="24"/>
          <w:szCs w:val="24"/>
          <w:highlight w:val="none"/>
          <w:lang w:eastAsia="zh-CN"/>
        </w:rPr>
        <w:t>）</w:t>
      </w:r>
      <w:r>
        <w:rPr>
          <w:rFonts w:hint="eastAsia" w:ascii="Times New Roman" w:hAnsi="Times New Roman" w:eastAsia="宋体" w:cs="Times New Roman"/>
          <w:b/>
          <w:color w:val="auto"/>
          <w:sz w:val="24"/>
          <w:szCs w:val="24"/>
          <w:highlight w:val="none"/>
          <w:lang w:val="en-US" w:eastAsia="zh-CN"/>
        </w:rPr>
        <w:t>知识产权</w:t>
      </w:r>
    </w:p>
    <w:p w14:paraId="2C28D617">
      <w:pPr>
        <w:widowControl/>
        <w:spacing w:line="360" w:lineRule="auto"/>
        <w:ind w:right="-514" w:firstLine="480" w:firstLineChars="200"/>
        <w:rPr>
          <w:color w:val="auto"/>
          <w:sz w:val="24"/>
          <w:highlight w:val="none"/>
        </w:rPr>
      </w:pPr>
      <w:r>
        <w:rPr>
          <w:color w:val="auto"/>
          <w:sz w:val="24"/>
          <w:highlight w:val="none"/>
        </w:rPr>
        <w:t>1.本项目定制开发软件部分的所有权和知识产权归采购人所有</w:t>
      </w:r>
      <w:r>
        <w:rPr>
          <w:rFonts w:hint="eastAsia"/>
          <w:color w:val="auto"/>
          <w:sz w:val="24"/>
          <w:highlight w:val="none"/>
        </w:rPr>
        <w:t>。</w:t>
      </w:r>
    </w:p>
    <w:p w14:paraId="4151709D">
      <w:pPr>
        <w:widowControl/>
        <w:spacing w:line="360" w:lineRule="auto"/>
        <w:ind w:right="-514" w:firstLine="480" w:firstLineChars="200"/>
        <w:rPr>
          <w:color w:val="auto"/>
          <w:sz w:val="24"/>
          <w:highlight w:val="none"/>
        </w:rPr>
      </w:pPr>
      <w:r>
        <w:rPr>
          <w:color w:val="auto"/>
          <w:sz w:val="24"/>
          <w:highlight w:val="none"/>
        </w:rPr>
        <w:t>2.软件个性化开发涉及的源代码（含免费维护期内的后续升级版本）遵循相关标准和规范并无条件提交给采购人。</w:t>
      </w:r>
    </w:p>
    <w:p w14:paraId="6F36596D">
      <w:pPr>
        <w:widowControl/>
        <w:spacing w:line="360" w:lineRule="auto"/>
        <w:ind w:right="-514" w:firstLine="480" w:firstLineChars="200"/>
        <w:rPr>
          <w:color w:val="auto"/>
          <w:sz w:val="24"/>
          <w:highlight w:val="none"/>
        </w:rPr>
      </w:pPr>
      <w:r>
        <w:rPr>
          <w:rFonts w:hint="eastAsia"/>
          <w:color w:val="auto"/>
          <w:sz w:val="24"/>
          <w:highlight w:val="none"/>
        </w:rPr>
        <w:t>3</w:t>
      </w:r>
      <w:r>
        <w:rPr>
          <w:color w:val="auto"/>
          <w:sz w:val="24"/>
          <w:highlight w:val="none"/>
        </w:rPr>
        <w:t>.</w:t>
      </w:r>
      <w:r>
        <w:rPr>
          <w:rFonts w:hint="eastAsia"/>
          <w:color w:val="auto"/>
          <w:sz w:val="24"/>
          <w:highlight w:val="none"/>
          <w:lang w:val="en-US" w:eastAsia="zh-CN"/>
        </w:rPr>
        <w:t>投标人</w:t>
      </w:r>
      <w:r>
        <w:rPr>
          <w:color w:val="auto"/>
          <w:sz w:val="24"/>
          <w:highlight w:val="none"/>
        </w:rPr>
        <w:t>应保证校方在使用、接受产品或其任何一部分时不受第三方提出侵犯其专利权、版权、商标权和工业设计权等知识产权的起诉。一旦出现侵权，由</w:t>
      </w:r>
      <w:r>
        <w:rPr>
          <w:rFonts w:hint="eastAsia"/>
          <w:color w:val="auto"/>
          <w:sz w:val="24"/>
          <w:highlight w:val="none"/>
          <w:lang w:val="en-US" w:eastAsia="zh-CN"/>
        </w:rPr>
        <w:t>中标人</w:t>
      </w:r>
      <w:r>
        <w:rPr>
          <w:color w:val="auto"/>
          <w:sz w:val="24"/>
          <w:highlight w:val="none"/>
        </w:rPr>
        <w:t>负全部责任。</w:t>
      </w:r>
    </w:p>
    <w:p w14:paraId="6E32F0AA">
      <w:pPr>
        <w:widowControl/>
        <w:spacing w:line="360" w:lineRule="auto"/>
        <w:ind w:right="-514" w:firstLine="480" w:firstLineChars="200"/>
        <w:rPr>
          <w:color w:val="auto"/>
          <w:sz w:val="24"/>
          <w:highlight w:val="none"/>
        </w:rPr>
      </w:pPr>
      <w:r>
        <w:rPr>
          <w:rFonts w:hint="eastAsia"/>
          <w:color w:val="auto"/>
          <w:sz w:val="24"/>
          <w:highlight w:val="none"/>
          <w:lang w:val="en-US" w:eastAsia="zh-CN"/>
        </w:rPr>
        <w:t>4</w:t>
      </w:r>
      <w:r>
        <w:rPr>
          <w:color w:val="auto"/>
          <w:sz w:val="24"/>
          <w:highlight w:val="none"/>
        </w:rPr>
        <w:t>.在开发、使用和维护过程中接触到的采购人所有资料，未经采购人授权代表书面许可，不得留存、私自查阅及向任何第三方泄露。</w:t>
      </w:r>
    </w:p>
    <w:p w14:paraId="6D560402">
      <w:pPr>
        <w:widowControl/>
        <w:spacing w:line="360" w:lineRule="auto"/>
        <w:ind w:right="-514" w:firstLine="480" w:firstLineChars="200"/>
        <w:rPr>
          <w:rFonts w:hint="eastAsia" w:ascii="宋体" w:hAnsi="宋体" w:eastAsia="宋体" w:cs="宋体"/>
          <w:color w:val="auto"/>
          <w:sz w:val="24"/>
          <w:szCs w:val="24"/>
          <w:highlight w:val="none"/>
          <w:lang w:eastAsia="zh-CN"/>
        </w:rPr>
      </w:pPr>
      <w:r>
        <w:rPr>
          <w:rFonts w:hint="eastAsia"/>
          <w:color w:val="auto"/>
          <w:sz w:val="24"/>
          <w:highlight w:val="none"/>
          <w:lang w:val="en-US" w:eastAsia="zh-CN"/>
        </w:rPr>
        <w:t>5</w:t>
      </w:r>
      <w:r>
        <w:rPr>
          <w:color w:val="auto"/>
          <w:sz w:val="24"/>
          <w:highlight w:val="none"/>
        </w:rPr>
        <w:t>.设计开发专利申请权、技术秘密的使用权和转让权归采购人所有。</w:t>
      </w:r>
    </w:p>
    <w:p w14:paraId="785A743E">
      <w:pPr>
        <w:widowControl/>
        <w:spacing w:line="360" w:lineRule="auto"/>
        <w:ind w:right="-514" w:firstLine="480" w:firstLineChars="200"/>
        <w:rPr>
          <w:rFonts w:hint="eastAsia" w:ascii="宋体" w:hAnsi="宋体" w:eastAsia="宋体" w:cs="宋体"/>
          <w:color w:val="auto"/>
          <w:sz w:val="24"/>
          <w:szCs w:val="24"/>
          <w:highlight w:val="none"/>
          <w:lang w:eastAsia="zh-CN"/>
        </w:rPr>
      </w:pPr>
    </w:p>
    <w:p w14:paraId="05386316">
      <w:pPr>
        <w:pStyle w:val="5"/>
        <w:tabs>
          <w:tab w:val="left" w:pos="900"/>
        </w:tabs>
        <w:adjustRightInd/>
        <w:spacing w:before="0" w:after="0" w:line="360" w:lineRule="auto"/>
        <w:ind w:left="432" w:hanging="432"/>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（五）交付地点</w:t>
      </w:r>
    </w:p>
    <w:p w14:paraId="2B62C1EC">
      <w:pPr>
        <w:widowControl/>
        <w:numPr>
          <w:ilvl w:val="0"/>
          <w:numId w:val="0"/>
        </w:numPr>
        <w:spacing w:line="360" w:lineRule="auto"/>
        <w:ind w:right="-514" w:rightChars="0" w:firstLine="480" w:firstLineChars="200"/>
        <w:rPr>
          <w:rFonts w:hint="eastAsia" w:ascii="宋体" w:hAnsi="宋体" w:eastAsia="宋体" w:cs="宋体"/>
          <w:color w:val="auto"/>
          <w:sz w:val="24"/>
          <w:szCs w:val="24"/>
          <w:highlight w:val="none"/>
          <w:lang w:eastAsia="zh-CN"/>
        </w:rPr>
      </w:pPr>
      <w:r>
        <w:rPr>
          <w:rFonts w:hint="eastAsia" w:ascii="Times New Roman" w:hAnsi="Times New Roman" w:eastAsia="宋体" w:cs="Times New Roman"/>
          <w:b w:val="0"/>
          <w:bCs w:val="0"/>
          <w:color w:val="auto"/>
          <w:kern w:val="2"/>
          <w:sz w:val="24"/>
          <w:szCs w:val="20"/>
          <w:highlight w:val="none"/>
          <w:lang w:val="en-US" w:eastAsia="zh-CN" w:bidi="ar-SA"/>
        </w:rPr>
        <w:t>采购人指定地点。</w:t>
      </w:r>
    </w:p>
    <w:p w14:paraId="312FEF48">
      <w:pPr>
        <w:widowControl/>
        <w:spacing w:line="360" w:lineRule="auto"/>
        <w:ind w:right="-514" w:firstLine="480" w:firstLineChars="200"/>
        <w:rPr>
          <w:rFonts w:hint="eastAsia" w:ascii="宋体" w:hAnsi="宋体" w:eastAsia="宋体" w:cs="宋体"/>
          <w:color w:val="auto"/>
          <w:sz w:val="24"/>
          <w:szCs w:val="24"/>
          <w:highlight w:val="none"/>
          <w:lang w:eastAsia="zh-CN"/>
        </w:rPr>
      </w:pPr>
    </w:p>
    <w:p w14:paraId="550C7932">
      <w:pPr>
        <w:pStyle w:val="5"/>
        <w:tabs>
          <w:tab w:val="left" w:pos="900"/>
        </w:tabs>
        <w:adjustRightInd/>
        <w:spacing w:before="0" w:after="0" w:line="360" w:lineRule="auto"/>
        <w:ind w:left="432" w:hanging="432"/>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（六）验收要求</w:t>
      </w:r>
    </w:p>
    <w:p w14:paraId="7475BA62">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590B3625">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2.采购人可以邀请参加本项目的其他投标人或者第三方机构参与验收。参与验收的投标人或者第三方机构的意见作为验收书的参考资料一并存档。</w:t>
      </w:r>
    </w:p>
    <w:p w14:paraId="3E5895A0">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0872D0F8">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4AB6E54A">
      <w:pPr>
        <w:spacing w:line="360" w:lineRule="auto"/>
        <w:ind w:firstLine="480" w:firstLineChars="200"/>
        <w:rPr>
          <w:rFonts w:hint="eastAsia" w:ascii="宋体" w:hAnsi="宋体" w:cs="宋体"/>
          <w:color w:val="auto"/>
          <w:sz w:val="24"/>
          <w:highlight w:val="none"/>
        </w:rPr>
      </w:pPr>
    </w:p>
    <w:p w14:paraId="23E8D728">
      <w:pPr>
        <w:pStyle w:val="5"/>
        <w:tabs>
          <w:tab w:val="left" w:pos="900"/>
        </w:tabs>
        <w:adjustRightInd/>
        <w:spacing w:before="0" w:after="0" w:line="360" w:lineRule="auto"/>
        <w:ind w:left="432" w:hanging="432"/>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（七）培训</w:t>
      </w:r>
    </w:p>
    <w:p w14:paraId="702B8FD0">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需要</w:t>
      </w:r>
      <w:r>
        <w:rPr>
          <w:rFonts w:hint="eastAsia" w:ascii="宋体" w:hAnsi="宋体" w:cs="宋体"/>
          <w:color w:val="auto"/>
          <w:sz w:val="24"/>
          <w:highlight w:val="none"/>
          <w:lang w:val="en-US" w:eastAsia="zh-CN"/>
        </w:rPr>
        <w:t>投标人</w:t>
      </w:r>
      <w:r>
        <w:rPr>
          <w:rFonts w:hint="eastAsia" w:ascii="宋体" w:hAnsi="宋体" w:cs="宋体"/>
          <w:color w:val="auto"/>
          <w:sz w:val="24"/>
          <w:highlight w:val="none"/>
        </w:rPr>
        <w:t>提供详细的培训方案、培训内容、培训计划、软件使用、后期维护。需要提供以下几方面关于培训的描述：</w:t>
      </w:r>
    </w:p>
    <w:p w14:paraId="1D6598C7">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1.运行管理培训</w:t>
      </w:r>
    </w:p>
    <w:p w14:paraId="69D67190">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为了使采购人的相关人员掌握有关应用软件的使用、维护和管理方法，达到能独立进行管理、故障处理、日常测试和维护等工作的目的，应进行软件的技术培训，以保证所建设的软件能够正常、安全、平稳地运行。</w:t>
      </w:r>
    </w:p>
    <w:p w14:paraId="0F33A4B7">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2.培训要求：</w:t>
      </w:r>
    </w:p>
    <w:p w14:paraId="699E89B8">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所有的培训教材必须用中文授课；</w:t>
      </w:r>
    </w:p>
    <w:p w14:paraId="4D110911">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投标人必须为所有被培训人员提供培训用文字资料和讲义等相关材料；投标人应按合同规定安排培训时间和培训名额；</w:t>
      </w:r>
    </w:p>
    <w:p w14:paraId="2713D20D">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3.培训方式：</w:t>
      </w:r>
    </w:p>
    <w:p w14:paraId="029AD144">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包括课堂讲解、上机操作和实际工作的参与。</w:t>
      </w:r>
    </w:p>
    <w:p w14:paraId="31D58ABE">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4.培训工作的内容和对象描述：</w:t>
      </w:r>
    </w:p>
    <w:p w14:paraId="54B4C57E">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投标人进行的培训工作包括了培训方案的设计、培训制度的制定、培训开发、培训实施和培训效果评估，及时监控培训效果，保证培训课程符合中国美术学院实际的需要。在软件运行（含试运行）的各个阶段相应的培训内容描述，培训阶段安排包括：软件维护人员培训和软件使用人员培训。各个阶段描述标题包括：培训内容、培训教师水平、参加对象、授课时间和上机操作时间。</w:t>
      </w:r>
    </w:p>
    <w:p w14:paraId="3BDA8930">
      <w:pPr>
        <w:spacing w:line="360" w:lineRule="auto"/>
        <w:ind w:firstLine="480" w:firstLineChars="200"/>
        <w:rPr>
          <w:rFonts w:hint="eastAsia" w:ascii="宋体" w:hAnsi="宋体" w:cs="宋体"/>
          <w:color w:val="auto"/>
          <w:sz w:val="24"/>
          <w:highlight w:val="none"/>
        </w:rPr>
      </w:pPr>
    </w:p>
    <w:p w14:paraId="4F812F67">
      <w:pPr>
        <w:pStyle w:val="5"/>
        <w:tabs>
          <w:tab w:val="left" w:pos="900"/>
        </w:tabs>
        <w:adjustRightInd/>
        <w:spacing w:before="0" w:after="0" w:line="360" w:lineRule="auto"/>
        <w:ind w:left="432" w:hanging="432"/>
        <w:jc w:val="both"/>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八</w:t>
      </w:r>
      <w:r>
        <w:rPr>
          <w:rFonts w:hint="eastAsia" w:ascii="宋体" w:hAnsi="宋体" w:eastAsia="宋体" w:cs="宋体"/>
          <w:color w:val="auto"/>
          <w:sz w:val="24"/>
          <w:szCs w:val="24"/>
          <w:highlight w:val="none"/>
          <w:lang w:val="en-US"/>
        </w:rPr>
        <w:t>）售后服务保障要求</w:t>
      </w:r>
    </w:p>
    <w:p w14:paraId="45882414">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免费运行维护期一年，从通过验收之日起计算。供应商应向采购人提供完善周到的售后技术服务，提供售后服务质量保障方案，建立完善的售后服务管理体系并提供专业的售后服务实施及维护人员，保证系统的正常运行措施，免费运行维护期内提供免费技术支持、保修、系统升级和维护，不得另行收取其他费用，且免费运行维护期内的服务方式均为供应商上门保修，即由供应商到采购人使用现场维修，产生的一切费用均由供应商承担；</w:t>
      </w:r>
    </w:p>
    <w:p w14:paraId="7B6B3996">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供应商需提供7×24小时服务。对于系统在使用过程中出现的问题，在1小时内响应。如遇与所供系统有关的问题无法远程解决的，一般性故障解决问题时间不超过4小时，重大故障4小时内给出解决方案并提供临时应急处置措施，重大故障解决问题时间不超过72小时。因供应商工作延误，造成采购人损失的，供应商应负赔偿责任，具体赔偿方案在签订合同时订立。在免费运行维护期内，供应商对平台出现的技术问题负责处理解决并承担一切费用；</w:t>
      </w:r>
    </w:p>
    <w:p w14:paraId="62865800">
      <w:pPr>
        <w:spacing w:line="360" w:lineRule="auto"/>
        <w:rPr>
          <w:rFonts w:hint="eastAsia" w:ascii="宋体" w:hAnsi="宋体" w:eastAsia="宋体" w:cs="宋体"/>
          <w:color w:val="auto"/>
          <w:sz w:val="24"/>
          <w:szCs w:val="24"/>
          <w:highlight w:val="none"/>
        </w:rPr>
      </w:pPr>
    </w:p>
    <w:p w14:paraId="260063CC">
      <w:pPr>
        <w:pStyle w:val="5"/>
        <w:tabs>
          <w:tab w:val="left" w:pos="900"/>
        </w:tabs>
        <w:spacing w:line="240" w:lineRule="auto"/>
        <w:ind w:left="432" w:hanging="432"/>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三、商务条款</w:t>
      </w:r>
    </w:p>
    <w:p w14:paraId="5550398E">
      <w:pPr>
        <w:pStyle w:val="5"/>
        <w:tabs>
          <w:tab w:val="left" w:pos="900"/>
        </w:tabs>
        <w:adjustRightInd/>
        <w:spacing w:before="0" w:after="0" w:line="360" w:lineRule="auto"/>
        <w:ind w:left="432" w:hanging="432"/>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（一）▲履约保证金</w:t>
      </w:r>
    </w:p>
    <w:p w14:paraId="52A80D72">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1.合同签订后5个工作日内，中标人向采购人提交合同总价1%的履约保证金，履约保证金在合同履约期间无违约情形的，项目验收合格后，于一周内退还（不计息）。</w:t>
      </w:r>
    </w:p>
    <w:p w14:paraId="4582BD9C">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2.履约保证金提交方式：支票、汇票、本票或金融机构、担保机构出具的保函等非现金形式。</w:t>
      </w:r>
    </w:p>
    <w:p w14:paraId="62D7DF55">
      <w:pPr>
        <w:spacing w:line="360" w:lineRule="auto"/>
        <w:rPr>
          <w:rFonts w:hint="eastAsia" w:ascii="宋体" w:hAnsi="宋体" w:eastAsia="宋体" w:cs="宋体"/>
          <w:color w:val="auto"/>
          <w:sz w:val="24"/>
          <w:szCs w:val="24"/>
          <w:highlight w:val="none"/>
        </w:rPr>
      </w:pPr>
    </w:p>
    <w:p w14:paraId="2D56A19B">
      <w:pPr>
        <w:pStyle w:val="5"/>
        <w:tabs>
          <w:tab w:val="left" w:pos="900"/>
        </w:tabs>
        <w:adjustRightInd/>
        <w:spacing w:before="0" w:after="0" w:line="360" w:lineRule="auto"/>
        <w:ind w:left="432" w:hanging="432"/>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（二）▲付款方式</w:t>
      </w:r>
    </w:p>
    <w:p w14:paraId="33ABA989">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1.合同生效以及具备实施条件后7个工作日内，且中标人已向采购人提交履约保证金或履约保函的，采购人向中标人支付合同总价的</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rPr>
        <w:t>0%；项目履约完成，经采购人验收合格且收到中标人开具的合法有效发票后，采购人于7个工作日内向中标人支付剩余合同价款。</w:t>
      </w:r>
    </w:p>
    <w:p w14:paraId="73C6978E">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2.中标人应在采购人付款前提供符合采购人要求的等额合法有效的发票，如中标人未提供符合采购人要求的等额合法有效发票的，采购人有权暂缓付款而不视为违约。</w:t>
      </w:r>
    </w:p>
    <w:p w14:paraId="23041F5D">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3.在签订合同时，中标人明确表示无需预付款或者主动要求降低预付款比例的，可降低预付款比例。</w:t>
      </w:r>
    </w:p>
    <w:p w14:paraId="6B37128B">
      <w:pPr>
        <w:spacing w:line="360" w:lineRule="auto"/>
        <w:rPr>
          <w:rFonts w:hint="eastAsia" w:ascii="宋体" w:hAnsi="宋体" w:eastAsia="宋体" w:cs="宋体"/>
          <w:color w:val="auto"/>
          <w:sz w:val="24"/>
          <w:szCs w:val="24"/>
          <w:highlight w:val="none"/>
        </w:rPr>
      </w:pPr>
    </w:p>
    <w:p w14:paraId="1614B44F">
      <w:pPr>
        <w:pStyle w:val="5"/>
        <w:tabs>
          <w:tab w:val="left" w:pos="900"/>
        </w:tabs>
        <w:adjustRightInd/>
        <w:spacing w:before="0" w:after="0" w:line="360" w:lineRule="auto"/>
        <w:ind w:left="432" w:hanging="432"/>
        <w:jc w:val="both"/>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三</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合同履行</w:t>
      </w:r>
    </w:p>
    <w:p w14:paraId="314EDEAE">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必须由投标主体履行合同。</w:t>
      </w:r>
    </w:p>
    <w:p w14:paraId="36FE4C8E">
      <w:pPr>
        <w:spacing w:line="360" w:lineRule="auto"/>
        <w:rPr>
          <w:rFonts w:hint="eastAsia" w:ascii="宋体" w:hAnsi="宋体" w:eastAsia="宋体" w:cs="宋体"/>
          <w:color w:val="auto"/>
          <w:sz w:val="24"/>
          <w:szCs w:val="24"/>
          <w:highlight w:val="none"/>
        </w:rPr>
      </w:pPr>
    </w:p>
    <w:p w14:paraId="4C48A66D">
      <w:pPr>
        <w:pStyle w:val="5"/>
        <w:tabs>
          <w:tab w:val="left" w:pos="900"/>
        </w:tabs>
        <w:spacing w:line="240" w:lineRule="auto"/>
        <w:ind w:left="432" w:hanging="432"/>
        <w:rPr>
          <w:rFonts w:ascii="宋体" w:hAnsi="宋体" w:eastAsia="宋体" w:cs="宋体"/>
          <w:b/>
          <w:bCs/>
          <w:color w:val="auto"/>
          <w:sz w:val="24"/>
          <w:szCs w:val="24"/>
          <w:highlight w:val="none"/>
        </w:rPr>
      </w:pPr>
      <w:r>
        <w:rPr>
          <w:rFonts w:hint="eastAsia" w:ascii="宋体" w:hAnsi="宋体" w:eastAsia="宋体" w:cs="宋体"/>
          <w:b/>
          <w:bCs/>
          <w:color w:val="auto"/>
          <w:kern w:val="2"/>
          <w:sz w:val="24"/>
          <w:szCs w:val="24"/>
          <w:highlight w:val="none"/>
          <w:lang w:val="en-US" w:eastAsia="zh-CN" w:bidi="ar-SA"/>
        </w:rPr>
        <w:t>四、演示要求</w:t>
      </w:r>
    </w:p>
    <w:p w14:paraId="3041A1C7">
      <w:pPr>
        <w:spacing w:line="360" w:lineRule="auto"/>
        <w:ind w:left="0" w:leftChars="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（一）演示内容</w:t>
      </w:r>
    </w:p>
    <w:p w14:paraId="03B3E856">
      <w:pPr>
        <w:spacing w:line="360" w:lineRule="auto"/>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本项目要求现场讲解与演示，可通过原型、demo等多种演示方式，未提供演示不得分。演示时间不超过15分钟，演示内容要求如下：</w:t>
      </w:r>
    </w:p>
    <w:p w14:paraId="0D26E3E6">
      <w:pPr>
        <w:spacing w:line="360" w:lineRule="auto"/>
        <w:ind w:firstLine="480" w:firstLineChars="200"/>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专业培养方案学业节点与学业路径设置，可设置年级专业不同学业节点要求，可设置年级专业学业路径，学业路径可根据不同标签进行分类设置，不同学业路径下面可设置不同的培养方案要求，可复制继承年级专业学业路径或学业节点。</w:t>
      </w:r>
      <w:r>
        <w:rPr>
          <w:rFonts w:hint="eastAsia" w:ascii="宋体" w:hAnsi="宋体" w:cs="宋体"/>
          <w:color w:val="auto"/>
          <w:sz w:val="24"/>
          <w:szCs w:val="24"/>
          <w:highlight w:val="none"/>
          <w:lang w:val="en-US" w:eastAsia="zh-CN"/>
        </w:rPr>
        <w:t>(对应建设需求中PC电脑端培养方案中第4点)</w:t>
      </w:r>
    </w:p>
    <w:p w14:paraId="121A4C8A">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r>
        <w:rPr>
          <w:rFonts w:hint="eastAsia" w:ascii="宋体" w:hAnsi="宋体" w:eastAsia="宋体" w:cs="宋体"/>
          <w:i w:val="0"/>
          <w:iCs w:val="0"/>
          <w:color w:val="auto"/>
          <w:kern w:val="0"/>
          <w:sz w:val="24"/>
          <w:szCs w:val="24"/>
          <w:highlight w:val="none"/>
          <w:u w:val="none"/>
          <w:lang w:val="en-US" w:eastAsia="zh-CN" w:bidi="ar"/>
        </w:rPr>
        <w:t>主修专业毕业预审：根据主修专业毕业预审条件，审核当前毕业年份预毕业学生是否符合毕业要求，对不符合要求的标记是哪个条件不符合要求</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（对应建设需求中PC电脑端</w:t>
      </w:r>
      <w:r>
        <w:rPr>
          <w:rFonts w:hint="eastAsia" w:ascii="宋体" w:hAnsi="宋体" w:eastAsia="宋体" w:cs="宋体"/>
          <w:b/>
          <w:bCs/>
          <w:i w:val="0"/>
          <w:iCs w:val="0"/>
          <w:color w:val="auto"/>
          <w:kern w:val="0"/>
          <w:sz w:val="24"/>
          <w:szCs w:val="24"/>
          <w:highlight w:val="none"/>
          <w:u w:val="none"/>
          <w:lang w:val="en-US" w:eastAsia="zh-CN" w:bidi="ar"/>
        </w:rPr>
        <w:t>毕业资格审核</w:t>
      </w:r>
      <w:r>
        <w:rPr>
          <w:rFonts w:hint="eastAsia" w:ascii="宋体" w:hAnsi="宋体" w:cs="宋体"/>
          <w:b/>
          <w:bCs/>
          <w:i w:val="0"/>
          <w:iCs w:val="0"/>
          <w:color w:val="auto"/>
          <w:kern w:val="0"/>
          <w:sz w:val="24"/>
          <w:szCs w:val="24"/>
          <w:highlight w:val="none"/>
          <w:u w:val="none"/>
          <w:lang w:val="en-US" w:eastAsia="zh-CN" w:bidi="ar"/>
        </w:rPr>
        <w:t>中第5点</w:t>
      </w:r>
      <w:r>
        <w:rPr>
          <w:rFonts w:hint="eastAsia" w:ascii="宋体" w:hAnsi="宋体" w:cs="宋体"/>
          <w:color w:val="auto"/>
          <w:sz w:val="24"/>
          <w:szCs w:val="24"/>
          <w:highlight w:val="none"/>
          <w:lang w:val="en-US" w:eastAsia="zh-CN"/>
        </w:rPr>
        <w:t>）</w:t>
      </w:r>
    </w:p>
    <w:p w14:paraId="3E7307A7">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3、管理端学生考试信息查询，可根据学年学期，考试类别，培养层次(本科或研究生)查询学生考试安排情况，包括座位号、考试地点、考试时间等信息，同时可以导出考试安排信息</w:t>
      </w:r>
      <w:r>
        <w:rPr>
          <w:rFonts w:hint="eastAsia" w:ascii="宋体" w:hAnsi="宋体" w:cs="宋体"/>
          <w:color w:val="auto"/>
          <w:sz w:val="24"/>
          <w:szCs w:val="24"/>
          <w:highlight w:val="none"/>
          <w:lang w:val="en-US" w:eastAsia="zh-CN"/>
        </w:rPr>
        <w:t>(对应建设需求中PC电脑端考试管理中第11点)</w:t>
      </w:r>
      <w:r>
        <w:rPr>
          <w:rFonts w:hint="eastAsia" w:ascii="宋体" w:hAnsi="宋体" w:eastAsia="宋体" w:cs="宋体"/>
          <w:color w:val="auto"/>
          <w:sz w:val="24"/>
          <w:szCs w:val="24"/>
          <w:highlight w:val="none"/>
          <w:lang w:val="en-US" w:eastAsia="zh-CN"/>
        </w:rPr>
        <w:t>。</w:t>
      </w:r>
    </w:p>
    <w:p w14:paraId="59D8F69A">
      <w:pPr>
        <w:spacing w:line="360" w:lineRule="auto"/>
        <w:ind w:firstLine="480" w:firstLineChars="200"/>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4、移动端学生点名，任课教师可通过移动端查询课程学生名单，可关联学生请假信息，同时可根据上课时间，按照日期对学生进行考勤点名签到，同时任课教师可通过移动端课程签到二维码进行考勤签到。</w:t>
      </w:r>
      <w:r>
        <w:rPr>
          <w:rFonts w:hint="eastAsia" w:ascii="宋体" w:hAnsi="宋体" w:cs="宋体"/>
          <w:color w:val="auto"/>
          <w:sz w:val="24"/>
          <w:szCs w:val="24"/>
          <w:highlight w:val="none"/>
          <w:lang w:val="en-US" w:eastAsia="zh-CN"/>
        </w:rPr>
        <w:t>(对应移动端后台教师端第2点)</w:t>
      </w:r>
    </w:p>
    <w:p w14:paraId="6D8C15A2">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5、移动端课表查询，任课教师可根据月份与日期等条件，查询个人课表信息，同时可查询课程介绍等基本信息以及课程教学大纲</w:t>
      </w:r>
      <w:r>
        <w:rPr>
          <w:rFonts w:hint="eastAsia" w:ascii="宋体" w:hAnsi="宋体" w:cs="宋体"/>
          <w:color w:val="auto"/>
          <w:sz w:val="24"/>
          <w:szCs w:val="24"/>
          <w:highlight w:val="none"/>
          <w:lang w:val="en-US" w:eastAsia="zh-CN"/>
        </w:rPr>
        <w:t>，教学计划等</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（对应移动端后台教师端第3点）</w:t>
      </w:r>
    </w:p>
    <w:p w14:paraId="5EFAC3E5">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6、移动端培养方案查询，管理端可根据年级、专业大类、专业进行培养方案查询。</w:t>
      </w:r>
      <w:r>
        <w:rPr>
          <w:rFonts w:hint="eastAsia" w:ascii="宋体" w:hAnsi="宋体" w:cs="宋体"/>
          <w:color w:val="auto"/>
          <w:sz w:val="24"/>
          <w:szCs w:val="24"/>
          <w:highlight w:val="none"/>
          <w:lang w:val="en-US" w:eastAsia="zh-CN"/>
        </w:rPr>
        <w:t>（对应移动端后台管理端第5点）</w:t>
      </w:r>
    </w:p>
    <w:p w14:paraId="1C5BCFE2">
      <w:pPr>
        <w:numPr>
          <w:ilvl w:val="-1"/>
          <w:numId w:val="0"/>
        </w:numPr>
        <w:snapToGrid/>
        <w:spacing w:line="360" w:lineRule="auto"/>
        <w:ind w:left="0" w:leftChars="0" w:firstLine="480" w:firstLineChars="20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7、移动端学生请假申请，学生可在移动端自主进行请假申请，选择请假类型，请假日期以及请假节次等信息，提交请假申请。</w:t>
      </w:r>
      <w:r>
        <w:rPr>
          <w:rFonts w:hint="eastAsia" w:ascii="宋体" w:hAnsi="宋体" w:cs="宋体"/>
          <w:color w:val="auto"/>
          <w:sz w:val="24"/>
          <w:szCs w:val="24"/>
          <w:highlight w:val="none"/>
          <w:lang w:val="en-US" w:eastAsia="zh-CN"/>
        </w:rPr>
        <w:t>（对应移动端后台学生端第1点）</w:t>
      </w:r>
    </w:p>
    <w:p w14:paraId="2D03A004">
      <w:pPr>
        <w:numPr>
          <w:ilvl w:val="-1"/>
          <w:numId w:val="0"/>
        </w:numPr>
        <w:snapToGrid/>
        <w:spacing w:line="360" w:lineRule="auto"/>
        <w:ind w:left="0" w:leftChars="0" w:firstLine="480" w:firstLineChars="20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w:t>
      </w:r>
      <w:r>
        <w:rPr>
          <w:rFonts w:hint="eastAsia" w:ascii="宋体" w:hAnsi="宋体" w:eastAsia="宋体" w:cs="宋体"/>
          <w:i w:val="0"/>
          <w:iCs w:val="0"/>
          <w:color w:val="auto"/>
          <w:kern w:val="0"/>
          <w:sz w:val="24"/>
          <w:szCs w:val="24"/>
          <w:highlight w:val="none"/>
          <w:u w:val="none"/>
          <w:lang w:val="en-US" w:eastAsia="zh-CN" w:bidi="ar"/>
        </w:rPr>
        <w:t>个人信息中心</w:t>
      </w:r>
      <w:r>
        <w:rPr>
          <w:rFonts w:hint="eastAsia" w:ascii="宋体" w:hAnsi="宋体" w:cs="宋体"/>
          <w:i w:val="0"/>
          <w:iCs w:val="0"/>
          <w:color w:val="auto"/>
          <w:kern w:val="0"/>
          <w:sz w:val="24"/>
          <w:szCs w:val="24"/>
          <w:highlight w:val="none"/>
          <w:u w:val="none"/>
          <w:lang w:val="en-US" w:eastAsia="zh-CN" w:bidi="ar"/>
        </w:rPr>
        <w:t>，在个人信息中心可查询学年授课课时情况，教研信息与教研分，教学业绩以及所带研究生或博士生情况</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（对应移动端后台教师端第8点）</w:t>
      </w:r>
    </w:p>
    <w:p w14:paraId="62ADE69E">
      <w:pPr>
        <w:numPr>
          <w:ilvl w:val="-1"/>
          <w:numId w:val="0"/>
        </w:numPr>
        <w:snapToGrid/>
        <w:spacing w:line="360" w:lineRule="auto"/>
        <w:ind w:left="0" w:leftChars="0" w:firstLine="480" w:firstLineChars="20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9、列表列显示功能，在查询列表中可通过列显示功能，进行列表字段是否显示，显示位置，列宽度等进行控制设置，列表内容根据设置进行显示。</w:t>
      </w:r>
      <w:r>
        <w:rPr>
          <w:rFonts w:hint="eastAsia" w:ascii="宋体" w:hAnsi="宋体" w:cs="宋体"/>
          <w:color w:val="auto"/>
          <w:sz w:val="24"/>
          <w:szCs w:val="24"/>
          <w:highlight w:val="none"/>
          <w:lang w:val="en-US" w:eastAsia="zh-CN"/>
        </w:rPr>
        <w:t>（对应基础设置第4点）</w:t>
      </w:r>
    </w:p>
    <w:p w14:paraId="3A857EE8">
      <w:pPr>
        <w:numPr>
          <w:ilvl w:val="-1"/>
          <w:numId w:val="0"/>
        </w:numPr>
        <w:snapToGrid/>
        <w:spacing w:line="360" w:lineRule="auto"/>
        <w:ind w:left="0" w:leftChars="0" w:firstLine="480" w:firstLineChars="20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10、数据透视表功能，在查询列表中，查询出数据内容后，可通过数据透视表功能按照单个字段或者组合字段进行筛选过滤，功能参照Excel表中的数据筛选功能。</w:t>
      </w:r>
      <w:r>
        <w:rPr>
          <w:rFonts w:hint="eastAsia" w:ascii="宋体" w:hAnsi="宋体" w:cs="宋体"/>
          <w:color w:val="auto"/>
          <w:sz w:val="24"/>
          <w:szCs w:val="24"/>
          <w:highlight w:val="none"/>
          <w:lang w:val="en-US" w:eastAsia="zh-CN"/>
        </w:rPr>
        <w:t>（对应基础设置第5点）</w:t>
      </w:r>
    </w:p>
    <w:p w14:paraId="3C4CA0D6">
      <w:pPr>
        <w:numPr>
          <w:ilvl w:val="-1"/>
          <w:numId w:val="0"/>
        </w:numPr>
        <w:snapToGrid/>
        <w:spacing w:line="360" w:lineRule="auto"/>
        <w:ind w:left="0" w:leftChars="0" w:firstLine="480" w:firstLineChars="200"/>
        <w:jc w:val="left"/>
        <w:rPr>
          <w:rFonts w:hint="eastAsia" w:ascii="宋体" w:hAnsi="宋体" w:eastAsia="宋体" w:cs="宋体"/>
          <w:color w:val="auto"/>
          <w:sz w:val="24"/>
          <w:szCs w:val="24"/>
          <w:highlight w:val="none"/>
          <w:lang w:val="en-US" w:eastAsia="zh-CN"/>
        </w:rPr>
      </w:pPr>
    </w:p>
    <w:p w14:paraId="2A9FF0AE">
      <w:pPr>
        <w:spacing w:line="360" w:lineRule="auto"/>
        <w:ind w:firstLine="0" w:firstLineChars="0"/>
        <w:rPr>
          <w:b/>
          <w:bCs/>
          <w:color w:val="auto"/>
          <w:sz w:val="24"/>
          <w:szCs w:val="24"/>
          <w:highlight w:val="none"/>
        </w:rPr>
      </w:pPr>
      <w:r>
        <w:rPr>
          <w:rFonts w:hint="eastAsia" w:ascii="宋体" w:hAnsi="宋体" w:cs="宋体"/>
          <w:color w:val="auto"/>
          <w:kern w:val="2"/>
          <w:sz w:val="24"/>
          <w:szCs w:val="24"/>
          <w:highlight w:val="none"/>
          <w:lang w:val="en-US" w:eastAsia="zh-CN" w:bidi="ar-SA"/>
        </w:rPr>
        <w:t>（二）</w:t>
      </w:r>
      <w:r>
        <w:rPr>
          <w:rFonts w:hint="eastAsia"/>
          <w:b/>
          <w:bCs/>
          <w:color w:val="auto"/>
          <w:sz w:val="24"/>
          <w:szCs w:val="24"/>
          <w:highlight w:val="none"/>
        </w:rPr>
        <w:t>演示方式：</w:t>
      </w:r>
    </w:p>
    <w:p w14:paraId="64BC712E">
      <w:pPr>
        <w:spacing w:line="360" w:lineRule="auto"/>
        <w:ind w:firstLine="480" w:firstLineChars="200"/>
        <w:rPr>
          <w:color w:val="auto"/>
          <w:sz w:val="24"/>
          <w:szCs w:val="24"/>
          <w:highlight w:val="none"/>
        </w:rPr>
      </w:pPr>
      <w:r>
        <w:rPr>
          <w:rFonts w:hint="eastAsia"/>
          <w:color w:val="auto"/>
          <w:sz w:val="24"/>
          <w:szCs w:val="24"/>
          <w:highlight w:val="none"/>
        </w:rPr>
        <w:t>根据“电子交易/不见面开评标”原则，供应商需将以上讲解过程录制视频，演示时长不超过</w:t>
      </w:r>
      <w:r>
        <w:rPr>
          <w:rFonts w:hint="eastAsia"/>
          <w:color w:val="auto"/>
          <w:sz w:val="24"/>
          <w:szCs w:val="24"/>
          <w:highlight w:val="none"/>
          <w:lang w:val="en-US" w:eastAsia="zh-CN"/>
        </w:rPr>
        <w:t>15</w:t>
      </w:r>
      <w:r>
        <w:rPr>
          <w:rFonts w:hint="eastAsia"/>
          <w:color w:val="auto"/>
          <w:sz w:val="24"/>
          <w:szCs w:val="24"/>
          <w:highlight w:val="none"/>
        </w:rPr>
        <w:t>分钟，演示文件格式要求为：MP4或AVI，用U盘介质提交，U盘要符合NTFS或者FAT32的格式（供应商也可同时考入该演示文件播放软件的安装包），不能打开识别的视频文件其风险由供应商自行承担.。</w:t>
      </w:r>
    </w:p>
    <w:p w14:paraId="3ED24AFF">
      <w:pPr>
        <w:spacing w:line="360" w:lineRule="auto"/>
        <w:ind w:firstLine="0" w:firstLineChars="0"/>
        <w:rPr>
          <w:b/>
          <w:bCs/>
          <w:color w:val="auto"/>
          <w:sz w:val="24"/>
          <w:szCs w:val="24"/>
          <w:highlight w:val="none"/>
        </w:rPr>
      </w:pPr>
      <w:r>
        <w:rPr>
          <w:rFonts w:hint="eastAsia"/>
          <w:b/>
          <w:bCs/>
          <w:color w:val="auto"/>
          <w:sz w:val="24"/>
          <w:szCs w:val="24"/>
          <w:highlight w:val="none"/>
          <w:lang w:eastAsia="zh-CN"/>
        </w:rPr>
        <w:t>（</w:t>
      </w:r>
      <w:r>
        <w:rPr>
          <w:rFonts w:hint="eastAsia"/>
          <w:b/>
          <w:bCs/>
          <w:color w:val="auto"/>
          <w:sz w:val="24"/>
          <w:szCs w:val="24"/>
          <w:highlight w:val="none"/>
          <w:lang w:val="en-US" w:eastAsia="zh-CN"/>
        </w:rPr>
        <w:t>三</w:t>
      </w:r>
      <w:r>
        <w:rPr>
          <w:rFonts w:hint="eastAsia"/>
          <w:b/>
          <w:bCs/>
          <w:color w:val="auto"/>
          <w:sz w:val="24"/>
          <w:szCs w:val="24"/>
          <w:highlight w:val="none"/>
          <w:lang w:eastAsia="zh-CN"/>
        </w:rPr>
        <w:t>）</w:t>
      </w:r>
      <w:r>
        <w:rPr>
          <w:rFonts w:hint="eastAsia"/>
          <w:b/>
          <w:bCs/>
          <w:color w:val="auto"/>
          <w:sz w:val="24"/>
          <w:szCs w:val="24"/>
          <w:highlight w:val="none"/>
        </w:rPr>
        <w:t>演示视频资料递交方式与时间：</w:t>
      </w:r>
    </w:p>
    <w:p w14:paraId="5776FEA8">
      <w:pPr>
        <w:spacing w:line="360" w:lineRule="auto"/>
        <w:ind w:firstLine="480" w:firstLineChars="200"/>
        <w:rPr>
          <w:color w:val="auto"/>
          <w:sz w:val="24"/>
          <w:szCs w:val="24"/>
          <w:highlight w:val="none"/>
        </w:rPr>
      </w:pPr>
      <w:r>
        <w:rPr>
          <w:rFonts w:hint="eastAsia"/>
          <w:color w:val="auto"/>
          <w:sz w:val="24"/>
          <w:szCs w:val="24"/>
          <w:highlight w:val="none"/>
        </w:rPr>
        <w:t>演示视频资料可与响应文件一同密封递交，也可单独密封递交。（邮寄地址：杭州市拱墅区大关路179号远洋国际中心A座17楼1706室，收件人：陈梦菲；联系电话：0571-</w:t>
      </w:r>
      <w:r>
        <w:rPr>
          <w:rFonts w:hint="eastAsia"/>
          <w:color w:val="auto"/>
          <w:sz w:val="24"/>
          <w:szCs w:val="24"/>
          <w:highlight w:val="none"/>
          <w:lang w:val="en-US" w:eastAsia="zh-CN"/>
        </w:rPr>
        <w:t>56321030、</w:t>
      </w:r>
      <w:r>
        <w:rPr>
          <w:rFonts w:hint="eastAsia"/>
          <w:color w:val="auto"/>
          <w:sz w:val="24"/>
          <w:szCs w:val="24"/>
          <w:highlight w:val="none"/>
        </w:rPr>
        <w:t>87981527）</w:t>
      </w:r>
    </w:p>
    <w:p w14:paraId="19A8EDA3">
      <w:pPr>
        <w:spacing w:line="360" w:lineRule="auto"/>
        <w:ind w:firstLine="480" w:firstLineChars="200"/>
        <w:rPr>
          <w:color w:val="auto"/>
          <w:sz w:val="24"/>
          <w:szCs w:val="24"/>
          <w:highlight w:val="none"/>
        </w:rPr>
      </w:pPr>
      <w:r>
        <w:rPr>
          <w:rFonts w:hint="eastAsia"/>
          <w:color w:val="auto"/>
          <w:sz w:val="24"/>
          <w:szCs w:val="24"/>
          <w:highlight w:val="none"/>
        </w:rPr>
        <w:t>演示视频资料须在响应截止时间前递交至采购代理机构。</w:t>
      </w:r>
    </w:p>
    <w:p w14:paraId="0250756D">
      <w:pPr>
        <w:spacing w:line="360" w:lineRule="auto"/>
        <w:rPr>
          <w:b/>
          <w:bCs/>
          <w:color w:val="auto"/>
          <w:sz w:val="24"/>
          <w:szCs w:val="24"/>
          <w:highlight w:val="none"/>
        </w:rPr>
      </w:pPr>
      <w:r>
        <w:rPr>
          <w:rFonts w:hint="eastAsia"/>
          <w:b/>
          <w:bCs/>
          <w:color w:val="auto"/>
          <w:sz w:val="24"/>
          <w:szCs w:val="24"/>
          <w:highlight w:val="none"/>
        </w:rPr>
        <w:t>注：</w:t>
      </w:r>
    </w:p>
    <w:p w14:paraId="6B7C5254">
      <w:pPr>
        <w:numPr>
          <w:ilvl w:val="0"/>
          <w:numId w:val="4"/>
        </w:numPr>
        <w:snapToGrid/>
        <w:spacing w:line="360" w:lineRule="auto"/>
        <w:ind w:left="0" w:leftChars="0" w:firstLine="482" w:firstLineChars="200"/>
        <w:jc w:val="left"/>
        <w:rPr>
          <w:rFonts w:hint="eastAsia"/>
          <w:b/>
          <w:bCs/>
          <w:color w:val="auto"/>
          <w:sz w:val="24"/>
          <w:szCs w:val="24"/>
          <w:highlight w:val="none"/>
        </w:rPr>
      </w:pPr>
      <w:r>
        <w:rPr>
          <w:rFonts w:hint="eastAsia"/>
          <w:b/>
          <w:bCs/>
          <w:color w:val="auto"/>
          <w:sz w:val="24"/>
          <w:szCs w:val="24"/>
          <w:highlight w:val="none"/>
        </w:rPr>
        <w:t>未按</w:t>
      </w:r>
      <w:r>
        <w:rPr>
          <w:rFonts w:hint="eastAsia"/>
          <w:b/>
          <w:bCs/>
          <w:color w:val="auto"/>
          <w:sz w:val="24"/>
          <w:szCs w:val="24"/>
          <w:highlight w:val="none"/>
          <w:lang w:val="en-US" w:eastAsia="zh-CN"/>
        </w:rPr>
        <w:t>采购</w:t>
      </w:r>
      <w:r>
        <w:rPr>
          <w:rFonts w:hint="eastAsia"/>
          <w:b/>
          <w:bCs/>
          <w:color w:val="auto"/>
          <w:sz w:val="24"/>
          <w:szCs w:val="24"/>
          <w:highlight w:val="none"/>
        </w:rPr>
        <w:t>文件要求提供演示U盘造成评审专家无法正常评审的风险由供应商自行承担。</w:t>
      </w:r>
    </w:p>
    <w:p w14:paraId="3E571418">
      <w:pPr>
        <w:numPr>
          <w:ilvl w:val="-1"/>
          <w:numId w:val="0"/>
        </w:numPr>
        <w:snapToGrid/>
        <w:spacing w:line="360" w:lineRule="auto"/>
        <w:ind w:left="0" w:leftChars="0" w:firstLine="482" w:firstLineChars="200"/>
        <w:jc w:val="left"/>
        <w:rPr>
          <w:rFonts w:hint="default" w:ascii="宋体" w:hAnsi="宋体" w:cs="宋体"/>
          <w:color w:val="auto"/>
          <w:kern w:val="2"/>
          <w:sz w:val="24"/>
          <w:szCs w:val="24"/>
          <w:highlight w:val="none"/>
          <w:lang w:val="en-US" w:eastAsia="zh-CN" w:bidi="ar-SA"/>
        </w:rPr>
      </w:pPr>
      <w:r>
        <w:rPr>
          <w:rFonts w:hint="eastAsia"/>
          <w:b/>
          <w:bCs/>
          <w:color w:val="auto"/>
          <w:sz w:val="24"/>
          <w:szCs w:val="24"/>
          <w:highlight w:val="none"/>
        </w:rPr>
        <w:t>2）演示视频及备份文件需密封包装，如造成评审专家无法正常评审的风险由供应商自行承担。</w:t>
      </w:r>
    </w:p>
    <w:p w14:paraId="4F1F6FF4">
      <w:pPr>
        <w:adjustRightInd w:val="0"/>
        <w:snapToGrid w:val="0"/>
        <w:spacing w:beforeLines="0" w:afterLines="0"/>
        <w:jc w:val="center"/>
        <w:outlineLvl w:val="0"/>
        <w:rPr>
          <w:rFonts w:hAnsi="宋体" w:cs="宋体"/>
          <w:b/>
          <w:color w:val="auto"/>
          <w:sz w:val="36"/>
          <w:szCs w:val="36"/>
          <w:highlight w:val="none"/>
        </w:rPr>
      </w:pPr>
      <w:bookmarkStart w:id="39" w:name="_Toc31746"/>
      <w:r>
        <w:rPr>
          <w:rFonts w:hAnsi="宋体" w:cs="宋体"/>
          <w:b/>
          <w:color w:val="auto"/>
          <w:sz w:val="36"/>
          <w:szCs w:val="36"/>
          <w:highlight w:val="none"/>
        </w:rPr>
        <w:br w:type="page"/>
      </w:r>
    </w:p>
    <w:p w14:paraId="15742C26">
      <w:pPr>
        <w:pStyle w:val="8"/>
        <w:tabs>
          <w:tab w:val="left" w:pos="1050"/>
        </w:tabs>
        <w:adjustRightInd w:val="0"/>
        <w:snapToGrid w:val="0"/>
        <w:spacing w:beforeLines="0" w:afterLines="0" w:line="360" w:lineRule="auto"/>
        <w:jc w:val="center"/>
        <w:outlineLvl w:val="0"/>
        <w:rPr>
          <w:rFonts w:hint="default" w:hAnsi="宋体" w:cs="宋体"/>
          <w:b/>
          <w:color w:val="auto"/>
          <w:sz w:val="36"/>
          <w:szCs w:val="36"/>
          <w:highlight w:val="none"/>
        </w:rPr>
      </w:pPr>
      <w:r>
        <w:rPr>
          <w:rFonts w:hAnsi="宋体" w:cs="宋体"/>
          <w:b/>
          <w:color w:val="auto"/>
          <w:sz w:val="36"/>
          <w:szCs w:val="36"/>
          <w:highlight w:val="none"/>
        </w:rPr>
        <w:t>第五</w:t>
      </w:r>
      <w:r>
        <w:rPr>
          <w:rFonts w:hint="eastAsia" w:hAnsi="宋体" w:cs="宋体"/>
          <w:b/>
          <w:color w:val="auto"/>
          <w:sz w:val="36"/>
          <w:szCs w:val="36"/>
          <w:highlight w:val="none"/>
          <w:lang w:val="en-US" w:eastAsia="zh-CN"/>
        </w:rPr>
        <w:t>部分</w:t>
      </w:r>
      <w:r>
        <w:rPr>
          <w:rFonts w:hAnsi="宋体" w:cs="宋体"/>
          <w:b/>
          <w:color w:val="auto"/>
          <w:sz w:val="36"/>
          <w:szCs w:val="36"/>
          <w:highlight w:val="none"/>
        </w:rPr>
        <w:t xml:space="preserve"> 合同主要条款</w:t>
      </w:r>
      <w:bookmarkEnd w:id="39"/>
    </w:p>
    <w:p w14:paraId="6E4ECB44">
      <w:pPr>
        <w:adjustRightInd w:val="0"/>
        <w:snapToGrid w:val="0"/>
        <w:spacing w:line="288" w:lineRule="auto"/>
        <w:ind w:firstLine="0" w:firstLineChars="0"/>
        <w:jc w:val="center"/>
        <w:rPr>
          <w:rFonts w:ascii="宋体" w:hAnsi="宋体" w:eastAsia="宋体" w:cs="宋体"/>
          <w:b/>
          <w:color w:val="auto"/>
          <w:spacing w:val="-6"/>
          <w:sz w:val="24"/>
          <w:szCs w:val="24"/>
          <w:highlight w:val="none"/>
        </w:rPr>
      </w:pPr>
      <w:r>
        <w:rPr>
          <w:rFonts w:hint="eastAsia" w:ascii="宋体" w:hAnsi="宋体" w:eastAsia="宋体" w:cs="宋体"/>
          <w:b/>
          <w:color w:val="auto"/>
          <w:spacing w:val="-6"/>
          <w:sz w:val="24"/>
          <w:szCs w:val="24"/>
          <w:highlight w:val="none"/>
          <w:lang w:eastAsia="zh-CN"/>
        </w:rPr>
        <w:t>中国美术学院教务处学分制教学改革管理平台（三期）建设服务项目</w:t>
      </w:r>
      <w:r>
        <w:rPr>
          <w:rFonts w:hint="eastAsia" w:ascii="宋体" w:hAnsi="宋体" w:eastAsia="宋体" w:cs="宋体"/>
          <w:b/>
          <w:color w:val="auto"/>
          <w:spacing w:val="-6"/>
          <w:sz w:val="24"/>
          <w:szCs w:val="24"/>
          <w:highlight w:val="none"/>
        </w:rPr>
        <w:t>合同</w:t>
      </w:r>
    </w:p>
    <w:p w14:paraId="04A8C9FE">
      <w:pPr>
        <w:adjustRightInd w:val="0"/>
        <w:snapToGrid w:val="0"/>
        <w:spacing w:line="360" w:lineRule="auto"/>
        <w:jc w:val="center"/>
        <w:rPr>
          <w:rFonts w:hint="eastAsia" w:ascii="宋体" w:hAnsi="宋体" w:eastAsia="宋体" w:cs="Times New Roman"/>
          <w:b/>
          <w:bCs/>
          <w:color w:val="auto"/>
          <w:spacing w:val="0"/>
          <w:sz w:val="24"/>
          <w:szCs w:val="24"/>
          <w:highlight w:val="none"/>
        </w:rPr>
      </w:pPr>
      <w:r>
        <w:rPr>
          <w:rFonts w:hint="eastAsia" w:ascii="宋体" w:hAnsi="宋体" w:eastAsia="宋体" w:cs="宋体"/>
          <w:color w:val="auto"/>
          <w:spacing w:val="-6"/>
          <w:sz w:val="24"/>
          <w:szCs w:val="24"/>
          <w:highlight w:val="none"/>
        </w:rPr>
        <w:t>（本合同为合同样稿，最终稿由三方协商后确定，合同实质性内容不得更改；签订合同时删除此行）</w:t>
      </w:r>
    </w:p>
    <w:p w14:paraId="6966D050">
      <w:pPr>
        <w:adjustRightInd w:val="0"/>
        <w:snapToGrid w:val="0"/>
        <w:spacing w:line="360" w:lineRule="auto"/>
        <w:rPr>
          <w:rFonts w:ascii="宋体" w:hAnsi="宋体" w:eastAsia="宋体" w:cs="Times New Roman"/>
          <w:b/>
          <w:bCs/>
          <w:color w:val="auto"/>
          <w:spacing w:val="0"/>
          <w:sz w:val="24"/>
          <w:szCs w:val="24"/>
          <w:highlight w:val="none"/>
        </w:rPr>
      </w:pPr>
      <w:r>
        <w:rPr>
          <w:rFonts w:hint="eastAsia" w:ascii="宋体" w:hAnsi="宋体" w:eastAsia="宋体" w:cs="Times New Roman"/>
          <w:b/>
          <w:bCs/>
          <w:color w:val="auto"/>
          <w:spacing w:val="0"/>
          <w:sz w:val="24"/>
          <w:szCs w:val="24"/>
          <w:highlight w:val="none"/>
        </w:rPr>
        <w:t>项目名称：</w:t>
      </w:r>
      <w:r>
        <w:rPr>
          <w:rFonts w:hint="eastAsia" w:ascii="宋体" w:hAnsi="宋体" w:eastAsia="宋体" w:cs="Times New Roman"/>
          <w:b/>
          <w:bCs/>
          <w:color w:val="auto"/>
          <w:spacing w:val="0"/>
          <w:sz w:val="24"/>
          <w:szCs w:val="24"/>
          <w:highlight w:val="none"/>
          <w:lang w:eastAsia="zh-CN"/>
        </w:rPr>
        <w:t>中国美术学院教务处学分制教学改革管理平台（三期）建设服务项目</w:t>
      </w:r>
    </w:p>
    <w:p w14:paraId="0334C281">
      <w:pPr>
        <w:adjustRightInd w:val="0"/>
        <w:snapToGrid w:val="0"/>
        <w:spacing w:line="360" w:lineRule="auto"/>
        <w:rPr>
          <w:rFonts w:ascii="宋体" w:hAnsi="宋体" w:eastAsia="宋体" w:cs="Times New Roman"/>
          <w:b/>
          <w:bCs/>
          <w:color w:val="auto"/>
          <w:spacing w:val="0"/>
          <w:sz w:val="24"/>
          <w:szCs w:val="24"/>
          <w:highlight w:val="none"/>
        </w:rPr>
      </w:pPr>
      <w:r>
        <w:rPr>
          <w:rFonts w:hint="eastAsia" w:ascii="宋体" w:hAnsi="宋体" w:eastAsia="宋体" w:cs="Times New Roman"/>
          <w:b/>
          <w:bCs/>
          <w:color w:val="auto"/>
          <w:spacing w:val="0"/>
          <w:sz w:val="24"/>
          <w:szCs w:val="24"/>
          <w:highlight w:val="none"/>
        </w:rPr>
        <w:t>项目编号：</w:t>
      </w:r>
    </w:p>
    <w:p w14:paraId="1C9788FA">
      <w:pPr>
        <w:adjustRightInd w:val="0"/>
        <w:snapToGrid w:val="0"/>
        <w:spacing w:line="360" w:lineRule="auto"/>
        <w:rPr>
          <w:rFonts w:ascii="宋体" w:hAnsi="宋体" w:eastAsia="宋体" w:cs="Times New Roman"/>
          <w:b/>
          <w:bCs/>
          <w:color w:val="auto"/>
          <w:spacing w:val="0"/>
          <w:sz w:val="24"/>
          <w:szCs w:val="24"/>
          <w:highlight w:val="none"/>
        </w:rPr>
      </w:pPr>
      <w:r>
        <w:rPr>
          <w:rFonts w:hint="eastAsia" w:ascii="宋体" w:hAnsi="宋体" w:eastAsia="宋体" w:cs="Times New Roman"/>
          <w:b/>
          <w:bCs/>
          <w:color w:val="auto"/>
          <w:spacing w:val="0"/>
          <w:sz w:val="24"/>
          <w:szCs w:val="24"/>
          <w:highlight w:val="none"/>
          <w:lang w:val="en-US" w:eastAsia="zh-CN"/>
        </w:rPr>
        <w:t>确认书号</w:t>
      </w:r>
      <w:r>
        <w:rPr>
          <w:rFonts w:hint="eastAsia" w:ascii="宋体" w:hAnsi="宋体" w:eastAsia="宋体" w:cs="Times New Roman"/>
          <w:b/>
          <w:bCs/>
          <w:color w:val="auto"/>
          <w:spacing w:val="0"/>
          <w:sz w:val="24"/>
          <w:szCs w:val="24"/>
          <w:highlight w:val="none"/>
        </w:rPr>
        <w:t>：</w:t>
      </w:r>
    </w:p>
    <w:p w14:paraId="60E24B13">
      <w:pPr>
        <w:adjustRightInd w:val="0"/>
        <w:snapToGrid w:val="0"/>
        <w:spacing w:line="360" w:lineRule="auto"/>
        <w:rPr>
          <w:rFonts w:hint="default" w:ascii="宋体" w:hAnsi="宋体" w:eastAsia="宋体" w:cs="Times New Roman"/>
          <w:b/>
          <w:bCs/>
          <w:color w:val="auto"/>
          <w:spacing w:val="0"/>
          <w:sz w:val="24"/>
          <w:szCs w:val="24"/>
          <w:highlight w:val="none"/>
          <w:lang w:val="en-US" w:eastAsia="zh-CN"/>
        </w:rPr>
      </w:pPr>
      <w:r>
        <w:rPr>
          <w:rFonts w:hint="eastAsia" w:ascii="宋体" w:hAnsi="宋体" w:eastAsia="宋体" w:cs="Times New Roman"/>
          <w:b/>
          <w:bCs/>
          <w:color w:val="auto"/>
          <w:spacing w:val="0"/>
          <w:sz w:val="24"/>
          <w:szCs w:val="24"/>
          <w:highlight w:val="none"/>
        </w:rPr>
        <w:t>甲方（需方）：</w:t>
      </w:r>
      <w:r>
        <w:rPr>
          <w:rFonts w:hint="eastAsia" w:ascii="宋体" w:hAnsi="宋体" w:eastAsia="宋体" w:cs="Times New Roman"/>
          <w:b/>
          <w:bCs/>
          <w:color w:val="auto"/>
          <w:spacing w:val="0"/>
          <w:sz w:val="24"/>
          <w:szCs w:val="24"/>
          <w:highlight w:val="none"/>
          <w:lang w:val="en-US" w:eastAsia="zh-CN"/>
        </w:rPr>
        <w:t>中国美术学院</w:t>
      </w:r>
    </w:p>
    <w:p w14:paraId="61C3B2AE">
      <w:pPr>
        <w:adjustRightInd w:val="0"/>
        <w:snapToGrid w:val="0"/>
        <w:spacing w:line="360" w:lineRule="auto"/>
        <w:rPr>
          <w:rFonts w:ascii="宋体" w:hAnsi="宋体" w:eastAsia="宋体" w:cs="Times New Roman"/>
          <w:b/>
          <w:bCs/>
          <w:color w:val="auto"/>
          <w:spacing w:val="0"/>
          <w:sz w:val="24"/>
          <w:szCs w:val="24"/>
          <w:highlight w:val="none"/>
        </w:rPr>
      </w:pPr>
      <w:r>
        <w:rPr>
          <w:rFonts w:hint="eastAsia" w:ascii="宋体" w:hAnsi="宋体" w:eastAsia="宋体" w:cs="Times New Roman"/>
          <w:b/>
          <w:bCs/>
          <w:color w:val="auto"/>
          <w:spacing w:val="0"/>
          <w:sz w:val="24"/>
          <w:szCs w:val="24"/>
          <w:highlight w:val="none"/>
        </w:rPr>
        <w:t>乙方（供方）：</w:t>
      </w:r>
    </w:p>
    <w:p w14:paraId="173AF845">
      <w:pPr>
        <w:adjustRightInd w:val="0"/>
        <w:snapToGrid w:val="0"/>
        <w:spacing w:line="360" w:lineRule="auto"/>
        <w:rPr>
          <w:rFonts w:ascii="宋体" w:hAnsi="宋体" w:eastAsia="宋体" w:cs="Times New Roman"/>
          <w:b/>
          <w:bCs/>
          <w:color w:val="auto"/>
          <w:spacing w:val="0"/>
          <w:sz w:val="24"/>
          <w:szCs w:val="24"/>
          <w:highlight w:val="none"/>
        </w:rPr>
      </w:pPr>
      <w:r>
        <w:rPr>
          <w:rFonts w:hint="eastAsia" w:ascii="宋体" w:hAnsi="宋体" w:eastAsia="宋体" w:cs="Times New Roman"/>
          <w:b/>
          <w:bCs/>
          <w:color w:val="auto"/>
          <w:spacing w:val="0"/>
          <w:sz w:val="24"/>
          <w:szCs w:val="24"/>
          <w:highlight w:val="none"/>
        </w:rPr>
        <w:t>采购代理机构：</w:t>
      </w:r>
    </w:p>
    <w:p w14:paraId="4AC32349">
      <w:pPr>
        <w:adjustRightInd w:val="0"/>
        <w:snapToGrid w:val="0"/>
        <w:spacing w:line="360" w:lineRule="auto"/>
        <w:rPr>
          <w:rFonts w:ascii="宋体" w:hAnsi="宋体" w:eastAsia="宋体" w:cs="Times New Roman"/>
          <w:color w:val="auto"/>
          <w:spacing w:val="-6"/>
          <w:sz w:val="24"/>
          <w:szCs w:val="24"/>
          <w:highlight w:val="none"/>
        </w:rPr>
      </w:pPr>
    </w:p>
    <w:p w14:paraId="2FAE35EA">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pacing w:val="0"/>
          <w:sz w:val="24"/>
          <w:szCs w:val="24"/>
          <w:highlight w:val="none"/>
        </w:rPr>
        <w:t>根据《中华人民共和国民法典》</w:t>
      </w: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rPr>
        <w:t>《中华人民共和国政府采购法》等</w:t>
      </w:r>
      <w:r>
        <w:rPr>
          <w:rFonts w:hint="eastAsia" w:ascii="宋体" w:hAnsi="宋体" w:eastAsia="宋体" w:cs="宋体"/>
          <w:color w:val="auto"/>
          <w:spacing w:val="0"/>
          <w:sz w:val="24"/>
          <w:szCs w:val="24"/>
          <w:highlight w:val="none"/>
          <w:lang w:val="en-US" w:eastAsia="zh-CN"/>
        </w:rPr>
        <w:t>有关</w:t>
      </w:r>
      <w:r>
        <w:rPr>
          <w:rFonts w:hint="eastAsia" w:ascii="宋体" w:hAnsi="宋体" w:eastAsia="宋体" w:cs="宋体"/>
          <w:color w:val="auto"/>
          <w:spacing w:val="0"/>
          <w:sz w:val="24"/>
          <w:szCs w:val="24"/>
          <w:highlight w:val="none"/>
        </w:rPr>
        <w:t>法律法规规定，</w:t>
      </w:r>
      <w:r>
        <w:rPr>
          <w:rFonts w:hint="eastAsia" w:ascii="宋体" w:hAnsi="宋体" w:eastAsia="宋体" w:cs="宋体"/>
          <w:color w:val="auto"/>
          <w:sz w:val="24"/>
          <w:szCs w:val="24"/>
          <w:highlight w:val="none"/>
        </w:rPr>
        <w:t>＿＿＿＿＿＿＿＿受中国美术学院委托，对＿＿＿＿项目通过＿＿＿＿方式采购，确定＿＿＿＿＿＿＿＿＿＿为成交单位，甲、乙双方友好协商，达成以下条款：</w:t>
      </w:r>
    </w:p>
    <w:p w14:paraId="01CE8A8F">
      <w:pPr>
        <w:pStyle w:val="8"/>
        <w:keepNext w:val="0"/>
        <w:keepLines w:val="0"/>
        <w:pageBreakBefore w:val="0"/>
        <w:widowControl w:val="0"/>
        <w:kinsoku/>
        <w:wordWrap/>
        <w:overflowPunct/>
        <w:topLinePunct w:val="0"/>
        <w:autoSpaceDE/>
        <w:autoSpaceDN/>
        <w:bidi w:val="0"/>
        <w:snapToGrid w:val="0"/>
        <w:spacing w:beforeLines="0" w:afterLines="0" w:line="360" w:lineRule="auto"/>
        <w:ind w:left="0" w:leftChars="0" w:right="0" w:rightChars="0" w:firstLine="482" w:firstLineChars="200"/>
        <w:textAlignment w:val="auto"/>
        <w:rPr>
          <w:rFonts w:hint="eastAsia" w:hAnsi="宋体" w:eastAsia="宋体" w:cs="宋体"/>
          <w:b/>
          <w:color w:val="auto"/>
          <w:sz w:val="24"/>
          <w:szCs w:val="24"/>
          <w:highlight w:val="none"/>
        </w:rPr>
      </w:pPr>
    </w:p>
    <w:p w14:paraId="3D2D4F03">
      <w:pPr>
        <w:pStyle w:val="8"/>
        <w:keepNext w:val="0"/>
        <w:keepLines w:val="0"/>
        <w:pageBreakBefore w:val="0"/>
        <w:widowControl w:val="0"/>
        <w:kinsoku/>
        <w:wordWrap/>
        <w:overflowPunct/>
        <w:topLinePunct w:val="0"/>
        <w:autoSpaceDE/>
        <w:autoSpaceDN/>
        <w:bidi w:val="0"/>
        <w:snapToGrid w:val="0"/>
        <w:spacing w:beforeLines="0" w:afterLines="0" w:line="360" w:lineRule="auto"/>
        <w:ind w:left="0" w:leftChars="0" w:right="0" w:rightChars="0" w:firstLine="482" w:firstLineChars="200"/>
        <w:textAlignment w:val="auto"/>
        <w:rPr>
          <w:rFonts w:hAnsi="宋体" w:eastAsia="宋体" w:cs="宋体"/>
          <w:b/>
          <w:color w:val="auto"/>
          <w:sz w:val="24"/>
          <w:szCs w:val="24"/>
          <w:highlight w:val="none"/>
        </w:rPr>
      </w:pPr>
      <w:r>
        <w:rPr>
          <w:rFonts w:hint="eastAsia" w:hAnsi="宋体" w:eastAsia="宋体" w:cs="宋体"/>
          <w:b/>
          <w:color w:val="auto"/>
          <w:sz w:val="24"/>
          <w:szCs w:val="24"/>
          <w:highlight w:val="none"/>
        </w:rPr>
        <w:t>一</w:t>
      </w:r>
      <w:r>
        <w:rPr>
          <w:rFonts w:hint="eastAsia" w:hAnsi="宋体" w:eastAsia="宋体" w:cs="宋体"/>
          <w:b/>
          <w:color w:val="auto"/>
          <w:sz w:val="24"/>
          <w:szCs w:val="24"/>
          <w:highlight w:val="none"/>
          <w:lang w:eastAsia="zh-CN"/>
        </w:rPr>
        <w:t>、</w:t>
      </w:r>
      <w:r>
        <w:rPr>
          <w:rFonts w:hint="eastAsia" w:hAnsi="宋体" w:eastAsia="宋体" w:cs="宋体"/>
          <w:b/>
          <w:color w:val="auto"/>
          <w:sz w:val="24"/>
          <w:szCs w:val="24"/>
          <w:highlight w:val="none"/>
        </w:rPr>
        <w:t>服务内容和要求</w:t>
      </w:r>
    </w:p>
    <w:p w14:paraId="4FD223D7">
      <w:pPr>
        <w:keepNext w:val="0"/>
        <w:keepLines w:val="0"/>
        <w:pageBreakBefore w:val="0"/>
        <w:widowControl w:val="0"/>
        <w:kinsoku/>
        <w:wordWrap/>
        <w:overflowPunct/>
        <w:topLinePunct w:val="0"/>
        <w:autoSpaceDE/>
        <w:autoSpaceDN/>
        <w:bidi w:val="0"/>
        <w:snapToGrid w:val="0"/>
        <w:spacing w:line="360" w:lineRule="auto"/>
        <w:ind w:left="0" w:leftChars="0" w:right="0" w:rightChars="0" w:firstLine="480" w:firstLineChars="200"/>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 </w:t>
      </w:r>
    </w:p>
    <w:p w14:paraId="5A19816A">
      <w:pPr>
        <w:keepNext w:val="0"/>
        <w:keepLines w:val="0"/>
        <w:pageBreakBefore w:val="0"/>
        <w:widowControl w:val="0"/>
        <w:kinsoku/>
        <w:wordWrap/>
        <w:overflowPunct/>
        <w:topLinePunct w:val="0"/>
        <w:autoSpaceDE/>
        <w:autoSpaceDN/>
        <w:bidi w:val="0"/>
        <w:snapToGrid w:val="0"/>
        <w:spacing w:line="360" w:lineRule="auto"/>
        <w:ind w:left="0" w:leftChars="0" w:right="0" w:rightChars="0" w:firstLine="480" w:firstLineChars="200"/>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p w14:paraId="4ADE32DA">
      <w:pPr>
        <w:keepNext w:val="0"/>
        <w:keepLines w:val="0"/>
        <w:pageBreakBefore w:val="0"/>
        <w:widowControl w:val="0"/>
        <w:kinsoku/>
        <w:wordWrap/>
        <w:overflowPunct/>
        <w:topLinePunct w:val="0"/>
        <w:autoSpaceDE/>
        <w:autoSpaceDN/>
        <w:bidi w:val="0"/>
        <w:snapToGrid w:val="0"/>
        <w:spacing w:line="360" w:lineRule="auto"/>
        <w:ind w:left="0" w:leftChars="0" w:right="0" w:rightChars="0" w:firstLine="480" w:firstLineChars="200"/>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p w14:paraId="55867235">
      <w:pPr>
        <w:pStyle w:val="19"/>
        <w:keepNext w:val="0"/>
        <w:keepLines w:val="0"/>
        <w:pageBreakBefore w:val="0"/>
        <w:widowControl w:val="0"/>
        <w:kinsoku/>
        <w:wordWrap/>
        <w:overflowPunct/>
        <w:topLinePunct w:val="0"/>
        <w:autoSpaceDE/>
        <w:autoSpaceDN/>
        <w:bidi w:val="0"/>
        <w:spacing w:line="360" w:lineRule="auto"/>
        <w:ind w:left="0" w:leftChars="0" w:right="0" w:rightChars="0" w:firstLine="480" w:firstLineChars="200"/>
        <w:textAlignment w:val="auto"/>
        <w:rPr>
          <w:rFonts w:hint="eastAsia"/>
          <w:color w:val="auto"/>
          <w:sz w:val="24"/>
          <w:szCs w:val="24"/>
          <w:highlight w:val="none"/>
        </w:rPr>
      </w:pPr>
      <w:r>
        <w:rPr>
          <w:rFonts w:hint="eastAsia"/>
          <w:color w:val="auto"/>
          <w:sz w:val="24"/>
          <w:szCs w:val="24"/>
          <w:highlight w:val="none"/>
        </w:rPr>
        <w:t>（乙方承诺的其他服务内容，如有，请填写；</w:t>
      </w:r>
      <w:r>
        <w:rPr>
          <w:rFonts w:hint="eastAsia"/>
          <w:color w:val="auto"/>
          <w:sz w:val="24"/>
          <w:szCs w:val="24"/>
          <w:highlight w:val="none"/>
          <w:lang w:val="en-US" w:eastAsia="zh-CN"/>
        </w:rPr>
        <w:t>服务内容</w:t>
      </w:r>
      <w:r>
        <w:rPr>
          <w:rFonts w:hint="eastAsia"/>
          <w:color w:val="auto"/>
          <w:sz w:val="24"/>
          <w:szCs w:val="24"/>
          <w:highlight w:val="none"/>
        </w:rPr>
        <w:t>报价清单</w:t>
      </w:r>
      <w:r>
        <w:rPr>
          <w:rFonts w:hint="eastAsia"/>
          <w:color w:val="auto"/>
          <w:sz w:val="24"/>
          <w:szCs w:val="24"/>
          <w:highlight w:val="none"/>
          <w:lang w:val="en-US" w:eastAsia="zh-CN"/>
        </w:rPr>
        <w:t>可</w:t>
      </w:r>
      <w:r>
        <w:rPr>
          <w:rFonts w:hint="eastAsia"/>
          <w:color w:val="auto"/>
          <w:sz w:val="24"/>
          <w:szCs w:val="24"/>
          <w:highlight w:val="none"/>
        </w:rPr>
        <w:t>另附</w:t>
      </w:r>
      <w:r>
        <w:rPr>
          <w:rFonts w:hint="eastAsia"/>
          <w:color w:val="auto"/>
          <w:sz w:val="24"/>
          <w:szCs w:val="24"/>
          <w:highlight w:val="none"/>
          <w:lang w:val="en-US" w:eastAsia="zh-CN"/>
        </w:rPr>
        <w:t>页</w:t>
      </w:r>
      <w:r>
        <w:rPr>
          <w:rFonts w:hint="eastAsia"/>
          <w:color w:val="auto"/>
          <w:sz w:val="24"/>
          <w:szCs w:val="24"/>
          <w:highlight w:val="none"/>
        </w:rPr>
        <w:t>）</w:t>
      </w:r>
    </w:p>
    <w:p w14:paraId="3B8DC118">
      <w:pPr>
        <w:pStyle w:val="19"/>
        <w:keepNext w:val="0"/>
        <w:keepLines w:val="0"/>
        <w:pageBreakBefore w:val="0"/>
        <w:widowControl w:val="0"/>
        <w:kinsoku/>
        <w:wordWrap/>
        <w:overflowPunct/>
        <w:topLinePunct w:val="0"/>
        <w:autoSpaceDE/>
        <w:autoSpaceDN/>
        <w:bidi w:val="0"/>
        <w:spacing w:line="360" w:lineRule="auto"/>
        <w:ind w:left="0" w:leftChars="0" w:right="0" w:rightChars="0" w:firstLine="480" w:firstLineChars="200"/>
        <w:textAlignment w:val="auto"/>
        <w:rPr>
          <w:rFonts w:hint="eastAsia"/>
          <w:color w:val="auto"/>
          <w:sz w:val="24"/>
          <w:szCs w:val="24"/>
          <w:highlight w:val="none"/>
        </w:rPr>
      </w:pPr>
    </w:p>
    <w:p w14:paraId="4F89206F">
      <w:pPr>
        <w:pStyle w:val="8"/>
        <w:keepNext w:val="0"/>
        <w:keepLines w:val="0"/>
        <w:pageBreakBefore w:val="0"/>
        <w:widowControl w:val="0"/>
        <w:kinsoku/>
        <w:wordWrap/>
        <w:overflowPunct/>
        <w:topLinePunct w:val="0"/>
        <w:autoSpaceDE/>
        <w:autoSpaceDN/>
        <w:bidi w:val="0"/>
        <w:snapToGrid w:val="0"/>
        <w:spacing w:beforeLines="0" w:afterLines="0" w:line="360" w:lineRule="auto"/>
        <w:ind w:left="0" w:leftChars="0" w:right="0" w:rightChars="0" w:firstLine="482" w:firstLineChars="200"/>
        <w:textAlignment w:val="auto"/>
        <w:rPr>
          <w:rFonts w:hAnsi="宋体" w:eastAsia="宋体" w:cs="宋体"/>
          <w:b/>
          <w:color w:val="auto"/>
          <w:sz w:val="24"/>
          <w:szCs w:val="24"/>
          <w:highlight w:val="none"/>
        </w:rPr>
      </w:pPr>
      <w:r>
        <w:rPr>
          <w:rFonts w:hint="eastAsia" w:hAnsi="宋体" w:eastAsia="宋体" w:cs="宋体"/>
          <w:b/>
          <w:color w:val="auto"/>
          <w:sz w:val="24"/>
          <w:szCs w:val="24"/>
          <w:highlight w:val="none"/>
        </w:rPr>
        <w:t>二</w:t>
      </w:r>
      <w:r>
        <w:rPr>
          <w:rFonts w:hint="eastAsia" w:hAnsi="宋体" w:eastAsia="宋体" w:cs="宋体"/>
          <w:b/>
          <w:color w:val="auto"/>
          <w:sz w:val="24"/>
          <w:szCs w:val="24"/>
          <w:highlight w:val="none"/>
          <w:lang w:eastAsia="zh-CN"/>
        </w:rPr>
        <w:t>、</w:t>
      </w:r>
      <w:r>
        <w:rPr>
          <w:rFonts w:hint="eastAsia" w:hAnsi="宋体" w:eastAsia="宋体" w:cs="宋体"/>
          <w:b/>
          <w:color w:val="auto"/>
          <w:sz w:val="24"/>
          <w:szCs w:val="24"/>
          <w:highlight w:val="none"/>
        </w:rPr>
        <w:t>合同履行时间、履行地点和合同金额</w:t>
      </w:r>
    </w:p>
    <w:p w14:paraId="180EF6BD">
      <w:pPr>
        <w:keepNext w:val="0"/>
        <w:keepLines w:val="0"/>
        <w:pageBreakBefore w:val="0"/>
        <w:widowControl w:val="0"/>
        <w:kinsoku/>
        <w:wordWrap/>
        <w:overflowPunct/>
        <w:topLinePunct w:val="0"/>
        <w:autoSpaceDE/>
        <w:autoSpaceDN/>
        <w:bidi w:val="0"/>
        <w:snapToGrid w:val="0"/>
        <w:spacing w:line="360" w:lineRule="auto"/>
        <w:ind w:left="0" w:leftChars="0" w:right="0" w:rightChars="0" w:firstLine="480" w:firstLineChars="200"/>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1.履行时间：＿＿＿＿＿＿＿＿＿＿＿＿＿＿＿＿； </w:t>
      </w:r>
    </w:p>
    <w:p w14:paraId="7D0B83B5">
      <w:pPr>
        <w:keepNext w:val="0"/>
        <w:keepLines w:val="0"/>
        <w:pageBreakBefore w:val="0"/>
        <w:widowControl w:val="0"/>
        <w:kinsoku/>
        <w:wordWrap/>
        <w:overflowPunct/>
        <w:topLinePunct w:val="0"/>
        <w:autoSpaceDE/>
        <w:autoSpaceDN/>
        <w:bidi w:val="0"/>
        <w:snapToGrid w:val="0"/>
        <w:spacing w:line="360" w:lineRule="auto"/>
        <w:ind w:left="0" w:leftChars="0" w:right="0" w:rightChars="0" w:firstLine="480" w:firstLineChars="200"/>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2.履行地点：＿＿＿＿＿＿＿＿＿＿＿＿＿＿＿＿；</w:t>
      </w:r>
    </w:p>
    <w:p w14:paraId="59E50401">
      <w:pPr>
        <w:keepNext w:val="0"/>
        <w:keepLines w:val="0"/>
        <w:pageBreakBefore w:val="0"/>
        <w:widowControl w:val="0"/>
        <w:kinsoku/>
        <w:wordWrap/>
        <w:overflowPunct/>
        <w:topLinePunct w:val="0"/>
        <w:autoSpaceDE/>
        <w:autoSpaceDN/>
        <w:bidi w:val="0"/>
        <w:snapToGrid w:val="0"/>
        <w:spacing w:line="360" w:lineRule="auto"/>
        <w:ind w:left="0" w:leftChars="0" w:right="0" w:rightChars="0" w:firstLine="480" w:firstLineChars="200"/>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3.本合同金额为（大写）：＿＿＿＿＿＿＿元（￥元）人民币。本合同的价款为含税价</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已包含乙方为履行本合同义务所需的全部费用，除甲、乙双方重新达成书面一致外，甲方不再向乙方支付其它任何费用</w:t>
      </w:r>
      <w:r>
        <w:rPr>
          <w:rFonts w:hint="eastAsia" w:ascii="宋体" w:hAnsi="宋体" w:eastAsia="宋体" w:cs="宋体"/>
          <w:color w:val="auto"/>
          <w:sz w:val="24"/>
          <w:szCs w:val="24"/>
          <w:highlight w:val="none"/>
        </w:rPr>
        <w:t>。</w:t>
      </w:r>
    </w:p>
    <w:p w14:paraId="0D9EC6B7">
      <w:pPr>
        <w:pStyle w:val="8"/>
        <w:keepNext w:val="0"/>
        <w:keepLines w:val="0"/>
        <w:pageBreakBefore w:val="0"/>
        <w:widowControl w:val="0"/>
        <w:kinsoku/>
        <w:wordWrap/>
        <w:overflowPunct/>
        <w:topLinePunct w:val="0"/>
        <w:autoSpaceDE/>
        <w:autoSpaceDN/>
        <w:bidi w:val="0"/>
        <w:snapToGrid w:val="0"/>
        <w:spacing w:beforeLines="0" w:afterLines="0" w:line="360" w:lineRule="auto"/>
        <w:ind w:left="0" w:leftChars="0" w:right="0" w:rightChars="0" w:firstLine="482" w:firstLineChars="200"/>
        <w:textAlignment w:val="auto"/>
        <w:rPr>
          <w:rFonts w:hAnsi="宋体" w:eastAsia="宋体" w:cs="宋体"/>
          <w:b/>
          <w:color w:val="auto"/>
          <w:sz w:val="24"/>
          <w:szCs w:val="24"/>
          <w:highlight w:val="none"/>
        </w:rPr>
      </w:pPr>
      <w:r>
        <w:rPr>
          <w:rFonts w:hint="eastAsia" w:hAnsi="宋体" w:eastAsia="宋体" w:cs="宋体"/>
          <w:b/>
          <w:color w:val="auto"/>
          <w:sz w:val="24"/>
          <w:szCs w:val="24"/>
          <w:highlight w:val="none"/>
        </w:rPr>
        <w:t>三</w:t>
      </w:r>
      <w:r>
        <w:rPr>
          <w:rFonts w:hint="eastAsia" w:hAnsi="宋体" w:eastAsia="宋体" w:cs="宋体"/>
          <w:b/>
          <w:color w:val="auto"/>
          <w:sz w:val="24"/>
          <w:szCs w:val="24"/>
          <w:highlight w:val="none"/>
          <w:lang w:eastAsia="zh-CN"/>
        </w:rPr>
        <w:t>、</w:t>
      </w:r>
      <w:r>
        <w:rPr>
          <w:rFonts w:hint="eastAsia" w:hAnsi="宋体" w:eastAsia="宋体" w:cs="宋体"/>
          <w:b/>
          <w:color w:val="auto"/>
          <w:sz w:val="24"/>
          <w:szCs w:val="24"/>
          <w:highlight w:val="none"/>
        </w:rPr>
        <w:t>履约保证金和款项支付</w:t>
      </w:r>
    </w:p>
    <w:p w14:paraId="0AFCB696">
      <w:pPr>
        <w:pStyle w:val="8"/>
        <w:keepNext w:val="0"/>
        <w:keepLines w:val="0"/>
        <w:pageBreakBefore w:val="0"/>
        <w:widowControl w:val="0"/>
        <w:kinsoku/>
        <w:wordWrap/>
        <w:overflowPunct/>
        <w:topLinePunct w:val="0"/>
        <w:autoSpaceDE/>
        <w:autoSpaceDN/>
        <w:bidi w:val="0"/>
        <w:snapToGrid w:val="0"/>
        <w:spacing w:beforeLines="0" w:afterLines="0" w:line="360" w:lineRule="auto"/>
        <w:ind w:left="0" w:leftChars="0" w:right="0" w:rightChars="0" w:firstLine="480" w:firstLineChars="200"/>
        <w:textAlignment w:val="auto"/>
        <w:rPr>
          <w:rFonts w:hAnsi="宋体" w:eastAsia="宋体" w:cs="宋体"/>
          <w:color w:val="auto"/>
          <w:sz w:val="24"/>
          <w:szCs w:val="24"/>
          <w:highlight w:val="none"/>
        </w:rPr>
      </w:pPr>
      <w:r>
        <w:rPr>
          <w:rFonts w:hint="eastAsia" w:hAnsi="宋体" w:eastAsia="宋体" w:cs="宋体"/>
          <w:color w:val="auto"/>
          <w:sz w:val="24"/>
          <w:szCs w:val="24"/>
          <w:highlight w:val="none"/>
        </w:rPr>
        <w:t>1.合同签订后</w:t>
      </w:r>
      <w:r>
        <w:rPr>
          <w:rFonts w:hint="eastAsia" w:hAnsi="宋体" w:eastAsia="宋体" w:cs="宋体"/>
          <w:color w:val="auto"/>
          <w:sz w:val="24"/>
          <w:szCs w:val="24"/>
          <w:highlight w:val="none"/>
          <w:lang w:val="en-US" w:eastAsia="zh-CN"/>
        </w:rPr>
        <w:t>5个工作日</w:t>
      </w:r>
      <w:r>
        <w:rPr>
          <w:rFonts w:hint="eastAsia" w:hAnsi="宋体" w:eastAsia="宋体" w:cs="宋体"/>
          <w:color w:val="auto"/>
          <w:sz w:val="24"/>
          <w:szCs w:val="24"/>
          <w:highlight w:val="none"/>
        </w:rPr>
        <w:t>内，乙方向甲方提交合同总价1%的履约保证金，履约保证金在合同履约期间无违约情形的，项目验收</w:t>
      </w:r>
      <w:r>
        <w:rPr>
          <w:rFonts w:hint="eastAsia" w:hAnsi="宋体" w:eastAsia="宋体" w:cs="宋体"/>
          <w:color w:val="auto"/>
          <w:sz w:val="24"/>
          <w:szCs w:val="24"/>
          <w:highlight w:val="none"/>
          <w:lang w:val="en-US" w:eastAsia="zh-CN"/>
        </w:rPr>
        <w:t>合格</w:t>
      </w:r>
      <w:r>
        <w:rPr>
          <w:rFonts w:hint="eastAsia" w:hAnsi="宋体" w:eastAsia="宋体" w:cs="宋体"/>
          <w:color w:val="auto"/>
          <w:sz w:val="24"/>
          <w:szCs w:val="24"/>
          <w:highlight w:val="none"/>
        </w:rPr>
        <w:t>后，于一周内退还（不计息）；</w:t>
      </w:r>
    </w:p>
    <w:p w14:paraId="5DB3CF35">
      <w:pPr>
        <w:pStyle w:val="8"/>
        <w:keepNext w:val="0"/>
        <w:keepLines w:val="0"/>
        <w:pageBreakBefore w:val="0"/>
        <w:widowControl w:val="0"/>
        <w:kinsoku/>
        <w:wordWrap/>
        <w:overflowPunct/>
        <w:topLinePunct w:val="0"/>
        <w:autoSpaceDE/>
        <w:autoSpaceDN/>
        <w:bidi w:val="0"/>
        <w:snapToGrid w:val="0"/>
        <w:spacing w:beforeLines="0" w:afterLines="0" w:line="360" w:lineRule="auto"/>
        <w:ind w:left="0" w:leftChars="0" w:right="0" w:rightChars="0" w:firstLine="480" w:firstLineChars="200"/>
        <w:textAlignment w:val="auto"/>
        <w:rPr>
          <w:rFonts w:hAnsi="宋体" w:eastAsia="宋体" w:cs="宋体"/>
          <w:color w:val="auto"/>
          <w:sz w:val="24"/>
          <w:szCs w:val="24"/>
          <w:highlight w:val="none"/>
        </w:rPr>
      </w:pPr>
      <w:r>
        <w:rPr>
          <w:rFonts w:hint="eastAsia" w:hAnsi="宋体" w:eastAsia="宋体" w:cs="宋体"/>
          <w:color w:val="auto"/>
          <w:sz w:val="24"/>
          <w:szCs w:val="24"/>
          <w:highlight w:val="none"/>
        </w:rPr>
        <w:t>2.履约保证金提交方式：支票、汇票、本票或金融机构、担保机构出具的保函等非现金形式。</w:t>
      </w:r>
    </w:p>
    <w:p w14:paraId="152A8F77">
      <w:pPr>
        <w:keepNext w:val="0"/>
        <w:keepLines w:val="0"/>
        <w:pageBreakBefore w:val="0"/>
        <w:widowControl w:val="0"/>
        <w:kinsoku/>
        <w:wordWrap/>
        <w:overflowPunct/>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3.合同生效以及具备实施条件后7个工作日内，且乙方已向甲方提交履约保证金或履约保函的，甲方向乙方支付合同总价的</w:t>
      </w:r>
      <w:r>
        <w:rPr>
          <w:rFonts w:hint="eastAsia" w:ascii="宋体" w:hAnsi="宋体" w:cs="宋体"/>
          <w:color w:val="auto"/>
          <w:sz w:val="24"/>
          <w:szCs w:val="24"/>
          <w:highlight w:val="none"/>
          <w:lang w:val="en-US" w:eastAsia="zh-CN"/>
        </w:rPr>
        <w:t>40</w:t>
      </w:r>
      <w:r>
        <w:rPr>
          <w:rFonts w:hint="eastAsia" w:ascii="宋体" w:hAnsi="宋体" w:eastAsia="宋体" w:cs="宋体"/>
          <w:color w:val="auto"/>
          <w:sz w:val="24"/>
          <w:szCs w:val="24"/>
          <w:highlight w:val="none"/>
        </w:rPr>
        <w:t>%；项目履约完成，经甲方验收合格</w:t>
      </w:r>
      <w:r>
        <w:rPr>
          <w:rFonts w:hint="eastAsia" w:ascii="宋体" w:hAnsi="宋体" w:eastAsia="宋体" w:cs="宋体"/>
          <w:color w:val="auto"/>
          <w:sz w:val="24"/>
          <w:szCs w:val="24"/>
          <w:highlight w:val="none"/>
          <w:lang w:val="en-US" w:eastAsia="zh-CN"/>
        </w:rPr>
        <w:t>且</w:t>
      </w:r>
      <w:r>
        <w:rPr>
          <w:rFonts w:hint="eastAsia" w:ascii="宋体" w:hAnsi="宋体" w:eastAsia="宋体" w:cs="宋体"/>
          <w:color w:val="auto"/>
          <w:sz w:val="24"/>
          <w:szCs w:val="24"/>
          <w:highlight w:val="none"/>
        </w:rPr>
        <w:t>收到</w:t>
      </w:r>
      <w:r>
        <w:rPr>
          <w:rFonts w:hint="eastAsia" w:ascii="宋体" w:hAnsi="宋体" w:eastAsia="宋体" w:cs="宋体"/>
          <w:color w:val="auto"/>
          <w:sz w:val="24"/>
          <w:szCs w:val="24"/>
          <w:highlight w:val="none"/>
          <w:lang w:val="en-US" w:eastAsia="zh-CN"/>
        </w:rPr>
        <w:t>乙方开具的合法有效</w:t>
      </w:r>
      <w:r>
        <w:rPr>
          <w:rFonts w:hint="eastAsia" w:ascii="宋体" w:hAnsi="宋体" w:eastAsia="宋体" w:cs="宋体"/>
          <w:color w:val="auto"/>
          <w:sz w:val="24"/>
          <w:szCs w:val="24"/>
          <w:highlight w:val="none"/>
        </w:rPr>
        <w:t>发票后</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甲方于</w:t>
      </w:r>
      <w:r>
        <w:rPr>
          <w:rFonts w:hint="eastAsia" w:ascii="宋体" w:hAnsi="宋体" w:eastAsia="宋体" w:cs="宋体"/>
          <w:color w:val="auto"/>
          <w:sz w:val="24"/>
          <w:szCs w:val="24"/>
          <w:highlight w:val="none"/>
        </w:rPr>
        <w:t>7个工作日内</w:t>
      </w:r>
      <w:r>
        <w:rPr>
          <w:rFonts w:hint="eastAsia" w:ascii="宋体" w:hAnsi="宋体" w:eastAsia="宋体" w:cs="宋体"/>
          <w:color w:val="auto"/>
          <w:sz w:val="24"/>
          <w:szCs w:val="24"/>
          <w:highlight w:val="none"/>
          <w:lang w:val="en-US" w:eastAsia="zh-CN"/>
        </w:rPr>
        <w:t>向乙方支付剩余合同价款</w:t>
      </w:r>
      <w:r>
        <w:rPr>
          <w:rFonts w:hint="eastAsia" w:ascii="宋体" w:hAnsi="宋体" w:eastAsia="宋体" w:cs="宋体"/>
          <w:color w:val="auto"/>
          <w:sz w:val="24"/>
          <w:szCs w:val="24"/>
          <w:highlight w:val="none"/>
        </w:rPr>
        <w:t>。</w:t>
      </w:r>
    </w:p>
    <w:p w14:paraId="17BF124B">
      <w:pPr>
        <w:pStyle w:val="19"/>
        <w:snapToGrid w:val="0"/>
        <w:spacing w:line="360" w:lineRule="auto"/>
        <w:ind w:left="0" w:leftChars="0" w:firstLine="480" w:firstLineChars="2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乙方应在甲方付款前提供符合甲方要求的等额合法有效的发票，如乙方未提供符合甲方要求的等额合法有效发票的，甲方有权暂缓付款而不视为违约</w:t>
      </w:r>
      <w:r>
        <w:rPr>
          <w:rFonts w:hint="eastAsia" w:ascii="宋体" w:hAnsi="宋体" w:cs="宋体"/>
          <w:color w:val="auto"/>
          <w:sz w:val="24"/>
          <w:szCs w:val="24"/>
          <w:highlight w:val="none"/>
          <w:lang w:eastAsia="zh-CN"/>
        </w:rPr>
        <w:t>。</w:t>
      </w:r>
    </w:p>
    <w:p w14:paraId="1D90E298">
      <w:pPr>
        <w:keepNext w:val="0"/>
        <w:keepLines w:val="0"/>
        <w:pageBreakBefore w:val="0"/>
        <w:widowControl w:val="0"/>
        <w:kinsoku/>
        <w:wordWrap/>
        <w:overflowPunct/>
        <w:topLinePunct w:val="0"/>
        <w:autoSpaceDE/>
        <w:autoSpaceDN/>
        <w:bidi w:val="0"/>
        <w:spacing w:line="360" w:lineRule="auto"/>
        <w:ind w:left="0" w:leftChars="0" w:right="0" w:rightChars="0" w:firstLine="480" w:firstLineChars="200"/>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在签订合同时，乙方明确表示无需预付款或者主动要求降低预付款比例的，可降低预付款比例。</w:t>
      </w:r>
    </w:p>
    <w:p w14:paraId="72D251BB">
      <w:pPr>
        <w:pStyle w:val="8"/>
        <w:keepNext w:val="0"/>
        <w:keepLines w:val="0"/>
        <w:pageBreakBefore w:val="0"/>
        <w:widowControl w:val="0"/>
        <w:kinsoku/>
        <w:wordWrap/>
        <w:overflowPunct/>
        <w:topLinePunct w:val="0"/>
        <w:autoSpaceDE/>
        <w:autoSpaceDN/>
        <w:bidi w:val="0"/>
        <w:snapToGrid w:val="0"/>
        <w:spacing w:beforeLines="0" w:afterLines="0" w:line="360" w:lineRule="auto"/>
        <w:ind w:left="0" w:leftChars="0" w:right="0" w:rightChars="0" w:firstLine="482" w:firstLineChars="200"/>
        <w:textAlignment w:val="auto"/>
        <w:rPr>
          <w:rFonts w:hAnsi="宋体" w:eastAsia="宋体" w:cs="宋体"/>
          <w:b/>
          <w:color w:val="auto"/>
          <w:sz w:val="24"/>
          <w:szCs w:val="24"/>
          <w:highlight w:val="none"/>
        </w:rPr>
      </w:pPr>
      <w:r>
        <w:rPr>
          <w:rFonts w:hint="eastAsia" w:hAnsi="宋体" w:eastAsia="宋体" w:cs="宋体"/>
          <w:b/>
          <w:color w:val="auto"/>
          <w:sz w:val="24"/>
          <w:szCs w:val="24"/>
          <w:highlight w:val="none"/>
        </w:rPr>
        <w:t>四、技术资料</w:t>
      </w:r>
    </w:p>
    <w:p w14:paraId="6E07BA24">
      <w:pPr>
        <w:pStyle w:val="8"/>
        <w:keepNext w:val="0"/>
        <w:keepLines w:val="0"/>
        <w:pageBreakBefore w:val="0"/>
        <w:widowControl w:val="0"/>
        <w:kinsoku/>
        <w:wordWrap/>
        <w:overflowPunct/>
        <w:topLinePunct w:val="0"/>
        <w:autoSpaceDE/>
        <w:autoSpaceDN/>
        <w:bidi w:val="0"/>
        <w:snapToGrid w:val="0"/>
        <w:spacing w:beforeLines="0" w:afterLines="0" w:line="360" w:lineRule="auto"/>
        <w:ind w:left="0" w:leftChars="0" w:right="0" w:rightChars="0" w:firstLine="480" w:firstLineChars="200"/>
        <w:textAlignment w:val="auto"/>
        <w:rPr>
          <w:rFonts w:hAnsi="宋体" w:eastAsia="宋体" w:cs="宋体"/>
          <w:color w:val="auto"/>
          <w:sz w:val="24"/>
          <w:szCs w:val="24"/>
          <w:highlight w:val="none"/>
        </w:rPr>
      </w:pPr>
      <w:r>
        <w:rPr>
          <w:rFonts w:hint="eastAsia" w:hAnsi="宋体" w:eastAsia="宋体" w:cs="宋体"/>
          <w:color w:val="auto"/>
          <w:sz w:val="24"/>
          <w:szCs w:val="24"/>
          <w:highlight w:val="none"/>
        </w:rPr>
        <w:t>1.乙方应按</w:t>
      </w:r>
      <w:r>
        <w:rPr>
          <w:rFonts w:hint="eastAsia" w:hAnsi="宋体" w:eastAsia="宋体" w:cs="宋体"/>
          <w:color w:val="auto"/>
          <w:sz w:val="24"/>
          <w:szCs w:val="24"/>
          <w:highlight w:val="none"/>
          <w:lang w:eastAsia="zh-CN"/>
        </w:rPr>
        <w:t>采购文件</w:t>
      </w:r>
      <w:r>
        <w:rPr>
          <w:rFonts w:hint="eastAsia" w:hAnsi="宋体" w:eastAsia="宋体" w:cs="宋体"/>
          <w:color w:val="auto"/>
          <w:sz w:val="24"/>
          <w:szCs w:val="24"/>
          <w:highlight w:val="none"/>
        </w:rPr>
        <w:t>规定的时间向甲方提供有关技术资料。</w:t>
      </w:r>
    </w:p>
    <w:p w14:paraId="72B09D86">
      <w:pPr>
        <w:pStyle w:val="8"/>
        <w:keepNext w:val="0"/>
        <w:keepLines w:val="0"/>
        <w:pageBreakBefore w:val="0"/>
        <w:widowControl w:val="0"/>
        <w:kinsoku/>
        <w:wordWrap/>
        <w:overflowPunct/>
        <w:topLinePunct w:val="0"/>
        <w:autoSpaceDE/>
        <w:autoSpaceDN/>
        <w:bidi w:val="0"/>
        <w:snapToGrid w:val="0"/>
        <w:spacing w:beforeLines="0" w:afterLines="0" w:line="360" w:lineRule="auto"/>
        <w:ind w:left="0" w:leftChars="0" w:right="0" w:rightChars="0" w:firstLine="480" w:firstLineChars="200"/>
        <w:textAlignment w:val="auto"/>
        <w:rPr>
          <w:rFonts w:hAnsi="宋体" w:eastAsia="宋体" w:cs="宋体"/>
          <w:color w:val="auto"/>
          <w:sz w:val="24"/>
          <w:szCs w:val="24"/>
          <w:highlight w:val="none"/>
        </w:rPr>
      </w:pPr>
      <w:r>
        <w:rPr>
          <w:rFonts w:hint="eastAsia" w:hAnsi="宋体" w:eastAsia="宋体" w:cs="宋体"/>
          <w:color w:val="auto"/>
          <w:sz w:val="24"/>
          <w:szCs w:val="24"/>
          <w:highlight w:val="none"/>
        </w:rPr>
        <w:t>2.未经甲方事先书面同意，乙方不得将与本合同及有关的任何合同条文、规格、计划、图纸、样品或资料提供给任何第三方。即使向履行本合同有关的人员提供，也应注意保密并限于履行合同的必需范围。</w:t>
      </w:r>
    </w:p>
    <w:p w14:paraId="79E617A8">
      <w:pPr>
        <w:pStyle w:val="8"/>
        <w:keepNext w:val="0"/>
        <w:keepLines w:val="0"/>
        <w:pageBreakBefore w:val="0"/>
        <w:widowControl w:val="0"/>
        <w:kinsoku/>
        <w:wordWrap/>
        <w:overflowPunct/>
        <w:topLinePunct w:val="0"/>
        <w:autoSpaceDE/>
        <w:autoSpaceDN/>
        <w:bidi w:val="0"/>
        <w:snapToGrid w:val="0"/>
        <w:spacing w:beforeLines="0" w:afterLines="0" w:line="360" w:lineRule="auto"/>
        <w:ind w:left="0" w:leftChars="0" w:right="0" w:rightChars="0" w:firstLine="480" w:firstLineChars="200"/>
        <w:textAlignment w:val="auto"/>
        <w:rPr>
          <w:rFonts w:hAnsi="宋体" w:eastAsia="宋体" w:cs="宋体"/>
          <w:bCs/>
          <w:color w:val="auto"/>
          <w:sz w:val="24"/>
          <w:szCs w:val="24"/>
          <w:highlight w:val="none"/>
        </w:rPr>
      </w:pPr>
      <w:r>
        <w:rPr>
          <w:rFonts w:hint="eastAsia" w:hAnsi="宋体" w:eastAsia="宋体" w:cs="宋体"/>
          <w:color w:val="auto"/>
          <w:sz w:val="24"/>
          <w:szCs w:val="24"/>
          <w:highlight w:val="none"/>
        </w:rPr>
        <w:t>3.乙方应保证提供服务过程中不会侵犯任何第三方的知识产权</w:t>
      </w:r>
      <w:r>
        <w:rPr>
          <w:rFonts w:hint="eastAsia" w:hAnsi="宋体" w:eastAsia="宋体" w:cs="宋体"/>
          <w:bCs/>
          <w:color w:val="auto"/>
          <w:sz w:val="24"/>
          <w:szCs w:val="24"/>
          <w:highlight w:val="none"/>
        </w:rPr>
        <w:t>，否则甲方有权解除本合同，拒绝支付合同价款</w:t>
      </w:r>
      <w:r>
        <w:rPr>
          <w:rFonts w:hint="eastAsia" w:hAnsi="宋体" w:eastAsia="宋体" w:cs="宋体"/>
          <w:bCs/>
          <w:color w:val="auto"/>
          <w:sz w:val="24"/>
          <w:szCs w:val="24"/>
          <w:highlight w:val="none"/>
          <w:lang w:eastAsia="zh-CN"/>
        </w:rPr>
        <w:t>（</w:t>
      </w:r>
      <w:r>
        <w:rPr>
          <w:rFonts w:hint="eastAsia" w:hAnsi="宋体" w:eastAsia="宋体" w:cs="宋体"/>
          <w:bCs/>
          <w:color w:val="auto"/>
          <w:sz w:val="24"/>
          <w:szCs w:val="24"/>
          <w:highlight w:val="none"/>
          <w:lang w:val="en-US" w:eastAsia="zh-CN"/>
        </w:rPr>
        <w:t>或要求乙方退还已收款</w:t>
      </w:r>
      <w:r>
        <w:rPr>
          <w:rFonts w:hint="eastAsia" w:hAnsi="宋体" w:eastAsia="宋体" w:cs="宋体"/>
          <w:bCs/>
          <w:color w:val="auto"/>
          <w:sz w:val="24"/>
          <w:szCs w:val="24"/>
          <w:highlight w:val="none"/>
          <w:lang w:eastAsia="zh-CN"/>
        </w:rPr>
        <w:t>）</w:t>
      </w:r>
      <w:r>
        <w:rPr>
          <w:rFonts w:hint="eastAsia" w:hAnsi="宋体" w:eastAsia="宋体" w:cs="宋体"/>
          <w:bCs/>
          <w:color w:val="auto"/>
          <w:sz w:val="24"/>
          <w:szCs w:val="24"/>
          <w:highlight w:val="none"/>
        </w:rPr>
        <w:t>，并要求乙方赔偿所有损失。</w:t>
      </w:r>
    </w:p>
    <w:p w14:paraId="3CDE7D65">
      <w:pPr>
        <w:pStyle w:val="8"/>
        <w:keepNext w:val="0"/>
        <w:keepLines w:val="0"/>
        <w:pageBreakBefore w:val="0"/>
        <w:widowControl w:val="0"/>
        <w:kinsoku/>
        <w:wordWrap/>
        <w:overflowPunct/>
        <w:topLinePunct w:val="0"/>
        <w:autoSpaceDE/>
        <w:autoSpaceDN/>
        <w:bidi w:val="0"/>
        <w:snapToGrid w:val="0"/>
        <w:spacing w:beforeLines="0" w:afterLines="0" w:line="360" w:lineRule="auto"/>
        <w:ind w:left="0" w:leftChars="0" w:right="0" w:rightChars="0" w:firstLine="482" w:firstLineChars="200"/>
        <w:textAlignment w:val="auto"/>
        <w:rPr>
          <w:rFonts w:hAnsi="宋体" w:eastAsia="宋体" w:cs="宋体"/>
          <w:b/>
          <w:color w:val="auto"/>
          <w:sz w:val="24"/>
          <w:szCs w:val="24"/>
          <w:highlight w:val="none"/>
        </w:rPr>
      </w:pPr>
      <w:r>
        <w:rPr>
          <w:rFonts w:hint="eastAsia" w:hAnsi="宋体" w:eastAsia="宋体" w:cs="宋体"/>
          <w:b/>
          <w:color w:val="auto"/>
          <w:sz w:val="24"/>
          <w:szCs w:val="24"/>
          <w:highlight w:val="none"/>
          <w:lang w:val="en-US" w:eastAsia="zh-CN"/>
        </w:rPr>
        <w:t>五</w:t>
      </w:r>
      <w:r>
        <w:rPr>
          <w:rFonts w:hint="eastAsia" w:hAnsi="宋体" w:eastAsia="宋体" w:cs="宋体"/>
          <w:b/>
          <w:color w:val="auto"/>
          <w:sz w:val="24"/>
          <w:szCs w:val="24"/>
          <w:highlight w:val="none"/>
          <w:lang w:eastAsia="zh-CN"/>
        </w:rPr>
        <w:t>、</w:t>
      </w:r>
      <w:r>
        <w:rPr>
          <w:rFonts w:hint="eastAsia" w:hAnsi="宋体" w:eastAsia="宋体" w:cs="宋体"/>
          <w:b/>
          <w:color w:val="auto"/>
          <w:sz w:val="24"/>
          <w:szCs w:val="24"/>
          <w:highlight w:val="none"/>
        </w:rPr>
        <w:t>质量保证及后续服务</w:t>
      </w:r>
    </w:p>
    <w:p w14:paraId="4A84CD90">
      <w:pPr>
        <w:pStyle w:val="8"/>
        <w:keepNext w:val="0"/>
        <w:keepLines w:val="0"/>
        <w:pageBreakBefore w:val="0"/>
        <w:widowControl w:val="0"/>
        <w:kinsoku/>
        <w:wordWrap/>
        <w:overflowPunct/>
        <w:topLinePunct w:val="0"/>
        <w:autoSpaceDE/>
        <w:autoSpaceDN/>
        <w:bidi w:val="0"/>
        <w:snapToGrid w:val="0"/>
        <w:spacing w:beforeLines="0" w:afterLines="0" w:line="360" w:lineRule="auto"/>
        <w:ind w:left="0" w:leftChars="0" w:right="0" w:rightChars="0" w:firstLine="480" w:firstLineChars="200"/>
        <w:textAlignment w:val="auto"/>
        <w:rPr>
          <w:rFonts w:hAnsi="宋体" w:eastAsia="宋体" w:cs="宋体"/>
          <w:color w:val="auto"/>
          <w:sz w:val="24"/>
          <w:szCs w:val="24"/>
          <w:highlight w:val="none"/>
        </w:rPr>
      </w:pPr>
      <w:r>
        <w:rPr>
          <w:rFonts w:hint="eastAsia" w:hAnsi="宋体" w:eastAsia="宋体" w:cs="宋体"/>
          <w:color w:val="auto"/>
          <w:sz w:val="24"/>
          <w:szCs w:val="24"/>
          <w:highlight w:val="none"/>
        </w:rPr>
        <w:t>1.乙方应按</w:t>
      </w:r>
      <w:r>
        <w:rPr>
          <w:rFonts w:hint="eastAsia" w:hAnsi="宋体" w:eastAsia="宋体" w:cs="宋体"/>
          <w:color w:val="auto"/>
          <w:sz w:val="24"/>
          <w:szCs w:val="24"/>
          <w:highlight w:val="none"/>
          <w:lang w:eastAsia="zh-CN"/>
        </w:rPr>
        <w:t>采购文件</w:t>
      </w:r>
      <w:r>
        <w:rPr>
          <w:rFonts w:hint="eastAsia" w:hAnsi="宋体" w:eastAsia="宋体" w:cs="宋体"/>
          <w:color w:val="auto"/>
          <w:sz w:val="24"/>
          <w:szCs w:val="24"/>
          <w:highlight w:val="none"/>
          <w:lang w:val="en-US" w:eastAsia="zh-CN"/>
        </w:rPr>
        <w:t>及本合同</w:t>
      </w:r>
      <w:r>
        <w:rPr>
          <w:rFonts w:hint="eastAsia" w:hAnsi="宋体" w:eastAsia="宋体" w:cs="宋体"/>
          <w:color w:val="auto"/>
          <w:sz w:val="24"/>
          <w:szCs w:val="24"/>
          <w:highlight w:val="none"/>
        </w:rPr>
        <w:t>规定向甲方提供服务。</w:t>
      </w:r>
    </w:p>
    <w:p w14:paraId="1EB048CE">
      <w:pPr>
        <w:pStyle w:val="8"/>
        <w:keepNext w:val="0"/>
        <w:keepLines w:val="0"/>
        <w:pageBreakBefore w:val="0"/>
        <w:widowControl w:val="0"/>
        <w:kinsoku/>
        <w:wordWrap/>
        <w:overflowPunct/>
        <w:topLinePunct w:val="0"/>
        <w:autoSpaceDE/>
        <w:autoSpaceDN/>
        <w:bidi w:val="0"/>
        <w:snapToGrid w:val="0"/>
        <w:spacing w:beforeLines="0" w:afterLines="0" w:line="360" w:lineRule="auto"/>
        <w:ind w:left="0" w:leftChars="0" w:right="0" w:rightChars="0" w:firstLine="480" w:firstLineChars="200"/>
        <w:textAlignment w:val="auto"/>
        <w:rPr>
          <w:rFonts w:hAnsi="宋体" w:eastAsia="宋体" w:cs="宋体"/>
          <w:color w:val="auto"/>
          <w:sz w:val="24"/>
          <w:szCs w:val="24"/>
          <w:highlight w:val="none"/>
        </w:rPr>
      </w:pPr>
      <w:r>
        <w:rPr>
          <w:rFonts w:hint="eastAsia" w:hAnsi="宋体" w:eastAsia="宋体" w:cs="宋体"/>
          <w:color w:val="auto"/>
          <w:sz w:val="24"/>
          <w:szCs w:val="24"/>
          <w:highlight w:val="none"/>
        </w:rPr>
        <w:t>2.乙方提供的服务成果验收不合格的，或在服务质量保证期内出现问题，乙方应负责免费提供后续服务。对达不到服务要求的，根据实际情况，甲方有权自行选择以下办法处理：</w:t>
      </w:r>
    </w:p>
    <w:p w14:paraId="34C68118">
      <w:pPr>
        <w:pStyle w:val="8"/>
        <w:keepNext w:val="0"/>
        <w:keepLines w:val="0"/>
        <w:pageBreakBefore w:val="0"/>
        <w:widowControl w:val="0"/>
        <w:kinsoku/>
        <w:wordWrap/>
        <w:overflowPunct/>
        <w:topLinePunct w:val="0"/>
        <w:autoSpaceDE/>
        <w:autoSpaceDN/>
        <w:bidi w:val="0"/>
        <w:snapToGrid w:val="0"/>
        <w:spacing w:beforeLines="0" w:afterLines="0" w:line="360" w:lineRule="auto"/>
        <w:ind w:left="0" w:leftChars="0" w:right="0" w:rightChars="0" w:firstLine="480" w:firstLineChars="200"/>
        <w:textAlignment w:val="auto"/>
        <w:rPr>
          <w:rFonts w:hAnsi="宋体" w:eastAsia="宋体" w:cs="宋体"/>
          <w:color w:val="auto"/>
          <w:sz w:val="24"/>
          <w:szCs w:val="24"/>
          <w:highlight w:val="none"/>
        </w:rPr>
      </w:pPr>
      <w:r>
        <w:rPr>
          <w:rFonts w:hint="eastAsia" w:hAnsi="宋体" w:eastAsia="宋体" w:cs="宋体"/>
          <w:color w:val="auto"/>
          <w:sz w:val="24"/>
          <w:szCs w:val="24"/>
          <w:highlight w:val="none"/>
        </w:rPr>
        <w:t>（1）重做：由乙方承担所发生的全部费用，并承担所有损失。</w:t>
      </w:r>
    </w:p>
    <w:p w14:paraId="7F07CAD1">
      <w:pPr>
        <w:pStyle w:val="8"/>
        <w:keepNext w:val="0"/>
        <w:keepLines w:val="0"/>
        <w:pageBreakBefore w:val="0"/>
        <w:widowControl w:val="0"/>
        <w:kinsoku/>
        <w:wordWrap/>
        <w:overflowPunct/>
        <w:topLinePunct w:val="0"/>
        <w:autoSpaceDE/>
        <w:autoSpaceDN/>
        <w:bidi w:val="0"/>
        <w:snapToGrid w:val="0"/>
        <w:spacing w:beforeLines="0" w:afterLines="0" w:line="360" w:lineRule="auto"/>
        <w:ind w:left="0" w:leftChars="0" w:right="0" w:rightChars="0" w:firstLine="480" w:firstLineChars="200"/>
        <w:textAlignment w:val="auto"/>
        <w:rPr>
          <w:rFonts w:hAnsi="宋体" w:eastAsia="宋体" w:cs="宋体"/>
          <w:color w:val="auto"/>
          <w:sz w:val="24"/>
          <w:szCs w:val="24"/>
          <w:highlight w:val="none"/>
        </w:rPr>
      </w:pPr>
      <w:r>
        <w:rPr>
          <w:rFonts w:hint="eastAsia" w:hAnsi="宋体" w:eastAsia="宋体" w:cs="宋体"/>
          <w:color w:val="auto"/>
          <w:sz w:val="24"/>
          <w:szCs w:val="24"/>
          <w:highlight w:val="none"/>
        </w:rPr>
        <w:t>（2）解除合同：甲方拒付（或要求乙方退还）合同价款。</w:t>
      </w:r>
    </w:p>
    <w:p w14:paraId="19AB3C77">
      <w:pPr>
        <w:pStyle w:val="8"/>
        <w:keepNext w:val="0"/>
        <w:keepLines w:val="0"/>
        <w:pageBreakBefore w:val="0"/>
        <w:widowControl w:val="0"/>
        <w:kinsoku/>
        <w:wordWrap/>
        <w:overflowPunct/>
        <w:topLinePunct w:val="0"/>
        <w:autoSpaceDE/>
        <w:autoSpaceDN/>
        <w:bidi w:val="0"/>
        <w:snapToGrid w:val="0"/>
        <w:spacing w:beforeLines="0" w:afterLines="0" w:line="360" w:lineRule="auto"/>
        <w:ind w:left="0" w:leftChars="0" w:right="0" w:rightChars="0" w:firstLine="480" w:firstLineChars="200"/>
        <w:textAlignment w:val="auto"/>
        <w:rPr>
          <w:rFonts w:hAnsi="宋体" w:eastAsia="宋体" w:cs="宋体"/>
          <w:color w:val="auto"/>
          <w:sz w:val="24"/>
          <w:szCs w:val="24"/>
          <w:highlight w:val="none"/>
        </w:rPr>
      </w:pPr>
      <w:r>
        <w:rPr>
          <w:rFonts w:hint="eastAsia" w:hAnsi="宋体" w:eastAsia="宋体" w:cs="宋体"/>
          <w:color w:val="auto"/>
          <w:sz w:val="24"/>
          <w:szCs w:val="24"/>
          <w:highlight w:val="none"/>
        </w:rPr>
        <w:t>3.合同履行期限内，乙方接到甲方通知后＿＿小时内到达甲方现场，并在＿＿小时内排除故障。若乙方缺陷修复不及时，甲方有权</w:t>
      </w:r>
      <w:r>
        <w:rPr>
          <w:rFonts w:hint="eastAsia" w:hAnsi="宋体" w:eastAsia="宋体" w:cs="宋体"/>
          <w:color w:val="auto"/>
          <w:sz w:val="24"/>
          <w:szCs w:val="24"/>
          <w:highlight w:val="none"/>
          <w:lang w:val="en-US" w:eastAsia="zh-CN"/>
        </w:rPr>
        <w:t>自行或</w:t>
      </w:r>
      <w:r>
        <w:rPr>
          <w:rFonts w:hint="eastAsia" w:hAnsi="宋体" w:eastAsia="宋体" w:cs="宋体"/>
          <w:color w:val="auto"/>
          <w:sz w:val="24"/>
          <w:szCs w:val="24"/>
          <w:highlight w:val="none"/>
        </w:rPr>
        <w:t>指定第三方修理，费用由乙方承担。</w:t>
      </w:r>
    </w:p>
    <w:p w14:paraId="67E3A64C">
      <w:pPr>
        <w:pStyle w:val="8"/>
        <w:keepNext w:val="0"/>
        <w:keepLines w:val="0"/>
        <w:pageBreakBefore w:val="0"/>
        <w:widowControl w:val="0"/>
        <w:kinsoku/>
        <w:wordWrap/>
        <w:overflowPunct/>
        <w:topLinePunct w:val="0"/>
        <w:autoSpaceDE/>
        <w:autoSpaceDN/>
        <w:bidi w:val="0"/>
        <w:snapToGrid w:val="0"/>
        <w:spacing w:beforeLines="0" w:afterLines="0" w:line="360" w:lineRule="auto"/>
        <w:ind w:left="0" w:leftChars="0" w:right="0" w:rightChars="0" w:firstLine="480" w:firstLineChars="200"/>
        <w:textAlignment w:val="auto"/>
        <w:rPr>
          <w:rFonts w:hAnsi="宋体" w:eastAsia="宋体" w:cs="宋体"/>
          <w:color w:val="auto"/>
          <w:sz w:val="24"/>
          <w:szCs w:val="24"/>
          <w:highlight w:val="none"/>
        </w:rPr>
      </w:pPr>
      <w:r>
        <w:rPr>
          <w:rFonts w:hint="eastAsia" w:hAnsi="宋体" w:eastAsia="宋体" w:cs="宋体"/>
          <w:color w:val="auto"/>
          <w:sz w:val="24"/>
          <w:szCs w:val="24"/>
          <w:highlight w:val="none"/>
        </w:rPr>
        <w:t>4.在服务质量保证期内，乙方应对出现的质量及安全问题负责处理解决并承担一切费用。</w:t>
      </w:r>
    </w:p>
    <w:p w14:paraId="0C86728E">
      <w:pPr>
        <w:pStyle w:val="8"/>
        <w:keepNext w:val="0"/>
        <w:keepLines w:val="0"/>
        <w:pageBreakBefore w:val="0"/>
        <w:widowControl w:val="0"/>
        <w:kinsoku/>
        <w:wordWrap/>
        <w:overflowPunct/>
        <w:topLinePunct w:val="0"/>
        <w:autoSpaceDE/>
        <w:autoSpaceDN/>
        <w:bidi w:val="0"/>
        <w:snapToGrid w:val="0"/>
        <w:spacing w:beforeLines="0" w:afterLines="0" w:line="360" w:lineRule="auto"/>
        <w:ind w:left="0" w:leftChars="0" w:right="0" w:rightChars="0" w:firstLine="482" w:firstLineChars="200"/>
        <w:textAlignment w:val="auto"/>
        <w:rPr>
          <w:rFonts w:hAnsi="宋体" w:eastAsia="宋体" w:cs="宋体"/>
          <w:b/>
          <w:color w:val="auto"/>
          <w:sz w:val="24"/>
          <w:szCs w:val="24"/>
          <w:highlight w:val="none"/>
        </w:rPr>
      </w:pPr>
      <w:r>
        <w:rPr>
          <w:rFonts w:hint="eastAsia" w:hAnsi="宋体" w:eastAsia="宋体" w:cs="宋体"/>
          <w:b/>
          <w:color w:val="auto"/>
          <w:sz w:val="24"/>
          <w:szCs w:val="24"/>
          <w:highlight w:val="none"/>
          <w:lang w:val="en-US" w:eastAsia="zh-CN"/>
        </w:rPr>
        <w:t>六</w:t>
      </w:r>
      <w:r>
        <w:rPr>
          <w:rFonts w:hint="eastAsia" w:hAnsi="宋体" w:eastAsia="宋体" w:cs="宋体"/>
          <w:b/>
          <w:color w:val="auto"/>
          <w:sz w:val="24"/>
          <w:szCs w:val="24"/>
          <w:highlight w:val="none"/>
          <w:lang w:eastAsia="zh-CN"/>
        </w:rPr>
        <w:t>、</w:t>
      </w:r>
      <w:r>
        <w:rPr>
          <w:rFonts w:hint="eastAsia" w:hAnsi="宋体" w:eastAsia="宋体" w:cs="宋体"/>
          <w:b/>
          <w:color w:val="auto"/>
          <w:sz w:val="24"/>
          <w:szCs w:val="24"/>
          <w:highlight w:val="none"/>
        </w:rPr>
        <w:t>转包或分包</w:t>
      </w:r>
    </w:p>
    <w:p w14:paraId="567C01F5">
      <w:pPr>
        <w:keepNext w:val="0"/>
        <w:keepLines w:val="0"/>
        <w:pageBreakBefore w:val="0"/>
        <w:widowControl w:val="0"/>
        <w:kinsoku/>
        <w:wordWrap/>
        <w:overflowPunct/>
        <w:topLinePunct w:val="0"/>
        <w:autoSpaceDE/>
        <w:autoSpaceDN/>
        <w:bidi w:val="0"/>
        <w:snapToGrid w:val="0"/>
        <w:spacing w:line="360" w:lineRule="auto"/>
        <w:ind w:left="0" w:leftChars="0" w:right="0" w:rightChars="0" w:firstLine="480" w:firstLineChars="200"/>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1.本合同范围的服务，应由乙方直接完成，不得转让给任何第三方；</w:t>
      </w:r>
    </w:p>
    <w:p w14:paraId="5A985E4B">
      <w:pPr>
        <w:keepNext w:val="0"/>
        <w:keepLines w:val="0"/>
        <w:pageBreakBefore w:val="0"/>
        <w:widowControl w:val="0"/>
        <w:kinsoku/>
        <w:wordWrap/>
        <w:overflowPunct/>
        <w:topLinePunct w:val="0"/>
        <w:autoSpaceDE/>
        <w:autoSpaceDN/>
        <w:bidi w:val="0"/>
        <w:snapToGrid w:val="0"/>
        <w:spacing w:line="360" w:lineRule="auto"/>
        <w:ind w:left="0" w:leftChars="0" w:right="0" w:rightChars="0" w:firstLine="480" w:firstLineChars="200"/>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2.除非得到甲方的书面同意，乙方不得将本合同范围的服务全部或部分转包分包给任何第三方完成；</w:t>
      </w:r>
    </w:p>
    <w:p w14:paraId="6E23C167">
      <w:pPr>
        <w:keepNext w:val="0"/>
        <w:keepLines w:val="0"/>
        <w:pageBreakBefore w:val="0"/>
        <w:widowControl w:val="0"/>
        <w:kinsoku/>
        <w:wordWrap/>
        <w:overflowPunct/>
        <w:topLinePunct w:val="0"/>
        <w:autoSpaceDE/>
        <w:autoSpaceDN/>
        <w:bidi w:val="0"/>
        <w:snapToGrid w:val="0"/>
        <w:spacing w:line="360" w:lineRule="auto"/>
        <w:ind w:left="0" w:leftChars="0" w:right="0" w:rightChars="0" w:firstLine="480" w:firstLineChars="200"/>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3.乙方转让或转包分包的，甲方有权解除合同和拒付（或要求乙方退还）合同价款，并没收履约保证金和追究乙方的违约责任。</w:t>
      </w:r>
    </w:p>
    <w:p w14:paraId="0BAA84DC">
      <w:pPr>
        <w:pStyle w:val="8"/>
        <w:keepNext w:val="0"/>
        <w:keepLines w:val="0"/>
        <w:pageBreakBefore w:val="0"/>
        <w:widowControl w:val="0"/>
        <w:kinsoku/>
        <w:wordWrap/>
        <w:overflowPunct/>
        <w:topLinePunct w:val="0"/>
        <w:autoSpaceDE/>
        <w:autoSpaceDN/>
        <w:bidi w:val="0"/>
        <w:snapToGrid w:val="0"/>
        <w:spacing w:beforeLines="0" w:afterLines="0" w:line="360" w:lineRule="auto"/>
        <w:ind w:left="0" w:leftChars="0" w:right="0" w:rightChars="0" w:firstLine="482" w:firstLineChars="200"/>
        <w:textAlignment w:val="auto"/>
        <w:rPr>
          <w:rFonts w:hAnsi="宋体" w:eastAsia="宋体" w:cs="宋体"/>
          <w:b/>
          <w:color w:val="auto"/>
          <w:sz w:val="24"/>
          <w:szCs w:val="24"/>
          <w:highlight w:val="none"/>
        </w:rPr>
      </w:pPr>
      <w:r>
        <w:rPr>
          <w:rFonts w:hint="eastAsia" w:hAnsi="宋体" w:eastAsia="宋体" w:cs="宋体"/>
          <w:b/>
          <w:color w:val="auto"/>
          <w:sz w:val="24"/>
          <w:szCs w:val="24"/>
          <w:highlight w:val="none"/>
        </w:rPr>
        <w:t>七</w:t>
      </w:r>
      <w:r>
        <w:rPr>
          <w:rFonts w:hint="eastAsia" w:hAnsi="宋体" w:eastAsia="宋体" w:cs="宋体"/>
          <w:b/>
          <w:color w:val="auto"/>
          <w:sz w:val="24"/>
          <w:szCs w:val="24"/>
          <w:highlight w:val="none"/>
          <w:lang w:eastAsia="zh-CN"/>
        </w:rPr>
        <w:t>、</w:t>
      </w:r>
      <w:r>
        <w:rPr>
          <w:rFonts w:hint="eastAsia" w:hAnsi="宋体" w:eastAsia="宋体" w:cs="宋体"/>
          <w:b/>
          <w:color w:val="auto"/>
          <w:sz w:val="24"/>
          <w:szCs w:val="24"/>
          <w:highlight w:val="none"/>
        </w:rPr>
        <w:t>验收标准</w:t>
      </w:r>
    </w:p>
    <w:p w14:paraId="496CC80B">
      <w:pPr>
        <w:pStyle w:val="8"/>
        <w:keepNext w:val="0"/>
        <w:keepLines w:val="0"/>
        <w:pageBreakBefore w:val="0"/>
        <w:widowControl w:val="0"/>
        <w:kinsoku/>
        <w:wordWrap/>
        <w:overflowPunct/>
        <w:topLinePunct w:val="0"/>
        <w:autoSpaceDE/>
        <w:autoSpaceDN/>
        <w:bidi w:val="0"/>
        <w:snapToGrid w:val="0"/>
        <w:spacing w:beforeLines="0" w:afterLines="0" w:line="360" w:lineRule="auto"/>
        <w:ind w:left="0" w:leftChars="0" w:right="0" w:rightChars="0" w:firstLine="480" w:firstLineChars="200"/>
        <w:textAlignment w:val="auto"/>
        <w:rPr>
          <w:rFonts w:hAnsi="宋体" w:eastAsia="宋体" w:cs="宋体"/>
          <w:color w:val="auto"/>
          <w:sz w:val="24"/>
          <w:szCs w:val="24"/>
          <w:highlight w:val="none"/>
        </w:rPr>
      </w:pPr>
      <w:r>
        <w:rPr>
          <w:rFonts w:hint="eastAsia" w:hAnsi="宋体" w:eastAsia="宋体" w:cs="宋体"/>
          <w:color w:val="auto"/>
          <w:sz w:val="24"/>
          <w:szCs w:val="24"/>
          <w:highlight w:val="none"/>
          <w:lang w:val="en-US" w:eastAsia="zh-CN"/>
        </w:rPr>
        <w:t>乙方完成本合同服务内容后</w:t>
      </w:r>
      <w:r>
        <w:rPr>
          <w:rFonts w:hint="eastAsia" w:hAnsi="宋体" w:eastAsia="宋体" w:cs="宋体"/>
          <w:color w:val="auto"/>
          <w:sz w:val="24"/>
          <w:szCs w:val="24"/>
          <w:highlight w:val="none"/>
        </w:rPr>
        <w:t>，乙方按</w:t>
      </w:r>
      <w:r>
        <w:rPr>
          <w:rFonts w:hint="eastAsia" w:hAnsi="宋体" w:eastAsia="宋体" w:cs="宋体"/>
          <w:color w:val="auto"/>
          <w:sz w:val="24"/>
          <w:szCs w:val="24"/>
          <w:highlight w:val="none"/>
          <w:lang w:val="en-US" w:eastAsia="zh-CN"/>
        </w:rPr>
        <w:t>采购</w:t>
      </w:r>
      <w:r>
        <w:rPr>
          <w:rFonts w:hint="eastAsia" w:hAnsi="宋体" w:eastAsia="宋体" w:cs="宋体"/>
          <w:color w:val="auto"/>
          <w:sz w:val="24"/>
          <w:szCs w:val="24"/>
          <w:highlight w:val="none"/>
        </w:rPr>
        <w:t>文件、</w:t>
      </w:r>
      <w:r>
        <w:rPr>
          <w:rFonts w:hint="eastAsia" w:hAnsi="宋体" w:eastAsia="宋体" w:cs="宋体"/>
          <w:color w:val="auto"/>
          <w:sz w:val="24"/>
          <w:szCs w:val="24"/>
          <w:highlight w:val="none"/>
          <w:lang w:val="en-US" w:eastAsia="zh-CN"/>
        </w:rPr>
        <w:t>响应（投标）文件</w:t>
      </w:r>
      <w:r>
        <w:rPr>
          <w:rFonts w:hint="eastAsia" w:hAnsi="宋体" w:eastAsia="宋体" w:cs="宋体"/>
          <w:color w:val="auto"/>
          <w:sz w:val="24"/>
          <w:szCs w:val="24"/>
          <w:highlight w:val="none"/>
        </w:rPr>
        <w:t>及合同中的服务内容和要求提供相应材料并</w:t>
      </w:r>
      <w:r>
        <w:rPr>
          <w:rFonts w:hint="eastAsia" w:hAnsi="宋体" w:eastAsia="宋体" w:cs="宋体"/>
          <w:color w:val="auto"/>
          <w:sz w:val="24"/>
          <w:szCs w:val="24"/>
          <w:highlight w:val="none"/>
          <w:lang w:val="en-US" w:eastAsia="zh-CN"/>
        </w:rPr>
        <w:t>申请</w:t>
      </w:r>
      <w:r>
        <w:rPr>
          <w:rFonts w:hint="eastAsia" w:hAnsi="宋体" w:eastAsia="宋体" w:cs="宋体"/>
          <w:color w:val="auto"/>
          <w:sz w:val="24"/>
          <w:szCs w:val="24"/>
          <w:highlight w:val="none"/>
        </w:rPr>
        <w:t>验收，由甲方对履约情况进行验收。</w:t>
      </w:r>
    </w:p>
    <w:p w14:paraId="793E916F">
      <w:pPr>
        <w:pStyle w:val="8"/>
        <w:keepNext w:val="0"/>
        <w:keepLines w:val="0"/>
        <w:pageBreakBefore w:val="0"/>
        <w:widowControl w:val="0"/>
        <w:kinsoku/>
        <w:wordWrap/>
        <w:overflowPunct/>
        <w:topLinePunct w:val="0"/>
        <w:autoSpaceDE/>
        <w:autoSpaceDN/>
        <w:bidi w:val="0"/>
        <w:snapToGrid w:val="0"/>
        <w:spacing w:beforeLines="0" w:afterLines="0" w:line="360" w:lineRule="auto"/>
        <w:ind w:left="0" w:leftChars="0" w:right="0" w:rightChars="0" w:firstLine="482" w:firstLineChars="200"/>
        <w:textAlignment w:val="auto"/>
        <w:rPr>
          <w:rFonts w:hAnsi="宋体" w:eastAsia="宋体" w:cs="宋体"/>
          <w:b/>
          <w:color w:val="auto"/>
          <w:sz w:val="24"/>
          <w:szCs w:val="24"/>
          <w:highlight w:val="none"/>
        </w:rPr>
      </w:pPr>
      <w:r>
        <w:rPr>
          <w:rFonts w:hint="eastAsia" w:hAnsi="宋体" w:eastAsia="宋体" w:cs="宋体"/>
          <w:b/>
          <w:color w:val="auto"/>
          <w:sz w:val="24"/>
          <w:szCs w:val="24"/>
          <w:highlight w:val="none"/>
        </w:rPr>
        <w:t>八</w:t>
      </w:r>
      <w:r>
        <w:rPr>
          <w:rFonts w:hint="eastAsia" w:hAnsi="宋体" w:eastAsia="宋体" w:cs="宋体"/>
          <w:b/>
          <w:color w:val="auto"/>
          <w:sz w:val="24"/>
          <w:szCs w:val="24"/>
          <w:highlight w:val="none"/>
          <w:lang w:eastAsia="zh-CN"/>
        </w:rPr>
        <w:t>、</w:t>
      </w:r>
      <w:r>
        <w:rPr>
          <w:rFonts w:hint="eastAsia" w:hAnsi="宋体" w:eastAsia="宋体" w:cs="宋体"/>
          <w:b/>
          <w:color w:val="auto"/>
          <w:sz w:val="24"/>
          <w:szCs w:val="24"/>
          <w:highlight w:val="none"/>
        </w:rPr>
        <w:t>违约责任</w:t>
      </w:r>
    </w:p>
    <w:p w14:paraId="3D6043B1">
      <w:pPr>
        <w:pStyle w:val="8"/>
        <w:keepNext w:val="0"/>
        <w:keepLines w:val="0"/>
        <w:pageBreakBefore w:val="0"/>
        <w:widowControl w:val="0"/>
        <w:kinsoku/>
        <w:wordWrap/>
        <w:overflowPunct/>
        <w:topLinePunct w:val="0"/>
        <w:autoSpaceDE/>
        <w:autoSpaceDN/>
        <w:bidi w:val="0"/>
        <w:snapToGrid w:val="0"/>
        <w:spacing w:beforeLines="0" w:afterLines="0" w:line="360" w:lineRule="auto"/>
        <w:ind w:left="0" w:leftChars="0" w:right="0" w:rightChars="0" w:firstLine="480" w:firstLineChars="200"/>
        <w:textAlignment w:val="auto"/>
        <w:rPr>
          <w:rFonts w:hAnsi="宋体" w:eastAsia="宋体" w:cs="宋体"/>
          <w:color w:val="auto"/>
          <w:sz w:val="24"/>
          <w:szCs w:val="24"/>
          <w:highlight w:val="none"/>
        </w:rPr>
      </w:pPr>
      <w:r>
        <w:rPr>
          <w:rFonts w:hint="eastAsia" w:hAnsi="宋体" w:eastAsia="宋体" w:cs="宋体"/>
          <w:color w:val="auto"/>
          <w:sz w:val="24"/>
          <w:szCs w:val="24"/>
          <w:highlight w:val="none"/>
        </w:rPr>
        <w:t>1.甲方无正当理由拒绝接受服务的，甲方应向乙方支付合同总价款百分之五的违约金。</w:t>
      </w:r>
    </w:p>
    <w:p w14:paraId="05120D53">
      <w:pPr>
        <w:pStyle w:val="8"/>
        <w:keepNext w:val="0"/>
        <w:keepLines w:val="0"/>
        <w:pageBreakBefore w:val="0"/>
        <w:widowControl w:val="0"/>
        <w:kinsoku/>
        <w:wordWrap/>
        <w:overflowPunct/>
        <w:topLinePunct w:val="0"/>
        <w:autoSpaceDE/>
        <w:autoSpaceDN/>
        <w:bidi w:val="0"/>
        <w:snapToGrid w:val="0"/>
        <w:spacing w:beforeLines="0" w:afterLines="0" w:line="360" w:lineRule="auto"/>
        <w:ind w:left="0" w:leftChars="0" w:right="0" w:rightChars="0" w:firstLine="480" w:firstLineChars="200"/>
        <w:textAlignment w:val="auto"/>
        <w:rPr>
          <w:rFonts w:hAnsi="宋体" w:eastAsia="宋体" w:cs="宋体"/>
          <w:color w:val="auto"/>
          <w:sz w:val="24"/>
          <w:szCs w:val="24"/>
          <w:highlight w:val="none"/>
        </w:rPr>
      </w:pPr>
      <w:r>
        <w:rPr>
          <w:rFonts w:hint="eastAsia" w:hAnsi="宋体" w:eastAsia="宋体" w:cs="宋体"/>
          <w:color w:val="auto"/>
          <w:sz w:val="24"/>
          <w:szCs w:val="24"/>
          <w:highlight w:val="none"/>
        </w:rPr>
        <w:t>2.甲方无故逾期付款的，甲方应向乙方按逾期付款金额的万分之五每日支付违约金。</w:t>
      </w:r>
    </w:p>
    <w:p w14:paraId="3036DE60">
      <w:pPr>
        <w:pStyle w:val="8"/>
        <w:keepNext w:val="0"/>
        <w:keepLines w:val="0"/>
        <w:pageBreakBefore w:val="0"/>
        <w:widowControl w:val="0"/>
        <w:kinsoku/>
        <w:wordWrap/>
        <w:overflowPunct/>
        <w:topLinePunct w:val="0"/>
        <w:autoSpaceDE/>
        <w:autoSpaceDN/>
        <w:bidi w:val="0"/>
        <w:snapToGrid w:val="0"/>
        <w:spacing w:beforeLines="0" w:afterLines="0" w:line="360" w:lineRule="auto"/>
        <w:ind w:left="0" w:leftChars="0" w:right="0" w:rightChars="0" w:firstLine="480" w:firstLineChars="200"/>
        <w:textAlignment w:val="auto"/>
        <w:rPr>
          <w:rFonts w:hint="eastAsia" w:hAnsi="宋体" w:eastAsia="宋体" w:cs="宋体"/>
          <w:color w:val="auto"/>
          <w:sz w:val="24"/>
          <w:szCs w:val="24"/>
          <w:highlight w:val="none"/>
        </w:rPr>
      </w:pPr>
      <w:r>
        <w:rPr>
          <w:rFonts w:hint="eastAsia" w:hAnsi="宋体" w:eastAsia="宋体" w:cs="宋体"/>
          <w:color w:val="auto"/>
          <w:sz w:val="24"/>
          <w:szCs w:val="24"/>
          <w:highlight w:val="none"/>
        </w:rPr>
        <w:t>3.乙方逾期履行合同义务的，乙方应向甲方每日偿付合同总价</w:t>
      </w:r>
      <w:r>
        <w:rPr>
          <w:rFonts w:hint="eastAsia" w:hAnsi="宋体" w:eastAsia="宋体" w:cs="宋体"/>
          <w:color w:val="auto"/>
          <w:sz w:val="24"/>
          <w:szCs w:val="24"/>
          <w:highlight w:val="none"/>
          <w:lang w:val="en-US" w:eastAsia="zh-CN"/>
        </w:rPr>
        <w:t>万</w:t>
      </w:r>
      <w:r>
        <w:rPr>
          <w:rFonts w:hint="eastAsia" w:hAnsi="宋体" w:eastAsia="宋体" w:cs="宋体"/>
          <w:color w:val="auto"/>
          <w:sz w:val="24"/>
          <w:szCs w:val="24"/>
          <w:highlight w:val="none"/>
        </w:rPr>
        <w:t>分之五的违约金。乙方逾期</w:t>
      </w:r>
      <w:r>
        <w:rPr>
          <w:rFonts w:hint="eastAsia" w:hAnsi="宋体" w:eastAsia="宋体" w:cs="宋体"/>
          <w:color w:val="auto"/>
          <w:sz w:val="24"/>
          <w:szCs w:val="24"/>
          <w:highlight w:val="none"/>
          <w:lang w:val="en-US" w:eastAsia="zh-CN"/>
        </w:rPr>
        <w:t>十</w:t>
      </w:r>
      <w:r>
        <w:rPr>
          <w:rFonts w:hint="eastAsia" w:hAnsi="宋体" w:eastAsia="宋体" w:cs="宋体"/>
          <w:color w:val="auto"/>
          <w:sz w:val="24"/>
          <w:szCs w:val="24"/>
          <w:highlight w:val="none"/>
        </w:rPr>
        <w:t>个工作日及以上履行合同义务的，甲方有权解除本合同，并拒付（或要求乙方退还）合同价款，乙方应按合同总价款的</w:t>
      </w:r>
      <w:r>
        <w:rPr>
          <w:rFonts w:hint="eastAsia" w:hAnsi="宋体" w:eastAsia="宋体" w:cs="宋体"/>
          <w:color w:val="auto"/>
          <w:sz w:val="24"/>
          <w:szCs w:val="24"/>
          <w:highlight w:val="none"/>
          <w:lang w:val="en-US" w:eastAsia="zh-CN"/>
        </w:rPr>
        <w:t>百分之五</w:t>
      </w:r>
      <w:r>
        <w:rPr>
          <w:rFonts w:hint="eastAsia" w:hAnsi="宋体" w:eastAsia="宋体" w:cs="宋体"/>
          <w:color w:val="auto"/>
          <w:sz w:val="24"/>
          <w:szCs w:val="24"/>
          <w:highlight w:val="none"/>
        </w:rPr>
        <w:t>向甲方支付违约金，造成甲方损失的，乙方应承担赔偿责任。</w:t>
      </w:r>
    </w:p>
    <w:p w14:paraId="12A456DE">
      <w:pPr>
        <w:pStyle w:val="8"/>
        <w:keepNext w:val="0"/>
        <w:keepLines w:val="0"/>
        <w:pageBreakBefore w:val="0"/>
        <w:widowControl w:val="0"/>
        <w:kinsoku/>
        <w:wordWrap/>
        <w:overflowPunct/>
        <w:topLinePunct w:val="0"/>
        <w:autoSpaceDE/>
        <w:autoSpaceDN/>
        <w:bidi w:val="0"/>
        <w:snapToGrid w:val="0"/>
        <w:spacing w:beforeLines="0" w:afterLines="0" w:line="360" w:lineRule="auto"/>
        <w:ind w:left="0" w:leftChars="0" w:right="0" w:rightChars="0" w:firstLine="480" w:firstLineChars="200"/>
        <w:textAlignment w:val="auto"/>
        <w:rPr>
          <w:rFonts w:hint="default" w:hAnsi="宋体" w:eastAsia="宋体" w:cs="宋体"/>
          <w:color w:val="auto"/>
          <w:sz w:val="24"/>
          <w:szCs w:val="24"/>
          <w:highlight w:val="none"/>
          <w:lang w:val="en-US" w:eastAsia="zh-CN"/>
        </w:rPr>
      </w:pPr>
      <w:r>
        <w:rPr>
          <w:rFonts w:hint="eastAsia" w:hAnsi="宋体" w:eastAsia="宋体" w:cs="宋体"/>
          <w:color w:val="auto"/>
          <w:sz w:val="24"/>
          <w:szCs w:val="24"/>
          <w:highlight w:val="none"/>
          <w:lang w:val="en-US" w:eastAsia="zh-CN"/>
        </w:rPr>
        <w:t>4.乙方提供服务无法达到甲方要求的，经甲方催告后仍未纠正或采取补救措施或仍无法达到甲方要求的，甲方有权解除本合同，并拒付（或要求乙方退还）合同价款，乙方应按合同总价款的百分之五向甲方支付违约金，造成甲方损失的，乙方应承担赔偿责任。</w:t>
      </w:r>
    </w:p>
    <w:p w14:paraId="5BA26BED">
      <w:pPr>
        <w:pStyle w:val="8"/>
        <w:keepNext w:val="0"/>
        <w:keepLines w:val="0"/>
        <w:pageBreakBefore w:val="0"/>
        <w:widowControl w:val="0"/>
        <w:kinsoku/>
        <w:wordWrap/>
        <w:overflowPunct/>
        <w:topLinePunct w:val="0"/>
        <w:autoSpaceDE/>
        <w:autoSpaceDN/>
        <w:bidi w:val="0"/>
        <w:snapToGrid w:val="0"/>
        <w:spacing w:beforeLines="0" w:afterLines="0" w:line="360" w:lineRule="auto"/>
        <w:ind w:left="0" w:leftChars="0" w:right="0" w:rightChars="0" w:firstLine="480" w:firstLineChars="200"/>
        <w:textAlignment w:val="auto"/>
        <w:rPr>
          <w:rFonts w:hint="default" w:hAnsi="宋体" w:eastAsia="宋体" w:cs="宋体"/>
          <w:color w:val="auto"/>
          <w:sz w:val="24"/>
          <w:szCs w:val="24"/>
          <w:highlight w:val="none"/>
          <w:lang w:val="en-US" w:eastAsia="zh-CN"/>
        </w:rPr>
      </w:pPr>
      <w:r>
        <w:rPr>
          <w:rFonts w:hint="eastAsia" w:hAnsi="宋体" w:eastAsia="宋体" w:cs="宋体"/>
          <w:color w:val="auto"/>
          <w:sz w:val="24"/>
          <w:szCs w:val="24"/>
          <w:highlight w:val="none"/>
          <w:lang w:val="en-US" w:eastAsia="zh-CN"/>
        </w:rPr>
        <w:t>5.乙方保障具备履行本合同所需的一切资质，否则甲方有权立即解除本合同，并拒付（或要求乙方退还）合同价款。如因此给甲方造成损失或被行政处罚的，一切责任由乙方承担。</w:t>
      </w:r>
    </w:p>
    <w:p w14:paraId="1CD072E7">
      <w:pPr>
        <w:pStyle w:val="8"/>
        <w:keepNext w:val="0"/>
        <w:keepLines w:val="0"/>
        <w:pageBreakBefore w:val="0"/>
        <w:widowControl w:val="0"/>
        <w:kinsoku/>
        <w:wordWrap/>
        <w:overflowPunct/>
        <w:topLinePunct w:val="0"/>
        <w:autoSpaceDE/>
        <w:autoSpaceDN/>
        <w:bidi w:val="0"/>
        <w:snapToGrid w:val="0"/>
        <w:spacing w:beforeLines="0" w:afterLines="0" w:line="360" w:lineRule="auto"/>
        <w:ind w:left="0" w:leftChars="0" w:right="0" w:rightChars="0" w:firstLine="480" w:firstLineChars="200"/>
        <w:textAlignment w:val="auto"/>
        <w:rPr>
          <w:rFonts w:hint="eastAsia" w:hAnsi="宋体" w:eastAsia="宋体" w:cs="宋体"/>
          <w:color w:val="auto"/>
          <w:sz w:val="24"/>
          <w:szCs w:val="24"/>
          <w:highlight w:val="none"/>
        </w:rPr>
      </w:pPr>
      <w:r>
        <w:rPr>
          <w:rFonts w:hint="eastAsia" w:hAnsi="宋体" w:eastAsia="宋体" w:cs="宋体"/>
          <w:color w:val="auto"/>
          <w:sz w:val="24"/>
          <w:szCs w:val="24"/>
          <w:highlight w:val="none"/>
          <w:lang w:val="en-US" w:eastAsia="zh-CN"/>
        </w:rPr>
        <w:t>6</w:t>
      </w:r>
      <w:r>
        <w:rPr>
          <w:rFonts w:hint="eastAsia" w:hAnsi="宋体" w:eastAsia="宋体" w:cs="宋体"/>
          <w:color w:val="auto"/>
          <w:sz w:val="24"/>
          <w:szCs w:val="24"/>
          <w:highlight w:val="none"/>
        </w:rPr>
        <w:t>.合同履行期内，任何一方因不可抗力事件不能履行合同的，合同履行期限可相应顺延。不可抗力事件发生后，应立即通知对方，并邮寄或送达有关权威机构出具的证明。</w:t>
      </w:r>
    </w:p>
    <w:p w14:paraId="22A8193A">
      <w:pPr>
        <w:pStyle w:val="8"/>
        <w:keepNext w:val="0"/>
        <w:keepLines w:val="0"/>
        <w:pageBreakBefore w:val="0"/>
        <w:widowControl w:val="0"/>
        <w:kinsoku/>
        <w:wordWrap/>
        <w:overflowPunct/>
        <w:topLinePunct w:val="0"/>
        <w:autoSpaceDE/>
        <w:autoSpaceDN/>
        <w:bidi w:val="0"/>
        <w:snapToGrid w:val="0"/>
        <w:spacing w:beforeLines="0" w:afterLines="0" w:line="360" w:lineRule="auto"/>
        <w:ind w:left="0" w:leftChars="0" w:right="0" w:rightChars="0" w:firstLine="480" w:firstLineChars="200"/>
        <w:textAlignment w:val="auto"/>
        <w:rPr>
          <w:rFonts w:hint="eastAsia" w:hAnsi="宋体" w:eastAsia="宋体" w:cs="宋体"/>
          <w:color w:val="auto"/>
          <w:sz w:val="24"/>
          <w:szCs w:val="24"/>
          <w:highlight w:val="none"/>
        </w:rPr>
      </w:pPr>
      <w:r>
        <w:rPr>
          <w:rFonts w:hint="eastAsia" w:hAnsi="宋体" w:eastAsia="宋体" w:cs="宋体"/>
          <w:color w:val="auto"/>
          <w:sz w:val="24"/>
          <w:szCs w:val="24"/>
          <w:highlight w:val="none"/>
          <w:lang w:val="en-US" w:eastAsia="zh-CN"/>
        </w:rPr>
        <w:t>7</w:t>
      </w:r>
      <w:r>
        <w:rPr>
          <w:rFonts w:hint="eastAsia" w:hAnsi="宋体" w:eastAsia="宋体" w:cs="宋体"/>
          <w:color w:val="auto"/>
          <w:sz w:val="24"/>
          <w:szCs w:val="24"/>
          <w:highlight w:val="none"/>
        </w:rPr>
        <w:t>.甲方有权从应支付给乙方的款项中扣除乙方应承担的费用（包括但不限于违约金，损害赔偿等），且不视为甲方违约。</w:t>
      </w:r>
    </w:p>
    <w:p w14:paraId="5BA04EB6">
      <w:pPr>
        <w:pStyle w:val="8"/>
        <w:keepNext w:val="0"/>
        <w:keepLines w:val="0"/>
        <w:pageBreakBefore w:val="0"/>
        <w:widowControl w:val="0"/>
        <w:kinsoku/>
        <w:wordWrap/>
        <w:overflowPunct/>
        <w:topLinePunct w:val="0"/>
        <w:autoSpaceDE/>
        <w:autoSpaceDN/>
        <w:bidi w:val="0"/>
        <w:snapToGrid w:val="0"/>
        <w:spacing w:beforeLines="0" w:afterLines="0" w:line="360" w:lineRule="auto"/>
        <w:ind w:left="0" w:leftChars="0" w:right="0" w:rightChars="0" w:firstLine="480" w:firstLineChars="200"/>
        <w:textAlignment w:val="auto"/>
        <w:rPr>
          <w:rFonts w:hint="eastAsia" w:hAnsi="宋体" w:eastAsia="宋体" w:cs="宋体"/>
          <w:color w:val="auto"/>
          <w:sz w:val="24"/>
          <w:szCs w:val="24"/>
          <w:highlight w:val="none"/>
        </w:rPr>
      </w:pPr>
      <w:r>
        <w:rPr>
          <w:rFonts w:hint="eastAsia" w:hAnsi="宋体" w:eastAsia="宋体" w:cs="宋体"/>
          <w:color w:val="auto"/>
          <w:sz w:val="24"/>
          <w:szCs w:val="24"/>
          <w:highlight w:val="none"/>
          <w:lang w:val="en-US" w:eastAsia="zh-CN"/>
        </w:rPr>
        <w:t>8</w:t>
      </w:r>
      <w:r>
        <w:rPr>
          <w:rFonts w:hint="eastAsia" w:hAnsi="宋体" w:eastAsia="宋体" w:cs="宋体"/>
          <w:color w:val="auto"/>
          <w:sz w:val="24"/>
          <w:szCs w:val="24"/>
          <w:highlight w:val="none"/>
        </w:rPr>
        <w:t>.乙方违约的，除应承担违约损害赔偿外，还应承担甲方为实现权利而支出的合理费用，包括但不限于诉讼费、保全费、鉴定费、律师代理费、执行费、差旅费等。</w:t>
      </w:r>
    </w:p>
    <w:p w14:paraId="3811564D">
      <w:pPr>
        <w:pStyle w:val="8"/>
        <w:keepNext w:val="0"/>
        <w:keepLines w:val="0"/>
        <w:pageBreakBefore w:val="0"/>
        <w:widowControl w:val="0"/>
        <w:kinsoku/>
        <w:wordWrap/>
        <w:overflowPunct/>
        <w:topLinePunct w:val="0"/>
        <w:autoSpaceDE/>
        <w:autoSpaceDN/>
        <w:bidi w:val="0"/>
        <w:snapToGrid w:val="0"/>
        <w:spacing w:beforeLines="0" w:afterLines="0" w:line="360" w:lineRule="auto"/>
        <w:ind w:left="0" w:leftChars="0" w:right="0" w:rightChars="0" w:firstLine="482" w:firstLineChars="200"/>
        <w:textAlignment w:val="auto"/>
        <w:rPr>
          <w:rFonts w:hint="eastAsia" w:hAnsi="宋体" w:eastAsia="宋体" w:cs="宋体"/>
          <w:b/>
          <w:color w:val="auto"/>
          <w:sz w:val="24"/>
          <w:szCs w:val="24"/>
          <w:highlight w:val="none"/>
          <w:lang w:val="en-US" w:eastAsia="zh-CN"/>
        </w:rPr>
      </w:pPr>
      <w:r>
        <w:rPr>
          <w:rFonts w:hint="eastAsia" w:hAnsi="宋体" w:eastAsia="宋体" w:cs="宋体"/>
          <w:b/>
          <w:color w:val="auto"/>
          <w:sz w:val="24"/>
          <w:szCs w:val="24"/>
          <w:highlight w:val="none"/>
        </w:rPr>
        <w:t>九</w:t>
      </w:r>
      <w:r>
        <w:rPr>
          <w:rFonts w:hint="eastAsia" w:hAnsi="宋体" w:eastAsia="宋体" w:cs="宋体"/>
          <w:b/>
          <w:color w:val="auto"/>
          <w:sz w:val="24"/>
          <w:szCs w:val="24"/>
          <w:highlight w:val="none"/>
          <w:lang w:eastAsia="zh-CN"/>
        </w:rPr>
        <w:t>、</w:t>
      </w:r>
      <w:r>
        <w:rPr>
          <w:rFonts w:hint="eastAsia" w:hAnsi="宋体" w:eastAsia="宋体" w:cs="宋体"/>
          <w:b/>
          <w:color w:val="auto"/>
          <w:sz w:val="24"/>
          <w:szCs w:val="24"/>
          <w:highlight w:val="none"/>
          <w:lang w:val="en-US" w:eastAsia="zh-CN"/>
        </w:rPr>
        <w:t>不可抗力事件处理</w:t>
      </w:r>
    </w:p>
    <w:p w14:paraId="7042C7FF">
      <w:pPr>
        <w:pStyle w:val="8"/>
        <w:keepNext w:val="0"/>
        <w:keepLines w:val="0"/>
        <w:pageBreakBefore w:val="0"/>
        <w:widowControl w:val="0"/>
        <w:kinsoku/>
        <w:wordWrap/>
        <w:overflowPunct/>
        <w:topLinePunct w:val="0"/>
        <w:autoSpaceDE/>
        <w:autoSpaceDN/>
        <w:bidi w:val="0"/>
        <w:snapToGrid w:val="0"/>
        <w:spacing w:beforeLines="0" w:afterLines="0" w:line="360" w:lineRule="auto"/>
        <w:ind w:left="0" w:leftChars="0" w:right="0" w:rightChars="0" w:firstLine="480" w:firstLineChars="200"/>
        <w:textAlignment w:val="auto"/>
        <w:rPr>
          <w:rFonts w:hint="default" w:hAnsi="宋体" w:eastAsia="宋体" w:cs="宋体"/>
          <w:b w:val="0"/>
          <w:bCs/>
          <w:color w:val="auto"/>
          <w:sz w:val="24"/>
          <w:szCs w:val="24"/>
          <w:highlight w:val="none"/>
          <w:lang w:val="en-US" w:eastAsia="zh-CN"/>
        </w:rPr>
      </w:pPr>
      <w:r>
        <w:rPr>
          <w:rFonts w:hint="default" w:hAnsi="宋体" w:eastAsia="宋体" w:cs="宋体"/>
          <w:b w:val="0"/>
          <w:bCs/>
          <w:color w:val="auto"/>
          <w:sz w:val="24"/>
          <w:szCs w:val="24"/>
          <w:highlight w:val="none"/>
          <w:lang w:val="en-US" w:eastAsia="zh-CN"/>
        </w:rPr>
        <w:t>1.在合同有效期内，任何一方因不可抗力事件导致不能履行合同，则合同履行期可延长，其延长期与不可抗力影响期相同。</w:t>
      </w:r>
    </w:p>
    <w:p w14:paraId="4AFAE623">
      <w:pPr>
        <w:pStyle w:val="8"/>
        <w:keepNext w:val="0"/>
        <w:keepLines w:val="0"/>
        <w:pageBreakBefore w:val="0"/>
        <w:widowControl w:val="0"/>
        <w:kinsoku/>
        <w:wordWrap/>
        <w:overflowPunct/>
        <w:topLinePunct w:val="0"/>
        <w:autoSpaceDE/>
        <w:autoSpaceDN/>
        <w:bidi w:val="0"/>
        <w:snapToGrid w:val="0"/>
        <w:spacing w:beforeLines="0" w:afterLines="0" w:line="360" w:lineRule="auto"/>
        <w:ind w:left="0" w:leftChars="0" w:right="0" w:rightChars="0" w:firstLine="480" w:firstLineChars="200"/>
        <w:textAlignment w:val="auto"/>
        <w:rPr>
          <w:rFonts w:hint="default" w:hAnsi="宋体" w:eastAsia="宋体" w:cs="宋体"/>
          <w:b w:val="0"/>
          <w:bCs/>
          <w:color w:val="auto"/>
          <w:sz w:val="24"/>
          <w:szCs w:val="24"/>
          <w:highlight w:val="none"/>
          <w:lang w:val="en-US" w:eastAsia="zh-CN"/>
        </w:rPr>
      </w:pPr>
      <w:r>
        <w:rPr>
          <w:rFonts w:hint="default" w:hAnsi="宋体" w:eastAsia="宋体" w:cs="宋体"/>
          <w:b w:val="0"/>
          <w:bCs/>
          <w:color w:val="auto"/>
          <w:sz w:val="24"/>
          <w:szCs w:val="24"/>
          <w:highlight w:val="none"/>
          <w:lang w:val="en-US" w:eastAsia="zh-CN"/>
        </w:rPr>
        <w:t>2.不可抗力事件发生后，应立即通知对方，并寄送有关权威机构出具的证明。</w:t>
      </w:r>
    </w:p>
    <w:p w14:paraId="23A22F17">
      <w:pPr>
        <w:pStyle w:val="8"/>
        <w:keepNext w:val="0"/>
        <w:keepLines w:val="0"/>
        <w:pageBreakBefore w:val="0"/>
        <w:widowControl w:val="0"/>
        <w:kinsoku/>
        <w:wordWrap/>
        <w:overflowPunct/>
        <w:topLinePunct w:val="0"/>
        <w:autoSpaceDE/>
        <w:autoSpaceDN/>
        <w:bidi w:val="0"/>
        <w:snapToGrid w:val="0"/>
        <w:spacing w:beforeLines="0" w:afterLines="0" w:line="360" w:lineRule="auto"/>
        <w:ind w:left="0" w:leftChars="0" w:right="0" w:rightChars="0" w:firstLine="480" w:firstLineChars="200"/>
        <w:textAlignment w:val="auto"/>
        <w:rPr>
          <w:rFonts w:hint="default" w:hAnsi="宋体" w:eastAsia="宋体" w:cs="宋体"/>
          <w:b w:val="0"/>
          <w:bCs/>
          <w:color w:val="auto"/>
          <w:sz w:val="24"/>
          <w:szCs w:val="24"/>
          <w:highlight w:val="none"/>
          <w:lang w:val="en-US" w:eastAsia="zh-CN"/>
        </w:rPr>
      </w:pPr>
      <w:r>
        <w:rPr>
          <w:rFonts w:hint="default" w:hAnsi="宋体" w:eastAsia="宋体" w:cs="宋体"/>
          <w:b w:val="0"/>
          <w:bCs/>
          <w:color w:val="auto"/>
          <w:sz w:val="24"/>
          <w:szCs w:val="24"/>
          <w:highlight w:val="none"/>
          <w:lang w:val="en-US" w:eastAsia="zh-CN"/>
        </w:rPr>
        <w:t>3.不可抗力事件延续120天以上，双方应通过友好协商，确定是否继续履行合同。</w:t>
      </w:r>
    </w:p>
    <w:p w14:paraId="50E7508E">
      <w:pPr>
        <w:pStyle w:val="8"/>
        <w:keepNext w:val="0"/>
        <w:keepLines w:val="0"/>
        <w:pageBreakBefore w:val="0"/>
        <w:widowControl w:val="0"/>
        <w:kinsoku/>
        <w:wordWrap/>
        <w:overflowPunct/>
        <w:topLinePunct w:val="0"/>
        <w:autoSpaceDE/>
        <w:autoSpaceDN/>
        <w:bidi w:val="0"/>
        <w:snapToGrid w:val="0"/>
        <w:spacing w:beforeLines="0" w:afterLines="0" w:line="360" w:lineRule="auto"/>
        <w:ind w:left="0" w:leftChars="0" w:right="0" w:rightChars="0" w:firstLine="482" w:firstLineChars="200"/>
        <w:textAlignment w:val="auto"/>
        <w:rPr>
          <w:rFonts w:hAnsi="宋体" w:eastAsia="宋体" w:cs="宋体"/>
          <w:b/>
          <w:color w:val="auto"/>
          <w:sz w:val="24"/>
          <w:szCs w:val="24"/>
          <w:highlight w:val="none"/>
        </w:rPr>
      </w:pPr>
      <w:r>
        <w:rPr>
          <w:rFonts w:hint="eastAsia" w:hAnsi="宋体" w:eastAsia="宋体" w:cs="宋体"/>
          <w:b/>
          <w:color w:val="auto"/>
          <w:sz w:val="24"/>
          <w:szCs w:val="24"/>
          <w:highlight w:val="none"/>
          <w:lang w:val="en-US" w:eastAsia="zh-CN"/>
        </w:rPr>
        <w:t>十、</w:t>
      </w:r>
      <w:r>
        <w:rPr>
          <w:rFonts w:hint="eastAsia" w:hAnsi="宋体" w:eastAsia="宋体" w:cs="宋体"/>
          <w:b/>
          <w:color w:val="auto"/>
          <w:sz w:val="24"/>
          <w:szCs w:val="24"/>
          <w:highlight w:val="none"/>
        </w:rPr>
        <w:t>争议的解决</w:t>
      </w:r>
    </w:p>
    <w:p w14:paraId="145BECA1">
      <w:pPr>
        <w:keepNext w:val="0"/>
        <w:keepLines w:val="0"/>
        <w:pageBreakBefore w:val="0"/>
        <w:widowControl w:val="0"/>
        <w:kinsoku/>
        <w:wordWrap/>
        <w:overflowPunct/>
        <w:topLinePunct w:val="0"/>
        <w:autoSpaceDE/>
        <w:autoSpaceDN/>
        <w:bidi w:val="0"/>
        <w:spacing w:line="360" w:lineRule="auto"/>
        <w:ind w:left="0" w:leftChars="0" w:right="0" w:rightChars="0" w:firstLine="480" w:firstLineChars="200"/>
        <w:textAlignment w:val="auto"/>
        <w:rPr>
          <w:rFonts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本合同未尽事宜由甲、乙双方协商解决。因本合同发生纠纷，甲乙双方应当及时协商解决，如协商不成，任何一方可向甲方所在地人民法院起诉。</w:t>
      </w:r>
    </w:p>
    <w:p w14:paraId="56AC0A8C">
      <w:pPr>
        <w:pStyle w:val="8"/>
        <w:keepNext w:val="0"/>
        <w:keepLines w:val="0"/>
        <w:pageBreakBefore w:val="0"/>
        <w:widowControl w:val="0"/>
        <w:kinsoku/>
        <w:wordWrap/>
        <w:overflowPunct/>
        <w:topLinePunct w:val="0"/>
        <w:autoSpaceDE/>
        <w:autoSpaceDN/>
        <w:bidi w:val="0"/>
        <w:snapToGrid w:val="0"/>
        <w:spacing w:beforeLines="0" w:afterLines="0" w:line="360" w:lineRule="auto"/>
        <w:ind w:left="0" w:leftChars="0" w:right="0" w:rightChars="0" w:firstLine="482" w:firstLineChars="200"/>
        <w:textAlignment w:val="auto"/>
        <w:rPr>
          <w:rFonts w:hint="eastAsia" w:hAnsi="宋体" w:eastAsia="宋体" w:cs="宋体"/>
          <w:b/>
          <w:color w:val="auto"/>
          <w:sz w:val="24"/>
          <w:szCs w:val="24"/>
          <w:highlight w:val="none"/>
          <w:lang w:val="en-US" w:eastAsia="zh-CN"/>
        </w:rPr>
      </w:pPr>
      <w:r>
        <w:rPr>
          <w:rFonts w:hint="eastAsia" w:hAnsi="宋体" w:eastAsia="宋体" w:cs="宋体"/>
          <w:b/>
          <w:color w:val="auto"/>
          <w:sz w:val="24"/>
          <w:szCs w:val="24"/>
          <w:highlight w:val="none"/>
          <w:lang w:val="en-US" w:eastAsia="zh-CN"/>
        </w:rPr>
        <w:t>十一、通知与送达</w:t>
      </w:r>
    </w:p>
    <w:p w14:paraId="25D344DA">
      <w:pPr>
        <w:pStyle w:val="8"/>
        <w:keepNext w:val="0"/>
        <w:keepLines w:val="0"/>
        <w:pageBreakBefore w:val="0"/>
        <w:widowControl w:val="0"/>
        <w:kinsoku/>
        <w:wordWrap/>
        <w:overflowPunct/>
        <w:topLinePunct w:val="0"/>
        <w:autoSpaceDE/>
        <w:autoSpaceDN/>
        <w:bidi w:val="0"/>
        <w:snapToGrid w:val="0"/>
        <w:spacing w:beforeLines="0" w:afterLines="0" w:line="360" w:lineRule="auto"/>
        <w:ind w:left="0" w:leftChars="0" w:right="0" w:rightChars="0" w:firstLine="480" w:firstLineChars="200"/>
        <w:textAlignment w:val="auto"/>
        <w:rPr>
          <w:rFonts w:hint="default" w:hAnsi="宋体" w:eastAsia="宋体" w:cs="宋体"/>
          <w:b w:val="0"/>
          <w:bCs/>
          <w:color w:val="auto"/>
          <w:sz w:val="24"/>
          <w:szCs w:val="24"/>
          <w:highlight w:val="none"/>
          <w:lang w:val="en-US" w:eastAsia="zh-CN"/>
        </w:rPr>
      </w:pPr>
      <w:r>
        <w:rPr>
          <w:rFonts w:hint="default" w:hAnsi="宋体" w:eastAsia="宋体" w:cs="宋体"/>
          <w:b w:val="0"/>
          <w:bCs/>
          <w:color w:val="auto"/>
          <w:sz w:val="24"/>
          <w:szCs w:val="24"/>
          <w:highlight w:val="none"/>
          <w:lang w:val="en-US" w:eastAsia="zh-CN"/>
        </w:rPr>
        <w:t>甲、乙双方的收件地址为文末载明的地址。任何一方发出的通知，其通知日期以通知发出日为准，且符合下列情形之一均视为已送达：（1）该通知已递交对方的；（2）该通知以邮寄或快递方式发出后3天的；（3）以传真、电传或其它类似方法通知后对方以适当的形式确认的。</w:t>
      </w:r>
    </w:p>
    <w:p w14:paraId="6058C76A">
      <w:pPr>
        <w:pStyle w:val="8"/>
        <w:keepNext w:val="0"/>
        <w:keepLines w:val="0"/>
        <w:pageBreakBefore w:val="0"/>
        <w:widowControl w:val="0"/>
        <w:kinsoku/>
        <w:wordWrap/>
        <w:overflowPunct/>
        <w:topLinePunct w:val="0"/>
        <w:autoSpaceDE/>
        <w:autoSpaceDN/>
        <w:bidi w:val="0"/>
        <w:snapToGrid w:val="0"/>
        <w:spacing w:beforeLines="0" w:afterLines="0" w:line="360" w:lineRule="auto"/>
        <w:ind w:left="0" w:leftChars="0" w:right="0" w:rightChars="0" w:firstLine="480" w:firstLineChars="200"/>
        <w:textAlignment w:val="auto"/>
        <w:rPr>
          <w:rFonts w:hint="default" w:hAnsi="宋体" w:eastAsia="宋体" w:cs="宋体"/>
          <w:b w:val="0"/>
          <w:bCs/>
          <w:color w:val="auto"/>
          <w:sz w:val="24"/>
          <w:szCs w:val="24"/>
          <w:highlight w:val="none"/>
          <w:lang w:val="en-US" w:eastAsia="zh-CN"/>
        </w:rPr>
      </w:pPr>
      <w:r>
        <w:rPr>
          <w:rFonts w:hint="default" w:hAnsi="宋体" w:eastAsia="宋体" w:cs="宋体"/>
          <w:b w:val="0"/>
          <w:bCs/>
          <w:color w:val="auto"/>
          <w:sz w:val="24"/>
          <w:szCs w:val="24"/>
          <w:highlight w:val="none"/>
          <w:lang w:val="en-US" w:eastAsia="zh-CN"/>
        </w:rPr>
        <w:t>如因任何一方约定收件地址变更后未及时通知其他方，导致对方发出的通知无法按时送达，或者在收件地址未变更的情况下，书面通知被以任何原因退回的，视为已送达，相应责任由未及时通知约定联系方式变更的责任方承担。</w:t>
      </w:r>
    </w:p>
    <w:p w14:paraId="50695ED4">
      <w:pPr>
        <w:pStyle w:val="8"/>
        <w:keepNext w:val="0"/>
        <w:keepLines w:val="0"/>
        <w:pageBreakBefore w:val="0"/>
        <w:widowControl w:val="0"/>
        <w:kinsoku/>
        <w:wordWrap/>
        <w:overflowPunct/>
        <w:topLinePunct w:val="0"/>
        <w:autoSpaceDE/>
        <w:autoSpaceDN/>
        <w:bidi w:val="0"/>
        <w:snapToGrid w:val="0"/>
        <w:spacing w:beforeLines="0" w:afterLines="0" w:line="360" w:lineRule="auto"/>
        <w:ind w:left="0" w:leftChars="0" w:right="0" w:rightChars="0" w:firstLine="482" w:firstLineChars="200"/>
        <w:textAlignment w:val="auto"/>
        <w:rPr>
          <w:rFonts w:hint="default" w:hAnsi="宋体" w:eastAsia="宋体" w:cs="宋体"/>
          <w:b/>
          <w:color w:val="auto"/>
          <w:sz w:val="24"/>
          <w:szCs w:val="24"/>
          <w:highlight w:val="none"/>
          <w:lang w:val="en-US" w:eastAsia="zh-CN"/>
        </w:rPr>
      </w:pPr>
      <w:r>
        <w:rPr>
          <w:rFonts w:hint="eastAsia" w:hAnsi="宋体" w:eastAsia="宋体" w:cs="宋体"/>
          <w:b/>
          <w:color w:val="auto"/>
          <w:sz w:val="24"/>
          <w:szCs w:val="24"/>
          <w:highlight w:val="none"/>
        </w:rPr>
        <w:t>十</w:t>
      </w:r>
      <w:r>
        <w:rPr>
          <w:rFonts w:hint="eastAsia" w:hAnsi="宋体" w:eastAsia="宋体" w:cs="宋体"/>
          <w:b/>
          <w:color w:val="auto"/>
          <w:sz w:val="24"/>
          <w:szCs w:val="24"/>
          <w:highlight w:val="none"/>
          <w:lang w:val="en-US" w:eastAsia="zh-CN"/>
        </w:rPr>
        <w:t>二</w:t>
      </w:r>
      <w:r>
        <w:rPr>
          <w:rFonts w:hint="eastAsia" w:hAnsi="宋体" w:eastAsia="宋体" w:cs="宋体"/>
          <w:b/>
          <w:color w:val="auto"/>
          <w:sz w:val="24"/>
          <w:szCs w:val="24"/>
          <w:highlight w:val="none"/>
          <w:lang w:eastAsia="zh-CN"/>
        </w:rPr>
        <w:t>、</w:t>
      </w:r>
      <w:r>
        <w:rPr>
          <w:rFonts w:hint="eastAsia" w:hAnsi="宋体" w:eastAsia="宋体" w:cs="宋体"/>
          <w:b/>
          <w:color w:val="auto"/>
          <w:sz w:val="24"/>
          <w:szCs w:val="24"/>
          <w:highlight w:val="none"/>
        </w:rPr>
        <w:t>合同生效</w:t>
      </w:r>
      <w:r>
        <w:rPr>
          <w:rFonts w:hint="eastAsia" w:hAnsi="宋体" w:eastAsia="宋体" w:cs="宋体"/>
          <w:b/>
          <w:color w:val="auto"/>
          <w:sz w:val="24"/>
          <w:szCs w:val="24"/>
          <w:highlight w:val="none"/>
          <w:lang w:val="en-US" w:eastAsia="zh-CN"/>
        </w:rPr>
        <w:t>及其它</w:t>
      </w:r>
    </w:p>
    <w:p w14:paraId="5A52813E">
      <w:pPr>
        <w:keepNext w:val="0"/>
        <w:keepLines w:val="0"/>
        <w:pageBreakBefore w:val="0"/>
        <w:widowControl w:val="0"/>
        <w:kinsoku/>
        <w:wordWrap/>
        <w:overflowPunct/>
        <w:topLinePunct w:val="0"/>
        <w:autoSpaceDE/>
        <w:autoSpaceDN/>
        <w:bidi w:val="0"/>
        <w:spacing w:line="360" w:lineRule="auto"/>
        <w:ind w:left="0" w:leftChars="0" w:right="0" w:rightChars="0" w:firstLine="480" w:firstLineChars="200"/>
        <w:textAlignment w:val="auto"/>
        <w:rPr>
          <w:rFonts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w:t>
      </w:r>
      <w:r>
        <w:rPr>
          <w:rFonts w:hint="eastAsia" w:ascii="宋体" w:hAnsi="宋体" w:eastAsia="宋体" w:cs="宋体"/>
          <w:color w:val="auto"/>
          <w:spacing w:val="0"/>
          <w:sz w:val="24"/>
          <w:szCs w:val="24"/>
          <w:highlight w:val="none"/>
          <w:lang w:val="en-US" w:eastAsia="zh-CN"/>
        </w:rPr>
        <w:t>本</w:t>
      </w:r>
      <w:r>
        <w:rPr>
          <w:rFonts w:hint="eastAsia" w:ascii="宋体" w:hAnsi="宋体" w:eastAsia="宋体" w:cs="宋体"/>
          <w:color w:val="auto"/>
          <w:spacing w:val="0"/>
          <w:sz w:val="24"/>
          <w:szCs w:val="24"/>
          <w:highlight w:val="none"/>
        </w:rPr>
        <w:t>合同经</w:t>
      </w:r>
      <w:r>
        <w:rPr>
          <w:rFonts w:hint="eastAsia" w:ascii="宋体" w:hAnsi="宋体" w:eastAsia="宋体" w:cs="宋体"/>
          <w:color w:val="auto"/>
          <w:spacing w:val="0"/>
          <w:sz w:val="24"/>
          <w:szCs w:val="24"/>
          <w:highlight w:val="none"/>
          <w:lang w:val="en-US" w:eastAsia="zh-CN"/>
        </w:rPr>
        <w:t>甲、乙、采购代理机构</w:t>
      </w:r>
      <w:r>
        <w:rPr>
          <w:rFonts w:hint="eastAsia" w:ascii="宋体" w:hAnsi="宋体" w:eastAsia="宋体" w:cs="宋体"/>
          <w:color w:val="auto"/>
          <w:spacing w:val="0"/>
          <w:sz w:val="24"/>
          <w:szCs w:val="24"/>
          <w:highlight w:val="none"/>
        </w:rPr>
        <w:t>三方法定代表人或</w:t>
      </w:r>
      <w:r>
        <w:rPr>
          <w:rFonts w:hint="eastAsia" w:ascii="宋体" w:hAnsi="宋体" w:eastAsia="宋体" w:cs="宋体"/>
          <w:color w:val="auto"/>
          <w:spacing w:val="0"/>
          <w:sz w:val="24"/>
          <w:szCs w:val="24"/>
          <w:highlight w:val="none"/>
          <w:lang w:val="en-US" w:eastAsia="zh-CN"/>
        </w:rPr>
        <w:t>其</w:t>
      </w:r>
      <w:r>
        <w:rPr>
          <w:rFonts w:hint="eastAsia" w:ascii="宋体" w:hAnsi="宋体" w:eastAsia="宋体" w:cs="宋体"/>
          <w:color w:val="auto"/>
          <w:spacing w:val="0"/>
          <w:sz w:val="24"/>
          <w:szCs w:val="24"/>
          <w:highlight w:val="none"/>
        </w:rPr>
        <w:t>授权代表签字并</w:t>
      </w:r>
      <w:r>
        <w:rPr>
          <w:rFonts w:hint="eastAsia" w:ascii="宋体" w:hAnsi="宋体" w:eastAsia="宋体" w:cs="宋体"/>
          <w:color w:val="auto"/>
          <w:spacing w:val="0"/>
          <w:sz w:val="24"/>
          <w:szCs w:val="24"/>
          <w:highlight w:val="none"/>
          <w:lang w:val="en-US" w:eastAsia="zh-CN"/>
        </w:rPr>
        <w:t>加盖公章/合同专用章</w:t>
      </w:r>
      <w:r>
        <w:rPr>
          <w:rFonts w:hint="eastAsia" w:ascii="宋体" w:hAnsi="宋体" w:eastAsia="宋体" w:cs="宋体"/>
          <w:color w:val="auto"/>
          <w:spacing w:val="0"/>
          <w:sz w:val="24"/>
          <w:szCs w:val="24"/>
          <w:highlight w:val="none"/>
        </w:rPr>
        <w:t>后生效。</w:t>
      </w:r>
    </w:p>
    <w:p w14:paraId="037151A6">
      <w:pPr>
        <w:keepNext w:val="0"/>
        <w:keepLines w:val="0"/>
        <w:pageBreakBefore w:val="0"/>
        <w:widowControl w:val="0"/>
        <w:kinsoku/>
        <w:wordWrap/>
        <w:overflowPunct/>
        <w:topLinePunct w:val="0"/>
        <w:autoSpaceDE/>
        <w:autoSpaceDN/>
        <w:bidi w:val="0"/>
        <w:spacing w:line="360" w:lineRule="auto"/>
        <w:ind w:left="0" w:leftChars="0" w:right="0" w:rightChars="0" w:firstLine="480" w:firstLineChars="200"/>
        <w:textAlignment w:val="auto"/>
        <w:rPr>
          <w:rFonts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val="en-US" w:eastAsia="zh-CN"/>
        </w:rPr>
        <w:t>2</w:t>
      </w:r>
      <w:r>
        <w:rPr>
          <w:rFonts w:hint="eastAsia" w:ascii="宋体" w:hAnsi="宋体" w:eastAsia="宋体" w:cs="宋体"/>
          <w:color w:val="auto"/>
          <w:spacing w:val="0"/>
          <w:sz w:val="24"/>
          <w:szCs w:val="24"/>
          <w:highlight w:val="none"/>
        </w:rPr>
        <w:t>.本合同未尽事宜，遵照《民法典》有关条文执行。</w:t>
      </w:r>
    </w:p>
    <w:p w14:paraId="1CBD7D0F">
      <w:pPr>
        <w:keepNext w:val="0"/>
        <w:keepLines w:val="0"/>
        <w:pageBreakBefore w:val="0"/>
        <w:widowControl w:val="0"/>
        <w:kinsoku/>
        <w:wordWrap/>
        <w:overflowPunct/>
        <w:topLinePunct w:val="0"/>
        <w:autoSpaceDE/>
        <w:autoSpaceDN/>
        <w:bidi w:val="0"/>
        <w:spacing w:line="360" w:lineRule="auto"/>
        <w:ind w:left="0" w:leftChars="0" w:right="0" w:rightChars="0" w:firstLine="480" w:firstLineChars="200"/>
        <w:textAlignment w:val="auto"/>
        <w:rPr>
          <w:rFonts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val="en-US" w:eastAsia="zh-CN"/>
        </w:rPr>
        <w:t>3</w:t>
      </w:r>
      <w:r>
        <w:rPr>
          <w:rFonts w:hint="eastAsia" w:ascii="宋体" w:hAnsi="宋体" w:eastAsia="宋体" w:cs="宋体"/>
          <w:color w:val="auto"/>
          <w:spacing w:val="0"/>
          <w:sz w:val="24"/>
          <w:szCs w:val="24"/>
          <w:highlight w:val="none"/>
        </w:rPr>
        <w:t>.本合同一式</w:t>
      </w:r>
      <w:r>
        <w:rPr>
          <w:rFonts w:hint="eastAsia" w:ascii="宋体" w:hAnsi="宋体" w:eastAsia="宋体" w:cs="宋体"/>
          <w:color w:val="auto"/>
          <w:spacing w:val="0"/>
          <w:sz w:val="24"/>
          <w:szCs w:val="24"/>
          <w:highlight w:val="none"/>
          <w:lang w:val="en-US" w:eastAsia="zh-CN"/>
        </w:rPr>
        <w:t>陆</w:t>
      </w:r>
      <w:r>
        <w:rPr>
          <w:rFonts w:hint="eastAsia" w:ascii="宋体" w:hAnsi="宋体" w:eastAsia="宋体" w:cs="宋体"/>
          <w:color w:val="auto"/>
          <w:spacing w:val="0"/>
          <w:sz w:val="24"/>
          <w:szCs w:val="24"/>
          <w:highlight w:val="none"/>
        </w:rPr>
        <w:t>份，甲方执叁份</w:t>
      </w: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rPr>
        <w:t>乙方</w:t>
      </w:r>
      <w:r>
        <w:rPr>
          <w:rFonts w:hint="eastAsia" w:ascii="宋体" w:hAnsi="宋体" w:eastAsia="宋体" w:cs="宋体"/>
          <w:color w:val="auto"/>
          <w:spacing w:val="0"/>
          <w:sz w:val="24"/>
          <w:szCs w:val="24"/>
          <w:highlight w:val="none"/>
          <w:lang w:val="en-US" w:eastAsia="zh-CN"/>
        </w:rPr>
        <w:t>执贰份，</w:t>
      </w:r>
      <w:r>
        <w:rPr>
          <w:rFonts w:hint="eastAsia" w:ascii="宋体" w:hAnsi="宋体" w:eastAsia="宋体" w:cs="宋体"/>
          <w:color w:val="auto"/>
          <w:spacing w:val="0"/>
          <w:sz w:val="24"/>
          <w:szCs w:val="24"/>
          <w:highlight w:val="none"/>
        </w:rPr>
        <w:t>采购代理机构执壹份，</w:t>
      </w:r>
      <w:r>
        <w:rPr>
          <w:rFonts w:hint="eastAsia" w:ascii="宋体" w:hAnsi="宋体" w:eastAsia="宋体" w:cs="宋体"/>
          <w:color w:val="auto"/>
          <w:spacing w:val="0"/>
          <w:sz w:val="24"/>
          <w:szCs w:val="24"/>
          <w:highlight w:val="none"/>
          <w:lang w:val="en-US" w:eastAsia="zh-CN"/>
        </w:rPr>
        <w:t>具有同等法律效力</w:t>
      </w:r>
      <w:r>
        <w:rPr>
          <w:rFonts w:hint="eastAsia" w:ascii="宋体" w:hAnsi="宋体" w:eastAsia="宋体" w:cs="宋体"/>
          <w:color w:val="auto"/>
          <w:spacing w:val="0"/>
          <w:sz w:val="24"/>
          <w:szCs w:val="24"/>
          <w:highlight w:val="none"/>
        </w:rPr>
        <w:t>。</w:t>
      </w:r>
    </w:p>
    <w:p w14:paraId="3069AB2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ascii="宋体" w:hAnsi="宋体" w:eastAsia="宋体" w:cs="宋体"/>
          <w:color w:val="auto"/>
          <w:spacing w:val="0"/>
          <w:sz w:val="24"/>
          <w:szCs w:val="24"/>
          <w:highlight w:val="none"/>
        </w:rPr>
      </w:pPr>
      <w:r>
        <w:rPr>
          <w:rFonts w:hint="eastAsia" w:ascii="宋体" w:hAnsi="宋体" w:eastAsia="宋体" w:cs="宋体"/>
          <w:b w:val="0"/>
          <w:bCs/>
          <w:color w:val="auto"/>
          <w:spacing w:val="0"/>
          <w:sz w:val="24"/>
          <w:szCs w:val="24"/>
          <w:highlight w:val="none"/>
          <w:lang w:val="en-US" w:eastAsia="zh-CN"/>
        </w:rPr>
        <w:t>4</w:t>
      </w:r>
      <w:r>
        <w:rPr>
          <w:rFonts w:hint="eastAsia" w:ascii="宋体" w:hAnsi="宋体" w:eastAsia="宋体" w:cs="宋体"/>
          <w:b w:val="0"/>
          <w:bCs/>
          <w:color w:val="auto"/>
          <w:spacing w:val="0"/>
          <w:sz w:val="24"/>
          <w:szCs w:val="24"/>
          <w:highlight w:val="none"/>
        </w:rPr>
        <w:t>.</w:t>
      </w:r>
      <w:r>
        <w:rPr>
          <w:rFonts w:hint="eastAsia" w:ascii="宋体" w:hAnsi="宋体" w:eastAsia="宋体" w:cs="宋体"/>
          <w:b w:val="0"/>
          <w:bCs/>
          <w:color w:val="auto"/>
          <w:spacing w:val="0"/>
          <w:sz w:val="24"/>
          <w:szCs w:val="24"/>
          <w:highlight w:val="none"/>
          <w:lang w:val="en-US" w:eastAsia="zh-CN"/>
        </w:rPr>
        <w:t>与</w:t>
      </w:r>
      <w:r>
        <w:rPr>
          <w:rFonts w:hint="eastAsia" w:ascii="宋体" w:hAnsi="宋体" w:eastAsia="宋体" w:cs="宋体"/>
          <w:color w:val="auto"/>
          <w:spacing w:val="0"/>
          <w:sz w:val="24"/>
          <w:szCs w:val="24"/>
          <w:highlight w:val="none"/>
        </w:rPr>
        <w:t>本</w:t>
      </w:r>
      <w:r>
        <w:rPr>
          <w:rFonts w:hint="eastAsia" w:ascii="宋体" w:hAnsi="宋体" w:eastAsia="宋体" w:cs="宋体"/>
          <w:color w:val="auto"/>
          <w:spacing w:val="0"/>
          <w:sz w:val="24"/>
          <w:szCs w:val="24"/>
          <w:highlight w:val="none"/>
          <w:lang w:val="en-US" w:eastAsia="zh-CN"/>
        </w:rPr>
        <w:t>合同有关的采购</w:t>
      </w:r>
      <w:r>
        <w:rPr>
          <w:rFonts w:hint="eastAsia" w:ascii="宋体" w:hAnsi="宋体" w:eastAsia="宋体" w:cs="宋体"/>
          <w:color w:val="auto"/>
          <w:spacing w:val="0"/>
          <w:sz w:val="24"/>
          <w:szCs w:val="24"/>
          <w:highlight w:val="none"/>
        </w:rPr>
        <w:t>文件、</w:t>
      </w:r>
      <w:r>
        <w:rPr>
          <w:rFonts w:hint="eastAsia" w:ascii="宋体" w:hAnsi="宋体" w:eastAsia="宋体" w:cs="宋体"/>
          <w:color w:val="auto"/>
          <w:spacing w:val="0"/>
          <w:sz w:val="24"/>
          <w:szCs w:val="24"/>
          <w:highlight w:val="none"/>
          <w:lang w:val="en-US" w:eastAsia="zh-CN"/>
        </w:rPr>
        <w:t>响应（投标）文件</w:t>
      </w:r>
      <w:r>
        <w:rPr>
          <w:rFonts w:hint="eastAsia" w:ascii="宋体" w:hAnsi="宋体" w:eastAsia="宋体" w:cs="宋体"/>
          <w:color w:val="auto"/>
          <w:spacing w:val="0"/>
          <w:sz w:val="24"/>
          <w:szCs w:val="24"/>
          <w:highlight w:val="none"/>
        </w:rPr>
        <w:t>、</w:t>
      </w:r>
      <w:r>
        <w:rPr>
          <w:rFonts w:hint="eastAsia" w:ascii="宋体" w:hAnsi="宋体" w:eastAsia="宋体" w:cs="宋体"/>
          <w:color w:val="auto"/>
          <w:spacing w:val="0"/>
          <w:sz w:val="24"/>
          <w:szCs w:val="24"/>
          <w:highlight w:val="none"/>
          <w:lang w:val="en-US" w:eastAsia="zh-CN"/>
        </w:rPr>
        <w:t>记录等</w:t>
      </w:r>
      <w:r>
        <w:rPr>
          <w:rFonts w:hint="eastAsia" w:ascii="宋体" w:hAnsi="宋体" w:eastAsia="宋体" w:cs="宋体"/>
          <w:color w:val="auto"/>
          <w:spacing w:val="0"/>
          <w:sz w:val="24"/>
          <w:szCs w:val="24"/>
          <w:highlight w:val="none"/>
        </w:rPr>
        <w:t>，与本合同具有同等法律效力。</w:t>
      </w:r>
    </w:p>
    <w:p w14:paraId="6D8C27AB">
      <w:pPr>
        <w:pStyle w:val="19"/>
        <w:spacing w:line="360" w:lineRule="auto"/>
        <w:rPr>
          <w:rFonts w:hint="eastAsia" w:ascii="宋体" w:hAnsi="宋体" w:eastAsia="宋体" w:cs="Times New Roman"/>
          <w:color w:val="auto"/>
          <w:spacing w:val="-6"/>
          <w:sz w:val="24"/>
          <w:szCs w:val="24"/>
          <w:highlight w:val="none"/>
          <w:lang w:eastAsia="zh-CN"/>
        </w:rPr>
      </w:pPr>
      <w:r>
        <w:rPr>
          <w:rFonts w:hint="eastAsia" w:ascii="宋体" w:hAnsi="宋体" w:cs="Times New Roman"/>
          <w:color w:val="auto"/>
          <w:spacing w:val="-6"/>
          <w:sz w:val="24"/>
          <w:szCs w:val="24"/>
          <w:highlight w:val="none"/>
          <w:lang w:eastAsia="zh-CN"/>
        </w:rPr>
        <w:t>（</w:t>
      </w:r>
      <w:r>
        <w:rPr>
          <w:rFonts w:hint="eastAsia" w:ascii="宋体" w:hAnsi="宋体" w:cs="Times New Roman"/>
          <w:color w:val="auto"/>
          <w:spacing w:val="-6"/>
          <w:sz w:val="24"/>
          <w:szCs w:val="24"/>
          <w:highlight w:val="none"/>
          <w:lang w:val="en-US" w:eastAsia="zh-CN"/>
        </w:rPr>
        <w:t>以下无正文</w:t>
      </w:r>
      <w:r>
        <w:rPr>
          <w:rFonts w:hint="eastAsia" w:ascii="宋体" w:hAnsi="宋体" w:cs="Times New Roman"/>
          <w:color w:val="auto"/>
          <w:spacing w:val="-6"/>
          <w:sz w:val="24"/>
          <w:szCs w:val="24"/>
          <w:highlight w:val="none"/>
          <w:lang w:eastAsia="zh-CN"/>
        </w:rPr>
        <w:t>）</w:t>
      </w:r>
    </w:p>
    <w:p w14:paraId="36BDDC75">
      <w:pPr>
        <w:pStyle w:val="19"/>
        <w:spacing w:line="360" w:lineRule="auto"/>
        <w:rPr>
          <w:rFonts w:ascii="宋体" w:hAnsi="宋体" w:eastAsia="宋体" w:cs="Times New Roman"/>
          <w:color w:val="auto"/>
          <w:spacing w:val="-6"/>
          <w:sz w:val="24"/>
          <w:szCs w:val="24"/>
          <w:highlight w:val="none"/>
        </w:rPr>
      </w:pPr>
    </w:p>
    <w:tbl>
      <w:tblPr>
        <w:tblStyle w:val="41"/>
        <w:tblW w:w="935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8"/>
        <w:gridCol w:w="4678"/>
      </w:tblGrid>
      <w:tr w14:paraId="40FBE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78" w:type="dxa"/>
            <w:vAlign w:val="center"/>
          </w:tcPr>
          <w:p w14:paraId="56F3AE21">
            <w:pPr>
              <w:adjustRightInd w:val="0"/>
              <w:snapToGrid w:val="0"/>
              <w:spacing w:line="288" w:lineRule="auto"/>
              <w:rPr>
                <w:rFonts w:ascii="宋体" w:hAnsi="宋体" w:eastAsia="宋体" w:cs="Times New Roman"/>
                <w:color w:val="auto"/>
                <w:spacing w:val="-6"/>
                <w:sz w:val="24"/>
                <w:szCs w:val="24"/>
                <w:highlight w:val="none"/>
              </w:rPr>
            </w:pPr>
            <w:r>
              <w:rPr>
                <w:rFonts w:hint="eastAsia" w:ascii="宋体" w:hAnsi="宋体" w:eastAsia="宋体" w:cs="Times New Roman"/>
                <w:color w:val="auto"/>
                <w:spacing w:val="-6"/>
                <w:sz w:val="24"/>
                <w:szCs w:val="24"/>
                <w:highlight w:val="none"/>
              </w:rPr>
              <w:t>甲方（需方）：       （公章/合同专用章）</w:t>
            </w:r>
          </w:p>
        </w:tc>
        <w:tc>
          <w:tcPr>
            <w:tcW w:w="4678" w:type="dxa"/>
            <w:vAlign w:val="center"/>
          </w:tcPr>
          <w:p w14:paraId="5EF4E2F3">
            <w:pPr>
              <w:adjustRightInd w:val="0"/>
              <w:snapToGrid w:val="0"/>
              <w:spacing w:line="288" w:lineRule="auto"/>
              <w:rPr>
                <w:rFonts w:ascii="宋体" w:hAnsi="宋体" w:eastAsia="宋体" w:cs="Times New Roman"/>
                <w:color w:val="auto"/>
                <w:spacing w:val="-6"/>
                <w:sz w:val="24"/>
                <w:szCs w:val="24"/>
                <w:highlight w:val="none"/>
              </w:rPr>
            </w:pPr>
            <w:r>
              <w:rPr>
                <w:rFonts w:hint="eastAsia" w:ascii="宋体" w:hAnsi="宋体" w:eastAsia="宋体" w:cs="Times New Roman"/>
                <w:color w:val="auto"/>
                <w:spacing w:val="-6"/>
                <w:sz w:val="24"/>
                <w:szCs w:val="24"/>
                <w:highlight w:val="none"/>
              </w:rPr>
              <w:t>乙方（供方）：         （公章/合同专用章）</w:t>
            </w:r>
          </w:p>
        </w:tc>
      </w:tr>
      <w:tr w14:paraId="6640B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78" w:type="dxa"/>
            <w:vAlign w:val="center"/>
          </w:tcPr>
          <w:p w14:paraId="0B42D00E">
            <w:pPr>
              <w:adjustRightInd w:val="0"/>
              <w:snapToGrid w:val="0"/>
              <w:spacing w:line="288" w:lineRule="auto"/>
              <w:rPr>
                <w:rFonts w:ascii="宋体" w:hAnsi="宋体" w:eastAsia="宋体" w:cs="Times New Roman"/>
                <w:color w:val="auto"/>
                <w:spacing w:val="-6"/>
                <w:sz w:val="24"/>
                <w:szCs w:val="24"/>
                <w:highlight w:val="none"/>
              </w:rPr>
            </w:pPr>
            <w:r>
              <w:rPr>
                <w:rFonts w:hint="eastAsia" w:ascii="宋体" w:hAnsi="宋体" w:eastAsia="宋体" w:cs="Times New Roman"/>
                <w:color w:val="auto"/>
                <w:spacing w:val="-6"/>
                <w:sz w:val="24"/>
                <w:szCs w:val="24"/>
                <w:highlight w:val="none"/>
              </w:rPr>
              <w:t>法定代表人或授权代表：</w:t>
            </w:r>
          </w:p>
          <w:p w14:paraId="642CCE2D">
            <w:pPr>
              <w:adjustRightInd w:val="0"/>
              <w:snapToGrid w:val="0"/>
              <w:spacing w:line="288" w:lineRule="auto"/>
              <w:rPr>
                <w:rFonts w:ascii="宋体" w:hAnsi="宋体" w:eastAsia="宋体" w:cs="Times New Roman"/>
                <w:color w:val="auto"/>
                <w:spacing w:val="-6"/>
                <w:sz w:val="24"/>
                <w:szCs w:val="24"/>
                <w:highlight w:val="none"/>
              </w:rPr>
            </w:pPr>
            <w:r>
              <w:rPr>
                <w:rFonts w:hint="eastAsia" w:ascii="宋体" w:hAnsi="宋体" w:eastAsia="宋体" w:cs="Times New Roman"/>
                <w:color w:val="auto"/>
                <w:spacing w:val="-6"/>
                <w:sz w:val="24"/>
                <w:szCs w:val="24"/>
                <w:highlight w:val="none"/>
              </w:rPr>
              <w:t>（签名）</w:t>
            </w:r>
          </w:p>
        </w:tc>
        <w:tc>
          <w:tcPr>
            <w:tcW w:w="4678" w:type="dxa"/>
            <w:vAlign w:val="center"/>
          </w:tcPr>
          <w:p w14:paraId="72D24B30">
            <w:pPr>
              <w:adjustRightInd w:val="0"/>
              <w:snapToGrid w:val="0"/>
              <w:spacing w:line="288" w:lineRule="auto"/>
              <w:rPr>
                <w:rFonts w:ascii="宋体" w:hAnsi="宋体" w:eastAsia="宋体" w:cs="Times New Roman"/>
                <w:color w:val="auto"/>
                <w:spacing w:val="-6"/>
                <w:sz w:val="24"/>
                <w:szCs w:val="24"/>
                <w:highlight w:val="none"/>
              </w:rPr>
            </w:pPr>
            <w:r>
              <w:rPr>
                <w:rFonts w:hint="eastAsia" w:ascii="宋体" w:hAnsi="宋体" w:eastAsia="宋体" w:cs="Times New Roman"/>
                <w:color w:val="auto"/>
                <w:spacing w:val="-6"/>
                <w:sz w:val="24"/>
                <w:szCs w:val="24"/>
                <w:highlight w:val="none"/>
              </w:rPr>
              <w:t>法定代表人或授权代表：</w:t>
            </w:r>
          </w:p>
          <w:p w14:paraId="614BEC79">
            <w:pPr>
              <w:adjustRightInd w:val="0"/>
              <w:snapToGrid w:val="0"/>
              <w:spacing w:line="288" w:lineRule="auto"/>
              <w:rPr>
                <w:rFonts w:ascii="宋体" w:hAnsi="宋体" w:eastAsia="宋体" w:cs="Times New Roman"/>
                <w:color w:val="auto"/>
                <w:spacing w:val="-6"/>
                <w:sz w:val="24"/>
                <w:szCs w:val="24"/>
                <w:highlight w:val="none"/>
              </w:rPr>
            </w:pPr>
            <w:r>
              <w:rPr>
                <w:rFonts w:hint="eastAsia" w:ascii="宋体" w:hAnsi="宋体" w:eastAsia="宋体" w:cs="Times New Roman"/>
                <w:color w:val="auto"/>
                <w:spacing w:val="-6"/>
                <w:sz w:val="24"/>
                <w:szCs w:val="24"/>
                <w:highlight w:val="none"/>
              </w:rPr>
              <w:t>（签名）</w:t>
            </w:r>
          </w:p>
        </w:tc>
      </w:tr>
      <w:tr w14:paraId="3FC1B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78" w:type="dxa"/>
            <w:vAlign w:val="center"/>
          </w:tcPr>
          <w:p w14:paraId="3E25D5D2">
            <w:pPr>
              <w:adjustRightInd w:val="0"/>
              <w:snapToGrid w:val="0"/>
              <w:spacing w:line="288" w:lineRule="auto"/>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地址：</w:t>
            </w:r>
          </w:p>
        </w:tc>
        <w:tc>
          <w:tcPr>
            <w:tcW w:w="4678" w:type="dxa"/>
            <w:vAlign w:val="center"/>
          </w:tcPr>
          <w:p w14:paraId="13DDC5C8">
            <w:pPr>
              <w:adjustRightInd w:val="0"/>
              <w:snapToGrid w:val="0"/>
              <w:spacing w:line="288" w:lineRule="auto"/>
              <w:rPr>
                <w:rFonts w:ascii="宋体" w:hAnsi="宋体" w:eastAsia="宋体" w:cs="Times New Roman"/>
                <w:color w:val="auto"/>
                <w:spacing w:val="-6"/>
                <w:sz w:val="24"/>
                <w:szCs w:val="24"/>
                <w:highlight w:val="none"/>
              </w:rPr>
            </w:pPr>
            <w:r>
              <w:rPr>
                <w:rFonts w:hint="eastAsia" w:ascii="宋体" w:hAnsi="宋体" w:eastAsia="宋体" w:cs="Times New Roman"/>
                <w:color w:val="auto"/>
                <w:spacing w:val="-6"/>
                <w:sz w:val="24"/>
                <w:szCs w:val="24"/>
                <w:highlight w:val="none"/>
              </w:rPr>
              <w:t>地址：</w:t>
            </w:r>
          </w:p>
        </w:tc>
      </w:tr>
      <w:tr w14:paraId="6E099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78" w:type="dxa"/>
            <w:vAlign w:val="center"/>
          </w:tcPr>
          <w:p w14:paraId="34AA89A0">
            <w:pPr>
              <w:adjustRightInd w:val="0"/>
              <w:snapToGrid w:val="0"/>
              <w:spacing w:line="288" w:lineRule="auto"/>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电话：</w:t>
            </w:r>
          </w:p>
        </w:tc>
        <w:tc>
          <w:tcPr>
            <w:tcW w:w="4678" w:type="dxa"/>
            <w:vAlign w:val="center"/>
          </w:tcPr>
          <w:p w14:paraId="43738B21">
            <w:pPr>
              <w:adjustRightInd w:val="0"/>
              <w:snapToGrid w:val="0"/>
              <w:spacing w:line="288" w:lineRule="auto"/>
              <w:rPr>
                <w:rFonts w:ascii="宋体" w:hAnsi="宋体" w:eastAsia="宋体" w:cs="Times New Roman"/>
                <w:color w:val="auto"/>
                <w:spacing w:val="-6"/>
                <w:sz w:val="24"/>
                <w:szCs w:val="24"/>
                <w:highlight w:val="none"/>
              </w:rPr>
            </w:pPr>
            <w:r>
              <w:rPr>
                <w:rFonts w:hint="eastAsia" w:ascii="宋体" w:hAnsi="宋体" w:eastAsia="宋体" w:cs="Times New Roman"/>
                <w:color w:val="auto"/>
                <w:spacing w:val="-6"/>
                <w:sz w:val="24"/>
                <w:szCs w:val="24"/>
                <w:highlight w:val="none"/>
              </w:rPr>
              <w:t>电话：</w:t>
            </w:r>
          </w:p>
        </w:tc>
      </w:tr>
      <w:tr w14:paraId="220FD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78" w:type="dxa"/>
            <w:vAlign w:val="center"/>
          </w:tcPr>
          <w:p w14:paraId="575C9D97">
            <w:pPr>
              <w:adjustRightInd w:val="0"/>
              <w:snapToGrid w:val="0"/>
              <w:spacing w:line="288" w:lineRule="auto"/>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开户银行：</w:t>
            </w:r>
          </w:p>
        </w:tc>
        <w:tc>
          <w:tcPr>
            <w:tcW w:w="4678" w:type="dxa"/>
            <w:vAlign w:val="center"/>
          </w:tcPr>
          <w:p w14:paraId="5DDB7220">
            <w:pPr>
              <w:adjustRightInd w:val="0"/>
              <w:snapToGrid w:val="0"/>
              <w:spacing w:line="288" w:lineRule="auto"/>
              <w:rPr>
                <w:rFonts w:ascii="宋体" w:hAnsi="宋体" w:eastAsia="宋体" w:cs="Times New Roman"/>
                <w:color w:val="auto"/>
                <w:spacing w:val="-6"/>
                <w:sz w:val="24"/>
                <w:szCs w:val="24"/>
                <w:highlight w:val="none"/>
              </w:rPr>
            </w:pPr>
            <w:r>
              <w:rPr>
                <w:rFonts w:hint="eastAsia" w:ascii="宋体" w:hAnsi="宋体" w:eastAsia="宋体" w:cs="Times New Roman"/>
                <w:color w:val="auto"/>
                <w:spacing w:val="-6"/>
                <w:sz w:val="24"/>
                <w:szCs w:val="24"/>
                <w:highlight w:val="none"/>
              </w:rPr>
              <w:t>开户银行：</w:t>
            </w:r>
          </w:p>
        </w:tc>
      </w:tr>
      <w:tr w14:paraId="2D8A8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78" w:type="dxa"/>
            <w:vAlign w:val="center"/>
          </w:tcPr>
          <w:p w14:paraId="0562650D">
            <w:pPr>
              <w:adjustRightInd w:val="0"/>
              <w:snapToGrid w:val="0"/>
              <w:spacing w:line="288" w:lineRule="auto"/>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账号：</w:t>
            </w:r>
          </w:p>
        </w:tc>
        <w:tc>
          <w:tcPr>
            <w:tcW w:w="4678" w:type="dxa"/>
            <w:vAlign w:val="center"/>
          </w:tcPr>
          <w:p w14:paraId="5D4A87D3">
            <w:pPr>
              <w:adjustRightInd w:val="0"/>
              <w:snapToGrid w:val="0"/>
              <w:spacing w:line="288" w:lineRule="auto"/>
              <w:rPr>
                <w:rFonts w:ascii="宋体" w:hAnsi="宋体" w:eastAsia="宋体" w:cs="Times New Roman"/>
                <w:color w:val="auto"/>
                <w:spacing w:val="-6"/>
                <w:sz w:val="24"/>
                <w:szCs w:val="24"/>
                <w:highlight w:val="none"/>
              </w:rPr>
            </w:pPr>
            <w:r>
              <w:rPr>
                <w:rFonts w:hint="eastAsia" w:ascii="宋体" w:hAnsi="宋体" w:eastAsia="宋体" w:cs="Times New Roman"/>
                <w:color w:val="auto"/>
                <w:spacing w:val="-6"/>
                <w:sz w:val="24"/>
                <w:szCs w:val="24"/>
                <w:highlight w:val="none"/>
              </w:rPr>
              <w:t>账号：</w:t>
            </w:r>
          </w:p>
        </w:tc>
      </w:tr>
      <w:tr w14:paraId="2B01C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78" w:type="dxa"/>
            <w:vAlign w:val="center"/>
          </w:tcPr>
          <w:p w14:paraId="3A3A7F58">
            <w:pPr>
              <w:adjustRightInd w:val="0"/>
              <w:snapToGrid w:val="0"/>
              <w:spacing w:line="288" w:lineRule="auto"/>
              <w:rPr>
                <w:rFonts w:ascii="宋体" w:hAnsi="宋体" w:eastAsia="宋体" w:cs="Times New Roman"/>
                <w:color w:val="auto"/>
                <w:spacing w:val="-6"/>
                <w:sz w:val="24"/>
                <w:szCs w:val="24"/>
                <w:highlight w:val="none"/>
              </w:rPr>
            </w:pPr>
            <w:r>
              <w:rPr>
                <w:rFonts w:hint="eastAsia" w:ascii="宋体" w:hAnsi="宋体" w:eastAsia="宋体" w:cs="Times New Roman"/>
                <w:color w:val="auto"/>
                <w:spacing w:val="-6"/>
                <w:sz w:val="24"/>
                <w:szCs w:val="24"/>
                <w:highlight w:val="none"/>
              </w:rPr>
              <w:t>签名日期：      年    月    日</w:t>
            </w:r>
          </w:p>
        </w:tc>
        <w:tc>
          <w:tcPr>
            <w:tcW w:w="4678" w:type="dxa"/>
            <w:vAlign w:val="center"/>
          </w:tcPr>
          <w:p w14:paraId="6C745D38">
            <w:pPr>
              <w:adjustRightInd w:val="0"/>
              <w:snapToGrid w:val="0"/>
              <w:spacing w:line="288" w:lineRule="auto"/>
              <w:rPr>
                <w:rFonts w:ascii="宋体" w:hAnsi="宋体" w:eastAsia="宋体" w:cs="Times New Roman"/>
                <w:color w:val="auto"/>
                <w:spacing w:val="-6"/>
                <w:sz w:val="24"/>
                <w:szCs w:val="24"/>
                <w:highlight w:val="none"/>
              </w:rPr>
            </w:pPr>
            <w:r>
              <w:rPr>
                <w:rFonts w:hint="eastAsia" w:ascii="宋体" w:hAnsi="宋体" w:eastAsia="宋体" w:cs="Times New Roman"/>
                <w:color w:val="auto"/>
                <w:spacing w:val="-6"/>
                <w:sz w:val="24"/>
                <w:szCs w:val="24"/>
                <w:highlight w:val="none"/>
              </w:rPr>
              <w:t>签名日期：      年    月    日</w:t>
            </w:r>
          </w:p>
        </w:tc>
      </w:tr>
      <w:tr w14:paraId="59128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678" w:type="dxa"/>
          <w:trHeight w:val="397" w:hRule="atLeast"/>
        </w:trPr>
        <w:tc>
          <w:tcPr>
            <w:tcW w:w="4678" w:type="dxa"/>
            <w:vAlign w:val="center"/>
          </w:tcPr>
          <w:p w14:paraId="34AD5689">
            <w:pPr>
              <w:adjustRightInd w:val="0"/>
              <w:snapToGrid w:val="0"/>
              <w:spacing w:line="288" w:lineRule="auto"/>
              <w:rPr>
                <w:rFonts w:ascii="宋体" w:hAnsi="宋体" w:eastAsia="宋体" w:cs="Times New Roman"/>
                <w:color w:val="auto"/>
                <w:spacing w:val="-6"/>
                <w:sz w:val="24"/>
                <w:szCs w:val="24"/>
                <w:highlight w:val="none"/>
              </w:rPr>
            </w:pPr>
            <w:r>
              <w:rPr>
                <w:rFonts w:hint="eastAsia" w:ascii="宋体" w:hAnsi="宋体" w:eastAsia="宋体" w:cs="Times New Roman"/>
                <w:color w:val="auto"/>
                <w:spacing w:val="-6"/>
                <w:sz w:val="24"/>
                <w:szCs w:val="24"/>
                <w:highlight w:val="none"/>
              </w:rPr>
              <w:t>合同鉴证方：            （公章/合同专用章）</w:t>
            </w:r>
          </w:p>
        </w:tc>
      </w:tr>
      <w:tr w14:paraId="13940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678" w:type="dxa"/>
          <w:trHeight w:val="397" w:hRule="atLeast"/>
        </w:trPr>
        <w:tc>
          <w:tcPr>
            <w:tcW w:w="4678" w:type="dxa"/>
            <w:vAlign w:val="center"/>
          </w:tcPr>
          <w:p w14:paraId="1C3EC497">
            <w:pPr>
              <w:tabs>
                <w:tab w:val="left" w:pos="2880"/>
              </w:tabs>
              <w:adjustRightInd w:val="0"/>
              <w:snapToGrid w:val="0"/>
              <w:spacing w:line="288" w:lineRule="auto"/>
              <w:rPr>
                <w:rFonts w:ascii="宋体" w:hAnsi="宋体" w:eastAsia="宋体" w:cs="Times New Roman"/>
                <w:color w:val="auto"/>
                <w:spacing w:val="-6"/>
                <w:sz w:val="24"/>
                <w:szCs w:val="24"/>
                <w:highlight w:val="none"/>
              </w:rPr>
            </w:pPr>
            <w:r>
              <w:rPr>
                <w:rFonts w:hint="eastAsia" w:ascii="宋体" w:hAnsi="宋体" w:eastAsia="宋体" w:cs="Times New Roman"/>
                <w:color w:val="auto"/>
                <w:spacing w:val="-6"/>
                <w:sz w:val="24"/>
                <w:szCs w:val="24"/>
                <w:highlight w:val="none"/>
              </w:rPr>
              <w:t>采购代理机构法定代表人或授权代表：</w:t>
            </w:r>
          </w:p>
          <w:p w14:paraId="63E73768">
            <w:pPr>
              <w:adjustRightInd w:val="0"/>
              <w:snapToGrid w:val="0"/>
              <w:spacing w:line="288" w:lineRule="auto"/>
              <w:rPr>
                <w:rFonts w:ascii="宋体" w:hAnsi="宋体" w:eastAsia="宋体" w:cs="Times New Roman"/>
                <w:color w:val="auto"/>
                <w:spacing w:val="-6"/>
                <w:sz w:val="24"/>
                <w:szCs w:val="24"/>
                <w:highlight w:val="none"/>
              </w:rPr>
            </w:pPr>
            <w:r>
              <w:rPr>
                <w:rFonts w:hint="eastAsia" w:ascii="宋体" w:hAnsi="宋体" w:eastAsia="宋体" w:cs="Times New Roman"/>
                <w:color w:val="auto"/>
                <w:spacing w:val="-6"/>
                <w:sz w:val="24"/>
                <w:szCs w:val="24"/>
                <w:highlight w:val="none"/>
              </w:rPr>
              <w:t>（签名）</w:t>
            </w:r>
          </w:p>
        </w:tc>
      </w:tr>
      <w:tr w14:paraId="7C99F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678" w:type="dxa"/>
          <w:trHeight w:val="397" w:hRule="atLeast"/>
        </w:trPr>
        <w:tc>
          <w:tcPr>
            <w:tcW w:w="4678" w:type="dxa"/>
            <w:vAlign w:val="center"/>
          </w:tcPr>
          <w:p w14:paraId="4BB1BA77">
            <w:pPr>
              <w:tabs>
                <w:tab w:val="left" w:pos="2880"/>
              </w:tabs>
              <w:adjustRightInd w:val="0"/>
              <w:snapToGrid w:val="0"/>
              <w:spacing w:line="288" w:lineRule="auto"/>
              <w:rPr>
                <w:rFonts w:ascii="宋体" w:hAnsi="宋体" w:eastAsia="宋体" w:cs="Times New Roman"/>
                <w:color w:val="auto"/>
                <w:spacing w:val="-6"/>
                <w:sz w:val="24"/>
                <w:szCs w:val="24"/>
                <w:highlight w:val="none"/>
              </w:rPr>
            </w:pPr>
            <w:r>
              <w:rPr>
                <w:rFonts w:hint="eastAsia" w:ascii="宋体" w:hAnsi="宋体" w:eastAsia="宋体" w:cs="宋体"/>
                <w:color w:val="auto"/>
                <w:sz w:val="24"/>
                <w:szCs w:val="24"/>
                <w:highlight w:val="none"/>
              </w:rPr>
              <w:t>地址：</w:t>
            </w:r>
          </w:p>
        </w:tc>
      </w:tr>
      <w:tr w14:paraId="41A0D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678" w:type="dxa"/>
          <w:trHeight w:val="397" w:hRule="atLeast"/>
        </w:trPr>
        <w:tc>
          <w:tcPr>
            <w:tcW w:w="4678" w:type="dxa"/>
            <w:vAlign w:val="center"/>
          </w:tcPr>
          <w:p w14:paraId="41B0F110">
            <w:pPr>
              <w:tabs>
                <w:tab w:val="left" w:pos="2880"/>
              </w:tabs>
              <w:adjustRightInd w:val="0"/>
              <w:snapToGrid w:val="0"/>
              <w:spacing w:line="288" w:lineRule="auto"/>
              <w:rPr>
                <w:rFonts w:ascii="宋体" w:hAnsi="宋体" w:eastAsia="宋体" w:cs="Times New Roman"/>
                <w:color w:val="auto"/>
                <w:spacing w:val="-6"/>
                <w:sz w:val="24"/>
                <w:szCs w:val="24"/>
                <w:highlight w:val="none"/>
              </w:rPr>
            </w:pPr>
            <w:r>
              <w:rPr>
                <w:rFonts w:hint="eastAsia" w:ascii="宋体" w:hAnsi="宋体" w:eastAsia="宋体" w:cs="宋体"/>
                <w:color w:val="auto"/>
                <w:sz w:val="24"/>
                <w:szCs w:val="24"/>
                <w:highlight w:val="none"/>
              </w:rPr>
              <w:t>电话：</w:t>
            </w:r>
          </w:p>
        </w:tc>
      </w:tr>
      <w:tr w14:paraId="1FCA2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678" w:type="dxa"/>
          <w:trHeight w:val="397" w:hRule="atLeast"/>
        </w:trPr>
        <w:tc>
          <w:tcPr>
            <w:tcW w:w="4678" w:type="dxa"/>
            <w:vAlign w:val="center"/>
          </w:tcPr>
          <w:p w14:paraId="3083D3AC">
            <w:pPr>
              <w:adjustRightInd w:val="0"/>
              <w:snapToGrid w:val="0"/>
              <w:spacing w:line="288" w:lineRule="auto"/>
              <w:rPr>
                <w:rFonts w:ascii="宋体" w:hAnsi="宋体" w:eastAsia="宋体" w:cs="Times New Roman"/>
                <w:color w:val="auto"/>
                <w:spacing w:val="-6"/>
                <w:sz w:val="24"/>
                <w:szCs w:val="24"/>
                <w:highlight w:val="none"/>
              </w:rPr>
            </w:pPr>
            <w:r>
              <w:rPr>
                <w:rFonts w:hint="eastAsia" w:ascii="宋体" w:hAnsi="宋体" w:eastAsia="宋体" w:cs="Times New Roman"/>
                <w:color w:val="auto"/>
                <w:spacing w:val="-6"/>
                <w:sz w:val="24"/>
                <w:szCs w:val="24"/>
                <w:highlight w:val="none"/>
              </w:rPr>
              <w:t>鉴证日期：      年    月    日</w:t>
            </w:r>
          </w:p>
        </w:tc>
      </w:tr>
    </w:tbl>
    <w:p w14:paraId="27A5145E">
      <w:pPr>
        <w:pStyle w:val="19"/>
        <w:ind w:left="126" w:leftChars="20" w:hanging="84" w:hangingChars="35"/>
        <w:rPr>
          <w:rFonts w:hint="eastAsia"/>
          <w:color w:val="auto"/>
          <w:sz w:val="24"/>
          <w:szCs w:val="24"/>
          <w:highlight w:val="none"/>
        </w:rPr>
      </w:pPr>
    </w:p>
    <w:p w14:paraId="63C19FE5">
      <w:pPr>
        <w:pStyle w:val="19"/>
        <w:ind w:left="980" w:hanging="560"/>
        <w:rPr>
          <w:color w:val="auto"/>
          <w:sz w:val="24"/>
          <w:szCs w:val="24"/>
          <w:highlight w:val="none"/>
        </w:rPr>
      </w:pPr>
      <w:r>
        <w:rPr>
          <w:rFonts w:hint="eastAsia"/>
          <w:color w:val="auto"/>
          <w:sz w:val="24"/>
          <w:szCs w:val="24"/>
          <w:highlight w:val="none"/>
          <w:lang w:val="en-US" w:eastAsia="zh-CN"/>
        </w:rPr>
        <w:t>附件</w:t>
      </w:r>
      <w:r>
        <w:rPr>
          <w:rFonts w:hint="eastAsia"/>
          <w:color w:val="auto"/>
          <w:sz w:val="24"/>
          <w:szCs w:val="24"/>
          <w:highlight w:val="none"/>
        </w:rPr>
        <w:t>：报价清单</w:t>
      </w:r>
    </w:p>
    <w:p w14:paraId="2E5924F6">
      <w:pPr>
        <w:spacing w:line="360" w:lineRule="auto"/>
        <w:rPr>
          <w:rFonts w:hint="eastAsia" w:ascii="宋体" w:hAnsi="宋体" w:eastAsia="宋体" w:cs="宋体"/>
          <w:color w:val="auto"/>
          <w:sz w:val="24"/>
          <w:szCs w:val="24"/>
          <w:highlight w:val="none"/>
        </w:rPr>
      </w:pPr>
    </w:p>
    <w:p w14:paraId="371D3D72">
      <w:pPr>
        <w:spacing w:line="360" w:lineRule="auto"/>
        <w:rPr>
          <w:rFonts w:hint="eastAsia" w:ascii="宋体" w:hAnsi="宋体" w:eastAsia="宋体" w:cs="宋体"/>
          <w:color w:val="auto"/>
          <w:sz w:val="24"/>
          <w:szCs w:val="24"/>
          <w:highlight w:val="none"/>
        </w:rPr>
      </w:pPr>
    </w:p>
    <w:p w14:paraId="50D88960">
      <w:pPr>
        <w:rPr>
          <w:rFonts w:hAnsi="宋体" w:cs="宋体"/>
          <w:b/>
          <w:color w:val="auto"/>
          <w:sz w:val="36"/>
          <w:szCs w:val="36"/>
          <w:highlight w:val="none"/>
        </w:rPr>
      </w:pPr>
      <w:bookmarkStart w:id="40" w:name="_Toc26509"/>
      <w:r>
        <w:rPr>
          <w:rFonts w:hAnsi="宋体" w:cs="宋体"/>
          <w:b/>
          <w:color w:val="auto"/>
          <w:sz w:val="36"/>
          <w:szCs w:val="36"/>
          <w:highlight w:val="none"/>
        </w:rPr>
        <w:br w:type="page"/>
      </w:r>
    </w:p>
    <w:p w14:paraId="537D9E2F">
      <w:pPr>
        <w:pStyle w:val="8"/>
        <w:snapToGrid w:val="0"/>
        <w:spacing w:before="120" w:after="120" w:line="360" w:lineRule="auto"/>
        <w:jc w:val="center"/>
        <w:outlineLvl w:val="0"/>
        <w:rPr>
          <w:rFonts w:hint="default" w:hAnsi="宋体" w:cs="宋体"/>
          <w:b/>
          <w:color w:val="auto"/>
          <w:sz w:val="36"/>
          <w:szCs w:val="36"/>
          <w:highlight w:val="none"/>
        </w:rPr>
      </w:pPr>
      <w:r>
        <w:rPr>
          <w:rFonts w:hAnsi="宋体" w:cs="宋体"/>
          <w:b/>
          <w:color w:val="auto"/>
          <w:sz w:val="36"/>
          <w:szCs w:val="36"/>
          <w:highlight w:val="none"/>
        </w:rPr>
        <w:t>第六</w:t>
      </w:r>
      <w:r>
        <w:rPr>
          <w:rFonts w:hint="eastAsia" w:hAnsi="宋体" w:cs="宋体"/>
          <w:b/>
          <w:color w:val="auto"/>
          <w:sz w:val="36"/>
          <w:szCs w:val="36"/>
          <w:highlight w:val="none"/>
          <w:lang w:val="en-US" w:eastAsia="zh-CN"/>
        </w:rPr>
        <w:t>部分</w:t>
      </w:r>
      <w:r>
        <w:rPr>
          <w:rFonts w:hAnsi="宋体" w:cs="宋体"/>
          <w:b/>
          <w:color w:val="auto"/>
          <w:sz w:val="36"/>
          <w:szCs w:val="36"/>
          <w:highlight w:val="none"/>
        </w:rPr>
        <w:t>　投标文件格式</w:t>
      </w:r>
      <w:bookmarkEnd w:id="40"/>
    </w:p>
    <w:p w14:paraId="368233F4">
      <w:pPr>
        <w:snapToGrid w:val="0"/>
        <w:spacing w:before="120" w:beforeLines="50" w:after="50" w:line="360" w:lineRule="auto"/>
        <w:rPr>
          <w:rFonts w:hint="default" w:ascii="宋体" w:hAnsi="宋体" w:cs="宋体"/>
          <w:b/>
          <w:color w:val="auto"/>
          <w:sz w:val="24"/>
          <w:highlight w:val="none"/>
        </w:rPr>
      </w:pPr>
      <w:r>
        <w:rPr>
          <w:rFonts w:ascii="宋体" w:hAnsi="宋体" w:cs="宋体"/>
          <w:b/>
          <w:color w:val="auto"/>
          <w:sz w:val="24"/>
          <w:highlight w:val="none"/>
        </w:rPr>
        <w:t>1.电子备份投标文件的外包装封面格式</w:t>
      </w:r>
    </w:p>
    <w:p w14:paraId="642111A4">
      <w:pPr>
        <w:snapToGrid w:val="0"/>
        <w:spacing w:before="120" w:beforeLines="50" w:after="50" w:line="360" w:lineRule="auto"/>
        <w:rPr>
          <w:rFonts w:hint="default" w:ascii="宋体" w:hAnsi="宋体" w:cs="宋体"/>
          <w:bCs/>
          <w:color w:val="auto"/>
          <w:sz w:val="24"/>
          <w:highlight w:val="none"/>
        </w:rPr>
      </w:pPr>
    </w:p>
    <w:p w14:paraId="11E0C073">
      <w:pPr>
        <w:snapToGrid w:val="0"/>
        <w:spacing w:before="120" w:beforeLines="50" w:after="50" w:line="360" w:lineRule="auto"/>
        <w:jc w:val="center"/>
        <w:rPr>
          <w:rFonts w:hint="default" w:ascii="宋体" w:hAnsi="宋体" w:cs="宋体"/>
          <w:b/>
          <w:bCs/>
          <w:color w:val="auto"/>
          <w:sz w:val="52"/>
          <w:szCs w:val="52"/>
          <w:highlight w:val="none"/>
        </w:rPr>
      </w:pPr>
      <w:r>
        <w:rPr>
          <w:rFonts w:ascii="宋体" w:hAnsi="宋体" w:cs="宋体"/>
          <w:b/>
          <w:bCs/>
          <w:color w:val="auto"/>
          <w:sz w:val="52"/>
          <w:szCs w:val="52"/>
          <w:highlight w:val="none"/>
        </w:rPr>
        <w:t>电子备份投标文件</w:t>
      </w:r>
    </w:p>
    <w:p w14:paraId="0831AC10">
      <w:pPr>
        <w:snapToGrid w:val="0"/>
        <w:spacing w:before="120" w:beforeLines="50" w:after="50" w:line="360" w:lineRule="auto"/>
        <w:rPr>
          <w:rFonts w:hint="default" w:ascii="宋体" w:hAnsi="宋体" w:cs="宋体"/>
          <w:bCs/>
          <w:color w:val="auto"/>
          <w:sz w:val="24"/>
          <w:highlight w:val="none"/>
        </w:rPr>
      </w:pPr>
    </w:p>
    <w:p w14:paraId="7338BD3B">
      <w:pPr>
        <w:snapToGrid w:val="0"/>
        <w:spacing w:before="120" w:beforeLines="50" w:after="50" w:line="360" w:lineRule="auto"/>
        <w:ind w:firstLine="1120" w:firstLineChars="400"/>
        <w:rPr>
          <w:rFonts w:hint="eastAsia" w:ascii="宋体" w:hAnsi="宋体" w:eastAsia="宋体" w:cs="宋体"/>
          <w:bCs/>
          <w:color w:val="auto"/>
          <w:sz w:val="28"/>
          <w:szCs w:val="28"/>
          <w:highlight w:val="none"/>
          <w:lang w:eastAsia="zh-CN"/>
        </w:rPr>
      </w:pPr>
      <w:r>
        <w:rPr>
          <w:rFonts w:ascii="宋体" w:hAnsi="宋体" w:cs="宋体"/>
          <w:bCs/>
          <w:color w:val="auto"/>
          <w:sz w:val="28"/>
          <w:szCs w:val="28"/>
          <w:highlight w:val="none"/>
        </w:rPr>
        <w:t>项目名称：</w:t>
      </w:r>
      <w:r>
        <w:rPr>
          <w:rFonts w:hint="eastAsia" w:ascii="宋体" w:hAnsi="宋体" w:cs="宋体"/>
          <w:bCs/>
          <w:color w:val="auto"/>
          <w:sz w:val="28"/>
          <w:szCs w:val="28"/>
          <w:highlight w:val="none"/>
          <w:lang w:eastAsia="zh-CN"/>
        </w:rPr>
        <w:t>中国美术学院教务处学分制教学改革管理平台（三期）建设服务项目</w:t>
      </w:r>
    </w:p>
    <w:p w14:paraId="39D4C1BB">
      <w:pPr>
        <w:snapToGrid w:val="0"/>
        <w:spacing w:before="120" w:beforeLines="50" w:after="50" w:line="360" w:lineRule="auto"/>
        <w:ind w:firstLine="1120" w:firstLineChars="400"/>
        <w:rPr>
          <w:rFonts w:hint="default" w:ascii="宋体" w:hAnsi="宋体" w:cs="宋体"/>
          <w:bCs/>
          <w:color w:val="auto"/>
          <w:sz w:val="28"/>
          <w:szCs w:val="28"/>
          <w:highlight w:val="none"/>
        </w:rPr>
      </w:pPr>
      <w:r>
        <w:rPr>
          <w:rFonts w:ascii="宋体" w:hAnsi="宋体" w:cs="宋体"/>
          <w:bCs/>
          <w:color w:val="auto"/>
          <w:sz w:val="28"/>
          <w:szCs w:val="28"/>
          <w:highlight w:val="none"/>
        </w:rPr>
        <w:t>项目编号：</w:t>
      </w:r>
    </w:p>
    <w:p w14:paraId="047063B6">
      <w:pPr>
        <w:snapToGrid w:val="0"/>
        <w:spacing w:before="120" w:beforeLines="50" w:after="50" w:line="360" w:lineRule="auto"/>
        <w:ind w:firstLine="1260" w:firstLineChars="450"/>
        <w:rPr>
          <w:rFonts w:hint="default" w:ascii="宋体" w:hAnsi="宋体" w:cs="宋体"/>
          <w:bCs/>
          <w:color w:val="auto"/>
          <w:sz w:val="28"/>
          <w:szCs w:val="28"/>
          <w:highlight w:val="none"/>
        </w:rPr>
      </w:pPr>
    </w:p>
    <w:p w14:paraId="3A9A2EE9">
      <w:pPr>
        <w:snapToGrid w:val="0"/>
        <w:spacing w:before="120" w:beforeLines="50" w:after="50" w:line="360" w:lineRule="auto"/>
        <w:ind w:firstLine="1260" w:firstLineChars="450"/>
        <w:rPr>
          <w:rFonts w:hint="default" w:ascii="宋体" w:hAnsi="宋体" w:cs="宋体"/>
          <w:bCs/>
          <w:color w:val="auto"/>
          <w:sz w:val="28"/>
          <w:szCs w:val="28"/>
          <w:highlight w:val="none"/>
        </w:rPr>
      </w:pPr>
    </w:p>
    <w:p w14:paraId="2ABE543F">
      <w:pPr>
        <w:snapToGrid w:val="0"/>
        <w:spacing w:before="120" w:beforeLines="50" w:after="50" w:line="360" w:lineRule="auto"/>
        <w:ind w:firstLine="1260" w:firstLineChars="450"/>
        <w:rPr>
          <w:rFonts w:hint="default" w:ascii="宋体" w:hAnsi="宋体" w:cs="宋体"/>
          <w:bCs/>
          <w:color w:val="auto"/>
          <w:sz w:val="28"/>
          <w:szCs w:val="28"/>
          <w:highlight w:val="none"/>
        </w:rPr>
      </w:pPr>
    </w:p>
    <w:p w14:paraId="4AD5E857">
      <w:pPr>
        <w:pStyle w:val="12"/>
        <w:snapToGrid w:val="0"/>
        <w:spacing w:before="50" w:after="50" w:line="360" w:lineRule="auto"/>
        <w:ind w:firstLine="1260" w:firstLineChars="450"/>
        <w:rPr>
          <w:rFonts w:hint="default" w:ascii="宋体" w:hAnsi="宋体" w:cs="宋体"/>
          <w:bCs/>
          <w:color w:val="auto"/>
          <w:sz w:val="28"/>
          <w:szCs w:val="28"/>
          <w:highlight w:val="none"/>
        </w:rPr>
      </w:pPr>
    </w:p>
    <w:p w14:paraId="0A66601A">
      <w:pPr>
        <w:pStyle w:val="12"/>
        <w:snapToGrid w:val="0"/>
        <w:spacing w:before="50" w:after="50" w:line="360" w:lineRule="auto"/>
        <w:ind w:firstLine="1260" w:firstLineChars="450"/>
        <w:rPr>
          <w:rFonts w:hint="default" w:ascii="宋体" w:hAnsi="宋体" w:cs="宋体"/>
          <w:bCs/>
          <w:color w:val="auto"/>
          <w:sz w:val="28"/>
          <w:szCs w:val="28"/>
          <w:highlight w:val="none"/>
        </w:rPr>
      </w:pPr>
    </w:p>
    <w:p w14:paraId="7F03CF7F">
      <w:pPr>
        <w:pStyle w:val="12"/>
        <w:snapToGrid w:val="0"/>
        <w:spacing w:before="50" w:after="50" w:line="360" w:lineRule="auto"/>
        <w:ind w:firstLine="1260" w:firstLineChars="450"/>
        <w:rPr>
          <w:rFonts w:hint="default" w:ascii="宋体" w:hAnsi="宋体" w:cs="宋体"/>
          <w:bCs/>
          <w:color w:val="auto"/>
          <w:sz w:val="28"/>
          <w:szCs w:val="28"/>
          <w:highlight w:val="none"/>
        </w:rPr>
      </w:pPr>
    </w:p>
    <w:p w14:paraId="787DCBB4">
      <w:pPr>
        <w:pStyle w:val="12"/>
        <w:snapToGrid w:val="0"/>
        <w:spacing w:before="50" w:after="50" w:line="360" w:lineRule="auto"/>
        <w:ind w:firstLine="1260" w:firstLineChars="450"/>
        <w:rPr>
          <w:rFonts w:hint="default" w:ascii="宋体" w:hAnsi="宋体" w:cs="宋体"/>
          <w:bCs/>
          <w:color w:val="auto"/>
          <w:sz w:val="28"/>
          <w:szCs w:val="28"/>
          <w:highlight w:val="none"/>
        </w:rPr>
      </w:pPr>
      <w:r>
        <w:rPr>
          <w:rFonts w:ascii="宋体" w:hAnsi="宋体" w:cs="宋体"/>
          <w:bCs/>
          <w:color w:val="auto"/>
          <w:sz w:val="28"/>
          <w:szCs w:val="28"/>
          <w:highlight w:val="none"/>
        </w:rPr>
        <w:t>投标人名称：</w:t>
      </w:r>
    </w:p>
    <w:p w14:paraId="357F0321">
      <w:pPr>
        <w:pStyle w:val="12"/>
        <w:snapToGrid w:val="0"/>
        <w:spacing w:before="50" w:after="50" w:line="360" w:lineRule="auto"/>
        <w:ind w:firstLine="1260" w:firstLineChars="450"/>
        <w:rPr>
          <w:rFonts w:hint="default" w:ascii="宋体" w:hAnsi="宋体" w:cs="宋体"/>
          <w:bCs/>
          <w:color w:val="auto"/>
          <w:sz w:val="28"/>
          <w:szCs w:val="28"/>
          <w:highlight w:val="none"/>
        </w:rPr>
      </w:pPr>
      <w:r>
        <w:rPr>
          <w:rFonts w:ascii="宋体" w:hAnsi="宋体" w:cs="宋体"/>
          <w:bCs/>
          <w:color w:val="auto"/>
          <w:sz w:val="28"/>
          <w:szCs w:val="28"/>
          <w:highlight w:val="none"/>
        </w:rPr>
        <w:t>投标人地址：</w:t>
      </w:r>
    </w:p>
    <w:p w14:paraId="4F64E22F">
      <w:pPr>
        <w:pStyle w:val="12"/>
        <w:snapToGrid w:val="0"/>
        <w:spacing w:before="50" w:after="50" w:line="360" w:lineRule="auto"/>
        <w:ind w:firstLine="1260" w:firstLineChars="450"/>
        <w:rPr>
          <w:rFonts w:hint="default" w:ascii="宋体" w:hAnsi="宋体" w:cs="宋体"/>
          <w:bCs/>
          <w:color w:val="auto"/>
          <w:sz w:val="28"/>
          <w:szCs w:val="28"/>
          <w:highlight w:val="none"/>
        </w:rPr>
      </w:pPr>
      <w:r>
        <w:rPr>
          <w:rFonts w:ascii="宋体" w:hAnsi="宋体" w:cs="宋体"/>
          <w:bCs/>
          <w:color w:val="auto"/>
          <w:sz w:val="28"/>
          <w:szCs w:val="28"/>
          <w:highlight w:val="none"/>
        </w:rPr>
        <w:t>在  年  月  日  时  分之前不得启封</w:t>
      </w:r>
    </w:p>
    <w:p w14:paraId="75221714">
      <w:pPr>
        <w:pStyle w:val="12"/>
        <w:snapToGrid w:val="0"/>
        <w:spacing w:before="50" w:after="50" w:line="360" w:lineRule="auto"/>
        <w:ind w:firstLine="1164" w:firstLineChars="416"/>
        <w:rPr>
          <w:rFonts w:hint="default" w:ascii="宋体" w:hAnsi="宋体" w:cs="宋体"/>
          <w:color w:val="auto"/>
          <w:sz w:val="28"/>
          <w:szCs w:val="28"/>
          <w:highlight w:val="none"/>
        </w:rPr>
      </w:pPr>
    </w:p>
    <w:p w14:paraId="2F67A802">
      <w:pPr>
        <w:snapToGrid w:val="0"/>
        <w:spacing w:before="120" w:beforeLines="50" w:after="50" w:line="360" w:lineRule="auto"/>
        <w:ind w:firstLine="645"/>
        <w:rPr>
          <w:rFonts w:hint="default" w:ascii="宋体" w:hAnsi="宋体" w:cs="宋体"/>
          <w:color w:val="auto"/>
          <w:sz w:val="28"/>
          <w:szCs w:val="28"/>
          <w:highlight w:val="none"/>
        </w:rPr>
      </w:pPr>
      <w:r>
        <w:rPr>
          <w:rFonts w:ascii="宋体" w:hAnsi="宋体" w:cs="宋体"/>
          <w:color w:val="auto"/>
          <w:sz w:val="28"/>
          <w:szCs w:val="28"/>
          <w:highlight w:val="none"/>
        </w:rPr>
        <w:t xml:space="preserve">                        年  月  日</w:t>
      </w:r>
    </w:p>
    <w:p w14:paraId="16597027">
      <w:pPr>
        <w:snapToGrid w:val="0"/>
        <w:spacing w:before="120" w:beforeLines="50" w:after="50" w:line="360" w:lineRule="auto"/>
        <w:rPr>
          <w:rFonts w:hint="default" w:ascii="宋体" w:hAnsi="宋体" w:cs="宋体"/>
          <w:b/>
          <w:color w:val="auto"/>
          <w:sz w:val="24"/>
          <w:highlight w:val="none"/>
        </w:rPr>
      </w:pPr>
      <w:r>
        <w:rPr>
          <w:rFonts w:ascii="宋体" w:hAnsi="宋体" w:cs="宋体"/>
          <w:color w:val="auto"/>
          <w:sz w:val="28"/>
          <w:szCs w:val="28"/>
          <w:highlight w:val="none"/>
        </w:rPr>
        <w:br w:type="page"/>
      </w:r>
      <w:r>
        <w:rPr>
          <w:rFonts w:ascii="宋体" w:hAnsi="宋体" w:cs="宋体"/>
          <w:b/>
          <w:color w:val="auto"/>
          <w:sz w:val="24"/>
          <w:highlight w:val="none"/>
        </w:rPr>
        <w:t>2.资格证明/商务技术/报价</w:t>
      </w:r>
      <w:r>
        <w:rPr>
          <w:rFonts w:ascii="宋体" w:hAnsi="宋体" w:cs="宋体"/>
          <w:b/>
          <w:bCs/>
          <w:color w:val="auto"/>
          <w:sz w:val="24"/>
          <w:highlight w:val="none"/>
        </w:rPr>
        <w:t>文件</w:t>
      </w:r>
      <w:r>
        <w:rPr>
          <w:rFonts w:ascii="宋体" w:hAnsi="宋体" w:cs="宋体"/>
          <w:b/>
          <w:color w:val="auto"/>
          <w:sz w:val="24"/>
          <w:highlight w:val="none"/>
        </w:rPr>
        <w:t xml:space="preserve">封面格式 </w:t>
      </w:r>
    </w:p>
    <w:p w14:paraId="2CF56685">
      <w:pPr>
        <w:snapToGrid w:val="0"/>
        <w:spacing w:before="120" w:beforeLines="50" w:after="50" w:line="360" w:lineRule="auto"/>
        <w:rPr>
          <w:rFonts w:hint="default" w:ascii="宋体" w:hAnsi="宋体" w:cs="宋体"/>
          <w:color w:val="auto"/>
          <w:sz w:val="24"/>
          <w:highlight w:val="none"/>
        </w:rPr>
      </w:pPr>
      <w:r>
        <w:rPr>
          <w:rFonts w:ascii="宋体" w:hAnsi="宋体" w:cs="宋体"/>
          <w:color w:val="auto"/>
          <w:sz w:val="24"/>
          <w:highlight w:val="none"/>
        </w:rPr>
        <w:t xml:space="preserve">                                                                  </w:t>
      </w:r>
    </w:p>
    <w:p w14:paraId="7FC9E56B">
      <w:pPr>
        <w:snapToGrid w:val="0"/>
        <w:spacing w:before="120" w:beforeLines="50" w:after="50" w:line="360" w:lineRule="auto"/>
        <w:rPr>
          <w:rFonts w:hint="default" w:ascii="宋体" w:hAnsi="宋体" w:cs="宋体"/>
          <w:b/>
          <w:bCs/>
          <w:color w:val="auto"/>
          <w:sz w:val="32"/>
          <w:highlight w:val="none"/>
        </w:rPr>
      </w:pPr>
    </w:p>
    <w:p w14:paraId="46E04682">
      <w:pPr>
        <w:snapToGrid w:val="0"/>
        <w:spacing w:before="120" w:beforeLines="50" w:after="50" w:line="360" w:lineRule="auto"/>
        <w:jc w:val="center"/>
        <w:rPr>
          <w:rFonts w:hint="default" w:ascii="宋体" w:hAnsi="宋体" w:cs="宋体"/>
          <w:bCs/>
          <w:color w:val="auto"/>
          <w:sz w:val="24"/>
          <w:highlight w:val="none"/>
        </w:rPr>
      </w:pPr>
    </w:p>
    <w:p w14:paraId="4C330AB9">
      <w:pPr>
        <w:snapToGrid w:val="0"/>
        <w:spacing w:before="120" w:beforeLines="50" w:after="50" w:line="360" w:lineRule="auto"/>
        <w:jc w:val="center"/>
        <w:rPr>
          <w:rFonts w:hint="default" w:ascii="宋体" w:hAnsi="宋体" w:cs="宋体"/>
          <w:b/>
          <w:bCs/>
          <w:color w:val="auto"/>
          <w:sz w:val="52"/>
          <w:szCs w:val="52"/>
          <w:highlight w:val="none"/>
        </w:rPr>
      </w:pPr>
      <w:r>
        <w:rPr>
          <w:rFonts w:ascii="宋体" w:hAnsi="宋体" w:cs="宋体"/>
          <w:b/>
          <w:bCs/>
          <w:color w:val="auto"/>
          <w:sz w:val="52"/>
          <w:szCs w:val="52"/>
          <w:highlight w:val="none"/>
        </w:rPr>
        <w:t>资格证明/商务技术/报价文件</w:t>
      </w:r>
    </w:p>
    <w:p w14:paraId="7ABDAB27">
      <w:pPr>
        <w:snapToGrid w:val="0"/>
        <w:spacing w:before="120" w:beforeLines="50" w:after="50" w:line="360" w:lineRule="auto"/>
        <w:rPr>
          <w:rFonts w:hint="default" w:ascii="宋体" w:hAnsi="宋体" w:cs="宋体"/>
          <w:bCs/>
          <w:color w:val="auto"/>
          <w:sz w:val="24"/>
          <w:highlight w:val="none"/>
        </w:rPr>
      </w:pPr>
    </w:p>
    <w:p w14:paraId="18A48A21">
      <w:pPr>
        <w:snapToGrid w:val="0"/>
        <w:spacing w:before="120" w:beforeLines="50" w:after="50" w:line="360" w:lineRule="auto"/>
        <w:ind w:firstLine="1120" w:firstLineChars="400"/>
        <w:rPr>
          <w:rFonts w:hint="eastAsia" w:ascii="宋体" w:hAnsi="宋体" w:eastAsia="宋体" w:cs="宋体"/>
          <w:bCs/>
          <w:color w:val="auto"/>
          <w:sz w:val="28"/>
          <w:szCs w:val="28"/>
          <w:highlight w:val="none"/>
          <w:lang w:eastAsia="zh-CN"/>
        </w:rPr>
      </w:pPr>
      <w:r>
        <w:rPr>
          <w:rFonts w:ascii="宋体" w:hAnsi="宋体" w:cs="宋体"/>
          <w:bCs/>
          <w:color w:val="auto"/>
          <w:sz w:val="28"/>
          <w:szCs w:val="28"/>
          <w:highlight w:val="none"/>
        </w:rPr>
        <w:t>项目名称：</w:t>
      </w:r>
      <w:r>
        <w:rPr>
          <w:rFonts w:hint="eastAsia" w:ascii="宋体" w:hAnsi="宋体" w:cs="宋体"/>
          <w:bCs/>
          <w:color w:val="auto"/>
          <w:sz w:val="28"/>
          <w:szCs w:val="28"/>
          <w:highlight w:val="none"/>
          <w:lang w:eastAsia="zh-CN"/>
        </w:rPr>
        <w:t>中国美术学院教务处学分制教学改革管理平台（三期）建设服务项目</w:t>
      </w:r>
    </w:p>
    <w:p w14:paraId="1F2F6B28">
      <w:pPr>
        <w:snapToGrid w:val="0"/>
        <w:spacing w:before="120" w:beforeLines="50" w:after="50" w:line="360" w:lineRule="auto"/>
        <w:ind w:firstLine="1120" w:firstLineChars="400"/>
        <w:rPr>
          <w:rFonts w:hint="default" w:ascii="宋体" w:hAnsi="宋体" w:cs="宋体"/>
          <w:bCs/>
          <w:color w:val="auto"/>
          <w:sz w:val="28"/>
          <w:szCs w:val="28"/>
          <w:highlight w:val="none"/>
        </w:rPr>
      </w:pPr>
      <w:r>
        <w:rPr>
          <w:rFonts w:ascii="宋体" w:hAnsi="宋体" w:cs="宋体"/>
          <w:bCs/>
          <w:color w:val="auto"/>
          <w:sz w:val="28"/>
          <w:szCs w:val="28"/>
          <w:highlight w:val="none"/>
        </w:rPr>
        <w:t>项目编号：</w:t>
      </w:r>
    </w:p>
    <w:p w14:paraId="0084402C">
      <w:pPr>
        <w:snapToGrid w:val="0"/>
        <w:spacing w:before="120" w:beforeLines="50" w:after="50" w:line="360" w:lineRule="auto"/>
        <w:ind w:firstLine="560" w:firstLineChars="200"/>
        <w:rPr>
          <w:rFonts w:hint="default" w:ascii="宋体" w:hAnsi="宋体" w:cs="宋体"/>
          <w:bCs/>
          <w:color w:val="auto"/>
          <w:sz w:val="28"/>
          <w:szCs w:val="28"/>
          <w:highlight w:val="none"/>
        </w:rPr>
      </w:pPr>
    </w:p>
    <w:p w14:paraId="4C4D28C3">
      <w:pPr>
        <w:snapToGrid w:val="0"/>
        <w:spacing w:before="120" w:beforeLines="50" w:after="50" w:line="360" w:lineRule="auto"/>
        <w:ind w:firstLine="560" w:firstLineChars="200"/>
        <w:rPr>
          <w:rFonts w:hint="default" w:ascii="宋体" w:hAnsi="宋体" w:cs="宋体"/>
          <w:bCs/>
          <w:color w:val="auto"/>
          <w:sz w:val="28"/>
          <w:szCs w:val="28"/>
          <w:highlight w:val="none"/>
        </w:rPr>
      </w:pPr>
      <w:r>
        <w:rPr>
          <w:rFonts w:ascii="宋体" w:hAnsi="宋体" w:cs="宋体"/>
          <w:bCs/>
          <w:color w:val="auto"/>
          <w:sz w:val="28"/>
          <w:szCs w:val="28"/>
          <w:highlight w:val="none"/>
        </w:rPr>
        <w:t xml:space="preserve">     </w:t>
      </w:r>
    </w:p>
    <w:p w14:paraId="7EBDCAB8">
      <w:pPr>
        <w:pStyle w:val="12"/>
        <w:snapToGrid w:val="0"/>
        <w:spacing w:before="50" w:after="50" w:line="360" w:lineRule="auto"/>
        <w:ind w:firstLine="1260" w:firstLineChars="450"/>
        <w:rPr>
          <w:rFonts w:hint="default" w:ascii="宋体" w:hAnsi="宋体" w:cs="宋体"/>
          <w:bCs/>
          <w:color w:val="auto"/>
          <w:sz w:val="28"/>
          <w:szCs w:val="28"/>
          <w:highlight w:val="none"/>
        </w:rPr>
      </w:pPr>
    </w:p>
    <w:p w14:paraId="21EB8922">
      <w:pPr>
        <w:pStyle w:val="12"/>
        <w:snapToGrid w:val="0"/>
        <w:spacing w:before="50" w:after="50" w:line="360" w:lineRule="auto"/>
        <w:ind w:firstLine="1260" w:firstLineChars="450"/>
        <w:rPr>
          <w:rFonts w:hint="default" w:ascii="宋体" w:hAnsi="宋体" w:cs="宋体"/>
          <w:bCs/>
          <w:color w:val="auto"/>
          <w:sz w:val="28"/>
          <w:szCs w:val="28"/>
          <w:highlight w:val="none"/>
        </w:rPr>
      </w:pPr>
    </w:p>
    <w:p w14:paraId="6A289102">
      <w:pPr>
        <w:pStyle w:val="12"/>
        <w:snapToGrid w:val="0"/>
        <w:spacing w:before="50" w:after="50" w:line="360" w:lineRule="auto"/>
        <w:ind w:firstLine="1260" w:firstLineChars="450"/>
        <w:rPr>
          <w:rFonts w:hint="default" w:ascii="宋体" w:hAnsi="宋体" w:cs="宋体"/>
          <w:bCs/>
          <w:color w:val="auto"/>
          <w:sz w:val="28"/>
          <w:szCs w:val="28"/>
          <w:highlight w:val="none"/>
        </w:rPr>
      </w:pPr>
    </w:p>
    <w:p w14:paraId="27B5D1E2">
      <w:pPr>
        <w:pStyle w:val="12"/>
        <w:snapToGrid w:val="0"/>
        <w:spacing w:before="50" w:after="50" w:line="360" w:lineRule="auto"/>
        <w:ind w:firstLine="1260" w:firstLineChars="450"/>
        <w:rPr>
          <w:rFonts w:hint="default" w:ascii="宋体" w:hAnsi="宋体" w:cs="宋体"/>
          <w:bCs/>
          <w:color w:val="auto"/>
          <w:sz w:val="28"/>
          <w:szCs w:val="28"/>
          <w:highlight w:val="none"/>
        </w:rPr>
      </w:pPr>
    </w:p>
    <w:p w14:paraId="69096E81">
      <w:pPr>
        <w:pStyle w:val="12"/>
        <w:snapToGrid w:val="0"/>
        <w:spacing w:before="50" w:after="50" w:line="360" w:lineRule="auto"/>
        <w:ind w:firstLine="1260" w:firstLineChars="450"/>
        <w:rPr>
          <w:rFonts w:hint="default" w:ascii="宋体" w:hAnsi="宋体" w:cs="宋体"/>
          <w:bCs/>
          <w:color w:val="auto"/>
          <w:sz w:val="28"/>
          <w:szCs w:val="28"/>
          <w:highlight w:val="none"/>
        </w:rPr>
      </w:pPr>
      <w:r>
        <w:rPr>
          <w:rFonts w:ascii="宋体" w:hAnsi="宋体" w:cs="宋体"/>
          <w:bCs/>
          <w:color w:val="auto"/>
          <w:sz w:val="28"/>
          <w:szCs w:val="28"/>
          <w:highlight w:val="none"/>
        </w:rPr>
        <w:t>投标人名称：</w:t>
      </w:r>
    </w:p>
    <w:p w14:paraId="61C4059C">
      <w:pPr>
        <w:pStyle w:val="12"/>
        <w:snapToGrid w:val="0"/>
        <w:spacing w:before="50" w:after="50" w:line="360" w:lineRule="auto"/>
        <w:ind w:firstLine="1260" w:firstLineChars="450"/>
        <w:rPr>
          <w:rFonts w:hint="default" w:ascii="宋体" w:hAnsi="宋体" w:cs="宋体"/>
          <w:bCs/>
          <w:color w:val="auto"/>
          <w:sz w:val="28"/>
          <w:szCs w:val="28"/>
          <w:highlight w:val="none"/>
        </w:rPr>
      </w:pPr>
      <w:r>
        <w:rPr>
          <w:rFonts w:ascii="宋体" w:hAnsi="宋体" w:cs="宋体"/>
          <w:bCs/>
          <w:color w:val="auto"/>
          <w:sz w:val="28"/>
          <w:szCs w:val="28"/>
          <w:highlight w:val="none"/>
        </w:rPr>
        <w:t>投标人地址：</w:t>
      </w:r>
    </w:p>
    <w:p w14:paraId="5CC2A78E">
      <w:pPr>
        <w:snapToGrid w:val="0"/>
        <w:spacing w:before="120" w:beforeLines="50" w:after="50" w:line="360" w:lineRule="auto"/>
        <w:ind w:firstLine="645"/>
        <w:jc w:val="center"/>
        <w:rPr>
          <w:rFonts w:hint="default" w:ascii="宋体" w:hAnsi="宋体" w:cs="宋体"/>
          <w:color w:val="auto"/>
          <w:sz w:val="28"/>
          <w:szCs w:val="28"/>
          <w:highlight w:val="none"/>
        </w:rPr>
      </w:pPr>
      <w:r>
        <w:rPr>
          <w:rFonts w:ascii="宋体" w:hAnsi="宋体" w:cs="宋体"/>
          <w:color w:val="auto"/>
          <w:sz w:val="28"/>
          <w:szCs w:val="28"/>
          <w:highlight w:val="none"/>
        </w:rPr>
        <w:t xml:space="preserve">                        </w:t>
      </w:r>
    </w:p>
    <w:p w14:paraId="10592CBE">
      <w:pPr>
        <w:snapToGrid w:val="0"/>
        <w:spacing w:before="120" w:beforeLines="50" w:after="50" w:line="360" w:lineRule="auto"/>
        <w:ind w:firstLine="645"/>
        <w:jc w:val="center"/>
        <w:outlineLvl w:val="0"/>
        <w:rPr>
          <w:rFonts w:hint="default" w:ascii="宋体" w:hAnsi="宋体" w:cs="宋体"/>
          <w:color w:val="auto"/>
          <w:sz w:val="24"/>
          <w:highlight w:val="none"/>
        </w:rPr>
      </w:pPr>
      <w:bookmarkStart w:id="41" w:name="_Toc20164"/>
      <w:bookmarkStart w:id="42" w:name="_Toc25091"/>
      <w:bookmarkStart w:id="43" w:name="_Toc26219"/>
      <w:bookmarkStart w:id="44" w:name="_Toc22374"/>
      <w:bookmarkStart w:id="45" w:name="_Toc29838"/>
      <w:bookmarkStart w:id="46" w:name="_Toc32368"/>
      <w:r>
        <w:rPr>
          <w:rFonts w:ascii="宋体" w:hAnsi="宋体" w:cs="宋体"/>
          <w:color w:val="auto"/>
          <w:sz w:val="28"/>
          <w:szCs w:val="28"/>
          <w:highlight w:val="none"/>
        </w:rPr>
        <w:t>年  月  日</w:t>
      </w:r>
      <w:bookmarkEnd w:id="41"/>
      <w:bookmarkEnd w:id="42"/>
      <w:bookmarkEnd w:id="43"/>
      <w:bookmarkEnd w:id="44"/>
      <w:bookmarkEnd w:id="45"/>
      <w:bookmarkEnd w:id="46"/>
    </w:p>
    <w:p w14:paraId="2B2E4640">
      <w:pPr>
        <w:pageBreakBefore/>
        <w:snapToGrid w:val="0"/>
        <w:spacing w:line="360" w:lineRule="auto"/>
        <w:jc w:val="center"/>
        <w:outlineLvl w:val="1"/>
        <w:rPr>
          <w:rFonts w:hint="default" w:ascii="宋体" w:hAnsi="宋体" w:cs="宋体"/>
          <w:b/>
          <w:bCs/>
          <w:color w:val="auto"/>
          <w:kern w:val="0"/>
          <w:sz w:val="36"/>
          <w:szCs w:val="36"/>
          <w:highlight w:val="none"/>
        </w:rPr>
      </w:pPr>
      <w:bookmarkStart w:id="47" w:name="_Toc55237637"/>
      <w:r>
        <w:rPr>
          <w:rFonts w:ascii="宋体" w:hAnsi="宋体" w:cs="宋体"/>
          <w:b/>
          <w:bCs/>
          <w:color w:val="auto"/>
          <w:kern w:val="0"/>
          <w:sz w:val="36"/>
          <w:szCs w:val="36"/>
          <w:highlight w:val="none"/>
        </w:rPr>
        <w:t>资格文件</w:t>
      </w:r>
      <w:bookmarkEnd w:id="47"/>
    </w:p>
    <w:p w14:paraId="58621DE6">
      <w:pPr>
        <w:pStyle w:val="40"/>
        <w:rPr>
          <w:rFonts w:hint="default" w:ascii="宋体" w:hAnsi="宋体" w:cs="宋体"/>
          <w:color w:val="auto"/>
          <w:highlight w:val="none"/>
        </w:rPr>
      </w:pPr>
    </w:p>
    <w:p w14:paraId="515E6F2A">
      <w:pPr>
        <w:snapToGrid w:val="0"/>
        <w:spacing w:line="300" w:lineRule="auto"/>
        <w:jc w:val="center"/>
        <w:rPr>
          <w:rFonts w:hint="default" w:ascii="宋体" w:hAnsi="宋体" w:cs="宋体"/>
          <w:b/>
          <w:color w:val="auto"/>
          <w:kern w:val="0"/>
          <w:sz w:val="28"/>
          <w:szCs w:val="28"/>
          <w:highlight w:val="none"/>
        </w:rPr>
      </w:pPr>
      <w:r>
        <w:rPr>
          <w:rFonts w:ascii="宋体" w:hAnsi="宋体" w:cs="宋体"/>
          <w:b/>
          <w:color w:val="auto"/>
          <w:kern w:val="0"/>
          <w:sz w:val="28"/>
          <w:szCs w:val="28"/>
          <w:highlight w:val="none"/>
        </w:rPr>
        <w:t>一、符合参加政府采购活动应当具备的一般条件的承诺函</w:t>
      </w:r>
    </w:p>
    <w:p w14:paraId="12E4BDB0">
      <w:pPr>
        <w:snapToGrid w:val="0"/>
        <w:spacing w:line="360" w:lineRule="auto"/>
        <w:jc w:val="center"/>
        <w:rPr>
          <w:rFonts w:hint="default" w:ascii="宋体" w:hAnsi="宋体" w:cs="宋体"/>
          <w:b/>
          <w:color w:val="auto"/>
          <w:kern w:val="0"/>
          <w:sz w:val="28"/>
          <w:szCs w:val="28"/>
          <w:highlight w:val="none"/>
        </w:rPr>
      </w:pPr>
    </w:p>
    <w:p w14:paraId="27AD1A04">
      <w:pPr>
        <w:pStyle w:val="92"/>
        <w:spacing w:line="360" w:lineRule="auto"/>
        <w:rPr>
          <w:rFonts w:hint="default" w:ascii="宋体" w:hAnsi="宋体" w:eastAsia="宋体" w:cs="宋体"/>
          <w:color w:val="auto"/>
          <w:highlight w:val="none"/>
          <w:u w:val="single"/>
        </w:rPr>
      </w:pPr>
      <w:r>
        <w:rPr>
          <w:rFonts w:hint="eastAsia" w:ascii="宋体" w:hAnsi="宋体" w:eastAsia="宋体" w:cs="宋体"/>
          <w:color w:val="auto"/>
          <w:highlight w:val="none"/>
          <w:u w:val="single"/>
          <w:lang w:eastAsia="zh-CN"/>
        </w:rPr>
        <w:t>中国美术学院</w:t>
      </w:r>
      <w:r>
        <w:rPr>
          <w:rFonts w:ascii="宋体" w:hAnsi="宋体" w:eastAsia="宋体" w:cs="宋体"/>
          <w:color w:val="auto"/>
          <w:highlight w:val="none"/>
          <w:u w:val="single"/>
        </w:rPr>
        <w:t>、浙江豪圣建设项目管理有限公司：</w:t>
      </w:r>
    </w:p>
    <w:p w14:paraId="2AE34E45">
      <w:pPr>
        <w:pStyle w:val="92"/>
        <w:spacing w:line="360" w:lineRule="auto"/>
        <w:ind w:firstLine="420" w:firstLineChars="175"/>
        <w:rPr>
          <w:rFonts w:hint="default" w:ascii="宋体" w:hAnsi="宋体" w:eastAsia="宋体" w:cs="宋体"/>
          <w:color w:val="auto"/>
          <w:highlight w:val="none"/>
        </w:rPr>
      </w:pPr>
      <w:r>
        <w:rPr>
          <w:rFonts w:ascii="宋体" w:hAnsi="宋体" w:eastAsia="宋体" w:cs="宋体"/>
          <w:color w:val="auto"/>
          <w:highlight w:val="none"/>
        </w:rPr>
        <w:t>我方参与</w:t>
      </w:r>
      <w:r>
        <w:rPr>
          <w:rFonts w:hint="eastAsia" w:ascii="宋体" w:hAnsi="宋体" w:eastAsia="宋体" w:cs="宋体"/>
          <w:color w:val="auto"/>
          <w:highlight w:val="none"/>
          <w:u w:val="single"/>
          <w:lang w:eastAsia="zh-CN"/>
        </w:rPr>
        <w:t>中国美术学院教务处学分制教学改革管理平台（三期）建设服务项目（</w:t>
      </w:r>
      <w:r>
        <w:rPr>
          <w:rFonts w:ascii="宋体" w:hAnsi="宋体" w:eastAsia="宋体" w:cs="宋体"/>
          <w:color w:val="auto"/>
          <w:highlight w:val="none"/>
        </w:rPr>
        <w:t>项目名称</w:t>
      </w:r>
      <w:r>
        <w:rPr>
          <w:rFonts w:hint="eastAsia" w:ascii="宋体" w:hAnsi="宋体" w:eastAsia="宋体" w:cs="宋体"/>
          <w:color w:val="auto"/>
          <w:highlight w:val="none"/>
          <w:lang w:eastAsia="zh-CN"/>
        </w:rPr>
        <w:t>）</w:t>
      </w:r>
      <w:r>
        <w:rPr>
          <w:rFonts w:ascii="宋体" w:hAnsi="宋体" w:eastAsia="宋体" w:cs="宋体"/>
          <w:color w:val="auto"/>
          <w:highlight w:val="none"/>
        </w:rPr>
        <w:t>【项目编号</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 xml:space="preserve">       </w:t>
      </w:r>
      <w:r>
        <w:rPr>
          <w:rFonts w:ascii="宋体" w:hAnsi="宋体" w:eastAsia="宋体" w:cs="宋体"/>
          <w:color w:val="auto"/>
          <w:highlight w:val="none"/>
        </w:rPr>
        <w:t>】政府采购活动，郑重承诺：</w:t>
      </w:r>
    </w:p>
    <w:p w14:paraId="30BCAA95">
      <w:pPr>
        <w:pStyle w:val="92"/>
        <w:spacing w:line="360" w:lineRule="auto"/>
        <w:ind w:firstLine="420" w:firstLineChars="175"/>
        <w:rPr>
          <w:rFonts w:hint="default" w:ascii="宋体" w:hAnsi="宋体" w:eastAsia="宋体" w:cs="宋体"/>
          <w:color w:val="auto"/>
          <w:highlight w:val="none"/>
        </w:rPr>
      </w:pPr>
      <w:r>
        <w:rPr>
          <w:rFonts w:ascii="宋体" w:hAnsi="宋体" w:eastAsia="宋体" w:cs="宋体"/>
          <w:color w:val="auto"/>
          <w:highlight w:val="none"/>
        </w:rPr>
        <w:t>（一）具备《中华人民共和国政府采购法》第二十二条第一款规定的条件：</w:t>
      </w:r>
    </w:p>
    <w:p w14:paraId="152DCF2D">
      <w:pPr>
        <w:pStyle w:val="92"/>
        <w:spacing w:line="360" w:lineRule="auto"/>
        <w:ind w:firstLine="420" w:firstLineChars="175"/>
        <w:rPr>
          <w:rFonts w:hint="default" w:ascii="宋体" w:hAnsi="宋体" w:eastAsia="宋体" w:cs="宋体"/>
          <w:color w:val="auto"/>
          <w:highlight w:val="none"/>
        </w:rPr>
      </w:pPr>
      <w:r>
        <w:rPr>
          <w:rFonts w:ascii="宋体" w:hAnsi="宋体" w:eastAsia="宋体" w:cs="宋体"/>
          <w:color w:val="auto"/>
          <w:highlight w:val="none"/>
        </w:rPr>
        <w:t>1、具有独立承担民事责任的能力；</w:t>
      </w:r>
    </w:p>
    <w:p w14:paraId="29A52D99">
      <w:pPr>
        <w:pStyle w:val="92"/>
        <w:spacing w:line="360" w:lineRule="auto"/>
        <w:ind w:firstLine="420" w:firstLineChars="175"/>
        <w:rPr>
          <w:rFonts w:hint="default" w:ascii="宋体" w:hAnsi="宋体" w:eastAsia="宋体" w:cs="宋体"/>
          <w:color w:val="auto"/>
          <w:highlight w:val="none"/>
        </w:rPr>
      </w:pPr>
      <w:r>
        <w:rPr>
          <w:rFonts w:ascii="宋体" w:hAnsi="宋体" w:eastAsia="宋体" w:cs="宋体"/>
          <w:color w:val="auto"/>
          <w:highlight w:val="none"/>
        </w:rPr>
        <w:t xml:space="preserve">2、具有良好的商业信誉和健全的财务会计制度； </w:t>
      </w:r>
    </w:p>
    <w:p w14:paraId="6DD8B15D">
      <w:pPr>
        <w:pStyle w:val="92"/>
        <w:spacing w:line="360" w:lineRule="auto"/>
        <w:ind w:firstLine="420" w:firstLineChars="175"/>
        <w:rPr>
          <w:rFonts w:hint="default" w:ascii="宋体" w:hAnsi="宋体" w:eastAsia="宋体" w:cs="宋体"/>
          <w:color w:val="auto"/>
          <w:highlight w:val="none"/>
        </w:rPr>
      </w:pPr>
      <w:r>
        <w:rPr>
          <w:rFonts w:ascii="宋体" w:hAnsi="宋体" w:eastAsia="宋体" w:cs="宋体"/>
          <w:color w:val="auto"/>
          <w:highlight w:val="none"/>
        </w:rPr>
        <w:t>3、具有履行合同所必需的设备和专业技术能力；</w:t>
      </w:r>
    </w:p>
    <w:p w14:paraId="5C7CB0E2">
      <w:pPr>
        <w:pStyle w:val="92"/>
        <w:spacing w:line="360" w:lineRule="auto"/>
        <w:ind w:firstLine="420" w:firstLineChars="175"/>
        <w:rPr>
          <w:rFonts w:hint="default" w:ascii="宋体" w:hAnsi="宋体" w:eastAsia="宋体" w:cs="宋体"/>
          <w:color w:val="auto"/>
          <w:highlight w:val="none"/>
        </w:rPr>
      </w:pPr>
      <w:r>
        <w:rPr>
          <w:rFonts w:ascii="宋体" w:hAnsi="宋体" w:eastAsia="宋体" w:cs="宋体"/>
          <w:color w:val="auto"/>
          <w:highlight w:val="none"/>
        </w:rPr>
        <w:t>4、有依法缴纳税收和社会保障资金的良好记录；</w:t>
      </w:r>
    </w:p>
    <w:p w14:paraId="487A7537">
      <w:pPr>
        <w:pStyle w:val="92"/>
        <w:spacing w:line="360" w:lineRule="auto"/>
        <w:ind w:firstLine="420" w:firstLineChars="175"/>
        <w:rPr>
          <w:rFonts w:hint="default" w:ascii="宋体" w:hAnsi="宋体" w:eastAsia="宋体" w:cs="宋体"/>
          <w:color w:val="auto"/>
          <w:highlight w:val="none"/>
        </w:rPr>
      </w:pPr>
      <w:r>
        <w:rPr>
          <w:rFonts w:ascii="宋体" w:hAnsi="宋体" w:eastAsia="宋体" w:cs="宋体"/>
          <w:color w:val="auto"/>
          <w:highlight w:val="none"/>
        </w:rPr>
        <w:t>5、参加政府采购活动前三年内，在经营活动中没有重大违法记录；</w:t>
      </w:r>
    </w:p>
    <w:p w14:paraId="0F50D743">
      <w:pPr>
        <w:pStyle w:val="92"/>
        <w:spacing w:line="360" w:lineRule="auto"/>
        <w:ind w:firstLine="420" w:firstLineChars="175"/>
        <w:rPr>
          <w:rFonts w:hint="default" w:ascii="宋体" w:hAnsi="宋体" w:eastAsia="宋体" w:cs="宋体"/>
          <w:color w:val="auto"/>
          <w:highlight w:val="none"/>
        </w:rPr>
      </w:pPr>
      <w:r>
        <w:rPr>
          <w:rFonts w:ascii="宋体" w:hAnsi="宋体" w:eastAsia="宋体" w:cs="宋体"/>
          <w:color w:val="auto"/>
          <w:highlight w:val="none"/>
        </w:rPr>
        <w:t>6、具有法律、行政法规规定的其他条件。</w:t>
      </w:r>
    </w:p>
    <w:p w14:paraId="2A218039">
      <w:pPr>
        <w:pStyle w:val="92"/>
        <w:spacing w:line="360" w:lineRule="auto"/>
        <w:ind w:firstLine="420" w:firstLineChars="175"/>
        <w:rPr>
          <w:rFonts w:hint="default" w:ascii="宋体" w:hAnsi="宋体" w:eastAsia="宋体" w:cs="宋体"/>
          <w:color w:val="auto"/>
          <w:highlight w:val="none"/>
        </w:rPr>
      </w:pPr>
      <w:r>
        <w:rPr>
          <w:rFonts w:ascii="宋体" w:hAnsi="宋体" w:eastAsia="宋体" w:cs="宋体"/>
          <w:color w:val="auto"/>
          <w:highlight w:val="none"/>
        </w:rPr>
        <w:t>（二）未被信用中国（www.creditchina.gov.cn)、中国政府采购网（www.ccgp.gov.cn）列入失信被执行人、重大税收违法失信主体、政府采购严重违法失信行为记录名单。</w:t>
      </w:r>
    </w:p>
    <w:p w14:paraId="559C5DC0">
      <w:pPr>
        <w:pStyle w:val="92"/>
        <w:spacing w:line="360" w:lineRule="auto"/>
        <w:ind w:firstLine="420" w:firstLineChars="175"/>
        <w:rPr>
          <w:rFonts w:hint="default" w:ascii="宋体" w:hAnsi="宋体" w:eastAsia="宋体" w:cs="宋体"/>
          <w:color w:val="auto"/>
          <w:highlight w:val="none"/>
        </w:rPr>
      </w:pPr>
      <w:r>
        <w:rPr>
          <w:rFonts w:ascii="宋体" w:hAnsi="宋体" w:eastAsia="宋体" w:cs="宋体"/>
          <w:color w:val="auto"/>
          <w:highlight w:val="none"/>
        </w:rPr>
        <w:t>（三）不存在以下情况：</w:t>
      </w:r>
    </w:p>
    <w:p w14:paraId="06B56457">
      <w:pPr>
        <w:pStyle w:val="92"/>
        <w:spacing w:line="360" w:lineRule="auto"/>
        <w:ind w:firstLine="420" w:firstLineChars="175"/>
        <w:rPr>
          <w:rFonts w:hint="default" w:ascii="宋体" w:hAnsi="宋体" w:eastAsia="宋体" w:cs="宋体"/>
          <w:color w:val="auto"/>
          <w:highlight w:val="none"/>
        </w:rPr>
      </w:pPr>
      <w:r>
        <w:rPr>
          <w:rFonts w:ascii="宋体" w:hAnsi="宋体" w:eastAsia="宋体" w:cs="宋体"/>
          <w:color w:val="auto"/>
          <w:highlight w:val="none"/>
        </w:rPr>
        <w:t>1、单位负责人为同一人或者存在直接控股、管理关系的不同供应商参加同一合同项下的政府采购活动的；</w:t>
      </w:r>
    </w:p>
    <w:p w14:paraId="68D91473">
      <w:pPr>
        <w:pStyle w:val="92"/>
        <w:spacing w:line="360" w:lineRule="auto"/>
        <w:ind w:firstLine="420" w:firstLineChars="175"/>
        <w:rPr>
          <w:rFonts w:hint="default" w:ascii="宋体" w:hAnsi="宋体" w:eastAsia="宋体" w:cs="宋体"/>
          <w:color w:val="auto"/>
          <w:highlight w:val="none"/>
        </w:rPr>
      </w:pPr>
      <w:r>
        <w:rPr>
          <w:rFonts w:ascii="宋体" w:hAnsi="宋体" w:eastAsia="宋体" w:cs="宋体"/>
          <w:color w:val="auto"/>
          <w:highlight w:val="none"/>
        </w:rPr>
        <w:t>2、为采购项目提供整体设计、规范编制或者项目管理、监理、检测等服务后再参加该采购项目的其他采购活动的。</w:t>
      </w:r>
    </w:p>
    <w:p w14:paraId="01AD50A5">
      <w:pPr>
        <w:pStyle w:val="27"/>
        <w:tabs>
          <w:tab w:val="right" w:leader="dot" w:pos="9403"/>
        </w:tabs>
        <w:spacing w:line="360" w:lineRule="auto"/>
        <w:rPr>
          <w:rFonts w:hint="default" w:ascii="宋体" w:hAnsi="宋体" w:cs="宋体"/>
          <w:color w:val="auto"/>
          <w:sz w:val="24"/>
          <w:szCs w:val="24"/>
          <w:highlight w:val="none"/>
        </w:rPr>
      </w:pPr>
      <w:bookmarkStart w:id="48" w:name="_Toc2249"/>
      <w:bookmarkStart w:id="49" w:name="_Toc10512"/>
    </w:p>
    <w:p w14:paraId="03E9A7FC">
      <w:pPr>
        <w:spacing w:line="360" w:lineRule="auto"/>
        <w:rPr>
          <w:rFonts w:hint="default" w:ascii="宋体" w:hAnsi="宋体" w:cs="宋体"/>
          <w:color w:val="auto"/>
          <w:sz w:val="24"/>
          <w:szCs w:val="24"/>
          <w:highlight w:val="none"/>
        </w:rPr>
      </w:pPr>
    </w:p>
    <w:p w14:paraId="4B5712E4">
      <w:pPr>
        <w:pStyle w:val="92"/>
        <w:spacing w:line="360" w:lineRule="auto"/>
        <w:rPr>
          <w:rFonts w:hint="default" w:ascii="宋体" w:hAnsi="宋体" w:eastAsia="宋体" w:cs="宋体"/>
          <w:color w:val="auto"/>
          <w:highlight w:val="none"/>
        </w:rPr>
      </w:pPr>
    </w:p>
    <w:p w14:paraId="394066FD">
      <w:pPr>
        <w:widowControl/>
        <w:spacing w:line="360" w:lineRule="auto"/>
        <w:ind w:firstLine="480" w:firstLineChars="200"/>
        <w:rPr>
          <w:rFonts w:hint="default" w:ascii="宋体" w:hAnsi="宋体" w:cs="宋体"/>
          <w:color w:val="auto"/>
          <w:sz w:val="24"/>
          <w:szCs w:val="24"/>
          <w:highlight w:val="none"/>
        </w:rPr>
      </w:pPr>
      <w:r>
        <w:rPr>
          <w:rFonts w:hint="eastAsia" w:ascii="宋体" w:hAnsi="宋体" w:cs="宋体"/>
          <w:color w:val="auto"/>
          <w:kern w:val="0"/>
          <w:sz w:val="24"/>
          <w:highlight w:val="none"/>
          <w:lang w:val="zh-CN"/>
        </w:rPr>
        <w:t>投标人名称(电子签名)</w:t>
      </w:r>
      <w:r>
        <w:rPr>
          <w:rFonts w:ascii="宋体" w:hAnsi="宋体" w:cs="宋体"/>
          <w:color w:val="auto"/>
          <w:sz w:val="24"/>
          <w:szCs w:val="24"/>
          <w:highlight w:val="none"/>
        </w:rPr>
        <w:t>：</w:t>
      </w:r>
    </w:p>
    <w:p w14:paraId="343BD2C3">
      <w:pPr>
        <w:widowControl/>
        <w:spacing w:line="360" w:lineRule="auto"/>
        <w:ind w:firstLine="480" w:firstLineChars="200"/>
        <w:rPr>
          <w:rFonts w:hint="default" w:ascii="宋体" w:hAnsi="宋体" w:cs="宋体"/>
          <w:color w:val="auto"/>
          <w:sz w:val="24"/>
          <w:szCs w:val="24"/>
          <w:highlight w:val="none"/>
        </w:rPr>
      </w:pPr>
      <w:r>
        <w:rPr>
          <w:rFonts w:ascii="宋体" w:hAnsi="宋体" w:cs="宋体"/>
          <w:color w:val="auto"/>
          <w:sz w:val="24"/>
          <w:szCs w:val="24"/>
          <w:highlight w:val="none"/>
        </w:rPr>
        <w:t>日期：</w:t>
      </w:r>
    </w:p>
    <w:p w14:paraId="0C7CA6B8">
      <w:pPr>
        <w:pStyle w:val="40"/>
        <w:ind w:firstLine="480"/>
        <w:rPr>
          <w:rFonts w:hint="default" w:ascii="宋体" w:hAnsi="宋体" w:cs="宋体"/>
          <w:color w:val="auto"/>
          <w:sz w:val="24"/>
          <w:highlight w:val="none"/>
        </w:rPr>
      </w:pPr>
    </w:p>
    <w:p w14:paraId="04526F90">
      <w:pPr>
        <w:widowControl/>
        <w:spacing w:line="360" w:lineRule="auto"/>
        <w:ind w:firstLine="602" w:firstLineChars="200"/>
        <w:jc w:val="center"/>
        <w:rPr>
          <w:rFonts w:ascii="宋体" w:hAnsi="宋体" w:cs="宋体"/>
          <w:b/>
          <w:color w:val="auto"/>
          <w:kern w:val="0"/>
          <w:sz w:val="32"/>
          <w:szCs w:val="32"/>
          <w:highlight w:val="none"/>
        </w:rPr>
      </w:pPr>
      <w:r>
        <w:rPr>
          <w:rFonts w:ascii="宋体" w:hAnsi="宋体" w:cs="宋体"/>
          <w:b/>
          <w:color w:val="auto"/>
          <w:sz w:val="30"/>
          <w:szCs w:val="30"/>
          <w:highlight w:val="none"/>
        </w:rPr>
        <w:br w:type="page"/>
      </w:r>
      <w:bookmarkEnd w:id="48"/>
      <w:bookmarkEnd w:id="49"/>
      <w:bookmarkStart w:id="50" w:name="_Toc55237638"/>
      <w:bookmarkStart w:id="51" w:name="_Toc354996707"/>
      <w:bookmarkStart w:id="52" w:name="_Toc233618989"/>
      <w:r>
        <w:rPr>
          <w:rFonts w:hint="eastAsia" w:ascii="宋体" w:hAnsi="宋体" w:cs="宋体"/>
          <w:b/>
          <w:color w:val="auto"/>
          <w:kern w:val="0"/>
          <w:sz w:val="32"/>
          <w:szCs w:val="32"/>
          <w:highlight w:val="none"/>
        </w:rPr>
        <w:t>二、联合协议（如果有）</w:t>
      </w:r>
    </w:p>
    <w:p w14:paraId="7E96379F">
      <w:pPr>
        <w:widowControl/>
        <w:spacing w:line="360" w:lineRule="auto"/>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[以联合体形式投标的，提供联合协议（附件</w:t>
      </w:r>
      <w:r>
        <w:rPr>
          <w:rFonts w:hint="eastAsia" w:ascii="宋体" w:hAnsi="宋体" w:cs="宋体"/>
          <w:b/>
          <w:color w:val="auto"/>
          <w:sz w:val="24"/>
          <w:highlight w:val="none"/>
          <w:lang w:val="en-US" w:eastAsia="zh-CN"/>
        </w:rPr>
        <w:t>3</w:t>
      </w:r>
      <w:r>
        <w:rPr>
          <w:rFonts w:hint="eastAsia" w:ascii="宋体" w:hAnsi="宋体" w:cs="宋体"/>
          <w:b/>
          <w:color w:val="auto"/>
          <w:sz w:val="24"/>
          <w:highlight w:val="none"/>
        </w:rPr>
        <w:t>）；本项目不接受联合体投标或者投标人不以联合体形式投标的，则不需要提供]</w:t>
      </w:r>
    </w:p>
    <w:p w14:paraId="469772F4">
      <w:pPr>
        <w:snapToGrid w:val="0"/>
        <w:spacing w:line="360" w:lineRule="auto"/>
        <w:ind w:right="480"/>
        <w:jc w:val="center"/>
        <w:rPr>
          <w:rFonts w:ascii="宋体" w:hAnsi="宋体" w:cs="宋体"/>
          <w:b/>
          <w:color w:val="auto"/>
          <w:kern w:val="0"/>
          <w:sz w:val="32"/>
          <w:szCs w:val="32"/>
          <w:highlight w:val="none"/>
        </w:rPr>
      </w:pPr>
    </w:p>
    <w:p w14:paraId="68BF5542">
      <w:pPr>
        <w:snapToGrid w:val="0"/>
        <w:spacing w:line="360" w:lineRule="auto"/>
        <w:ind w:right="480"/>
        <w:jc w:val="center"/>
        <w:rPr>
          <w:rFonts w:ascii="宋体" w:hAnsi="宋体" w:cs="宋体"/>
          <w:b/>
          <w:color w:val="auto"/>
          <w:kern w:val="0"/>
          <w:sz w:val="32"/>
          <w:szCs w:val="32"/>
          <w:highlight w:val="none"/>
        </w:rPr>
      </w:pPr>
    </w:p>
    <w:p w14:paraId="2FAF0ACB">
      <w:pPr>
        <w:snapToGrid w:val="0"/>
        <w:spacing w:line="360" w:lineRule="auto"/>
        <w:ind w:right="48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三、落实政府采购政策需满足的资格要求</w:t>
      </w:r>
    </w:p>
    <w:p w14:paraId="54C66FDB">
      <w:pPr>
        <w:spacing w:line="360" w:lineRule="auto"/>
        <w:rPr>
          <w:rFonts w:ascii="宋体" w:hAnsi="宋体" w:cs="宋体"/>
          <w:color w:val="auto"/>
          <w:sz w:val="24"/>
          <w:highlight w:val="none"/>
        </w:rPr>
      </w:pPr>
      <w:r>
        <w:rPr>
          <w:rFonts w:hint="eastAsia" w:ascii="宋体" w:hAnsi="宋体" w:cs="宋体"/>
          <w:color w:val="auto"/>
          <w:sz w:val="24"/>
          <w:highlight w:val="none"/>
        </w:rPr>
        <w:t>（根据招标公告落实政府采购政策需满足的资格要求选择提供相应的材料；未要求的，无需提供）</w:t>
      </w:r>
    </w:p>
    <w:p w14:paraId="2A580B1C">
      <w:pPr>
        <w:snapToGrid w:val="0"/>
        <w:spacing w:before="50" w:after="50" w:line="360" w:lineRule="auto"/>
        <w:ind w:firstLine="472" w:firstLineChars="196"/>
        <w:jc w:val="left"/>
        <w:rPr>
          <w:rFonts w:ascii="宋体" w:hAnsi="宋体" w:cs="宋体"/>
          <w:color w:val="auto"/>
          <w:sz w:val="24"/>
          <w:highlight w:val="none"/>
        </w:rPr>
      </w:pPr>
      <w:r>
        <w:rPr>
          <w:rFonts w:hint="eastAsia" w:ascii="宋体" w:hAnsi="宋体" w:cs="宋体"/>
          <w:b/>
          <w:color w:val="auto"/>
          <w:sz w:val="24"/>
          <w:highlight w:val="none"/>
        </w:rPr>
        <w:t>A</w:t>
      </w:r>
      <w:r>
        <w:rPr>
          <w:rFonts w:hint="eastAsia" w:ascii="宋体" w:hAnsi="宋体" w:cs="宋体"/>
          <w:color w:val="auto"/>
          <w:sz w:val="24"/>
          <w:highlight w:val="none"/>
        </w:rPr>
        <w:t>.专门面向中小企业，服务全部由符合政策要求的中小企业（或小微企业）承接的，提供相应的中小企业声明函（附件</w:t>
      </w:r>
      <w:r>
        <w:rPr>
          <w:rFonts w:hint="eastAsia" w:ascii="宋体" w:hAnsi="宋体" w:cs="宋体"/>
          <w:color w:val="auto"/>
          <w:sz w:val="24"/>
          <w:highlight w:val="none"/>
          <w:lang w:val="en-US" w:eastAsia="zh-CN"/>
        </w:rPr>
        <w:t>5</w:t>
      </w:r>
      <w:r>
        <w:rPr>
          <w:rFonts w:hint="eastAsia" w:ascii="宋体" w:hAnsi="宋体" w:cs="宋体"/>
          <w:color w:val="auto"/>
          <w:sz w:val="24"/>
          <w:highlight w:val="none"/>
        </w:rPr>
        <w:t xml:space="preserve">）。 </w:t>
      </w:r>
    </w:p>
    <w:p w14:paraId="37543818">
      <w:pPr>
        <w:widowControl/>
        <w:spacing w:line="360" w:lineRule="auto"/>
        <w:ind w:firstLine="480"/>
        <w:jc w:val="left"/>
        <w:rPr>
          <w:rFonts w:ascii="宋体" w:hAnsi="宋体" w:cs="宋体"/>
          <w:color w:val="auto"/>
          <w:sz w:val="24"/>
          <w:highlight w:val="none"/>
        </w:rPr>
      </w:pPr>
    </w:p>
    <w:p w14:paraId="738DCB93">
      <w:pPr>
        <w:widowControl/>
        <w:spacing w:line="360" w:lineRule="auto"/>
        <w:ind w:firstLine="472" w:firstLineChars="196"/>
        <w:jc w:val="left"/>
        <w:rPr>
          <w:rFonts w:ascii="宋体" w:hAnsi="宋体" w:cs="宋体"/>
          <w:color w:val="auto"/>
          <w:sz w:val="24"/>
          <w:highlight w:val="none"/>
        </w:rPr>
      </w:pPr>
      <w:r>
        <w:rPr>
          <w:rFonts w:hint="eastAsia" w:ascii="宋体" w:hAnsi="宋体" w:cs="宋体"/>
          <w:b/>
          <w:color w:val="auto"/>
          <w:sz w:val="24"/>
          <w:highlight w:val="none"/>
        </w:rPr>
        <w:t>B.</w:t>
      </w:r>
      <w:r>
        <w:rPr>
          <w:rFonts w:hint="eastAsia" w:ascii="宋体" w:hAnsi="宋体" w:cs="宋体"/>
          <w:color w:val="auto"/>
          <w:sz w:val="24"/>
          <w:highlight w:val="none"/>
        </w:rPr>
        <w:t>要求以联合体形式参加的，提供联合协议（附件</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）和中小企业声明函（附件</w:t>
      </w:r>
      <w:r>
        <w:rPr>
          <w:rFonts w:hint="eastAsia" w:ascii="宋体" w:hAnsi="宋体" w:cs="宋体"/>
          <w:color w:val="auto"/>
          <w:sz w:val="24"/>
          <w:highlight w:val="none"/>
          <w:lang w:val="en-US" w:eastAsia="zh-CN"/>
        </w:rPr>
        <w:t>5</w:t>
      </w:r>
      <w:r>
        <w:rPr>
          <w:rFonts w:hint="eastAsia" w:ascii="宋体" w:hAnsi="宋体" w:cs="宋体"/>
          <w:color w:val="auto"/>
          <w:sz w:val="24"/>
          <w:highlight w:val="none"/>
        </w:rPr>
        <w:t>），联合协议中中小企业合同金额应当达到招标公告载明的比例；如果供应商本身提供所有标的均由中小企业</w:t>
      </w:r>
      <w:r>
        <w:rPr>
          <w:rFonts w:hint="eastAsia" w:ascii="宋体" w:hAnsi="宋体" w:cs="宋体"/>
          <w:color w:val="auto"/>
          <w:sz w:val="24"/>
          <w:highlight w:val="none"/>
          <w:lang w:val="en-US" w:eastAsia="zh-CN"/>
        </w:rPr>
        <w:t>承接</w:t>
      </w:r>
      <w:r>
        <w:rPr>
          <w:rFonts w:hint="eastAsia" w:ascii="宋体" w:hAnsi="宋体" w:cs="宋体"/>
          <w:color w:val="auto"/>
          <w:sz w:val="24"/>
          <w:highlight w:val="none"/>
        </w:rPr>
        <w:t>的，</w:t>
      </w:r>
      <w:r>
        <w:rPr>
          <w:rFonts w:hint="eastAsia" w:ascii="宋体" w:hAnsi="宋体" w:cs="宋体"/>
          <w:color w:val="auto"/>
          <w:spacing w:val="8"/>
          <w:kern w:val="0"/>
          <w:sz w:val="24"/>
          <w:highlight w:val="none"/>
        </w:rPr>
        <w:t>并相应达到了前述比例要求，</w:t>
      </w:r>
      <w:r>
        <w:rPr>
          <w:rFonts w:hint="eastAsia" w:ascii="宋体" w:hAnsi="宋体" w:cs="宋体"/>
          <w:color w:val="auto"/>
          <w:sz w:val="24"/>
          <w:highlight w:val="none"/>
        </w:rPr>
        <w:t>视同符合了资格条件，无需再与其他中小企业组成联合体参加政府采购活动，无需提供联合协议。</w:t>
      </w:r>
    </w:p>
    <w:p w14:paraId="3A6924B6">
      <w:pPr>
        <w:snapToGrid w:val="0"/>
        <w:spacing w:before="50" w:after="50" w:line="360" w:lineRule="auto"/>
        <w:jc w:val="center"/>
        <w:rPr>
          <w:rFonts w:ascii="宋体" w:hAnsi="宋体" w:cs="宋体"/>
          <w:color w:val="auto"/>
          <w:sz w:val="24"/>
          <w:highlight w:val="none"/>
        </w:rPr>
      </w:pPr>
      <w:r>
        <w:rPr>
          <w:rFonts w:hint="eastAsia" w:ascii="宋体" w:hAnsi="宋体" w:cs="宋体"/>
          <w:b/>
          <w:color w:val="auto"/>
          <w:sz w:val="24"/>
          <w:highlight w:val="none"/>
        </w:rPr>
        <w:t xml:space="preserve">    </w:t>
      </w:r>
    </w:p>
    <w:p w14:paraId="0146DD63">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C、</w:t>
      </w:r>
      <w:r>
        <w:rPr>
          <w:rFonts w:hint="eastAsia" w:ascii="宋体" w:hAnsi="宋体" w:cs="宋体"/>
          <w:color w:val="auto"/>
          <w:sz w:val="24"/>
          <w:highlight w:val="none"/>
        </w:rPr>
        <w:t>要求合同分包的，提供分包意向协议（附件</w:t>
      </w:r>
      <w:r>
        <w:rPr>
          <w:rFonts w:hint="eastAsia" w:ascii="宋体" w:hAnsi="宋体" w:cs="宋体"/>
          <w:color w:val="auto"/>
          <w:sz w:val="24"/>
          <w:highlight w:val="none"/>
          <w:lang w:val="en-US" w:eastAsia="zh-CN"/>
        </w:rPr>
        <w:t>4</w:t>
      </w:r>
      <w:r>
        <w:rPr>
          <w:rFonts w:hint="eastAsia" w:ascii="宋体" w:hAnsi="宋体" w:cs="宋体"/>
          <w:color w:val="auto"/>
          <w:sz w:val="24"/>
          <w:highlight w:val="none"/>
        </w:rPr>
        <w:t>）和中小企业声明函（附件</w:t>
      </w:r>
      <w:r>
        <w:rPr>
          <w:rFonts w:hint="eastAsia" w:ascii="宋体" w:hAnsi="宋体" w:cs="宋体"/>
          <w:color w:val="auto"/>
          <w:sz w:val="24"/>
          <w:highlight w:val="none"/>
          <w:lang w:val="en-US" w:eastAsia="zh-CN"/>
        </w:rPr>
        <w:t>5</w:t>
      </w:r>
      <w:r>
        <w:rPr>
          <w:rFonts w:hint="eastAsia" w:ascii="宋体" w:hAnsi="宋体" w:cs="宋体"/>
          <w:color w:val="auto"/>
          <w:sz w:val="24"/>
          <w:highlight w:val="none"/>
        </w:rPr>
        <w:t>），分包意向协议中中小企业合同金额应当达到招标公告载明的比例；如果供应商本身提供所有标的均由中小企业</w:t>
      </w:r>
      <w:r>
        <w:rPr>
          <w:rFonts w:hint="eastAsia" w:ascii="宋体" w:hAnsi="宋体" w:cs="宋体"/>
          <w:color w:val="auto"/>
          <w:sz w:val="24"/>
          <w:highlight w:val="none"/>
          <w:lang w:val="en-US" w:eastAsia="zh-CN"/>
        </w:rPr>
        <w:t>承接</w:t>
      </w:r>
      <w:r>
        <w:rPr>
          <w:rFonts w:hint="eastAsia" w:ascii="宋体" w:hAnsi="宋体" w:cs="宋体"/>
          <w:color w:val="auto"/>
          <w:sz w:val="24"/>
          <w:highlight w:val="none"/>
        </w:rPr>
        <w:t>的，</w:t>
      </w:r>
      <w:r>
        <w:rPr>
          <w:rFonts w:hint="eastAsia" w:ascii="宋体" w:hAnsi="宋体" w:cs="宋体"/>
          <w:color w:val="auto"/>
          <w:spacing w:val="8"/>
          <w:kern w:val="0"/>
          <w:sz w:val="24"/>
          <w:highlight w:val="none"/>
        </w:rPr>
        <w:t>并相应达到了前述比例要求，</w:t>
      </w:r>
      <w:r>
        <w:rPr>
          <w:rFonts w:hint="eastAsia" w:ascii="宋体" w:hAnsi="宋体" w:cs="宋体"/>
          <w:color w:val="auto"/>
          <w:sz w:val="24"/>
          <w:highlight w:val="none"/>
        </w:rPr>
        <w:t>视同符合了资格条件，无需再向中小企业分包，无需提供分包意向协议。</w:t>
      </w:r>
    </w:p>
    <w:p w14:paraId="432449B7">
      <w:pPr>
        <w:widowControl/>
        <w:spacing w:line="360" w:lineRule="auto"/>
        <w:ind w:left="150"/>
        <w:jc w:val="center"/>
        <w:rPr>
          <w:rFonts w:ascii="宋体" w:hAnsi="宋体" w:cs="宋体"/>
          <w:b/>
          <w:color w:val="auto"/>
          <w:kern w:val="0"/>
          <w:sz w:val="32"/>
          <w:szCs w:val="32"/>
          <w:highlight w:val="none"/>
        </w:rPr>
      </w:pPr>
    </w:p>
    <w:p w14:paraId="036DECCD">
      <w:pPr>
        <w:widowControl/>
        <w:spacing w:line="360" w:lineRule="auto"/>
        <w:ind w:left="15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四、本项目的特定资格要求</w:t>
      </w:r>
    </w:p>
    <w:p w14:paraId="0600C27F">
      <w:pPr>
        <w:spacing w:line="360" w:lineRule="auto"/>
        <w:jc w:val="center"/>
        <w:rPr>
          <w:rFonts w:hint="eastAsia" w:ascii="宋体" w:hAnsi="宋体" w:cs="宋体"/>
          <w:color w:val="auto"/>
          <w:sz w:val="24"/>
          <w:highlight w:val="none"/>
        </w:rPr>
        <w:sectPr>
          <w:headerReference r:id="rId12" w:type="default"/>
          <w:footerReference r:id="rId13" w:type="default"/>
          <w:pgSz w:w="11906" w:h="16838"/>
          <w:pgMar w:top="1417" w:right="1417" w:bottom="1417" w:left="1417" w:header="850" w:footer="992" w:gutter="0"/>
          <w:cols w:space="0" w:num="1"/>
          <w:titlePg/>
          <w:rtlGutter w:val="0"/>
          <w:docGrid w:linePitch="312" w:charSpace="0"/>
        </w:sectPr>
      </w:pPr>
      <w:r>
        <w:rPr>
          <w:rFonts w:hint="eastAsia" w:ascii="宋体" w:hAnsi="宋体" w:cs="宋体"/>
          <w:color w:val="auto"/>
          <w:sz w:val="24"/>
          <w:highlight w:val="none"/>
        </w:rPr>
        <w:t>（根据招标公告本项目的特定资格要求提供相应的材料；未要求的，无需提供）</w:t>
      </w:r>
    </w:p>
    <w:bookmarkEnd w:id="50"/>
    <w:bookmarkEnd w:id="51"/>
    <w:p w14:paraId="5210756B">
      <w:pPr>
        <w:snapToGrid w:val="0"/>
        <w:spacing w:line="360" w:lineRule="auto"/>
        <w:ind w:firstLine="708" w:firstLineChars="196"/>
        <w:jc w:val="center"/>
        <w:rPr>
          <w:rFonts w:hint="default" w:ascii="宋体" w:hAnsi="宋体" w:cs="宋体"/>
          <w:b/>
          <w:bCs/>
          <w:color w:val="auto"/>
          <w:kern w:val="0"/>
          <w:sz w:val="36"/>
          <w:szCs w:val="36"/>
          <w:highlight w:val="none"/>
        </w:rPr>
      </w:pPr>
      <w:bookmarkStart w:id="53" w:name="_Toc24661"/>
      <w:bookmarkStart w:id="54" w:name="_Toc10672"/>
      <w:r>
        <w:rPr>
          <w:rFonts w:ascii="宋体" w:hAnsi="宋体" w:cs="宋体"/>
          <w:b/>
          <w:bCs/>
          <w:color w:val="auto"/>
          <w:kern w:val="0"/>
          <w:sz w:val="36"/>
          <w:szCs w:val="36"/>
          <w:highlight w:val="none"/>
        </w:rPr>
        <w:t>商务技术文件</w:t>
      </w:r>
    </w:p>
    <w:bookmarkEnd w:id="52"/>
    <w:bookmarkEnd w:id="53"/>
    <w:bookmarkEnd w:id="54"/>
    <w:p w14:paraId="306CC04B">
      <w:pPr>
        <w:snapToGrid w:val="0"/>
        <w:spacing w:line="360" w:lineRule="auto"/>
        <w:ind w:firstLine="3855" w:firstLineChars="1200"/>
        <w:outlineLvl w:val="0"/>
        <w:rPr>
          <w:rFonts w:ascii="宋体" w:hAnsi="宋体" w:cs="宋体"/>
          <w:b/>
          <w:color w:val="auto"/>
          <w:sz w:val="32"/>
          <w:szCs w:val="32"/>
          <w:highlight w:val="none"/>
        </w:rPr>
      </w:pPr>
      <w:r>
        <w:rPr>
          <w:rFonts w:hint="eastAsia" w:ascii="宋体" w:hAnsi="宋体" w:cs="宋体"/>
          <w:b/>
          <w:color w:val="auto"/>
          <w:kern w:val="0"/>
          <w:sz w:val="32"/>
          <w:szCs w:val="32"/>
          <w:highlight w:val="none"/>
        </w:rPr>
        <w:t>一、投标</w:t>
      </w:r>
      <w:r>
        <w:rPr>
          <w:rFonts w:hint="eastAsia" w:ascii="宋体" w:hAnsi="宋体" w:cs="宋体"/>
          <w:b/>
          <w:color w:val="auto"/>
          <w:sz w:val="32"/>
          <w:szCs w:val="32"/>
          <w:highlight w:val="none"/>
        </w:rPr>
        <w:t>函</w:t>
      </w:r>
    </w:p>
    <w:p w14:paraId="37D0B70A">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（采购人）、（采购代理机构）：</w:t>
      </w:r>
    </w:p>
    <w:p w14:paraId="41FECB99">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我方参加你方组织的（项目名称）【</w:t>
      </w:r>
      <w:r>
        <w:rPr>
          <w:rFonts w:hint="eastAsia" w:ascii="宋体" w:hAnsi="宋体" w:eastAsia="宋体" w:cs="宋体"/>
          <w:color w:val="auto"/>
          <w:sz w:val="24"/>
          <w:highlight w:val="none"/>
        </w:rPr>
        <w:t>项目编号</w:t>
      </w:r>
      <w:r>
        <w:rPr>
          <w:rFonts w:hint="eastAsia" w:ascii="宋体" w:hAnsi="宋体" w:eastAsia="宋体" w:cs="宋体"/>
          <w:color w:val="auto"/>
          <w:sz w:val="24"/>
          <w:highlight w:val="none"/>
          <w:lang w:eastAsia="zh-CN"/>
        </w:rPr>
        <w:t>：</w:t>
      </w:r>
      <w:r>
        <w:rPr>
          <w:rFonts w:hint="eastAsia" w:ascii="宋体" w:hAnsi="宋体" w:eastAsia="宋体" w:cs="宋体"/>
          <w:color w:val="auto"/>
          <w:highlight w:val="none"/>
          <w:lang w:val="en-US" w:eastAsia="zh-CN"/>
        </w:rPr>
        <w:t xml:space="preserve">      </w:t>
      </w:r>
      <w:r>
        <w:rPr>
          <w:rFonts w:hint="eastAsia" w:ascii="宋体" w:hAnsi="宋体" w:cs="宋体"/>
          <w:color w:val="auto"/>
          <w:sz w:val="24"/>
          <w:highlight w:val="none"/>
        </w:rPr>
        <w:t>】招标的有关活动，并对此项目进行投标。为此：</w:t>
      </w:r>
    </w:p>
    <w:p w14:paraId="2D24136F">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1、我方承诺投标有效期从提交投标文件的截止之日起</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天（不少于90天）</w:t>
      </w:r>
      <w:r>
        <w:rPr>
          <w:rFonts w:hint="eastAsia" w:ascii="宋体" w:hAnsi="宋体" w:cs="宋体"/>
          <w:color w:val="auto"/>
          <w:highlight w:val="none"/>
        </w:rPr>
        <w:t>，</w:t>
      </w:r>
      <w:r>
        <w:rPr>
          <w:rFonts w:hint="eastAsia" w:ascii="宋体" w:hAnsi="宋体" w:cs="宋体"/>
          <w:color w:val="auto"/>
          <w:sz w:val="24"/>
          <w:highlight w:val="none"/>
        </w:rPr>
        <w:t>本投标文件在投标有效期满之前均具有约束力。</w:t>
      </w:r>
    </w:p>
    <w:p w14:paraId="32EE68F1">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2、我方的投标文件包括以下内容：</w:t>
      </w:r>
    </w:p>
    <w:p w14:paraId="0D32C587">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2.1资格文件：</w:t>
      </w:r>
    </w:p>
    <w:p w14:paraId="3BCA4375">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2.1.1承诺函；</w:t>
      </w:r>
    </w:p>
    <w:p w14:paraId="673A0E4A">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2.1.2</w:t>
      </w:r>
      <w:r>
        <w:rPr>
          <w:rFonts w:hint="eastAsia" w:ascii="宋体" w:hAnsi="宋体" w:cs="宋体"/>
          <w:snapToGrid w:val="0"/>
          <w:color w:val="auto"/>
          <w:kern w:val="28"/>
          <w:sz w:val="24"/>
          <w:szCs w:val="20"/>
          <w:highlight w:val="none"/>
        </w:rPr>
        <w:t>联合协议（如果有)；</w:t>
      </w:r>
    </w:p>
    <w:p w14:paraId="1A24B4F5">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ascii="宋体" w:hAnsi="宋体" w:cs="宋体"/>
          <w:color w:val="auto"/>
          <w:sz w:val="24"/>
          <w:highlight w:val="none"/>
        </w:rPr>
        <w:t>.1.3</w:t>
      </w:r>
      <w:r>
        <w:rPr>
          <w:rFonts w:hint="eastAsia" w:ascii="宋体" w:hAnsi="宋体" w:cs="宋体"/>
          <w:color w:val="auto"/>
          <w:sz w:val="24"/>
          <w:highlight w:val="none"/>
        </w:rPr>
        <w:t>落实政府采购政策需满足的资格要求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7F755A10">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w:t>
      </w:r>
      <w:r>
        <w:rPr>
          <w:rFonts w:ascii="宋体" w:hAnsi="宋体" w:cs="宋体"/>
          <w:color w:val="auto"/>
          <w:sz w:val="24"/>
          <w:highlight w:val="none"/>
        </w:rPr>
        <w:t>4</w:t>
      </w:r>
      <w:r>
        <w:rPr>
          <w:rFonts w:hint="eastAsia" w:ascii="宋体" w:hAnsi="宋体" w:cs="宋体"/>
          <w:color w:val="auto"/>
          <w:sz w:val="24"/>
          <w:highlight w:val="none"/>
        </w:rPr>
        <w:t>本项目的特定资格要求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786093C4">
      <w:pPr>
        <w:snapToGrid w:val="0"/>
        <w:spacing w:line="360" w:lineRule="auto"/>
        <w:ind w:left="210" w:leftChars="100" w:firstLine="480" w:firstLineChars="200"/>
        <w:rPr>
          <w:rFonts w:ascii="宋体" w:hAnsi="宋体" w:cs="宋体"/>
          <w:color w:val="auto"/>
          <w:sz w:val="24"/>
          <w:highlight w:val="none"/>
          <w:lang w:val="zh-CN"/>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2</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商务技术</w:t>
      </w:r>
      <w:r>
        <w:rPr>
          <w:rFonts w:hint="eastAsia" w:ascii="宋体" w:hAnsi="宋体" w:cs="宋体"/>
          <w:color w:val="auto"/>
          <w:sz w:val="24"/>
          <w:highlight w:val="none"/>
          <w:lang w:val="zh-CN"/>
        </w:rPr>
        <w:t>文件：</w:t>
      </w:r>
    </w:p>
    <w:p w14:paraId="7230DC5A">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2.2.1投标函；</w:t>
      </w:r>
      <w:r>
        <w:rPr>
          <w:rFonts w:hint="eastAsia" w:ascii="宋体" w:hAnsi="宋体" w:cs="宋体"/>
          <w:color w:val="auto"/>
          <w:sz w:val="24"/>
          <w:highlight w:val="none"/>
          <w:lang w:val="zh-CN"/>
        </w:rPr>
        <w:t xml:space="preserve"> </w:t>
      </w:r>
    </w:p>
    <w:p w14:paraId="6FE9DE5E">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2.2.2授权委托书或法定代表人（单位负责人）身份证明；</w:t>
      </w:r>
    </w:p>
    <w:p w14:paraId="2A8F6E98">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5C1FB116">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4</w:t>
      </w:r>
      <w:r>
        <w:rPr>
          <w:rFonts w:hint="eastAsia" w:ascii="宋体" w:hAnsi="宋体" w:cs="宋体"/>
          <w:color w:val="auto"/>
          <w:sz w:val="24"/>
          <w:highlight w:val="none"/>
        </w:rPr>
        <w:t>符合性审查资料；</w:t>
      </w:r>
    </w:p>
    <w:p w14:paraId="717B9AE5">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p>
    <w:p w14:paraId="165FFFE3">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6</w:t>
      </w:r>
      <w:r>
        <w:rPr>
          <w:rFonts w:hint="eastAsia" w:ascii="宋体" w:hAnsi="宋体" w:cs="宋体"/>
          <w:color w:val="auto"/>
          <w:sz w:val="24"/>
          <w:highlight w:val="none"/>
        </w:rPr>
        <w:t>投标标的清单；</w:t>
      </w:r>
    </w:p>
    <w:p w14:paraId="333DAA07">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7</w:t>
      </w:r>
      <w:r>
        <w:rPr>
          <w:rFonts w:hint="eastAsia" w:ascii="宋体" w:hAnsi="宋体" w:cs="宋体"/>
          <w:color w:val="auto"/>
          <w:sz w:val="24"/>
          <w:highlight w:val="none"/>
        </w:rPr>
        <w:t>商务技术偏离表；</w:t>
      </w:r>
    </w:p>
    <w:p w14:paraId="7FFF0E38">
      <w:pPr>
        <w:snapToGrid w:val="0"/>
        <w:spacing w:line="360" w:lineRule="auto"/>
        <w:ind w:left="420" w:leftChars="200" w:firstLine="480" w:firstLineChars="200"/>
        <w:rPr>
          <w:rFonts w:ascii="宋体" w:hAnsi="宋体" w:cs="宋体"/>
          <w:color w:val="auto"/>
          <w:sz w:val="24"/>
          <w:highlight w:val="none"/>
          <w:lang w:val="zh-CN"/>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p>
    <w:p w14:paraId="0D0D32F9">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3报价文件</w:t>
      </w:r>
    </w:p>
    <w:p w14:paraId="36B66410">
      <w:pPr>
        <w:snapToGrid w:val="0"/>
        <w:spacing w:line="360" w:lineRule="auto"/>
        <w:ind w:left="420" w:leftChars="200" w:firstLine="480" w:firstLineChars="200"/>
        <w:rPr>
          <w:rFonts w:hint="eastAsia" w:ascii="宋体" w:hAnsi="宋体" w:cs="宋体"/>
          <w:color w:val="auto"/>
          <w:sz w:val="24"/>
          <w:highlight w:val="none"/>
        </w:rPr>
      </w:pPr>
      <w:r>
        <w:rPr>
          <w:rFonts w:hint="eastAsia" w:ascii="宋体" w:hAnsi="宋体" w:cs="宋体"/>
          <w:color w:val="auto"/>
          <w:sz w:val="24"/>
          <w:highlight w:val="none"/>
        </w:rPr>
        <w:t>2.3.1开标一览表（报价表）；</w:t>
      </w:r>
    </w:p>
    <w:p w14:paraId="0A4F5F28">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2.3.</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中小企业声明函（如果有）。</w:t>
      </w:r>
    </w:p>
    <w:p w14:paraId="6757A3AF">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3、我方承诺除商务技术偏离表列出的偏离外，我方响应招标文件的全部要求。对投标文件中材料的真实性、合法性负责</w:t>
      </w:r>
      <w:r>
        <w:rPr>
          <w:rFonts w:hint="eastAsia" w:ascii="宋体" w:hAnsi="宋体" w:cs="宋体"/>
          <w:color w:val="auto"/>
          <w:sz w:val="24"/>
          <w:highlight w:val="none"/>
          <w:lang w:eastAsia="zh-CN"/>
        </w:rPr>
        <w:t>，积极配合采购人、采购代理机构复核投标文件中的资料</w:t>
      </w:r>
      <w:r>
        <w:rPr>
          <w:rFonts w:hint="eastAsia" w:ascii="宋体" w:hAnsi="宋体" w:cs="宋体"/>
          <w:color w:val="auto"/>
          <w:sz w:val="24"/>
          <w:highlight w:val="none"/>
        </w:rPr>
        <w:t>。</w:t>
      </w:r>
    </w:p>
    <w:p w14:paraId="20EA2BB3">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4、如我方中标，我方承诺：</w:t>
      </w:r>
    </w:p>
    <w:p w14:paraId="036927D6">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4.1在收到中标通知书后，在中标通知书规定的期限内与你方签订合同； </w:t>
      </w:r>
    </w:p>
    <w:p w14:paraId="106B048F">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4.2在签订合同时不向你方提出附加条件； </w:t>
      </w:r>
    </w:p>
    <w:p w14:paraId="6D66A330">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4.3按照招标文件要求提交履约保证金； </w:t>
      </w:r>
    </w:p>
    <w:p w14:paraId="6621774D">
      <w:pPr>
        <w:snapToGrid w:val="0"/>
        <w:spacing w:line="360" w:lineRule="auto"/>
        <w:ind w:firstLine="720" w:firstLineChars="3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4.4在合同约定的期限内完成合同规定的全部义务。 </w:t>
      </w:r>
    </w:p>
    <w:p w14:paraId="0A24CEFB">
      <w:pPr>
        <w:snapToGrid w:val="0"/>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对通过政采云平台开展的质疑、投诉等活动，我方承诺并接受平台以电子送达的方式送达相关文书。我方认可电子送达与邮寄送达具有同等法律效力，以文书到达政采云平台日期为送达日期，本公司保证政采云平台账号真实有效。</w:t>
      </w:r>
    </w:p>
    <w:p w14:paraId="2A09D8BC">
      <w:pPr>
        <w:pStyle w:val="50"/>
        <w:rPr>
          <w:rFonts w:hint="eastAsia" w:eastAsia="华文楷体"/>
          <w:color w:val="auto"/>
          <w:highlight w:val="none"/>
          <w:lang w:val="en-US" w:eastAsia="zh-CN"/>
        </w:rPr>
      </w:pPr>
    </w:p>
    <w:p w14:paraId="2A53E77F">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5、其他补充说明:</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2D9A5309">
      <w:pPr>
        <w:spacing w:line="360" w:lineRule="auto"/>
        <w:ind w:firstLine="3600" w:firstLineChars="1500"/>
        <w:rPr>
          <w:rFonts w:ascii="宋体" w:hAnsi="宋体" w:cs="宋体"/>
          <w:color w:val="auto"/>
          <w:sz w:val="24"/>
          <w:highlight w:val="none"/>
        </w:rPr>
      </w:pPr>
      <w:r>
        <w:rPr>
          <w:rFonts w:hint="eastAsia" w:ascii="宋体" w:hAnsi="宋体" w:cs="宋体"/>
          <w:color w:val="auto"/>
          <w:sz w:val="24"/>
          <w:highlight w:val="none"/>
        </w:rPr>
        <w:t xml:space="preserve">投标人名称（电子签名）：                          </w:t>
      </w:r>
    </w:p>
    <w:p w14:paraId="081EC8C2">
      <w:pPr>
        <w:spacing w:line="360" w:lineRule="auto"/>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14:paraId="771CFF6D">
      <w:pPr>
        <w:snapToGrid w:val="0"/>
        <w:spacing w:line="360" w:lineRule="auto"/>
        <w:ind w:left="420" w:leftChars="200" w:firstLine="4200" w:firstLineChars="1750"/>
        <w:rPr>
          <w:rFonts w:ascii="宋体" w:hAnsi="宋体" w:cs="宋体"/>
          <w:color w:val="auto"/>
          <w:kern w:val="0"/>
          <w:sz w:val="24"/>
          <w:highlight w:val="none"/>
          <w:u w:val="single"/>
        </w:rPr>
      </w:pPr>
    </w:p>
    <w:p w14:paraId="4A97F022">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6539CB3D">
      <w:pPr>
        <w:snapToGrid w:val="0"/>
        <w:spacing w:line="360" w:lineRule="auto"/>
        <w:jc w:val="center"/>
        <w:rPr>
          <w:rFonts w:ascii="宋体" w:hAnsi="宋体" w:cs="宋体"/>
          <w:b/>
          <w:color w:val="auto"/>
          <w:kern w:val="0"/>
          <w:sz w:val="32"/>
          <w:szCs w:val="32"/>
          <w:highlight w:val="none"/>
        </w:rPr>
      </w:pPr>
    </w:p>
    <w:p w14:paraId="39ECD7F6">
      <w:pPr>
        <w:snapToGrid w:val="0"/>
        <w:spacing w:line="360" w:lineRule="auto"/>
        <w:rPr>
          <w:rFonts w:ascii="宋体" w:hAnsi="宋体" w:cs="宋体"/>
          <w:color w:val="auto"/>
          <w:sz w:val="24"/>
          <w:highlight w:val="none"/>
        </w:rPr>
      </w:pPr>
    </w:p>
    <w:p w14:paraId="11DE088D">
      <w:pPr>
        <w:jc w:val="center"/>
        <w:rPr>
          <w:rFonts w:ascii="宋体" w:hAnsi="宋体" w:cs="宋体"/>
          <w:b/>
          <w:color w:val="auto"/>
          <w:kern w:val="0"/>
          <w:sz w:val="32"/>
          <w:szCs w:val="32"/>
          <w:highlight w:val="none"/>
        </w:rPr>
      </w:pPr>
    </w:p>
    <w:p w14:paraId="5CA879C1">
      <w:pPr>
        <w:jc w:val="center"/>
        <w:rPr>
          <w:rFonts w:ascii="宋体" w:hAnsi="宋体" w:cs="宋体"/>
          <w:b/>
          <w:color w:val="auto"/>
          <w:kern w:val="0"/>
          <w:sz w:val="32"/>
          <w:szCs w:val="32"/>
          <w:highlight w:val="none"/>
        </w:rPr>
      </w:pPr>
    </w:p>
    <w:p w14:paraId="1E567B8D">
      <w:pPr>
        <w:jc w:val="center"/>
        <w:rPr>
          <w:rFonts w:ascii="宋体" w:hAnsi="宋体" w:cs="宋体"/>
          <w:b/>
          <w:color w:val="auto"/>
          <w:kern w:val="0"/>
          <w:sz w:val="32"/>
          <w:szCs w:val="32"/>
          <w:highlight w:val="none"/>
        </w:rPr>
      </w:pPr>
    </w:p>
    <w:p w14:paraId="7CB38B3F">
      <w:pPr>
        <w:jc w:val="center"/>
        <w:rPr>
          <w:rFonts w:ascii="宋体" w:hAnsi="宋体" w:cs="宋体"/>
          <w:b/>
          <w:color w:val="auto"/>
          <w:kern w:val="0"/>
          <w:sz w:val="32"/>
          <w:szCs w:val="32"/>
          <w:highlight w:val="none"/>
        </w:rPr>
      </w:pPr>
    </w:p>
    <w:p w14:paraId="767C66FA">
      <w:pPr>
        <w:jc w:val="center"/>
        <w:rPr>
          <w:rFonts w:ascii="宋体" w:hAnsi="宋体" w:cs="宋体"/>
          <w:b/>
          <w:color w:val="auto"/>
          <w:kern w:val="0"/>
          <w:sz w:val="32"/>
          <w:szCs w:val="32"/>
          <w:highlight w:val="none"/>
        </w:rPr>
      </w:pPr>
    </w:p>
    <w:p w14:paraId="14D695CF">
      <w:pPr>
        <w:jc w:val="center"/>
        <w:rPr>
          <w:rFonts w:ascii="宋体" w:hAnsi="宋体" w:cs="宋体"/>
          <w:b/>
          <w:color w:val="auto"/>
          <w:kern w:val="0"/>
          <w:sz w:val="32"/>
          <w:szCs w:val="32"/>
          <w:highlight w:val="none"/>
        </w:rPr>
      </w:pPr>
    </w:p>
    <w:p w14:paraId="0A7A3443">
      <w:pPr>
        <w:jc w:val="center"/>
        <w:rPr>
          <w:rFonts w:ascii="宋体" w:hAnsi="宋体" w:cs="宋体"/>
          <w:b/>
          <w:color w:val="auto"/>
          <w:kern w:val="0"/>
          <w:sz w:val="32"/>
          <w:szCs w:val="32"/>
          <w:highlight w:val="none"/>
        </w:rPr>
      </w:pPr>
    </w:p>
    <w:p w14:paraId="3ABF5C4E">
      <w:pPr>
        <w:jc w:val="center"/>
        <w:rPr>
          <w:rFonts w:ascii="宋体" w:hAnsi="宋体" w:cs="宋体"/>
          <w:b/>
          <w:color w:val="auto"/>
          <w:kern w:val="0"/>
          <w:sz w:val="32"/>
          <w:szCs w:val="32"/>
          <w:highlight w:val="none"/>
        </w:rPr>
      </w:pPr>
    </w:p>
    <w:p w14:paraId="41C90774">
      <w:pPr>
        <w:jc w:val="center"/>
        <w:rPr>
          <w:rFonts w:ascii="宋体" w:hAnsi="宋体" w:cs="宋体"/>
          <w:b/>
          <w:color w:val="auto"/>
          <w:kern w:val="0"/>
          <w:sz w:val="32"/>
          <w:szCs w:val="32"/>
          <w:highlight w:val="none"/>
        </w:rPr>
      </w:pPr>
    </w:p>
    <w:p w14:paraId="66556952">
      <w:pPr>
        <w:jc w:val="center"/>
        <w:rPr>
          <w:rFonts w:ascii="宋体" w:hAnsi="宋体" w:cs="宋体"/>
          <w:b/>
          <w:color w:val="auto"/>
          <w:kern w:val="0"/>
          <w:sz w:val="32"/>
          <w:szCs w:val="32"/>
          <w:highlight w:val="none"/>
        </w:rPr>
      </w:pPr>
    </w:p>
    <w:p w14:paraId="0E751E99">
      <w:pPr>
        <w:jc w:val="center"/>
        <w:rPr>
          <w:rFonts w:ascii="宋体" w:hAnsi="宋体" w:cs="宋体"/>
          <w:b/>
          <w:color w:val="auto"/>
          <w:kern w:val="0"/>
          <w:sz w:val="32"/>
          <w:szCs w:val="32"/>
          <w:highlight w:val="none"/>
        </w:rPr>
      </w:pPr>
    </w:p>
    <w:p w14:paraId="01C18B17">
      <w:pPr>
        <w:jc w:val="center"/>
        <w:rPr>
          <w:rFonts w:ascii="宋体" w:hAnsi="宋体" w:cs="宋体"/>
          <w:b/>
          <w:color w:val="auto"/>
          <w:kern w:val="0"/>
          <w:sz w:val="32"/>
          <w:szCs w:val="32"/>
          <w:highlight w:val="none"/>
        </w:rPr>
      </w:pPr>
    </w:p>
    <w:p w14:paraId="7AF4029C">
      <w:pPr>
        <w:jc w:val="center"/>
        <w:rPr>
          <w:rFonts w:ascii="宋体" w:hAnsi="宋体" w:cs="宋体"/>
          <w:b/>
          <w:color w:val="auto"/>
          <w:kern w:val="0"/>
          <w:sz w:val="32"/>
          <w:szCs w:val="32"/>
          <w:highlight w:val="none"/>
        </w:rPr>
      </w:pPr>
    </w:p>
    <w:p w14:paraId="5869FEBC">
      <w:pPr>
        <w:jc w:val="center"/>
        <w:rPr>
          <w:rFonts w:ascii="宋体" w:hAnsi="宋体" w:cs="宋体"/>
          <w:b/>
          <w:color w:val="auto"/>
          <w:kern w:val="0"/>
          <w:sz w:val="32"/>
          <w:szCs w:val="32"/>
          <w:highlight w:val="none"/>
        </w:rPr>
      </w:pPr>
    </w:p>
    <w:p w14:paraId="2D7DBEE2">
      <w:pPr>
        <w:jc w:val="center"/>
        <w:rPr>
          <w:rFonts w:ascii="宋体" w:hAnsi="宋体" w:cs="宋体"/>
          <w:b/>
          <w:color w:val="auto"/>
          <w:kern w:val="0"/>
          <w:sz w:val="32"/>
          <w:szCs w:val="32"/>
          <w:highlight w:val="none"/>
        </w:rPr>
      </w:pPr>
    </w:p>
    <w:p w14:paraId="6E688F15">
      <w:pPr>
        <w:jc w:val="center"/>
        <w:rPr>
          <w:rFonts w:ascii="宋体" w:hAnsi="宋体" w:cs="宋体"/>
          <w:b/>
          <w:color w:val="auto"/>
          <w:kern w:val="0"/>
          <w:sz w:val="32"/>
          <w:szCs w:val="32"/>
          <w:highlight w:val="none"/>
        </w:rPr>
      </w:pPr>
    </w:p>
    <w:p w14:paraId="7B5A9679">
      <w:pPr>
        <w:jc w:val="center"/>
        <w:rPr>
          <w:rFonts w:ascii="宋体" w:hAnsi="宋体" w:cs="宋体"/>
          <w:b/>
          <w:color w:val="auto"/>
          <w:kern w:val="0"/>
          <w:sz w:val="32"/>
          <w:szCs w:val="32"/>
          <w:highlight w:val="none"/>
        </w:rPr>
      </w:pPr>
    </w:p>
    <w:p w14:paraId="3B471322">
      <w:pPr>
        <w:jc w:val="center"/>
        <w:rPr>
          <w:rFonts w:ascii="宋体" w:hAnsi="宋体" w:cs="宋体"/>
          <w:b/>
          <w:color w:val="auto"/>
          <w:kern w:val="0"/>
          <w:sz w:val="32"/>
          <w:szCs w:val="32"/>
          <w:highlight w:val="none"/>
          <w:lang w:val="zh-CN"/>
        </w:rPr>
      </w:pPr>
      <w:r>
        <w:rPr>
          <w:rFonts w:hint="eastAsia" w:ascii="宋体" w:hAnsi="宋体" w:cs="宋体"/>
          <w:b/>
          <w:color w:val="auto"/>
          <w:kern w:val="0"/>
          <w:sz w:val="32"/>
          <w:szCs w:val="32"/>
          <w:highlight w:val="none"/>
          <w:lang w:val="zh-CN"/>
        </w:rPr>
        <w:t>二、授权委托书或法定代表人（单位负责人、自然人本人）身份证明</w:t>
      </w:r>
    </w:p>
    <w:p w14:paraId="79D0CE1A">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                                </w:t>
      </w:r>
    </w:p>
    <w:p w14:paraId="5347981E">
      <w:pPr>
        <w:snapToGrid w:val="0"/>
        <w:spacing w:line="360" w:lineRule="auto"/>
        <w:ind w:firstLine="2872" w:firstLineChars="894"/>
        <w:rPr>
          <w:rFonts w:ascii="宋体" w:hAnsi="宋体" w:cs="宋体"/>
          <w:color w:val="auto"/>
          <w:highlight w:val="none"/>
        </w:rPr>
      </w:pPr>
      <w:r>
        <w:rPr>
          <w:rFonts w:hint="eastAsia" w:ascii="宋体" w:hAnsi="宋体" w:cs="宋体"/>
          <w:b/>
          <w:color w:val="auto"/>
          <w:kern w:val="0"/>
          <w:sz w:val="32"/>
          <w:szCs w:val="32"/>
          <w:highlight w:val="none"/>
          <w:lang w:val="zh-CN"/>
        </w:rPr>
        <w:t>授权委托书（适用于非联合体投标）</w:t>
      </w:r>
      <w:r>
        <w:rPr>
          <w:rFonts w:hint="eastAsia" w:ascii="宋体" w:hAnsi="宋体" w:cs="宋体"/>
          <w:color w:val="auto"/>
          <w:highlight w:val="none"/>
        </w:rPr>
        <w:t xml:space="preserve">                               </w:t>
      </w:r>
    </w:p>
    <w:p w14:paraId="482AE44A">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rPr>
        <w:t>（采购人）、（采购代理机构）</w:t>
      </w:r>
      <w:r>
        <w:rPr>
          <w:rFonts w:hint="eastAsia" w:ascii="宋体" w:hAnsi="宋体" w:cs="宋体"/>
          <w:color w:val="auto"/>
          <w:kern w:val="0"/>
          <w:sz w:val="24"/>
          <w:highlight w:val="none"/>
          <w:lang w:val="zh-CN"/>
        </w:rPr>
        <w:t>：</w:t>
      </w:r>
    </w:p>
    <w:p w14:paraId="49A27DA9">
      <w:pPr>
        <w:snapToGrid w:val="0"/>
        <w:spacing w:line="360" w:lineRule="auto"/>
        <w:ind w:firstLine="576"/>
        <w:rPr>
          <w:rFonts w:ascii="宋体" w:hAnsi="宋体" w:cs="宋体"/>
          <w:color w:val="auto"/>
          <w:kern w:val="0"/>
          <w:sz w:val="24"/>
          <w:highlight w:val="none"/>
        </w:rPr>
      </w:pPr>
      <w:r>
        <w:rPr>
          <w:rFonts w:hint="eastAsia" w:ascii="宋体" w:hAnsi="宋体" w:cs="宋体"/>
          <w:color w:val="auto"/>
          <w:kern w:val="0"/>
          <w:sz w:val="24"/>
          <w:highlight w:val="none"/>
        </w:rPr>
        <w:t>现</w:t>
      </w:r>
      <w:r>
        <w:rPr>
          <w:rFonts w:hint="eastAsia" w:ascii="宋体" w:hAnsi="宋体" w:cs="宋体"/>
          <w:color w:val="auto"/>
          <w:kern w:val="0"/>
          <w:sz w:val="24"/>
          <w:highlight w:val="none"/>
          <w:lang w:val="zh-CN"/>
        </w:rPr>
        <w:t>委托</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（姓名）为我方代理人（身份证号码：</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，手机：</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u w:val="none"/>
          <w:lang w:val="en-US" w:eastAsia="zh-CN"/>
        </w:rPr>
        <w:t>，所在单位：</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lang w:val="zh-CN"/>
        </w:rPr>
        <w:t>），以我方名义处理</w:t>
      </w:r>
      <w:r>
        <w:rPr>
          <w:rFonts w:hint="eastAsia" w:ascii="宋体" w:hAnsi="宋体" w:cs="宋体"/>
          <w:color w:val="auto"/>
          <w:sz w:val="24"/>
          <w:highlight w:val="none"/>
        </w:rPr>
        <w:t>（项目名称）【</w:t>
      </w:r>
      <w:r>
        <w:rPr>
          <w:rFonts w:ascii="宋体" w:hAnsi="宋体" w:eastAsia="宋体" w:cs="宋体"/>
          <w:color w:val="auto"/>
          <w:highlight w:val="none"/>
        </w:rPr>
        <w:t>项目编号</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政府采购投标的一切事项，其法律后果由我方承担。</w:t>
      </w:r>
    </w:p>
    <w:p w14:paraId="244E7F5A">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委托期限</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自</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日起至</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日止。</w:t>
      </w:r>
    </w:p>
    <w:p w14:paraId="1869662E">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特此告知。</w:t>
      </w:r>
    </w:p>
    <w:p w14:paraId="2EFCE58A">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lang w:val="zh-CN"/>
        </w:rPr>
        <w:t xml:space="preserve">                                                 投标人名称(电子签名)：</w:t>
      </w:r>
    </w:p>
    <w:p w14:paraId="46D777F4">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签发日期：  年  月   日</w:t>
      </w:r>
    </w:p>
    <w:p w14:paraId="70C36733">
      <w:pPr>
        <w:snapToGrid w:val="0"/>
        <w:spacing w:line="360" w:lineRule="auto"/>
        <w:rPr>
          <w:rFonts w:ascii="宋体" w:hAnsi="宋体" w:cs="宋体"/>
          <w:color w:val="auto"/>
          <w:sz w:val="24"/>
          <w:highlight w:val="none"/>
        </w:rPr>
      </w:pPr>
    </w:p>
    <w:p w14:paraId="059EA16D">
      <w:pPr>
        <w:snapToGrid w:val="0"/>
        <w:spacing w:line="360" w:lineRule="auto"/>
        <w:rPr>
          <w:rFonts w:ascii="宋体" w:hAnsi="宋体" w:cs="宋体"/>
          <w:color w:val="auto"/>
          <w:sz w:val="24"/>
          <w:highlight w:val="none"/>
        </w:rPr>
      </w:pPr>
    </w:p>
    <w:p w14:paraId="6C2B023B">
      <w:pPr>
        <w:snapToGrid w:val="0"/>
        <w:spacing w:line="360" w:lineRule="auto"/>
        <w:rPr>
          <w:rFonts w:ascii="宋体" w:hAnsi="宋体" w:cs="宋体"/>
          <w:color w:val="auto"/>
          <w:sz w:val="24"/>
          <w:highlight w:val="none"/>
        </w:rPr>
      </w:pPr>
    </w:p>
    <w:p w14:paraId="55FFF0D9">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lang w:val="zh-CN"/>
        </w:rPr>
        <w:t xml:space="preserve">      </w:t>
      </w:r>
      <w:r>
        <w:rPr>
          <w:rFonts w:hint="eastAsia" w:ascii="宋体" w:hAnsi="宋体" w:cs="宋体"/>
          <w:b/>
          <w:color w:val="auto"/>
          <w:kern w:val="0"/>
          <w:sz w:val="32"/>
          <w:szCs w:val="32"/>
          <w:highlight w:val="none"/>
        </w:rPr>
        <w:t xml:space="preserve"> </w:t>
      </w:r>
      <w:r>
        <w:rPr>
          <w:rFonts w:hint="eastAsia" w:ascii="宋体" w:hAnsi="宋体" w:cs="宋体"/>
          <w:b/>
          <w:color w:val="auto"/>
          <w:kern w:val="0"/>
          <w:sz w:val="32"/>
          <w:szCs w:val="32"/>
          <w:highlight w:val="none"/>
          <w:lang w:val="zh-CN"/>
        </w:rPr>
        <w:t>授权委托书（适用于联合体投标）</w:t>
      </w:r>
    </w:p>
    <w:p w14:paraId="09EAC374">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rPr>
        <w:t>（采购人）、（采购代理机构）</w:t>
      </w:r>
      <w:r>
        <w:rPr>
          <w:rFonts w:hint="eastAsia" w:ascii="宋体" w:hAnsi="宋体" w:cs="宋体"/>
          <w:color w:val="auto"/>
          <w:kern w:val="0"/>
          <w:sz w:val="24"/>
          <w:highlight w:val="none"/>
          <w:lang w:val="zh-CN"/>
        </w:rPr>
        <w:t>：</w:t>
      </w:r>
    </w:p>
    <w:p w14:paraId="76012651">
      <w:pPr>
        <w:snapToGrid w:val="0"/>
        <w:spacing w:line="360" w:lineRule="auto"/>
        <w:ind w:firstLine="576"/>
        <w:rPr>
          <w:rFonts w:ascii="宋体" w:hAnsi="宋体" w:cs="宋体"/>
          <w:color w:val="auto"/>
          <w:kern w:val="0"/>
          <w:sz w:val="24"/>
          <w:highlight w:val="none"/>
        </w:rPr>
      </w:pPr>
      <w:r>
        <w:rPr>
          <w:rFonts w:hint="eastAsia" w:ascii="宋体" w:hAnsi="宋体" w:cs="宋体"/>
          <w:color w:val="auto"/>
          <w:kern w:val="0"/>
          <w:sz w:val="24"/>
          <w:highlight w:val="none"/>
        </w:rPr>
        <w:t>现</w:t>
      </w:r>
      <w:r>
        <w:rPr>
          <w:rFonts w:hint="eastAsia" w:ascii="宋体" w:hAnsi="宋体" w:cs="宋体"/>
          <w:color w:val="auto"/>
          <w:kern w:val="0"/>
          <w:sz w:val="24"/>
          <w:highlight w:val="none"/>
          <w:lang w:val="zh-CN"/>
        </w:rPr>
        <w:t>委托</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（姓名）为我方代理人（身份证号码：</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，手机：</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u w:val="none"/>
          <w:lang w:val="en-US" w:eastAsia="zh-CN"/>
        </w:rPr>
        <w:t>，所在单位：</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lang w:val="zh-CN"/>
        </w:rPr>
        <w:t>），以我方名义处理</w:t>
      </w:r>
      <w:r>
        <w:rPr>
          <w:rFonts w:hint="eastAsia" w:ascii="宋体" w:hAnsi="宋体" w:cs="宋体"/>
          <w:color w:val="auto"/>
          <w:sz w:val="24"/>
          <w:highlight w:val="none"/>
        </w:rPr>
        <w:t>（项目名称）【</w:t>
      </w:r>
      <w:r>
        <w:rPr>
          <w:rFonts w:ascii="宋体" w:hAnsi="宋体" w:eastAsia="宋体" w:cs="宋体"/>
          <w:color w:val="auto"/>
          <w:highlight w:val="none"/>
        </w:rPr>
        <w:t>项目编号</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政府采购投标的一切事项，其法律后果由我方承担。</w:t>
      </w:r>
    </w:p>
    <w:p w14:paraId="611FD859">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委托期限</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自</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日起至</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日止。</w:t>
      </w:r>
    </w:p>
    <w:p w14:paraId="14F50CFB">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特此告知。</w:t>
      </w:r>
    </w:p>
    <w:p w14:paraId="3CD24BB9">
      <w:pPr>
        <w:jc w:val="center"/>
        <w:rPr>
          <w:rFonts w:ascii="宋体" w:hAnsi="宋体" w:cs="宋体"/>
          <w:b/>
          <w:color w:val="auto"/>
          <w:kern w:val="0"/>
          <w:sz w:val="32"/>
          <w:szCs w:val="32"/>
          <w:highlight w:val="none"/>
        </w:rPr>
      </w:pPr>
    </w:p>
    <w:p w14:paraId="40A4AE3A">
      <w:pPr>
        <w:rPr>
          <w:rFonts w:ascii="宋体" w:hAnsi="宋体" w:cs="宋体"/>
          <w:color w:val="auto"/>
          <w:highlight w:val="none"/>
        </w:rPr>
      </w:pPr>
    </w:p>
    <w:p w14:paraId="4D75A914">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245EBB90">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256C4F47">
      <w:pPr>
        <w:snapToGrid w:val="0"/>
        <w:spacing w:line="360" w:lineRule="auto"/>
        <w:ind w:firstLine="5760" w:firstLineChars="2400"/>
        <w:rPr>
          <w:rFonts w:ascii="宋体" w:hAnsi="宋体" w:cs="宋体"/>
          <w:color w:val="auto"/>
          <w:highlight w:val="none"/>
        </w:rPr>
      </w:pPr>
      <w:r>
        <w:rPr>
          <w:rFonts w:hint="eastAsia" w:ascii="宋体" w:hAnsi="宋体" w:cs="宋体"/>
          <w:color w:val="auto"/>
          <w:kern w:val="0"/>
          <w:sz w:val="24"/>
          <w:highlight w:val="none"/>
          <w:lang w:val="zh-CN"/>
        </w:rPr>
        <w:t>……</w:t>
      </w:r>
    </w:p>
    <w:p w14:paraId="4B60DAD1">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17C6ED9A">
      <w:pPr>
        <w:rPr>
          <w:rFonts w:hint="eastAsia" w:ascii="宋体" w:hAnsi="宋体" w:cs="宋体"/>
          <w:b/>
          <w:color w:val="auto"/>
          <w:kern w:val="0"/>
          <w:sz w:val="32"/>
          <w:szCs w:val="32"/>
          <w:highlight w:val="none"/>
          <w:lang w:val="zh-CN"/>
        </w:rPr>
      </w:pPr>
      <w:r>
        <w:rPr>
          <w:rFonts w:hint="eastAsia" w:ascii="宋体" w:hAnsi="宋体" w:cs="宋体"/>
          <w:b/>
          <w:color w:val="auto"/>
          <w:kern w:val="0"/>
          <w:sz w:val="32"/>
          <w:szCs w:val="32"/>
          <w:highlight w:val="none"/>
          <w:lang w:val="zh-CN"/>
        </w:rPr>
        <w:br w:type="page"/>
      </w:r>
    </w:p>
    <w:p w14:paraId="528722DF">
      <w:pPr>
        <w:autoSpaceDE w:val="0"/>
        <w:autoSpaceDN w:val="0"/>
        <w:spacing w:line="360" w:lineRule="auto"/>
        <w:jc w:val="center"/>
        <w:rPr>
          <w:rFonts w:ascii="宋体" w:hAnsi="宋体" w:cs="宋体"/>
          <w:b/>
          <w:color w:val="auto"/>
          <w:sz w:val="24"/>
          <w:highlight w:val="none"/>
        </w:rPr>
      </w:pPr>
      <w:r>
        <w:rPr>
          <w:rFonts w:hint="eastAsia" w:ascii="宋体" w:hAnsi="宋体" w:cs="宋体"/>
          <w:b/>
          <w:color w:val="auto"/>
          <w:kern w:val="0"/>
          <w:sz w:val="32"/>
          <w:szCs w:val="32"/>
          <w:highlight w:val="none"/>
          <w:lang w:val="zh-CN"/>
        </w:rPr>
        <w:t>法定代表人、单位负责人或自然人本人</w:t>
      </w:r>
      <w:r>
        <w:rPr>
          <w:rFonts w:hint="eastAsia" w:ascii="宋体" w:hAnsi="宋体" w:cs="宋体"/>
          <w:b/>
          <w:color w:val="auto"/>
          <w:sz w:val="30"/>
          <w:szCs w:val="30"/>
          <w:highlight w:val="none"/>
        </w:rPr>
        <w:t>的身份证明（适用于法定代表人、单位负责人或者自然人本人代表投标人参加投标）</w:t>
      </w:r>
    </w:p>
    <w:p w14:paraId="41209CF1">
      <w:pPr>
        <w:pStyle w:val="153"/>
        <w:spacing w:line="360" w:lineRule="auto"/>
        <w:rPr>
          <w:rFonts w:hAnsi="宋体" w:cs="宋体"/>
          <w:bCs/>
          <w:color w:val="auto"/>
          <w:sz w:val="24"/>
          <w:highlight w:val="none"/>
        </w:rPr>
      </w:pPr>
      <w:r>
        <w:rPr>
          <w:rFonts w:hint="eastAsia" w:hAnsi="宋体" w:cs="宋体"/>
          <w:bCs/>
          <w:color w:val="auto"/>
          <w:sz w:val="24"/>
          <w:highlight w:val="none"/>
        </w:rPr>
        <w:t>身份证件扫描件：</w:t>
      </w:r>
    </w:p>
    <w:tbl>
      <w:tblPr>
        <w:tblStyle w:val="41"/>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17636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7FA3D461">
            <w:pPr>
              <w:pStyle w:val="153"/>
              <w:adjustRightInd w:val="0"/>
              <w:spacing w:line="360" w:lineRule="auto"/>
              <w:rPr>
                <w:rFonts w:hAnsi="宋体" w:cs="宋体"/>
                <w:bCs/>
                <w:color w:val="auto"/>
                <w:sz w:val="24"/>
                <w:highlight w:val="none"/>
              </w:rPr>
            </w:pPr>
            <w:r>
              <w:rPr>
                <w:rFonts w:hint="eastAsia" w:hAnsi="宋体" w:cs="宋体"/>
                <w:bCs/>
                <w:color w:val="auto"/>
                <w:sz w:val="24"/>
                <w:highlight w:val="none"/>
              </w:rPr>
              <w:t>正面：                                 反面：</w:t>
            </w:r>
          </w:p>
          <w:p w14:paraId="7AE3E6D6">
            <w:pPr>
              <w:pStyle w:val="153"/>
              <w:adjustRightInd w:val="0"/>
              <w:spacing w:line="360" w:lineRule="auto"/>
              <w:rPr>
                <w:rFonts w:hAnsi="宋体" w:cs="宋体"/>
                <w:bCs/>
                <w:color w:val="auto"/>
                <w:sz w:val="24"/>
                <w:highlight w:val="none"/>
              </w:rPr>
            </w:pPr>
          </w:p>
        </w:tc>
      </w:tr>
    </w:tbl>
    <w:p w14:paraId="08ECE797">
      <w:pPr>
        <w:snapToGrid w:val="0"/>
        <w:spacing w:line="360" w:lineRule="auto"/>
        <w:ind w:firstLine="576"/>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14:paraId="5F472BCE">
      <w:pPr>
        <w:snapToGrid w:val="0"/>
        <w:spacing w:line="360" w:lineRule="auto"/>
        <w:ind w:firstLine="576"/>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投标人名称(电子签名)：                              </w:t>
      </w:r>
    </w:p>
    <w:p w14:paraId="5C3FDA4E">
      <w:pPr>
        <w:spacing w:line="360" w:lineRule="auto"/>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7CA8F963">
      <w:pPr>
        <w:jc w:val="center"/>
        <w:rPr>
          <w:rFonts w:ascii="宋体" w:hAnsi="宋体" w:cs="宋体"/>
          <w:b/>
          <w:color w:val="auto"/>
          <w:kern w:val="0"/>
          <w:sz w:val="32"/>
          <w:szCs w:val="32"/>
          <w:highlight w:val="none"/>
        </w:rPr>
      </w:pPr>
    </w:p>
    <w:p w14:paraId="6DF10A21">
      <w:pPr>
        <w:jc w:val="center"/>
        <w:rPr>
          <w:rFonts w:ascii="宋体" w:hAnsi="宋体" w:cs="宋体"/>
          <w:b/>
          <w:color w:val="auto"/>
          <w:kern w:val="0"/>
          <w:sz w:val="32"/>
          <w:szCs w:val="32"/>
          <w:highlight w:val="none"/>
        </w:rPr>
      </w:pPr>
    </w:p>
    <w:p w14:paraId="63881ACA">
      <w:pPr>
        <w:jc w:val="center"/>
        <w:rPr>
          <w:rFonts w:ascii="宋体" w:hAnsi="宋体" w:cs="宋体"/>
          <w:b/>
          <w:color w:val="auto"/>
          <w:kern w:val="0"/>
          <w:sz w:val="32"/>
          <w:szCs w:val="32"/>
          <w:highlight w:val="none"/>
        </w:rPr>
      </w:pPr>
    </w:p>
    <w:p w14:paraId="2A544316">
      <w:pPr>
        <w:jc w:val="center"/>
        <w:rPr>
          <w:rFonts w:ascii="宋体" w:hAnsi="宋体" w:cs="宋体"/>
          <w:b/>
          <w:color w:val="auto"/>
          <w:kern w:val="0"/>
          <w:sz w:val="32"/>
          <w:szCs w:val="32"/>
          <w:highlight w:val="none"/>
        </w:rPr>
      </w:pPr>
    </w:p>
    <w:p w14:paraId="28DC7382">
      <w:pPr>
        <w:jc w:val="center"/>
        <w:rPr>
          <w:rFonts w:ascii="宋体" w:hAnsi="宋体" w:cs="宋体"/>
          <w:b/>
          <w:color w:val="auto"/>
          <w:kern w:val="0"/>
          <w:sz w:val="32"/>
          <w:szCs w:val="32"/>
          <w:highlight w:val="none"/>
        </w:rPr>
      </w:pPr>
    </w:p>
    <w:p w14:paraId="3ABEDEFD">
      <w:pPr>
        <w:jc w:val="center"/>
        <w:rPr>
          <w:rFonts w:ascii="宋体" w:hAnsi="宋体" w:cs="宋体"/>
          <w:b/>
          <w:color w:val="auto"/>
          <w:kern w:val="0"/>
          <w:sz w:val="32"/>
          <w:szCs w:val="32"/>
          <w:highlight w:val="none"/>
        </w:rPr>
      </w:pPr>
    </w:p>
    <w:p w14:paraId="1294FAFA">
      <w:pPr>
        <w:jc w:val="center"/>
        <w:rPr>
          <w:rFonts w:ascii="宋体" w:hAnsi="宋体" w:cs="宋体"/>
          <w:b/>
          <w:color w:val="auto"/>
          <w:kern w:val="0"/>
          <w:sz w:val="32"/>
          <w:szCs w:val="32"/>
          <w:highlight w:val="none"/>
        </w:rPr>
      </w:pPr>
    </w:p>
    <w:p w14:paraId="7B5A73F4">
      <w:pPr>
        <w:jc w:val="center"/>
        <w:rPr>
          <w:rFonts w:ascii="宋体" w:hAnsi="宋体" w:cs="宋体"/>
          <w:b/>
          <w:color w:val="auto"/>
          <w:kern w:val="0"/>
          <w:sz w:val="32"/>
          <w:szCs w:val="32"/>
          <w:highlight w:val="none"/>
        </w:rPr>
      </w:pPr>
    </w:p>
    <w:p w14:paraId="2F331764">
      <w:pPr>
        <w:jc w:val="center"/>
        <w:rPr>
          <w:rFonts w:ascii="宋体" w:hAnsi="宋体" w:cs="宋体"/>
          <w:b/>
          <w:color w:val="auto"/>
          <w:kern w:val="0"/>
          <w:sz w:val="32"/>
          <w:szCs w:val="32"/>
          <w:highlight w:val="none"/>
        </w:rPr>
      </w:pPr>
    </w:p>
    <w:p w14:paraId="7BAC1D60">
      <w:pPr>
        <w:jc w:val="center"/>
        <w:rPr>
          <w:rFonts w:ascii="宋体" w:hAnsi="宋体" w:cs="宋体"/>
          <w:b/>
          <w:color w:val="auto"/>
          <w:kern w:val="0"/>
          <w:sz w:val="32"/>
          <w:szCs w:val="32"/>
          <w:highlight w:val="none"/>
        </w:rPr>
      </w:pPr>
    </w:p>
    <w:p w14:paraId="2D523FA2">
      <w:pPr>
        <w:snapToGrid w:val="0"/>
        <w:spacing w:line="360" w:lineRule="auto"/>
        <w:ind w:right="480"/>
        <w:rPr>
          <w:rFonts w:ascii="宋体" w:hAnsi="宋体" w:cs="宋体"/>
          <w:b/>
          <w:color w:val="auto"/>
          <w:kern w:val="0"/>
          <w:sz w:val="32"/>
          <w:szCs w:val="32"/>
          <w:highlight w:val="none"/>
        </w:rPr>
        <w:sectPr>
          <w:headerReference r:id="rId15" w:type="first"/>
          <w:footerReference r:id="rId17" w:type="first"/>
          <w:headerReference r:id="rId14" w:type="default"/>
          <w:footerReference r:id="rId16" w:type="default"/>
          <w:pgSz w:w="11906" w:h="16838"/>
          <w:pgMar w:top="1276" w:right="1418" w:bottom="1247" w:left="1418" w:header="851" w:footer="992" w:gutter="0"/>
          <w:cols w:space="720" w:num="1"/>
          <w:titlePg/>
          <w:docGrid w:linePitch="312" w:charSpace="0"/>
        </w:sectPr>
      </w:pPr>
    </w:p>
    <w:p w14:paraId="511CF16F">
      <w:pPr>
        <w:snapToGrid w:val="0"/>
        <w:spacing w:line="360" w:lineRule="auto"/>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三、分包意向协议（如果有）</w:t>
      </w:r>
    </w:p>
    <w:p w14:paraId="4A01B653">
      <w:pPr>
        <w:widowControl/>
        <w:spacing w:line="360" w:lineRule="auto"/>
        <w:ind w:firstLine="120" w:firstLineChars="50"/>
        <w:jc w:val="left"/>
        <w:rPr>
          <w:rFonts w:ascii="宋体" w:hAnsi="宋体" w:cs="宋体"/>
          <w:color w:val="auto"/>
          <w:sz w:val="24"/>
          <w:highlight w:val="none"/>
        </w:rPr>
      </w:pPr>
      <w:bookmarkStart w:id="55" w:name="_Hlk101169080"/>
      <w:r>
        <w:rPr>
          <w:rFonts w:hint="eastAsia" w:ascii="宋体" w:hAnsi="宋体" w:cs="宋体"/>
          <w:color w:val="auto"/>
          <w:sz w:val="24"/>
          <w:highlight w:val="none"/>
        </w:rPr>
        <w:t>[</w:t>
      </w:r>
      <w:r>
        <w:rPr>
          <w:rFonts w:hint="eastAsia" w:ascii="宋体" w:hAnsi="宋体" w:cs="宋体"/>
          <w:b/>
          <w:color w:val="auto"/>
          <w:sz w:val="24"/>
          <w:highlight w:val="none"/>
        </w:rPr>
        <w:t>中标后以分包方式履行合同的，提供分包意向协议(附件</w:t>
      </w:r>
      <w:r>
        <w:rPr>
          <w:rFonts w:hint="eastAsia" w:ascii="宋体" w:hAnsi="宋体" w:cs="宋体"/>
          <w:b/>
          <w:color w:val="auto"/>
          <w:sz w:val="24"/>
          <w:highlight w:val="none"/>
          <w:lang w:val="en-US" w:eastAsia="zh-CN"/>
        </w:rPr>
        <w:t>4</w:t>
      </w:r>
      <w:r>
        <w:rPr>
          <w:rFonts w:ascii="宋体" w:hAnsi="宋体" w:cs="宋体"/>
          <w:b/>
          <w:color w:val="auto"/>
          <w:sz w:val="24"/>
          <w:highlight w:val="none"/>
        </w:rPr>
        <w:t>)</w:t>
      </w:r>
      <w:r>
        <w:rPr>
          <w:rFonts w:hint="eastAsia" w:ascii="宋体" w:hAnsi="宋体" w:cs="宋体"/>
          <w:b/>
          <w:color w:val="auto"/>
          <w:sz w:val="24"/>
          <w:highlight w:val="none"/>
        </w:rPr>
        <w:t>；采购人不同意分包或者投标人中标后不以分包方式履行合同的，则不需要提供。</w:t>
      </w:r>
      <w:r>
        <w:rPr>
          <w:rFonts w:hint="eastAsia" w:ascii="宋体" w:hAnsi="宋体" w:cs="宋体"/>
          <w:color w:val="auto"/>
          <w:sz w:val="24"/>
          <w:highlight w:val="none"/>
        </w:rPr>
        <w:t>]</w:t>
      </w:r>
    </w:p>
    <w:bookmarkEnd w:id="55"/>
    <w:p w14:paraId="08E5C255">
      <w:pPr>
        <w:snapToGrid w:val="0"/>
        <w:spacing w:line="360" w:lineRule="auto"/>
        <w:rPr>
          <w:rFonts w:ascii="宋体" w:hAnsi="宋体" w:cs="宋体"/>
          <w:color w:val="auto"/>
          <w:kern w:val="0"/>
          <w:sz w:val="24"/>
          <w:highlight w:val="none"/>
        </w:rPr>
      </w:pPr>
    </w:p>
    <w:p w14:paraId="75E6F6CB">
      <w:pPr>
        <w:jc w:val="center"/>
        <w:rPr>
          <w:rFonts w:ascii="宋体" w:hAnsi="宋体" w:cs="宋体"/>
          <w:b/>
          <w:color w:val="auto"/>
          <w:kern w:val="0"/>
          <w:sz w:val="32"/>
          <w:szCs w:val="32"/>
          <w:highlight w:val="none"/>
        </w:rPr>
      </w:pPr>
    </w:p>
    <w:p w14:paraId="3C249753">
      <w:pPr>
        <w:jc w:val="center"/>
        <w:rPr>
          <w:rFonts w:ascii="宋体" w:hAnsi="宋体" w:cs="宋体"/>
          <w:b/>
          <w:color w:val="auto"/>
          <w:kern w:val="0"/>
          <w:sz w:val="32"/>
          <w:szCs w:val="32"/>
          <w:highlight w:val="none"/>
        </w:rPr>
      </w:pPr>
    </w:p>
    <w:p w14:paraId="615D0E8C">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四、符合性审查资料</w:t>
      </w:r>
    </w:p>
    <w:p w14:paraId="345726C6">
      <w:pPr>
        <w:jc w:val="center"/>
        <w:rPr>
          <w:rFonts w:ascii="宋体" w:hAnsi="宋体" w:cs="宋体"/>
          <w:b/>
          <w:color w:val="auto"/>
          <w:kern w:val="0"/>
          <w:sz w:val="32"/>
          <w:szCs w:val="32"/>
          <w:highlight w:val="none"/>
        </w:rPr>
      </w:pPr>
    </w:p>
    <w:tbl>
      <w:tblPr>
        <w:tblStyle w:val="41"/>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14:paraId="5B66A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14:paraId="1EB58085">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4991" w:type="dxa"/>
            <w:vAlign w:val="center"/>
          </w:tcPr>
          <w:p w14:paraId="3103F5EF">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实质性要求</w:t>
            </w:r>
          </w:p>
        </w:tc>
        <w:tc>
          <w:tcPr>
            <w:tcW w:w="2551" w:type="dxa"/>
            <w:vAlign w:val="center"/>
          </w:tcPr>
          <w:p w14:paraId="4871C1A7">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需要提供的符合性审查资料</w:t>
            </w:r>
          </w:p>
        </w:tc>
        <w:tc>
          <w:tcPr>
            <w:tcW w:w="1418" w:type="dxa"/>
            <w:vAlign w:val="center"/>
          </w:tcPr>
          <w:p w14:paraId="6640923F">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投标文件中的</w:t>
            </w:r>
          </w:p>
          <w:p w14:paraId="2D247E16">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页码位置</w:t>
            </w:r>
          </w:p>
        </w:tc>
      </w:tr>
      <w:tr w14:paraId="78C3C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546AD06F">
            <w:pPr>
              <w:jc w:val="center"/>
              <w:rPr>
                <w:rFonts w:ascii="宋体" w:hAnsi="宋体" w:cs="宋体"/>
                <w:color w:val="auto"/>
                <w:sz w:val="24"/>
                <w:highlight w:val="none"/>
              </w:rPr>
            </w:pPr>
            <w:r>
              <w:rPr>
                <w:rFonts w:hint="eastAsia" w:ascii="宋体" w:hAnsi="宋体" w:cs="宋体"/>
                <w:color w:val="auto"/>
                <w:sz w:val="24"/>
                <w:highlight w:val="none"/>
              </w:rPr>
              <w:t>1</w:t>
            </w:r>
          </w:p>
        </w:tc>
        <w:tc>
          <w:tcPr>
            <w:tcW w:w="4991" w:type="dxa"/>
            <w:vAlign w:val="center"/>
          </w:tcPr>
          <w:p w14:paraId="34F29D2E">
            <w:pPr>
              <w:spacing w:line="360" w:lineRule="auto"/>
              <w:rPr>
                <w:rFonts w:ascii="宋体" w:hAnsi="宋体" w:cs="宋体"/>
                <w:color w:val="auto"/>
                <w:sz w:val="24"/>
                <w:highlight w:val="none"/>
              </w:rPr>
            </w:pPr>
            <w:r>
              <w:rPr>
                <w:rFonts w:hint="eastAsia" w:ascii="宋体" w:hAnsi="宋体" w:cs="宋体"/>
                <w:color w:val="auto"/>
                <w:sz w:val="24"/>
                <w:highlight w:val="none"/>
              </w:rPr>
              <w:t>投标文件按照招标文件要求签署、盖章。</w:t>
            </w:r>
          </w:p>
        </w:tc>
        <w:tc>
          <w:tcPr>
            <w:tcW w:w="2551" w:type="dxa"/>
            <w:vAlign w:val="center"/>
          </w:tcPr>
          <w:p w14:paraId="7A5CB9A7">
            <w:pPr>
              <w:rPr>
                <w:rFonts w:ascii="宋体" w:hAnsi="宋体" w:cs="宋体"/>
                <w:color w:val="auto"/>
                <w:sz w:val="24"/>
                <w:highlight w:val="none"/>
              </w:rPr>
            </w:pPr>
            <w:r>
              <w:rPr>
                <w:rFonts w:hint="eastAsia" w:ascii="宋体" w:hAnsi="宋体" w:cs="宋体"/>
                <w:color w:val="auto"/>
                <w:sz w:val="24"/>
                <w:highlight w:val="none"/>
              </w:rPr>
              <w:t>需要使用电子签名或者签字盖章的投标文件的组成部分</w:t>
            </w:r>
          </w:p>
        </w:tc>
        <w:tc>
          <w:tcPr>
            <w:tcW w:w="1418" w:type="dxa"/>
            <w:vAlign w:val="center"/>
          </w:tcPr>
          <w:p w14:paraId="0DEE3096">
            <w:pPr>
              <w:rPr>
                <w:rFonts w:ascii="宋体" w:hAnsi="宋体" w:cs="宋体"/>
                <w:color w:val="auto"/>
                <w:sz w:val="24"/>
                <w:highlight w:val="none"/>
              </w:rPr>
            </w:pPr>
          </w:p>
          <w:p w14:paraId="7C082189">
            <w:pPr>
              <w:rPr>
                <w:rFonts w:ascii="宋体" w:hAnsi="宋体" w:cs="宋体"/>
                <w:color w:val="auto"/>
                <w:sz w:val="24"/>
                <w:highlight w:val="none"/>
              </w:rPr>
            </w:pPr>
            <w:r>
              <w:rPr>
                <w:rFonts w:hint="eastAsia" w:ascii="宋体" w:hAnsi="宋体" w:cs="宋体"/>
                <w:color w:val="auto"/>
                <w:sz w:val="24"/>
                <w:highlight w:val="none"/>
              </w:rPr>
              <w:t>见投标文件</w:t>
            </w:r>
          </w:p>
          <w:p w14:paraId="3429A34E">
            <w:pPr>
              <w:rPr>
                <w:rFonts w:ascii="宋体" w:hAnsi="宋体" w:cs="宋体"/>
                <w:color w:val="auto"/>
                <w:highlight w:val="none"/>
              </w:rPr>
            </w:pPr>
            <w:r>
              <w:rPr>
                <w:rFonts w:hint="eastAsia" w:ascii="宋体" w:hAnsi="宋体" w:cs="宋体"/>
                <w:color w:val="auto"/>
                <w:sz w:val="24"/>
                <w:highlight w:val="none"/>
              </w:rPr>
              <w:t>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14:paraId="04771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77024B4C">
            <w:pPr>
              <w:jc w:val="center"/>
              <w:rPr>
                <w:rFonts w:ascii="宋体" w:hAnsi="宋体" w:cs="宋体"/>
                <w:color w:val="auto"/>
                <w:sz w:val="24"/>
                <w:highlight w:val="none"/>
              </w:rPr>
            </w:pPr>
            <w:r>
              <w:rPr>
                <w:rFonts w:hint="eastAsia" w:ascii="宋体" w:hAnsi="宋体" w:cs="宋体"/>
                <w:color w:val="auto"/>
                <w:sz w:val="24"/>
                <w:highlight w:val="none"/>
              </w:rPr>
              <w:t>2</w:t>
            </w:r>
          </w:p>
        </w:tc>
        <w:tc>
          <w:tcPr>
            <w:tcW w:w="4991" w:type="dxa"/>
            <w:vAlign w:val="center"/>
          </w:tcPr>
          <w:p w14:paraId="0C505B3B">
            <w:pPr>
              <w:spacing w:line="360" w:lineRule="auto"/>
              <w:rPr>
                <w:rFonts w:ascii="宋体" w:hAnsi="宋体" w:cs="宋体"/>
                <w:color w:val="auto"/>
                <w:sz w:val="24"/>
                <w:highlight w:val="none"/>
              </w:rPr>
            </w:pPr>
            <w:r>
              <w:rPr>
                <w:rFonts w:hint="eastAsia" w:ascii="宋体" w:hAnsi="宋体" w:cs="宋体"/>
                <w:color w:val="auto"/>
                <w:sz w:val="24"/>
                <w:highlight w:val="none"/>
              </w:rPr>
              <w:t>投标文件中承诺的投标有效期不少于招标文件中载明的投标有效期。</w:t>
            </w:r>
          </w:p>
        </w:tc>
        <w:tc>
          <w:tcPr>
            <w:tcW w:w="2551" w:type="dxa"/>
            <w:vAlign w:val="center"/>
          </w:tcPr>
          <w:p w14:paraId="2CFB1ED3">
            <w:pPr>
              <w:rPr>
                <w:rFonts w:ascii="宋体" w:hAnsi="宋体" w:cs="宋体"/>
                <w:color w:val="auto"/>
                <w:sz w:val="24"/>
                <w:highlight w:val="none"/>
              </w:rPr>
            </w:pPr>
            <w:r>
              <w:rPr>
                <w:rFonts w:hint="eastAsia" w:ascii="宋体" w:hAnsi="宋体" w:cs="宋体"/>
                <w:color w:val="auto"/>
                <w:sz w:val="24"/>
                <w:highlight w:val="none"/>
              </w:rPr>
              <w:t>投标函</w:t>
            </w:r>
          </w:p>
        </w:tc>
        <w:tc>
          <w:tcPr>
            <w:tcW w:w="1418" w:type="dxa"/>
            <w:vAlign w:val="center"/>
          </w:tcPr>
          <w:p w14:paraId="29CBB453">
            <w:pPr>
              <w:rPr>
                <w:rFonts w:ascii="宋体" w:hAnsi="宋体" w:cs="宋体"/>
                <w:color w:val="auto"/>
                <w:highlight w:val="none"/>
              </w:rPr>
            </w:pPr>
            <w:r>
              <w:rPr>
                <w:rFonts w:hint="eastAsia" w:ascii="宋体" w:hAnsi="宋体" w:cs="宋体"/>
                <w:color w:val="auto"/>
                <w:sz w:val="24"/>
                <w:highlight w:val="none"/>
              </w:rPr>
              <w:t>见投标文件第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14:paraId="146E0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41E9616B">
            <w:pPr>
              <w:jc w:val="center"/>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lang w:val="en-US" w:eastAsia="zh-CN"/>
              </w:rPr>
              <w:t>3</w:t>
            </w:r>
          </w:p>
        </w:tc>
        <w:tc>
          <w:tcPr>
            <w:tcW w:w="4991" w:type="dxa"/>
            <w:vAlign w:val="center"/>
          </w:tcPr>
          <w:p w14:paraId="28827E60">
            <w:pPr>
              <w:spacing w:line="360" w:lineRule="auto"/>
              <w:rPr>
                <w:rFonts w:ascii="宋体" w:hAnsi="宋体" w:cs="宋体"/>
                <w:color w:val="auto"/>
                <w:sz w:val="24"/>
                <w:highlight w:val="none"/>
              </w:rPr>
            </w:pPr>
            <w:r>
              <w:rPr>
                <w:rFonts w:hint="eastAsia" w:ascii="宋体" w:hAnsi="宋体" w:cs="宋体"/>
                <w:b w:val="0"/>
                <w:bCs w:val="0"/>
                <w:snapToGrid w:val="0"/>
                <w:color w:val="auto"/>
                <w:sz w:val="24"/>
                <w:highlight w:val="none"/>
                <w:lang w:val="en-US" w:eastAsia="zh-CN"/>
              </w:rPr>
              <w:t>其他实质性要求1：</w:t>
            </w:r>
          </w:p>
        </w:tc>
        <w:tc>
          <w:tcPr>
            <w:tcW w:w="2551" w:type="dxa"/>
            <w:vMerge w:val="restart"/>
            <w:vAlign w:val="center"/>
          </w:tcPr>
          <w:p w14:paraId="6DBACEB2">
            <w:pPr>
              <w:rPr>
                <w:rFonts w:hint="eastAsia" w:ascii="宋体" w:hAnsi="宋体" w:cs="宋体"/>
                <w:b w:val="0"/>
                <w:bCs w:val="0"/>
                <w:color w:val="auto"/>
                <w:sz w:val="24"/>
                <w:highlight w:val="none"/>
                <w:lang w:val="en-US" w:eastAsia="zh-CN"/>
              </w:rPr>
            </w:pPr>
            <w:r>
              <w:rPr>
                <w:rFonts w:hint="eastAsia" w:ascii="宋体" w:hAnsi="宋体" w:cs="宋体"/>
                <w:b w:val="0"/>
                <w:bCs w:val="0"/>
                <w:color w:val="auto"/>
                <w:kern w:val="0"/>
                <w:sz w:val="24"/>
                <w:highlight w:val="none"/>
              </w:rPr>
              <w:t>招标文件其它实质性要求相应的材料（“▲” 系指实质性要求条款，招标文件无其它实质性要求的，无需提供）</w:t>
            </w:r>
          </w:p>
        </w:tc>
        <w:tc>
          <w:tcPr>
            <w:tcW w:w="1418" w:type="dxa"/>
            <w:vAlign w:val="center"/>
          </w:tcPr>
          <w:p w14:paraId="1C96B157">
            <w:pPr>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rPr>
              <w:t>见投标文件第</w:t>
            </w:r>
            <w:r>
              <w:rPr>
                <w:rFonts w:hint="eastAsia" w:ascii="宋体" w:hAnsi="宋体" w:cs="宋体"/>
                <w:b w:val="0"/>
                <w:bCs w:val="0"/>
                <w:color w:val="auto"/>
                <w:sz w:val="24"/>
                <w:highlight w:val="none"/>
                <w:u w:val="single"/>
              </w:rPr>
              <w:t xml:space="preserve">  </w:t>
            </w:r>
            <w:r>
              <w:rPr>
                <w:rFonts w:hint="eastAsia" w:ascii="宋体" w:hAnsi="宋体" w:cs="宋体"/>
                <w:b w:val="0"/>
                <w:bCs w:val="0"/>
                <w:color w:val="auto"/>
                <w:sz w:val="24"/>
                <w:highlight w:val="none"/>
              </w:rPr>
              <w:t>页</w:t>
            </w:r>
          </w:p>
        </w:tc>
      </w:tr>
      <w:tr w14:paraId="46906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0ADF7929">
            <w:pPr>
              <w:jc w:val="center"/>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lang w:val="en-US" w:eastAsia="zh-CN"/>
              </w:rPr>
              <w:t>4</w:t>
            </w:r>
          </w:p>
        </w:tc>
        <w:tc>
          <w:tcPr>
            <w:tcW w:w="4991" w:type="dxa"/>
            <w:vAlign w:val="center"/>
          </w:tcPr>
          <w:p w14:paraId="7AE5D18B">
            <w:pPr>
              <w:spacing w:line="360" w:lineRule="auto"/>
              <w:rPr>
                <w:rFonts w:ascii="宋体" w:hAnsi="宋体" w:cs="宋体"/>
                <w:color w:val="auto"/>
                <w:sz w:val="24"/>
                <w:highlight w:val="none"/>
              </w:rPr>
            </w:pPr>
            <w:r>
              <w:rPr>
                <w:rFonts w:hint="eastAsia" w:ascii="宋体" w:hAnsi="宋体" w:cs="宋体"/>
                <w:b w:val="0"/>
                <w:bCs w:val="0"/>
                <w:snapToGrid w:val="0"/>
                <w:color w:val="auto"/>
                <w:sz w:val="24"/>
                <w:highlight w:val="none"/>
                <w:lang w:val="en-US" w:eastAsia="zh-CN"/>
              </w:rPr>
              <w:t>其他实质性要求2：</w:t>
            </w:r>
          </w:p>
        </w:tc>
        <w:tc>
          <w:tcPr>
            <w:tcW w:w="2551" w:type="dxa"/>
            <w:vMerge w:val="continue"/>
            <w:vAlign w:val="center"/>
          </w:tcPr>
          <w:p w14:paraId="48B294EC">
            <w:pPr>
              <w:rPr>
                <w:rFonts w:hint="eastAsia" w:ascii="宋体" w:hAnsi="宋体" w:cs="宋体"/>
                <w:b w:val="0"/>
                <w:bCs w:val="0"/>
                <w:color w:val="auto"/>
                <w:sz w:val="24"/>
                <w:highlight w:val="none"/>
                <w:lang w:val="en-US" w:eastAsia="zh-CN"/>
              </w:rPr>
            </w:pPr>
          </w:p>
        </w:tc>
        <w:tc>
          <w:tcPr>
            <w:tcW w:w="1418" w:type="dxa"/>
            <w:vAlign w:val="center"/>
          </w:tcPr>
          <w:p w14:paraId="3F5538C9">
            <w:pPr>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rPr>
              <w:t>见投标文件第</w:t>
            </w:r>
            <w:r>
              <w:rPr>
                <w:rFonts w:hint="eastAsia" w:ascii="宋体" w:hAnsi="宋体" w:cs="宋体"/>
                <w:b w:val="0"/>
                <w:bCs w:val="0"/>
                <w:color w:val="auto"/>
                <w:sz w:val="24"/>
                <w:highlight w:val="none"/>
                <w:u w:val="single"/>
              </w:rPr>
              <w:t xml:space="preserve">  </w:t>
            </w:r>
            <w:r>
              <w:rPr>
                <w:rFonts w:hint="eastAsia" w:ascii="宋体" w:hAnsi="宋体" w:cs="宋体"/>
                <w:b w:val="0"/>
                <w:bCs w:val="0"/>
                <w:color w:val="auto"/>
                <w:sz w:val="24"/>
                <w:highlight w:val="none"/>
              </w:rPr>
              <w:t>页</w:t>
            </w:r>
          </w:p>
        </w:tc>
      </w:tr>
      <w:tr w14:paraId="00456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020F4C11">
            <w:pPr>
              <w:jc w:val="center"/>
              <w:rPr>
                <w:rFonts w:hint="eastAsia" w:ascii="宋体" w:hAnsi="宋体" w:cs="宋体"/>
                <w:b w:val="0"/>
                <w:bCs w:val="0"/>
                <w:color w:val="auto"/>
                <w:sz w:val="24"/>
                <w:highlight w:val="none"/>
                <w:lang w:val="en-US" w:eastAsia="zh-CN"/>
              </w:rPr>
            </w:pPr>
            <w:r>
              <w:rPr>
                <w:rFonts w:hint="eastAsia" w:ascii="宋体" w:hAnsi="宋体" w:cs="宋体"/>
                <w:color w:val="auto"/>
                <w:kern w:val="0"/>
                <w:sz w:val="24"/>
                <w:highlight w:val="none"/>
              </w:rPr>
              <w:t>……</w:t>
            </w:r>
          </w:p>
        </w:tc>
        <w:tc>
          <w:tcPr>
            <w:tcW w:w="4991" w:type="dxa"/>
            <w:vAlign w:val="center"/>
          </w:tcPr>
          <w:p w14:paraId="2F7B28E3">
            <w:pPr>
              <w:spacing w:line="360" w:lineRule="auto"/>
              <w:rPr>
                <w:rFonts w:ascii="宋体" w:hAnsi="宋体" w:cs="宋体"/>
                <w:color w:val="auto"/>
                <w:sz w:val="24"/>
                <w:highlight w:val="none"/>
              </w:rPr>
            </w:pPr>
            <w:r>
              <w:rPr>
                <w:rFonts w:hint="eastAsia" w:ascii="宋体" w:hAnsi="宋体" w:cs="宋体"/>
                <w:b w:val="0"/>
                <w:bCs w:val="0"/>
                <w:snapToGrid w:val="0"/>
                <w:color w:val="auto"/>
                <w:sz w:val="24"/>
                <w:highlight w:val="none"/>
                <w:lang w:val="en-US" w:eastAsia="zh-CN"/>
              </w:rPr>
              <w:t>其他实质性要求</w:t>
            </w:r>
            <w:r>
              <w:rPr>
                <w:rFonts w:hint="eastAsia" w:ascii="宋体" w:hAnsi="宋体" w:cs="宋体"/>
                <w:color w:val="auto"/>
                <w:kern w:val="0"/>
                <w:sz w:val="24"/>
                <w:highlight w:val="none"/>
              </w:rPr>
              <w:t>……</w:t>
            </w:r>
            <w:r>
              <w:rPr>
                <w:rFonts w:hint="eastAsia" w:ascii="宋体" w:hAnsi="宋体" w:cs="宋体"/>
                <w:b w:val="0"/>
                <w:bCs w:val="0"/>
                <w:snapToGrid w:val="0"/>
                <w:color w:val="auto"/>
                <w:sz w:val="24"/>
                <w:highlight w:val="none"/>
                <w:lang w:val="en-US" w:eastAsia="zh-CN"/>
              </w:rPr>
              <w:t>：</w:t>
            </w:r>
          </w:p>
        </w:tc>
        <w:tc>
          <w:tcPr>
            <w:tcW w:w="2551" w:type="dxa"/>
            <w:vMerge w:val="continue"/>
            <w:vAlign w:val="center"/>
          </w:tcPr>
          <w:p w14:paraId="5A8B8784">
            <w:pPr>
              <w:rPr>
                <w:rFonts w:hint="eastAsia" w:ascii="宋体" w:hAnsi="宋体" w:cs="宋体"/>
                <w:b w:val="0"/>
                <w:bCs w:val="0"/>
                <w:color w:val="auto"/>
                <w:sz w:val="24"/>
                <w:highlight w:val="none"/>
                <w:lang w:val="en-US" w:eastAsia="zh-CN"/>
              </w:rPr>
            </w:pPr>
          </w:p>
        </w:tc>
        <w:tc>
          <w:tcPr>
            <w:tcW w:w="1418" w:type="dxa"/>
            <w:vAlign w:val="center"/>
          </w:tcPr>
          <w:p w14:paraId="55AA6FB6">
            <w:pPr>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rPr>
              <w:t>见投标文件第</w:t>
            </w:r>
            <w:r>
              <w:rPr>
                <w:rFonts w:hint="eastAsia" w:ascii="宋体" w:hAnsi="宋体" w:cs="宋体"/>
                <w:b w:val="0"/>
                <w:bCs w:val="0"/>
                <w:color w:val="auto"/>
                <w:sz w:val="24"/>
                <w:highlight w:val="none"/>
                <w:u w:val="single"/>
              </w:rPr>
              <w:t xml:space="preserve">  </w:t>
            </w:r>
            <w:r>
              <w:rPr>
                <w:rFonts w:hint="eastAsia" w:ascii="宋体" w:hAnsi="宋体" w:cs="宋体"/>
                <w:b w:val="0"/>
                <w:bCs w:val="0"/>
                <w:color w:val="auto"/>
                <w:sz w:val="24"/>
                <w:highlight w:val="none"/>
              </w:rPr>
              <w:t>页</w:t>
            </w:r>
          </w:p>
        </w:tc>
      </w:tr>
    </w:tbl>
    <w:p w14:paraId="530B5EB2">
      <w:pPr>
        <w:spacing w:line="360" w:lineRule="auto"/>
        <w:ind w:right="420"/>
        <w:rPr>
          <w:rFonts w:hint="eastAsia" w:ascii="宋体" w:hAnsi="宋体" w:cs="宋体"/>
          <w:color w:val="auto"/>
          <w:sz w:val="24"/>
          <w:highlight w:val="none"/>
        </w:rPr>
      </w:pPr>
      <w:r>
        <w:rPr>
          <w:rFonts w:hint="eastAsia" w:ascii="宋体" w:hAnsi="宋体" w:cs="宋体"/>
          <w:color w:val="auto"/>
          <w:sz w:val="24"/>
          <w:highlight w:val="none"/>
        </w:rPr>
        <w:t>注：</w:t>
      </w:r>
      <w:r>
        <w:rPr>
          <w:rFonts w:hint="eastAsia" w:ascii="宋体" w:hAnsi="宋体" w:cs="宋体"/>
          <w:color w:val="auto"/>
          <w:sz w:val="24"/>
          <w:highlight w:val="none"/>
          <w:lang w:val="en-US" w:eastAsia="zh-CN"/>
        </w:rPr>
        <w:t>1.</w:t>
      </w:r>
      <w:r>
        <w:rPr>
          <w:rFonts w:hint="eastAsia" w:ascii="宋体" w:hAnsi="宋体" w:cs="宋体"/>
          <w:color w:val="auto"/>
          <w:sz w:val="24"/>
          <w:highlight w:val="none"/>
        </w:rPr>
        <w:t>按本格式和要求提供。</w:t>
      </w:r>
    </w:p>
    <w:p w14:paraId="7F19B9F3">
      <w:pPr>
        <w:spacing w:line="360" w:lineRule="auto"/>
        <w:ind w:right="420"/>
        <w:jc w:val="both"/>
        <w:rPr>
          <w:rFonts w:ascii="宋体" w:hAnsi="宋体" w:cs="宋体"/>
          <w:b/>
          <w:color w:val="auto"/>
          <w:kern w:val="0"/>
          <w:sz w:val="32"/>
          <w:szCs w:val="32"/>
          <w:highlight w:val="none"/>
        </w:rPr>
      </w:pPr>
      <w:r>
        <w:rPr>
          <w:rFonts w:hint="eastAsia" w:ascii="宋体" w:hAnsi="宋体" w:cs="宋体"/>
          <w:b/>
          <w:bCs/>
          <w:color w:val="auto"/>
          <w:sz w:val="24"/>
          <w:highlight w:val="none"/>
        </w:rPr>
        <w:t>2、招标文件中实质性要求必须明确响应。</w:t>
      </w:r>
    </w:p>
    <w:p w14:paraId="6DE83560">
      <w:pPr>
        <w:pStyle w:val="50"/>
        <w:rPr>
          <w:color w:val="auto"/>
          <w:highlight w:val="none"/>
        </w:rPr>
      </w:pPr>
    </w:p>
    <w:p w14:paraId="6D51F234">
      <w:pPr>
        <w:jc w:val="center"/>
        <w:rPr>
          <w:rFonts w:ascii="宋体" w:hAnsi="宋体" w:cs="宋体"/>
          <w:b/>
          <w:color w:val="auto"/>
          <w:kern w:val="0"/>
          <w:sz w:val="32"/>
          <w:szCs w:val="32"/>
          <w:highlight w:val="none"/>
        </w:rPr>
      </w:pPr>
    </w:p>
    <w:p w14:paraId="4FC6233A">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 xml:space="preserve">            </w:t>
      </w:r>
    </w:p>
    <w:p w14:paraId="3FE81DAB">
      <w:pPr>
        <w:jc w:val="center"/>
        <w:rPr>
          <w:rFonts w:ascii="宋体" w:hAnsi="宋体" w:cs="宋体"/>
          <w:b/>
          <w:color w:val="auto"/>
          <w:kern w:val="0"/>
          <w:sz w:val="32"/>
          <w:szCs w:val="32"/>
          <w:highlight w:val="none"/>
        </w:rPr>
      </w:pPr>
    </w:p>
    <w:p w14:paraId="7071FE6E">
      <w:pPr>
        <w:widowControl/>
        <w:adjustRightInd/>
        <w:jc w:val="left"/>
        <w:rPr>
          <w:rFonts w:ascii="宋体" w:hAnsi="宋体" w:cs="宋体"/>
          <w:b/>
          <w:color w:val="auto"/>
          <w:kern w:val="0"/>
          <w:sz w:val="32"/>
          <w:szCs w:val="32"/>
          <w:highlight w:val="none"/>
        </w:rPr>
      </w:pPr>
      <w:r>
        <w:rPr>
          <w:rFonts w:ascii="宋体" w:hAnsi="宋体" w:cs="宋体"/>
          <w:b/>
          <w:color w:val="auto"/>
          <w:kern w:val="0"/>
          <w:sz w:val="32"/>
          <w:szCs w:val="32"/>
          <w:highlight w:val="none"/>
        </w:rPr>
        <w:br w:type="page"/>
      </w:r>
    </w:p>
    <w:p w14:paraId="327272B3">
      <w:pPr>
        <w:jc w:val="center"/>
        <w:rPr>
          <w:rFonts w:ascii="宋体" w:hAnsi="宋体" w:cs="宋体"/>
          <w:color w:val="auto"/>
          <w:highlight w:val="none"/>
        </w:rPr>
      </w:pPr>
      <w:r>
        <w:rPr>
          <w:rFonts w:hint="eastAsia" w:ascii="宋体" w:hAnsi="宋体" w:cs="宋体"/>
          <w:b/>
          <w:color w:val="auto"/>
          <w:kern w:val="0"/>
          <w:sz w:val="32"/>
          <w:szCs w:val="32"/>
          <w:highlight w:val="none"/>
        </w:rPr>
        <w:t>五、评标标准相应的商务技术资料</w:t>
      </w:r>
    </w:p>
    <w:p w14:paraId="5F66FDCC">
      <w:pPr>
        <w:snapToGrid w:val="0"/>
        <w:spacing w:line="360" w:lineRule="auto"/>
        <w:jc w:val="left"/>
        <w:rPr>
          <w:rFonts w:hint="eastAsia" w:ascii="宋体" w:hAnsi="宋体" w:cs="宋体"/>
          <w:b/>
          <w:color w:val="auto"/>
          <w:sz w:val="24"/>
          <w:highlight w:val="none"/>
        </w:rPr>
      </w:pPr>
      <w:r>
        <w:rPr>
          <w:rFonts w:hint="eastAsia" w:ascii="宋体" w:hAnsi="宋体" w:cs="宋体"/>
          <w:b/>
          <w:color w:val="auto"/>
          <w:sz w:val="24"/>
          <w:highlight w:val="none"/>
        </w:rPr>
        <w:t>（按招标文件第</w:t>
      </w:r>
      <w:r>
        <w:rPr>
          <w:rFonts w:hint="eastAsia" w:ascii="宋体" w:hAnsi="宋体" w:cs="宋体"/>
          <w:b/>
          <w:color w:val="auto"/>
          <w:sz w:val="24"/>
          <w:highlight w:val="none"/>
          <w:lang w:val="en-US" w:eastAsia="zh-CN"/>
        </w:rPr>
        <w:t>三</w:t>
      </w:r>
      <w:r>
        <w:rPr>
          <w:rFonts w:hint="eastAsia" w:ascii="宋体" w:hAnsi="宋体" w:cs="宋体"/>
          <w:b/>
          <w:color w:val="auto"/>
          <w:sz w:val="24"/>
          <w:highlight w:val="none"/>
        </w:rPr>
        <w:t>部分评标办法前附表中“投标文件中评标标准相应的商务技术资料目录”提供资料。）</w:t>
      </w:r>
    </w:p>
    <w:tbl>
      <w:tblPr>
        <w:tblStyle w:val="42"/>
        <w:tblW w:w="92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5465"/>
        <w:gridCol w:w="3046"/>
      </w:tblGrid>
      <w:tr w14:paraId="11634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03CDF751">
            <w:pPr>
              <w:snapToGrid w:val="0"/>
              <w:spacing w:line="360" w:lineRule="auto"/>
              <w:jc w:val="center"/>
              <w:rPr>
                <w:rFonts w:hint="eastAsia" w:cs="仿宋_GB2312" w:asciiTheme="minorEastAsia" w:hAnsiTheme="minorEastAsia" w:eastAsiaTheme="minorEastAsia"/>
                <w:b w:val="0"/>
                <w:bCs/>
                <w:color w:val="auto"/>
                <w:sz w:val="24"/>
                <w:highlight w:val="none"/>
                <w:lang w:val="en-US" w:eastAsia="zh-CN"/>
              </w:rPr>
            </w:pPr>
            <w:r>
              <w:rPr>
                <w:rFonts w:hint="eastAsia" w:cs="仿宋_GB2312" w:asciiTheme="minorEastAsia" w:hAnsiTheme="minorEastAsia" w:eastAsiaTheme="minorEastAsia"/>
                <w:b w:val="0"/>
                <w:bCs/>
                <w:color w:val="auto"/>
                <w:sz w:val="24"/>
                <w:highlight w:val="none"/>
                <w:lang w:val="en-US" w:eastAsia="zh-CN"/>
              </w:rPr>
              <w:t>序号</w:t>
            </w:r>
          </w:p>
        </w:tc>
        <w:tc>
          <w:tcPr>
            <w:tcW w:w="5465" w:type="dxa"/>
          </w:tcPr>
          <w:p w14:paraId="02DC541F">
            <w:pPr>
              <w:snapToGrid w:val="0"/>
              <w:spacing w:line="360" w:lineRule="auto"/>
              <w:jc w:val="center"/>
              <w:rPr>
                <w:rFonts w:hint="eastAsia" w:ascii="宋体" w:hAnsi="宋体" w:cs="宋体"/>
                <w:b w:val="0"/>
                <w:bCs/>
                <w:color w:val="auto"/>
                <w:sz w:val="24"/>
                <w:highlight w:val="none"/>
                <w:vertAlign w:val="baseline"/>
              </w:rPr>
            </w:pPr>
            <w:r>
              <w:rPr>
                <w:rFonts w:hint="eastAsia" w:cs="仿宋_GB2312" w:asciiTheme="minorEastAsia" w:hAnsiTheme="minorEastAsia" w:eastAsiaTheme="minorEastAsia"/>
                <w:b w:val="0"/>
                <w:bCs/>
                <w:color w:val="auto"/>
                <w:sz w:val="24"/>
                <w:highlight w:val="none"/>
              </w:rPr>
              <w:t>投标文件中评标标准相应的商务技术资料目录*</w:t>
            </w:r>
          </w:p>
        </w:tc>
        <w:tc>
          <w:tcPr>
            <w:tcW w:w="3046" w:type="dxa"/>
          </w:tcPr>
          <w:p w14:paraId="2938C51A">
            <w:pPr>
              <w:snapToGrid w:val="0"/>
              <w:spacing w:line="240" w:lineRule="atLeast"/>
              <w:jc w:val="center"/>
              <w:rPr>
                <w:rFonts w:hint="default"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rPr>
              <w:t>投标文件中的页码位置</w:t>
            </w:r>
          </w:p>
        </w:tc>
      </w:tr>
      <w:tr w14:paraId="34E4B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71B8BEAC">
            <w:pPr>
              <w:snapToGrid w:val="0"/>
              <w:spacing w:line="360" w:lineRule="auto"/>
              <w:jc w:val="center"/>
              <w:rPr>
                <w:rFonts w:hint="eastAsia"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vertAlign w:val="baseline"/>
                <w:lang w:val="en-US" w:eastAsia="zh-CN"/>
              </w:rPr>
              <w:t>1</w:t>
            </w:r>
          </w:p>
        </w:tc>
        <w:tc>
          <w:tcPr>
            <w:tcW w:w="5465" w:type="dxa"/>
          </w:tcPr>
          <w:p w14:paraId="0778AB6B">
            <w:pPr>
              <w:snapToGrid w:val="0"/>
              <w:spacing w:line="360" w:lineRule="auto"/>
              <w:jc w:val="center"/>
              <w:rPr>
                <w:rFonts w:hint="eastAsia"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vertAlign w:val="baseline"/>
                <w:lang w:val="en-US" w:eastAsia="zh-CN"/>
              </w:rPr>
              <w:t>XXX</w:t>
            </w:r>
          </w:p>
        </w:tc>
        <w:tc>
          <w:tcPr>
            <w:tcW w:w="3046" w:type="dxa"/>
          </w:tcPr>
          <w:p w14:paraId="52D2EAFA">
            <w:pPr>
              <w:snapToGrid/>
              <w:spacing w:line="240" w:lineRule="auto"/>
              <w:jc w:val="center"/>
              <w:rPr>
                <w:rFonts w:hint="eastAsia" w:ascii="宋体" w:hAnsi="宋体" w:cs="宋体"/>
                <w:b w:val="0"/>
                <w:bCs/>
                <w:color w:val="auto"/>
                <w:sz w:val="24"/>
                <w:highlight w:val="none"/>
                <w:vertAlign w:val="baseline"/>
              </w:rPr>
            </w:pPr>
            <w:r>
              <w:rPr>
                <w:rFonts w:hint="eastAsia" w:ascii="宋体" w:hAnsi="宋体" w:cs="宋体"/>
                <w:b w:val="0"/>
                <w:bCs/>
                <w:color w:val="auto"/>
                <w:sz w:val="24"/>
                <w:highlight w:val="none"/>
              </w:rPr>
              <w:t>见投标文件第</w:t>
            </w:r>
            <w:r>
              <w:rPr>
                <w:rFonts w:hint="eastAsia" w:ascii="宋体" w:hAnsi="宋体" w:cs="宋体"/>
                <w:b w:val="0"/>
                <w:bCs/>
                <w:color w:val="auto"/>
                <w:sz w:val="24"/>
                <w:highlight w:val="none"/>
                <w:u w:val="single"/>
              </w:rPr>
              <w:t xml:space="preserve">  </w:t>
            </w:r>
            <w:r>
              <w:rPr>
                <w:rFonts w:hint="eastAsia" w:ascii="宋体" w:hAnsi="宋体" w:cs="宋体"/>
                <w:b w:val="0"/>
                <w:bCs/>
                <w:color w:val="auto"/>
                <w:sz w:val="24"/>
                <w:highlight w:val="none"/>
              </w:rPr>
              <w:t>页</w:t>
            </w:r>
          </w:p>
        </w:tc>
      </w:tr>
      <w:tr w14:paraId="14A19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2079A36A">
            <w:pPr>
              <w:snapToGrid w:val="0"/>
              <w:spacing w:line="360" w:lineRule="auto"/>
              <w:jc w:val="center"/>
              <w:rPr>
                <w:rFonts w:hint="eastAsia"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vertAlign w:val="baseline"/>
                <w:lang w:val="en-US" w:eastAsia="zh-CN"/>
              </w:rPr>
              <w:t>2</w:t>
            </w:r>
          </w:p>
        </w:tc>
        <w:tc>
          <w:tcPr>
            <w:tcW w:w="5465" w:type="dxa"/>
          </w:tcPr>
          <w:p w14:paraId="78422557">
            <w:pPr>
              <w:snapToGrid w:val="0"/>
              <w:spacing w:line="360" w:lineRule="auto"/>
              <w:jc w:val="center"/>
              <w:rPr>
                <w:rFonts w:hint="eastAsia"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vertAlign w:val="baseline"/>
                <w:lang w:val="en-US" w:eastAsia="zh-CN"/>
              </w:rPr>
              <w:t>XXX</w:t>
            </w:r>
          </w:p>
        </w:tc>
        <w:tc>
          <w:tcPr>
            <w:tcW w:w="3046" w:type="dxa"/>
          </w:tcPr>
          <w:p w14:paraId="5A59C7A9">
            <w:pPr>
              <w:snapToGrid/>
              <w:spacing w:line="240" w:lineRule="auto"/>
              <w:jc w:val="center"/>
              <w:rPr>
                <w:rFonts w:hint="eastAsia" w:ascii="宋体" w:hAnsi="宋体" w:cs="宋体"/>
                <w:b w:val="0"/>
                <w:bCs/>
                <w:color w:val="auto"/>
                <w:sz w:val="24"/>
                <w:highlight w:val="none"/>
                <w:vertAlign w:val="baseline"/>
              </w:rPr>
            </w:pPr>
            <w:r>
              <w:rPr>
                <w:rFonts w:hint="eastAsia" w:ascii="宋体" w:hAnsi="宋体" w:cs="宋体"/>
                <w:b w:val="0"/>
                <w:bCs/>
                <w:color w:val="auto"/>
                <w:sz w:val="24"/>
                <w:highlight w:val="none"/>
              </w:rPr>
              <w:t>见投标文件第</w:t>
            </w:r>
            <w:r>
              <w:rPr>
                <w:rFonts w:hint="eastAsia" w:ascii="宋体" w:hAnsi="宋体" w:cs="宋体"/>
                <w:b w:val="0"/>
                <w:bCs/>
                <w:color w:val="auto"/>
                <w:sz w:val="24"/>
                <w:highlight w:val="none"/>
                <w:u w:val="single"/>
              </w:rPr>
              <w:t xml:space="preserve">  </w:t>
            </w:r>
            <w:r>
              <w:rPr>
                <w:rFonts w:hint="eastAsia" w:ascii="宋体" w:hAnsi="宋体" w:cs="宋体"/>
                <w:b w:val="0"/>
                <w:bCs/>
                <w:color w:val="auto"/>
                <w:sz w:val="24"/>
                <w:highlight w:val="none"/>
              </w:rPr>
              <w:t>页</w:t>
            </w:r>
          </w:p>
        </w:tc>
      </w:tr>
      <w:tr w14:paraId="268C3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36D7BF8E">
            <w:pPr>
              <w:snapToGrid w:val="0"/>
              <w:spacing w:line="360" w:lineRule="auto"/>
              <w:jc w:val="center"/>
              <w:rPr>
                <w:rFonts w:hint="default" w:ascii="宋体" w:hAnsi="宋体" w:cs="宋体"/>
                <w:b w:val="0"/>
                <w:bCs/>
                <w:color w:val="auto"/>
                <w:sz w:val="24"/>
                <w:highlight w:val="none"/>
                <w:vertAlign w:val="baseline"/>
                <w:lang w:val="en-US" w:eastAsia="zh-CN"/>
              </w:rPr>
            </w:pPr>
            <w:r>
              <w:rPr>
                <w:rFonts w:hint="eastAsia" w:ascii="宋体" w:hAnsi="宋体" w:cs="宋体"/>
                <w:color w:val="auto"/>
                <w:kern w:val="0"/>
                <w:sz w:val="24"/>
                <w:highlight w:val="none"/>
              </w:rPr>
              <w:t>……</w:t>
            </w:r>
          </w:p>
        </w:tc>
        <w:tc>
          <w:tcPr>
            <w:tcW w:w="5465" w:type="dxa"/>
          </w:tcPr>
          <w:p w14:paraId="11F98DB9">
            <w:pPr>
              <w:snapToGrid w:val="0"/>
              <w:spacing w:line="360" w:lineRule="auto"/>
              <w:jc w:val="center"/>
              <w:rPr>
                <w:rFonts w:hint="eastAsia" w:ascii="宋体" w:hAnsi="宋体" w:cs="宋体"/>
                <w:b w:val="0"/>
                <w:bCs/>
                <w:color w:val="auto"/>
                <w:sz w:val="24"/>
                <w:highlight w:val="none"/>
                <w:vertAlign w:val="baseline"/>
              </w:rPr>
            </w:pPr>
          </w:p>
        </w:tc>
        <w:tc>
          <w:tcPr>
            <w:tcW w:w="3046" w:type="dxa"/>
          </w:tcPr>
          <w:p w14:paraId="58EE6047">
            <w:pPr>
              <w:snapToGrid/>
              <w:spacing w:line="240" w:lineRule="auto"/>
              <w:jc w:val="center"/>
              <w:rPr>
                <w:rFonts w:hint="eastAsia" w:ascii="宋体" w:hAnsi="宋体" w:cs="宋体"/>
                <w:b w:val="0"/>
                <w:bCs/>
                <w:color w:val="auto"/>
                <w:sz w:val="24"/>
                <w:highlight w:val="none"/>
              </w:rPr>
            </w:pPr>
            <w:r>
              <w:rPr>
                <w:rFonts w:hint="eastAsia" w:ascii="宋体" w:hAnsi="宋体" w:cs="宋体"/>
                <w:b w:val="0"/>
                <w:bCs/>
                <w:color w:val="auto"/>
                <w:sz w:val="24"/>
                <w:highlight w:val="none"/>
              </w:rPr>
              <w:t>见投标文件第</w:t>
            </w:r>
            <w:r>
              <w:rPr>
                <w:rFonts w:hint="eastAsia" w:ascii="宋体" w:hAnsi="宋体" w:cs="宋体"/>
                <w:b w:val="0"/>
                <w:bCs/>
                <w:color w:val="auto"/>
                <w:sz w:val="24"/>
                <w:highlight w:val="none"/>
                <w:u w:val="single"/>
              </w:rPr>
              <w:t xml:space="preserve">  </w:t>
            </w:r>
            <w:r>
              <w:rPr>
                <w:rFonts w:hint="eastAsia" w:ascii="宋体" w:hAnsi="宋体" w:cs="宋体"/>
                <w:b w:val="0"/>
                <w:bCs/>
                <w:color w:val="auto"/>
                <w:sz w:val="24"/>
                <w:highlight w:val="none"/>
              </w:rPr>
              <w:t>页</w:t>
            </w:r>
          </w:p>
        </w:tc>
      </w:tr>
    </w:tbl>
    <w:p w14:paraId="6892E2A6">
      <w:pPr>
        <w:pStyle w:val="50"/>
        <w:rPr>
          <w:color w:val="auto"/>
          <w:highlight w:val="none"/>
        </w:rPr>
      </w:pPr>
    </w:p>
    <w:p w14:paraId="6468AAC0">
      <w:pPr>
        <w:jc w:val="center"/>
        <w:rPr>
          <w:rFonts w:ascii="宋体" w:hAnsi="宋体" w:cs="宋体"/>
          <w:b/>
          <w:color w:val="auto"/>
          <w:kern w:val="0"/>
          <w:sz w:val="32"/>
          <w:szCs w:val="32"/>
          <w:highlight w:val="none"/>
        </w:rPr>
      </w:pPr>
    </w:p>
    <w:p w14:paraId="775B7E7A">
      <w:pPr>
        <w:jc w:val="center"/>
        <w:rPr>
          <w:rFonts w:ascii="宋体" w:hAnsi="宋体" w:cs="宋体"/>
          <w:b/>
          <w:color w:val="auto"/>
          <w:kern w:val="0"/>
          <w:sz w:val="32"/>
          <w:szCs w:val="32"/>
          <w:highlight w:val="none"/>
        </w:rPr>
      </w:pPr>
    </w:p>
    <w:p w14:paraId="3F52C418">
      <w:pPr>
        <w:jc w:val="center"/>
        <w:rPr>
          <w:rFonts w:ascii="宋体" w:hAnsi="宋体" w:cs="宋体"/>
          <w:b/>
          <w:color w:val="auto"/>
          <w:kern w:val="0"/>
          <w:sz w:val="32"/>
          <w:szCs w:val="32"/>
          <w:highlight w:val="none"/>
        </w:rPr>
      </w:pPr>
    </w:p>
    <w:p w14:paraId="3CD1EB82">
      <w:pPr>
        <w:ind w:firstLine="2891" w:firstLineChars="90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六、投标标的清单</w:t>
      </w:r>
    </w:p>
    <w:tbl>
      <w:tblPr>
        <w:tblStyle w:val="41"/>
        <w:tblW w:w="101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460"/>
        <w:gridCol w:w="1260"/>
        <w:gridCol w:w="2140"/>
        <w:gridCol w:w="1390"/>
        <w:gridCol w:w="1763"/>
      </w:tblGrid>
      <w:tr w14:paraId="08101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00924542">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1369" w:type="dxa"/>
            <w:tcBorders>
              <w:top w:val="single" w:color="auto" w:sz="4" w:space="0"/>
              <w:left w:val="single" w:color="auto" w:sz="4" w:space="0"/>
              <w:bottom w:val="single" w:color="auto" w:sz="4" w:space="0"/>
              <w:right w:val="single" w:color="auto" w:sz="4" w:space="0"/>
            </w:tcBorders>
            <w:vAlign w:val="center"/>
          </w:tcPr>
          <w:p w14:paraId="46F2C493">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名称</w:t>
            </w:r>
          </w:p>
        </w:tc>
        <w:tc>
          <w:tcPr>
            <w:tcW w:w="1460" w:type="dxa"/>
            <w:tcBorders>
              <w:top w:val="single" w:color="auto" w:sz="4" w:space="0"/>
              <w:left w:val="single" w:color="auto" w:sz="4" w:space="0"/>
              <w:bottom w:val="single" w:color="auto" w:sz="4" w:space="0"/>
              <w:right w:val="single" w:color="auto" w:sz="4" w:space="0"/>
            </w:tcBorders>
          </w:tcPr>
          <w:p w14:paraId="275837DE">
            <w:pPr>
              <w:spacing w:line="360" w:lineRule="auto"/>
              <w:jc w:val="center"/>
              <w:rPr>
                <w:rFonts w:ascii="宋体" w:hAnsi="宋体" w:cs="宋体"/>
                <w:b/>
                <w:color w:val="auto"/>
                <w:sz w:val="24"/>
                <w:highlight w:val="none"/>
              </w:rPr>
            </w:pPr>
          </w:p>
          <w:p w14:paraId="1A950643">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服务范围</w:t>
            </w:r>
          </w:p>
        </w:tc>
        <w:tc>
          <w:tcPr>
            <w:tcW w:w="1260" w:type="dxa"/>
            <w:tcBorders>
              <w:top w:val="single" w:color="auto" w:sz="4" w:space="0"/>
              <w:left w:val="single" w:color="auto" w:sz="4" w:space="0"/>
              <w:bottom w:val="single" w:color="auto" w:sz="4" w:space="0"/>
              <w:right w:val="single" w:color="auto" w:sz="4" w:space="0"/>
            </w:tcBorders>
            <w:vAlign w:val="center"/>
          </w:tcPr>
          <w:p w14:paraId="4EAFEC29">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服务要求</w:t>
            </w:r>
          </w:p>
        </w:tc>
        <w:tc>
          <w:tcPr>
            <w:tcW w:w="2140" w:type="dxa"/>
            <w:tcBorders>
              <w:top w:val="single" w:color="auto" w:sz="4" w:space="0"/>
              <w:left w:val="single" w:color="auto" w:sz="4" w:space="0"/>
              <w:bottom w:val="single" w:color="auto" w:sz="4" w:space="0"/>
              <w:right w:val="single" w:color="auto" w:sz="4" w:space="0"/>
            </w:tcBorders>
            <w:vAlign w:val="center"/>
          </w:tcPr>
          <w:p w14:paraId="435F0D92">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服务时间</w:t>
            </w:r>
          </w:p>
        </w:tc>
        <w:tc>
          <w:tcPr>
            <w:tcW w:w="1390" w:type="dxa"/>
            <w:tcBorders>
              <w:top w:val="single" w:color="auto" w:sz="4" w:space="0"/>
              <w:left w:val="single" w:color="auto" w:sz="4" w:space="0"/>
              <w:bottom w:val="single" w:color="auto" w:sz="4" w:space="0"/>
              <w:right w:val="single" w:color="auto" w:sz="4" w:space="0"/>
            </w:tcBorders>
            <w:vAlign w:val="center"/>
          </w:tcPr>
          <w:p w14:paraId="6EB2446F">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服务标准</w:t>
            </w:r>
          </w:p>
        </w:tc>
        <w:tc>
          <w:tcPr>
            <w:tcW w:w="1763" w:type="dxa"/>
            <w:tcBorders>
              <w:top w:val="single" w:color="auto" w:sz="4" w:space="0"/>
              <w:left w:val="single" w:color="auto" w:sz="4" w:space="0"/>
              <w:bottom w:val="single" w:color="auto" w:sz="4" w:space="0"/>
              <w:right w:val="single" w:color="auto" w:sz="4" w:space="0"/>
            </w:tcBorders>
            <w:vAlign w:val="center"/>
          </w:tcPr>
          <w:p w14:paraId="339BA45A">
            <w:pPr>
              <w:spacing w:line="360" w:lineRule="auto"/>
              <w:jc w:val="center"/>
              <w:rPr>
                <w:rFonts w:ascii="宋体" w:hAnsi="宋体" w:cs="宋体"/>
                <w:b/>
                <w:color w:val="auto"/>
                <w:sz w:val="24"/>
                <w:highlight w:val="none"/>
              </w:rPr>
            </w:pPr>
          </w:p>
          <w:p w14:paraId="0936C0A6">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备注（如果有）</w:t>
            </w:r>
          </w:p>
          <w:p w14:paraId="3AAA1165">
            <w:pPr>
              <w:spacing w:line="360" w:lineRule="auto"/>
              <w:jc w:val="center"/>
              <w:rPr>
                <w:rFonts w:ascii="宋体" w:hAnsi="宋体" w:cs="宋体"/>
                <w:b/>
                <w:color w:val="auto"/>
                <w:sz w:val="24"/>
                <w:highlight w:val="none"/>
              </w:rPr>
            </w:pPr>
          </w:p>
        </w:tc>
      </w:tr>
      <w:tr w14:paraId="70678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78FC2776">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1369" w:type="dxa"/>
            <w:tcBorders>
              <w:top w:val="single" w:color="auto" w:sz="4" w:space="0"/>
              <w:left w:val="single" w:color="auto" w:sz="4" w:space="0"/>
              <w:bottom w:val="single" w:color="auto" w:sz="4" w:space="0"/>
              <w:right w:val="single" w:color="auto" w:sz="4" w:space="0"/>
            </w:tcBorders>
            <w:vAlign w:val="center"/>
          </w:tcPr>
          <w:p w14:paraId="256C2D02">
            <w:pPr>
              <w:snapToGrid w:val="0"/>
              <w:spacing w:line="360" w:lineRule="auto"/>
              <w:jc w:val="center"/>
              <w:rPr>
                <w:rFonts w:ascii="宋体" w:hAnsi="宋体" w:cs="宋体"/>
                <w:color w:val="auto"/>
                <w:sz w:val="24"/>
                <w:highlight w:val="none"/>
              </w:rPr>
            </w:pPr>
          </w:p>
        </w:tc>
        <w:tc>
          <w:tcPr>
            <w:tcW w:w="1460" w:type="dxa"/>
            <w:tcBorders>
              <w:top w:val="single" w:color="auto" w:sz="4" w:space="0"/>
              <w:left w:val="single" w:color="auto" w:sz="4" w:space="0"/>
              <w:bottom w:val="single" w:color="auto" w:sz="4" w:space="0"/>
              <w:right w:val="single" w:color="auto" w:sz="4" w:space="0"/>
            </w:tcBorders>
            <w:vAlign w:val="center"/>
          </w:tcPr>
          <w:p w14:paraId="25AD66EE">
            <w:pPr>
              <w:snapToGrid w:val="0"/>
              <w:spacing w:line="360" w:lineRule="auto"/>
              <w:jc w:val="center"/>
              <w:rPr>
                <w:rFonts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7E948339">
            <w:pPr>
              <w:snapToGrid w:val="0"/>
              <w:spacing w:line="360" w:lineRule="auto"/>
              <w:jc w:val="center"/>
              <w:rPr>
                <w:rFonts w:ascii="宋体" w:hAnsi="宋体" w:cs="宋体"/>
                <w:color w:val="auto"/>
                <w:sz w:val="24"/>
                <w:highlight w:val="none"/>
              </w:rPr>
            </w:pPr>
          </w:p>
        </w:tc>
        <w:tc>
          <w:tcPr>
            <w:tcW w:w="2140" w:type="dxa"/>
            <w:tcBorders>
              <w:top w:val="single" w:color="auto" w:sz="4" w:space="0"/>
              <w:left w:val="single" w:color="auto" w:sz="4" w:space="0"/>
              <w:bottom w:val="single" w:color="auto" w:sz="4" w:space="0"/>
              <w:right w:val="single" w:color="auto" w:sz="4" w:space="0"/>
            </w:tcBorders>
            <w:vAlign w:val="center"/>
          </w:tcPr>
          <w:p w14:paraId="5AD4DC2F">
            <w:pPr>
              <w:spacing w:line="360" w:lineRule="auto"/>
              <w:jc w:val="center"/>
              <w:rPr>
                <w:rFonts w:ascii="宋体" w:hAnsi="宋体" w:cs="宋体"/>
                <w:color w:val="auto"/>
                <w:sz w:val="24"/>
                <w:highlight w:val="none"/>
              </w:rPr>
            </w:pPr>
          </w:p>
        </w:tc>
        <w:tc>
          <w:tcPr>
            <w:tcW w:w="1390" w:type="dxa"/>
            <w:tcBorders>
              <w:top w:val="single" w:color="auto" w:sz="4" w:space="0"/>
              <w:left w:val="single" w:color="auto" w:sz="4" w:space="0"/>
              <w:bottom w:val="single" w:color="auto" w:sz="4" w:space="0"/>
              <w:right w:val="single" w:color="auto" w:sz="4" w:space="0"/>
            </w:tcBorders>
            <w:vAlign w:val="center"/>
          </w:tcPr>
          <w:p w14:paraId="4D466ADC">
            <w:pPr>
              <w:spacing w:line="360" w:lineRule="auto"/>
              <w:jc w:val="center"/>
              <w:rPr>
                <w:rFonts w:ascii="宋体" w:hAnsi="宋体" w:cs="宋体"/>
                <w:color w:val="auto"/>
                <w:sz w:val="24"/>
                <w:highlight w:val="none"/>
              </w:rPr>
            </w:pPr>
          </w:p>
        </w:tc>
        <w:tc>
          <w:tcPr>
            <w:tcW w:w="1763" w:type="dxa"/>
            <w:tcBorders>
              <w:top w:val="single" w:color="auto" w:sz="4" w:space="0"/>
              <w:left w:val="single" w:color="auto" w:sz="4" w:space="0"/>
              <w:bottom w:val="single" w:color="auto" w:sz="4" w:space="0"/>
              <w:right w:val="single" w:color="auto" w:sz="4" w:space="0"/>
            </w:tcBorders>
            <w:vAlign w:val="center"/>
          </w:tcPr>
          <w:p w14:paraId="0AF1BC22">
            <w:pPr>
              <w:spacing w:line="360" w:lineRule="auto"/>
              <w:jc w:val="center"/>
              <w:rPr>
                <w:rFonts w:ascii="宋体" w:hAnsi="宋体" w:cs="宋体"/>
                <w:color w:val="auto"/>
                <w:sz w:val="24"/>
                <w:highlight w:val="none"/>
              </w:rPr>
            </w:pPr>
          </w:p>
        </w:tc>
      </w:tr>
      <w:tr w14:paraId="6997F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54715C11">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1369" w:type="dxa"/>
            <w:tcBorders>
              <w:top w:val="single" w:color="auto" w:sz="4" w:space="0"/>
              <w:left w:val="single" w:color="auto" w:sz="4" w:space="0"/>
              <w:bottom w:val="single" w:color="auto" w:sz="4" w:space="0"/>
              <w:right w:val="single" w:color="auto" w:sz="4" w:space="0"/>
            </w:tcBorders>
            <w:vAlign w:val="center"/>
          </w:tcPr>
          <w:p w14:paraId="451C0F64">
            <w:pPr>
              <w:snapToGrid w:val="0"/>
              <w:spacing w:line="360" w:lineRule="auto"/>
              <w:jc w:val="center"/>
              <w:rPr>
                <w:rFonts w:ascii="宋体" w:hAnsi="宋体" w:cs="宋体"/>
                <w:color w:val="auto"/>
                <w:sz w:val="24"/>
                <w:highlight w:val="none"/>
              </w:rPr>
            </w:pPr>
          </w:p>
        </w:tc>
        <w:tc>
          <w:tcPr>
            <w:tcW w:w="1460" w:type="dxa"/>
            <w:tcBorders>
              <w:top w:val="single" w:color="auto" w:sz="4" w:space="0"/>
              <w:left w:val="single" w:color="auto" w:sz="4" w:space="0"/>
              <w:bottom w:val="single" w:color="auto" w:sz="4" w:space="0"/>
              <w:right w:val="single" w:color="auto" w:sz="4" w:space="0"/>
            </w:tcBorders>
            <w:vAlign w:val="center"/>
          </w:tcPr>
          <w:p w14:paraId="772E6ADF">
            <w:pPr>
              <w:snapToGrid w:val="0"/>
              <w:spacing w:line="360" w:lineRule="auto"/>
              <w:jc w:val="center"/>
              <w:rPr>
                <w:rFonts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203B5E8A">
            <w:pPr>
              <w:snapToGrid w:val="0"/>
              <w:spacing w:line="360" w:lineRule="auto"/>
              <w:jc w:val="center"/>
              <w:rPr>
                <w:rFonts w:ascii="宋体" w:hAnsi="宋体" w:cs="宋体"/>
                <w:color w:val="auto"/>
                <w:sz w:val="24"/>
                <w:highlight w:val="none"/>
              </w:rPr>
            </w:pPr>
          </w:p>
        </w:tc>
        <w:tc>
          <w:tcPr>
            <w:tcW w:w="2140" w:type="dxa"/>
            <w:tcBorders>
              <w:top w:val="single" w:color="auto" w:sz="4" w:space="0"/>
              <w:left w:val="single" w:color="auto" w:sz="4" w:space="0"/>
              <w:bottom w:val="single" w:color="auto" w:sz="4" w:space="0"/>
              <w:right w:val="single" w:color="auto" w:sz="4" w:space="0"/>
            </w:tcBorders>
            <w:vAlign w:val="center"/>
          </w:tcPr>
          <w:p w14:paraId="73516BF5">
            <w:pPr>
              <w:spacing w:line="360" w:lineRule="auto"/>
              <w:jc w:val="center"/>
              <w:rPr>
                <w:rFonts w:ascii="宋体" w:hAnsi="宋体" w:cs="宋体"/>
                <w:color w:val="auto"/>
                <w:sz w:val="24"/>
                <w:highlight w:val="none"/>
              </w:rPr>
            </w:pPr>
          </w:p>
        </w:tc>
        <w:tc>
          <w:tcPr>
            <w:tcW w:w="1390" w:type="dxa"/>
            <w:tcBorders>
              <w:top w:val="single" w:color="auto" w:sz="4" w:space="0"/>
              <w:left w:val="single" w:color="auto" w:sz="4" w:space="0"/>
              <w:bottom w:val="single" w:color="auto" w:sz="4" w:space="0"/>
              <w:right w:val="single" w:color="auto" w:sz="4" w:space="0"/>
            </w:tcBorders>
            <w:vAlign w:val="center"/>
          </w:tcPr>
          <w:p w14:paraId="6B116ADC">
            <w:pPr>
              <w:spacing w:line="360" w:lineRule="auto"/>
              <w:jc w:val="center"/>
              <w:rPr>
                <w:rFonts w:ascii="宋体" w:hAnsi="宋体" w:cs="宋体"/>
                <w:color w:val="auto"/>
                <w:sz w:val="24"/>
                <w:highlight w:val="none"/>
              </w:rPr>
            </w:pPr>
          </w:p>
        </w:tc>
        <w:tc>
          <w:tcPr>
            <w:tcW w:w="1763" w:type="dxa"/>
            <w:tcBorders>
              <w:top w:val="single" w:color="auto" w:sz="4" w:space="0"/>
              <w:left w:val="single" w:color="auto" w:sz="4" w:space="0"/>
              <w:bottom w:val="single" w:color="auto" w:sz="4" w:space="0"/>
              <w:right w:val="single" w:color="auto" w:sz="4" w:space="0"/>
            </w:tcBorders>
            <w:vAlign w:val="center"/>
          </w:tcPr>
          <w:p w14:paraId="44372C5E">
            <w:pPr>
              <w:spacing w:line="360" w:lineRule="auto"/>
              <w:jc w:val="center"/>
              <w:rPr>
                <w:rFonts w:ascii="宋体" w:hAnsi="宋体" w:cs="宋体"/>
                <w:color w:val="auto"/>
                <w:sz w:val="24"/>
                <w:highlight w:val="none"/>
              </w:rPr>
            </w:pPr>
          </w:p>
        </w:tc>
      </w:tr>
      <w:tr w14:paraId="14924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7DE8D145">
            <w:pPr>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1369" w:type="dxa"/>
            <w:tcBorders>
              <w:top w:val="single" w:color="auto" w:sz="4" w:space="0"/>
              <w:left w:val="single" w:color="auto" w:sz="4" w:space="0"/>
              <w:bottom w:val="single" w:color="auto" w:sz="4" w:space="0"/>
              <w:right w:val="single" w:color="auto" w:sz="4" w:space="0"/>
            </w:tcBorders>
            <w:vAlign w:val="center"/>
          </w:tcPr>
          <w:p w14:paraId="7CD4DBD6">
            <w:pPr>
              <w:snapToGrid w:val="0"/>
              <w:spacing w:line="360" w:lineRule="auto"/>
              <w:jc w:val="center"/>
              <w:rPr>
                <w:rFonts w:ascii="宋体" w:hAnsi="宋体" w:cs="宋体"/>
                <w:color w:val="auto"/>
                <w:sz w:val="24"/>
                <w:highlight w:val="none"/>
              </w:rPr>
            </w:pPr>
          </w:p>
        </w:tc>
        <w:tc>
          <w:tcPr>
            <w:tcW w:w="1460" w:type="dxa"/>
            <w:tcBorders>
              <w:top w:val="single" w:color="auto" w:sz="4" w:space="0"/>
              <w:left w:val="single" w:color="auto" w:sz="4" w:space="0"/>
              <w:bottom w:val="single" w:color="auto" w:sz="4" w:space="0"/>
              <w:right w:val="single" w:color="auto" w:sz="4" w:space="0"/>
            </w:tcBorders>
            <w:vAlign w:val="center"/>
          </w:tcPr>
          <w:p w14:paraId="6CAA1AD6">
            <w:pPr>
              <w:snapToGrid w:val="0"/>
              <w:spacing w:line="360" w:lineRule="auto"/>
              <w:jc w:val="center"/>
              <w:rPr>
                <w:rFonts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2DEE4353">
            <w:pPr>
              <w:snapToGrid w:val="0"/>
              <w:spacing w:line="360" w:lineRule="auto"/>
              <w:jc w:val="center"/>
              <w:rPr>
                <w:rFonts w:ascii="宋体" w:hAnsi="宋体" w:cs="宋体"/>
                <w:color w:val="auto"/>
                <w:sz w:val="24"/>
                <w:highlight w:val="none"/>
              </w:rPr>
            </w:pPr>
          </w:p>
        </w:tc>
        <w:tc>
          <w:tcPr>
            <w:tcW w:w="2140" w:type="dxa"/>
            <w:tcBorders>
              <w:top w:val="single" w:color="auto" w:sz="4" w:space="0"/>
              <w:left w:val="single" w:color="auto" w:sz="4" w:space="0"/>
              <w:bottom w:val="single" w:color="auto" w:sz="4" w:space="0"/>
              <w:right w:val="single" w:color="auto" w:sz="4" w:space="0"/>
            </w:tcBorders>
            <w:vAlign w:val="center"/>
          </w:tcPr>
          <w:p w14:paraId="766679C0">
            <w:pPr>
              <w:spacing w:line="360" w:lineRule="auto"/>
              <w:jc w:val="center"/>
              <w:rPr>
                <w:rFonts w:ascii="宋体" w:hAnsi="宋体" w:cs="宋体"/>
                <w:color w:val="auto"/>
                <w:sz w:val="24"/>
                <w:highlight w:val="none"/>
              </w:rPr>
            </w:pPr>
          </w:p>
        </w:tc>
        <w:tc>
          <w:tcPr>
            <w:tcW w:w="1390" w:type="dxa"/>
            <w:tcBorders>
              <w:top w:val="single" w:color="auto" w:sz="4" w:space="0"/>
              <w:left w:val="single" w:color="auto" w:sz="4" w:space="0"/>
              <w:bottom w:val="single" w:color="auto" w:sz="4" w:space="0"/>
              <w:right w:val="single" w:color="auto" w:sz="4" w:space="0"/>
            </w:tcBorders>
            <w:vAlign w:val="center"/>
          </w:tcPr>
          <w:p w14:paraId="005E1B02">
            <w:pPr>
              <w:spacing w:line="360" w:lineRule="auto"/>
              <w:jc w:val="center"/>
              <w:rPr>
                <w:rFonts w:ascii="宋体" w:hAnsi="宋体" w:cs="宋体"/>
                <w:color w:val="auto"/>
                <w:sz w:val="24"/>
                <w:highlight w:val="none"/>
              </w:rPr>
            </w:pPr>
          </w:p>
        </w:tc>
        <w:tc>
          <w:tcPr>
            <w:tcW w:w="1763" w:type="dxa"/>
            <w:tcBorders>
              <w:top w:val="single" w:color="auto" w:sz="4" w:space="0"/>
              <w:left w:val="single" w:color="auto" w:sz="4" w:space="0"/>
              <w:bottom w:val="single" w:color="auto" w:sz="4" w:space="0"/>
              <w:right w:val="single" w:color="auto" w:sz="4" w:space="0"/>
            </w:tcBorders>
            <w:vAlign w:val="center"/>
          </w:tcPr>
          <w:p w14:paraId="4F321876">
            <w:pPr>
              <w:spacing w:line="360" w:lineRule="auto"/>
              <w:jc w:val="center"/>
              <w:rPr>
                <w:rFonts w:ascii="宋体" w:hAnsi="宋体" w:cs="宋体"/>
                <w:color w:val="auto"/>
                <w:sz w:val="24"/>
                <w:highlight w:val="none"/>
              </w:rPr>
            </w:pPr>
          </w:p>
        </w:tc>
      </w:tr>
    </w:tbl>
    <w:p w14:paraId="31648300">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539D322F">
      <w:pPr>
        <w:jc w:val="center"/>
        <w:rPr>
          <w:rFonts w:ascii="宋体" w:hAnsi="宋体" w:cs="宋体"/>
          <w:b/>
          <w:color w:val="auto"/>
          <w:kern w:val="0"/>
          <w:sz w:val="32"/>
          <w:szCs w:val="32"/>
          <w:highlight w:val="none"/>
        </w:rPr>
      </w:pPr>
    </w:p>
    <w:p w14:paraId="7D7FEFD4">
      <w:pPr>
        <w:jc w:val="center"/>
        <w:rPr>
          <w:rFonts w:ascii="宋体" w:hAnsi="宋体" w:cs="宋体"/>
          <w:b/>
          <w:color w:val="auto"/>
          <w:kern w:val="0"/>
          <w:sz w:val="32"/>
          <w:szCs w:val="32"/>
          <w:highlight w:val="none"/>
        </w:rPr>
      </w:pPr>
    </w:p>
    <w:p w14:paraId="43909F5C">
      <w:pPr>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br w:type="page"/>
      </w:r>
    </w:p>
    <w:p w14:paraId="195F58BF">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七、商务技术偏离表</w:t>
      </w:r>
    </w:p>
    <w:tbl>
      <w:tblPr>
        <w:tblStyle w:val="42"/>
        <w:tblW w:w="83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180"/>
        <w:gridCol w:w="3062"/>
        <w:gridCol w:w="1278"/>
      </w:tblGrid>
      <w:tr w14:paraId="26F47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125C904">
            <w:pPr>
              <w:jc w:val="center"/>
              <w:rPr>
                <w:rFonts w:ascii="宋体" w:hAnsi="宋体" w:cs="宋体"/>
                <w:b/>
                <w:bCs/>
                <w:color w:val="auto"/>
                <w:sz w:val="24"/>
                <w:highlight w:val="none"/>
              </w:rPr>
            </w:pPr>
            <w:r>
              <w:rPr>
                <w:rFonts w:hint="eastAsia" w:ascii="宋体" w:hAnsi="宋体" w:cs="宋体"/>
                <w:b/>
                <w:bCs/>
                <w:color w:val="auto"/>
                <w:sz w:val="24"/>
                <w:highlight w:val="none"/>
              </w:rPr>
              <w:t>序号</w:t>
            </w:r>
          </w:p>
        </w:tc>
        <w:tc>
          <w:tcPr>
            <w:tcW w:w="3180" w:type="dxa"/>
          </w:tcPr>
          <w:p w14:paraId="4473D0EB">
            <w:pPr>
              <w:jc w:val="center"/>
              <w:rPr>
                <w:rFonts w:ascii="宋体" w:hAnsi="宋体" w:cs="宋体"/>
                <w:b/>
                <w:bCs/>
                <w:color w:val="auto"/>
                <w:sz w:val="24"/>
                <w:highlight w:val="none"/>
              </w:rPr>
            </w:pPr>
            <w:r>
              <w:rPr>
                <w:rFonts w:hint="eastAsia" w:ascii="宋体" w:hAnsi="宋体" w:cs="宋体"/>
                <w:b/>
                <w:bCs/>
                <w:color w:val="auto"/>
                <w:sz w:val="24"/>
                <w:highlight w:val="none"/>
              </w:rPr>
              <w:t>招标文件章节及具体内容</w:t>
            </w:r>
          </w:p>
        </w:tc>
        <w:tc>
          <w:tcPr>
            <w:tcW w:w="3062" w:type="dxa"/>
          </w:tcPr>
          <w:p w14:paraId="022EA962">
            <w:pPr>
              <w:jc w:val="center"/>
              <w:rPr>
                <w:rFonts w:ascii="宋体" w:hAnsi="宋体" w:cs="宋体"/>
                <w:b/>
                <w:bCs/>
                <w:color w:val="auto"/>
                <w:sz w:val="24"/>
                <w:highlight w:val="none"/>
              </w:rPr>
            </w:pPr>
            <w:r>
              <w:rPr>
                <w:rFonts w:hint="eastAsia" w:ascii="宋体" w:hAnsi="宋体" w:cs="宋体"/>
                <w:b/>
                <w:bCs/>
                <w:color w:val="auto"/>
                <w:sz w:val="24"/>
                <w:highlight w:val="none"/>
              </w:rPr>
              <w:t>投标文件章节及具体内容</w:t>
            </w:r>
          </w:p>
        </w:tc>
        <w:tc>
          <w:tcPr>
            <w:tcW w:w="1278" w:type="dxa"/>
          </w:tcPr>
          <w:p w14:paraId="4C9DC42F">
            <w:pPr>
              <w:jc w:val="center"/>
              <w:rPr>
                <w:rFonts w:ascii="宋体" w:hAnsi="宋体" w:cs="宋体"/>
                <w:b/>
                <w:bCs/>
                <w:color w:val="auto"/>
                <w:sz w:val="24"/>
                <w:highlight w:val="none"/>
              </w:rPr>
            </w:pPr>
            <w:r>
              <w:rPr>
                <w:rFonts w:hint="eastAsia" w:ascii="宋体" w:hAnsi="宋体" w:cs="宋体"/>
                <w:b/>
                <w:bCs/>
                <w:color w:val="auto"/>
                <w:sz w:val="24"/>
                <w:highlight w:val="none"/>
              </w:rPr>
              <w:t>偏离说明</w:t>
            </w:r>
          </w:p>
        </w:tc>
      </w:tr>
      <w:tr w14:paraId="69CC5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EA7BBB6">
            <w:pPr>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3180" w:type="dxa"/>
          </w:tcPr>
          <w:p w14:paraId="5887B185">
            <w:pPr>
              <w:jc w:val="center"/>
              <w:rPr>
                <w:rFonts w:ascii="宋体" w:hAnsi="宋体" w:cs="宋体"/>
                <w:b/>
                <w:color w:val="auto"/>
                <w:kern w:val="0"/>
                <w:sz w:val="32"/>
                <w:szCs w:val="32"/>
                <w:highlight w:val="none"/>
              </w:rPr>
            </w:pPr>
          </w:p>
        </w:tc>
        <w:tc>
          <w:tcPr>
            <w:tcW w:w="3062" w:type="dxa"/>
          </w:tcPr>
          <w:p w14:paraId="6313D35F">
            <w:pPr>
              <w:jc w:val="center"/>
              <w:rPr>
                <w:rFonts w:ascii="宋体" w:hAnsi="宋体" w:cs="宋体"/>
                <w:b/>
                <w:color w:val="auto"/>
                <w:kern w:val="0"/>
                <w:sz w:val="32"/>
                <w:szCs w:val="32"/>
                <w:highlight w:val="none"/>
              </w:rPr>
            </w:pPr>
          </w:p>
        </w:tc>
        <w:tc>
          <w:tcPr>
            <w:tcW w:w="1278" w:type="dxa"/>
          </w:tcPr>
          <w:p w14:paraId="33C92569">
            <w:pPr>
              <w:jc w:val="center"/>
              <w:rPr>
                <w:rFonts w:ascii="宋体" w:hAnsi="宋体" w:cs="宋体"/>
                <w:b/>
                <w:color w:val="auto"/>
                <w:kern w:val="0"/>
                <w:sz w:val="32"/>
                <w:szCs w:val="32"/>
                <w:highlight w:val="none"/>
              </w:rPr>
            </w:pPr>
          </w:p>
        </w:tc>
      </w:tr>
      <w:tr w14:paraId="03D9B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732392A">
            <w:pPr>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3180" w:type="dxa"/>
          </w:tcPr>
          <w:p w14:paraId="65CD1577">
            <w:pPr>
              <w:jc w:val="center"/>
              <w:rPr>
                <w:rFonts w:ascii="宋体" w:hAnsi="宋体" w:cs="宋体"/>
                <w:b/>
                <w:color w:val="auto"/>
                <w:kern w:val="0"/>
                <w:sz w:val="32"/>
                <w:szCs w:val="32"/>
                <w:highlight w:val="none"/>
              </w:rPr>
            </w:pPr>
          </w:p>
        </w:tc>
        <w:tc>
          <w:tcPr>
            <w:tcW w:w="3062" w:type="dxa"/>
          </w:tcPr>
          <w:p w14:paraId="0BB8F451">
            <w:pPr>
              <w:jc w:val="center"/>
              <w:rPr>
                <w:rFonts w:ascii="宋体" w:hAnsi="宋体" w:cs="宋体"/>
                <w:b/>
                <w:color w:val="auto"/>
                <w:kern w:val="0"/>
                <w:sz w:val="32"/>
                <w:szCs w:val="32"/>
                <w:highlight w:val="none"/>
              </w:rPr>
            </w:pPr>
          </w:p>
        </w:tc>
        <w:tc>
          <w:tcPr>
            <w:tcW w:w="1278" w:type="dxa"/>
          </w:tcPr>
          <w:p w14:paraId="7E30D88F">
            <w:pPr>
              <w:jc w:val="center"/>
              <w:rPr>
                <w:rFonts w:ascii="宋体" w:hAnsi="宋体" w:cs="宋体"/>
                <w:b/>
                <w:color w:val="auto"/>
                <w:kern w:val="0"/>
                <w:sz w:val="32"/>
                <w:szCs w:val="32"/>
                <w:highlight w:val="none"/>
              </w:rPr>
            </w:pPr>
          </w:p>
        </w:tc>
      </w:tr>
      <w:tr w14:paraId="31DA1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742CD61">
            <w:pPr>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3180" w:type="dxa"/>
          </w:tcPr>
          <w:p w14:paraId="3713E27D">
            <w:pPr>
              <w:jc w:val="center"/>
              <w:rPr>
                <w:rFonts w:ascii="宋体" w:hAnsi="宋体" w:cs="宋体"/>
                <w:b/>
                <w:color w:val="auto"/>
                <w:kern w:val="0"/>
                <w:sz w:val="32"/>
                <w:szCs w:val="32"/>
                <w:highlight w:val="none"/>
              </w:rPr>
            </w:pPr>
          </w:p>
        </w:tc>
        <w:tc>
          <w:tcPr>
            <w:tcW w:w="3062" w:type="dxa"/>
          </w:tcPr>
          <w:p w14:paraId="3F789516">
            <w:pPr>
              <w:jc w:val="center"/>
              <w:rPr>
                <w:rFonts w:ascii="宋体" w:hAnsi="宋体" w:cs="宋体"/>
                <w:b/>
                <w:color w:val="auto"/>
                <w:kern w:val="0"/>
                <w:sz w:val="32"/>
                <w:szCs w:val="32"/>
                <w:highlight w:val="none"/>
              </w:rPr>
            </w:pPr>
          </w:p>
        </w:tc>
        <w:tc>
          <w:tcPr>
            <w:tcW w:w="1278" w:type="dxa"/>
          </w:tcPr>
          <w:p w14:paraId="3D0F9225">
            <w:pPr>
              <w:jc w:val="center"/>
              <w:rPr>
                <w:rFonts w:ascii="宋体" w:hAnsi="宋体" w:cs="宋体"/>
                <w:b/>
                <w:color w:val="auto"/>
                <w:kern w:val="0"/>
                <w:sz w:val="32"/>
                <w:szCs w:val="32"/>
                <w:highlight w:val="none"/>
              </w:rPr>
            </w:pPr>
          </w:p>
        </w:tc>
      </w:tr>
    </w:tbl>
    <w:p w14:paraId="2841AD4C">
      <w:pPr>
        <w:jc w:val="left"/>
        <w:rPr>
          <w:rFonts w:ascii="宋体" w:hAnsi="宋体" w:cs="宋体"/>
          <w:color w:val="auto"/>
          <w:kern w:val="0"/>
          <w:sz w:val="24"/>
          <w:highlight w:val="none"/>
        </w:rPr>
      </w:pPr>
      <w:r>
        <w:rPr>
          <w:rFonts w:hint="eastAsia" w:ascii="宋体" w:hAnsi="宋体" w:cs="宋体"/>
          <w:color w:val="auto"/>
          <w:kern w:val="0"/>
          <w:sz w:val="24"/>
          <w:highlight w:val="none"/>
        </w:rPr>
        <w:t>投标人保证：除商务技术偏离表列出的偏离外，投标人响应招标文件的全部要求</w:t>
      </w:r>
    </w:p>
    <w:p w14:paraId="64101DEC">
      <w:pPr>
        <w:jc w:val="center"/>
        <w:rPr>
          <w:rFonts w:ascii="宋体" w:hAnsi="宋体" w:cs="宋体"/>
          <w:b/>
          <w:color w:val="auto"/>
          <w:kern w:val="0"/>
          <w:sz w:val="32"/>
          <w:szCs w:val="32"/>
          <w:highlight w:val="none"/>
        </w:rPr>
      </w:pPr>
    </w:p>
    <w:p w14:paraId="44AC93F8">
      <w:pPr>
        <w:spacing w:line="360" w:lineRule="auto"/>
        <w:ind w:right="420"/>
        <w:rPr>
          <w:rFonts w:hint="eastAsia" w:ascii="宋体" w:hAnsi="宋体" w:cs="宋体"/>
          <w:color w:val="auto"/>
          <w:sz w:val="24"/>
          <w:highlight w:val="none"/>
        </w:rPr>
      </w:pPr>
      <w:r>
        <w:rPr>
          <w:rFonts w:hint="eastAsia" w:ascii="宋体" w:hAnsi="宋体" w:cs="宋体"/>
          <w:color w:val="auto"/>
          <w:sz w:val="24"/>
          <w:highlight w:val="none"/>
        </w:rPr>
        <w:t>注：</w:t>
      </w:r>
      <w:r>
        <w:rPr>
          <w:rFonts w:hint="eastAsia" w:ascii="宋体" w:hAnsi="宋体" w:cs="宋体"/>
          <w:color w:val="auto"/>
          <w:sz w:val="24"/>
          <w:highlight w:val="none"/>
          <w:lang w:val="en-US" w:eastAsia="zh-CN"/>
        </w:rPr>
        <w:t>1.</w:t>
      </w:r>
      <w:r>
        <w:rPr>
          <w:rFonts w:hint="eastAsia" w:ascii="宋体" w:hAnsi="宋体" w:cs="宋体"/>
          <w:color w:val="auto"/>
          <w:sz w:val="24"/>
          <w:highlight w:val="none"/>
        </w:rPr>
        <w:t>按本格式和要求提供。</w:t>
      </w:r>
    </w:p>
    <w:p w14:paraId="49D12D6F">
      <w:pPr>
        <w:spacing w:line="360" w:lineRule="auto"/>
        <w:ind w:right="420"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2.本表格所反映的偏离情况与“符合性审查资料”、“评标标准相应的商务技术资料”不一致的，以“符合性审查资料”、“评标标准相应的商务技术资料”为准。</w:t>
      </w:r>
    </w:p>
    <w:p w14:paraId="0FCB8592">
      <w:pPr>
        <w:spacing w:line="360" w:lineRule="auto"/>
        <w:ind w:right="420"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3.投标人须保证：除商务技术偏离表列出的偏离外，投标人响应招标文件的全部非实质性要求。</w:t>
      </w:r>
    </w:p>
    <w:p w14:paraId="2D3FF672">
      <w:pPr>
        <w:pStyle w:val="50"/>
        <w:rPr>
          <w:rFonts w:hint="eastAsia" w:eastAsia="华文楷体"/>
          <w:color w:val="auto"/>
          <w:highlight w:val="none"/>
          <w:lang w:val="en-US" w:eastAsia="zh-CN"/>
        </w:rPr>
      </w:pPr>
    </w:p>
    <w:p w14:paraId="4A58980E">
      <w:pPr>
        <w:ind w:firstLine="1911" w:firstLineChars="595"/>
        <w:rPr>
          <w:rFonts w:ascii="宋体" w:hAnsi="宋体" w:cs="宋体"/>
          <w:b/>
          <w:bCs/>
          <w:color w:val="auto"/>
          <w:sz w:val="32"/>
          <w:szCs w:val="32"/>
          <w:highlight w:val="none"/>
        </w:rPr>
      </w:pPr>
    </w:p>
    <w:p w14:paraId="34A23EAA">
      <w:pPr>
        <w:ind w:firstLine="1911" w:firstLineChars="595"/>
        <w:rPr>
          <w:rFonts w:ascii="宋体" w:hAnsi="宋体" w:cs="宋体"/>
          <w:b/>
          <w:bCs/>
          <w:color w:val="auto"/>
          <w:sz w:val="32"/>
          <w:szCs w:val="32"/>
          <w:highlight w:val="none"/>
        </w:rPr>
      </w:pPr>
    </w:p>
    <w:p w14:paraId="287626E4">
      <w:pPr>
        <w:ind w:firstLine="1911" w:firstLineChars="595"/>
        <w:rPr>
          <w:rFonts w:ascii="宋体" w:hAnsi="宋体" w:cs="宋体"/>
          <w:b/>
          <w:bCs/>
          <w:color w:val="auto"/>
          <w:sz w:val="32"/>
          <w:szCs w:val="32"/>
          <w:highlight w:val="none"/>
        </w:rPr>
      </w:pPr>
    </w:p>
    <w:p w14:paraId="0E1FBF24">
      <w:pPr>
        <w:ind w:firstLine="1911" w:firstLineChars="595"/>
        <w:rPr>
          <w:rFonts w:ascii="宋体" w:hAnsi="宋体" w:cs="宋体"/>
          <w:b/>
          <w:bCs/>
          <w:color w:val="auto"/>
          <w:sz w:val="32"/>
          <w:szCs w:val="32"/>
          <w:highlight w:val="none"/>
        </w:rPr>
      </w:pPr>
    </w:p>
    <w:p w14:paraId="68711523">
      <w:pPr>
        <w:ind w:firstLine="1911" w:firstLineChars="595"/>
        <w:rPr>
          <w:rFonts w:ascii="宋体" w:hAnsi="宋体" w:cs="宋体"/>
          <w:b/>
          <w:bCs/>
          <w:color w:val="auto"/>
          <w:sz w:val="32"/>
          <w:szCs w:val="32"/>
          <w:highlight w:val="none"/>
        </w:rPr>
      </w:pPr>
    </w:p>
    <w:p w14:paraId="0B9EB54F">
      <w:pPr>
        <w:widowControl/>
        <w:adjustRightInd/>
        <w:jc w:val="left"/>
        <w:rPr>
          <w:rFonts w:ascii="宋体" w:hAnsi="宋体" w:cs="宋体"/>
          <w:b/>
          <w:bCs/>
          <w:color w:val="auto"/>
          <w:sz w:val="32"/>
          <w:szCs w:val="32"/>
          <w:highlight w:val="none"/>
        </w:rPr>
      </w:pPr>
      <w:r>
        <w:rPr>
          <w:rFonts w:ascii="宋体" w:hAnsi="宋体" w:cs="宋体"/>
          <w:b/>
          <w:bCs/>
          <w:color w:val="auto"/>
          <w:sz w:val="32"/>
          <w:szCs w:val="32"/>
          <w:highlight w:val="none"/>
        </w:rPr>
        <w:br w:type="page"/>
      </w:r>
    </w:p>
    <w:p w14:paraId="574211BF">
      <w:pPr>
        <w:ind w:firstLine="1911" w:firstLineChars="595"/>
        <w:rPr>
          <w:rFonts w:ascii="宋体" w:hAnsi="宋体" w:cs="宋体"/>
          <w:b/>
          <w:color w:val="auto"/>
          <w:kern w:val="0"/>
          <w:sz w:val="32"/>
          <w:szCs w:val="32"/>
          <w:highlight w:val="none"/>
        </w:rPr>
      </w:pPr>
      <w:r>
        <w:rPr>
          <w:rFonts w:hint="eastAsia" w:ascii="宋体" w:hAnsi="宋体" w:cs="宋体"/>
          <w:b/>
          <w:bCs/>
          <w:color w:val="auto"/>
          <w:sz w:val="32"/>
          <w:szCs w:val="32"/>
          <w:highlight w:val="none"/>
        </w:rPr>
        <w:t>八</w:t>
      </w:r>
      <w:r>
        <w:rPr>
          <w:rFonts w:hint="eastAsia" w:ascii="宋体" w:hAnsi="宋体" w:cs="宋体"/>
          <w:b/>
          <w:color w:val="auto"/>
          <w:kern w:val="0"/>
          <w:sz w:val="32"/>
          <w:szCs w:val="32"/>
          <w:highlight w:val="none"/>
        </w:rPr>
        <w:t>、</w:t>
      </w:r>
      <w:r>
        <w:rPr>
          <w:rFonts w:hint="eastAsia" w:ascii="宋体" w:hAnsi="宋体" w:cs="宋体"/>
          <w:b/>
          <w:color w:val="auto"/>
          <w:kern w:val="0"/>
          <w:sz w:val="32"/>
          <w:szCs w:val="32"/>
          <w:highlight w:val="none"/>
          <w:lang w:val="zh-CN"/>
        </w:rPr>
        <w:t>政府采购供应商廉洁自律承诺书</w:t>
      </w:r>
    </w:p>
    <w:p w14:paraId="61C2034D">
      <w:pPr>
        <w:snapToGrid w:val="0"/>
        <w:spacing w:line="360" w:lineRule="auto"/>
        <w:rPr>
          <w:rFonts w:ascii="宋体" w:hAnsi="宋体" w:cs="宋体"/>
          <w:color w:val="auto"/>
          <w:sz w:val="24"/>
          <w:highlight w:val="none"/>
        </w:rPr>
      </w:pPr>
    </w:p>
    <w:p w14:paraId="45A2B08A">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rPr>
        <w:t>（采购人）、（采购代理机构）</w:t>
      </w:r>
      <w:r>
        <w:rPr>
          <w:rFonts w:hint="eastAsia" w:ascii="宋体" w:hAnsi="宋体" w:cs="宋体"/>
          <w:color w:val="auto"/>
          <w:kern w:val="0"/>
          <w:sz w:val="24"/>
          <w:highlight w:val="none"/>
          <w:lang w:val="zh-CN"/>
        </w:rPr>
        <w:t>：</w:t>
      </w:r>
    </w:p>
    <w:p w14:paraId="6338F3D6">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我单位响应你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项目招标要求参加投标。在这次投标过程中和中标后，我们将严格遵守国家法律法规要求，并郑重承诺：</w:t>
      </w:r>
    </w:p>
    <w:p w14:paraId="4E036B9B">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一、不向项目有关人员及部门赠送礼金礼物、有价证券、回扣以及中介费、介绍费、咨询费等好处费； </w:t>
      </w:r>
    </w:p>
    <w:p w14:paraId="61897011">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二、不为项目有关人员及部门报销应由你方单位或个人支付的费用； </w:t>
      </w:r>
    </w:p>
    <w:p w14:paraId="09A4EDDB">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三、不向项目有关人员及部门提供有可能影响公正的宴请和健身娱乐等活动； </w:t>
      </w:r>
    </w:p>
    <w:p w14:paraId="3CA370A8">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四、不为项目有关人员及部门出国（境）、旅游等提供方便；</w:t>
      </w:r>
    </w:p>
    <w:p w14:paraId="51C82FA7">
      <w:pPr>
        <w:autoSpaceDE w:val="0"/>
        <w:autoSpaceDN w:val="0"/>
        <w:spacing w:line="360" w:lineRule="auto"/>
        <w:ind w:left="481" w:leftChars="229"/>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五、不为项目有关人员个人装修住房、婚丧嫁娶、配偶子女工作安排等提供</w:t>
      </w:r>
    </w:p>
    <w:p w14:paraId="11C4ADE4">
      <w:pPr>
        <w:autoSpaceDE w:val="0"/>
        <w:autoSpaceDN w:val="0"/>
        <w:spacing w:line="360" w:lineRule="auto"/>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好处；</w:t>
      </w:r>
    </w:p>
    <w:p w14:paraId="202AAD85">
      <w:pPr>
        <w:autoSpaceDE w:val="0"/>
        <w:autoSpaceDN w:val="0"/>
        <w:spacing w:line="360" w:lineRule="auto"/>
        <w:ind w:left="481" w:leftChars="229"/>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六、严格遵守《</w:t>
      </w:r>
      <w:r>
        <w:rPr>
          <w:rFonts w:hint="eastAsia" w:ascii="宋体" w:hAnsi="宋体" w:cs="宋体"/>
          <w:color w:val="auto"/>
          <w:sz w:val="24"/>
          <w:highlight w:val="none"/>
          <w:lang w:val="zh-CN"/>
        </w:rPr>
        <w:t>中华人民共和国</w:t>
      </w:r>
      <w:r>
        <w:rPr>
          <w:rFonts w:hint="eastAsia" w:ascii="宋体" w:hAnsi="宋体" w:cs="宋体"/>
          <w:color w:val="auto"/>
          <w:kern w:val="0"/>
          <w:sz w:val="24"/>
          <w:highlight w:val="none"/>
          <w:lang w:val="zh-CN"/>
        </w:rPr>
        <w:t>政府采购法》《</w:t>
      </w:r>
      <w:r>
        <w:rPr>
          <w:rFonts w:hint="eastAsia" w:ascii="宋体" w:hAnsi="宋体" w:cs="宋体"/>
          <w:color w:val="auto"/>
          <w:sz w:val="24"/>
          <w:highlight w:val="none"/>
          <w:lang w:val="zh-CN"/>
        </w:rPr>
        <w:t>中华人民共和国</w:t>
      </w:r>
      <w:r>
        <w:rPr>
          <w:rFonts w:hint="eastAsia" w:ascii="宋体" w:hAnsi="宋体" w:cs="宋体"/>
          <w:color w:val="auto"/>
          <w:kern w:val="0"/>
          <w:sz w:val="24"/>
          <w:highlight w:val="none"/>
          <w:lang w:val="zh-CN"/>
        </w:rPr>
        <w:t>招标投标</w:t>
      </w:r>
    </w:p>
    <w:p w14:paraId="34DFC9A5">
      <w:pPr>
        <w:autoSpaceDE w:val="0"/>
        <w:autoSpaceDN w:val="0"/>
        <w:spacing w:line="360" w:lineRule="auto"/>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法》</w:t>
      </w:r>
      <w:r>
        <w:rPr>
          <w:rFonts w:hint="eastAsia" w:ascii="宋体" w:hAnsi="宋体" w:cs="宋体"/>
          <w:color w:val="auto"/>
          <w:sz w:val="24"/>
          <w:highlight w:val="none"/>
          <w:lang w:val="zh-CN"/>
        </w:rPr>
        <w:t>《中华人民共和国民法典》</w:t>
      </w:r>
      <w:r>
        <w:rPr>
          <w:rFonts w:hint="eastAsia" w:ascii="宋体" w:hAnsi="宋体" w:cs="宋体"/>
          <w:color w:val="auto"/>
          <w:kern w:val="0"/>
          <w:sz w:val="24"/>
          <w:highlight w:val="none"/>
          <w:lang w:val="zh-CN"/>
        </w:rPr>
        <w:t xml:space="preserve">等法律法规，诚实守信，合法经营，坚决抵制各种违法违纪行为。 </w:t>
      </w:r>
    </w:p>
    <w:p w14:paraId="4771DC48">
      <w:pP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如违反上述承诺，你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有权立即取消我单位投标、中标或在建项目的建设资格，有权拒绝我单位在一定时期内进入你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进行项目建设或其他经营活动，并通报财政局。由此引起的相应损失均由我单位承担。</w:t>
      </w:r>
    </w:p>
    <w:p w14:paraId="14531FA7">
      <w:pPr>
        <w:autoSpaceDE w:val="0"/>
        <w:autoSpaceDN w:val="0"/>
        <w:spacing w:line="360" w:lineRule="auto"/>
        <w:ind w:left="2"/>
        <w:jc w:val="left"/>
        <w:rPr>
          <w:rFonts w:ascii="宋体" w:hAnsi="宋体" w:cs="宋体"/>
          <w:color w:val="auto"/>
          <w:kern w:val="0"/>
          <w:sz w:val="24"/>
          <w:highlight w:val="none"/>
          <w:lang w:val="zh-CN"/>
        </w:rPr>
      </w:pPr>
    </w:p>
    <w:p w14:paraId="7369D576">
      <w:pPr>
        <w:autoSpaceDE w:val="0"/>
        <w:autoSpaceDN w:val="0"/>
        <w:spacing w:line="360" w:lineRule="auto"/>
        <w:ind w:left="2"/>
        <w:jc w:val="left"/>
        <w:rPr>
          <w:rFonts w:ascii="宋体" w:hAnsi="宋体" w:cs="宋体"/>
          <w:color w:val="auto"/>
          <w:kern w:val="0"/>
          <w:sz w:val="24"/>
          <w:highlight w:val="none"/>
          <w:lang w:val="zh-CN"/>
        </w:rPr>
      </w:pPr>
    </w:p>
    <w:p w14:paraId="1F71F3E7">
      <w:pPr>
        <w:autoSpaceDE w:val="0"/>
        <w:autoSpaceDN w:val="0"/>
        <w:spacing w:line="360" w:lineRule="auto"/>
        <w:ind w:left="2"/>
        <w:jc w:val="left"/>
        <w:rPr>
          <w:rFonts w:ascii="宋体" w:hAnsi="宋体" w:cs="宋体"/>
          <w:color w:val="auto"/>
          <w:kern w:val="0"/>
          <w:sz w:val="24"/>
          <w:highlight w:val="none"/>
          <w:lang w:val="zh-CN"/>
        </w:rPr>
      </w:pPr>
    </w:p>
    <w:p w14:paraId="71887890">
      <w:pPr>
        <w:autoSpaceDE w:val="0"/>
        <w:autoSpaceDN w:val="0"/>
        <w:spacing w:line="360" w:lineRule="auto"/>
        <w:ind w:left="2" w:leftChars="1" w:right="1120" w:firstLine="4560" w:firstLineChars="19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投标人名称（</w:t>
      </w:r>
      <w:r>
        <w:rPr>
          <w:rFonts w:hint="eastAsia" w:ascii="宋体" w:hAnsi="宋体" w:cs="宋体"/>
          <w:color w:val="auto"/>
          <w:sz w:val="24"/>
          <w:highlight w:val="none"/>
        </w:rPr>
        <w:t>电子签名</w:t>
      </w:r>
      <w:r>
        <w:rPr>
          <w:rFonts w:hint="eastAsia" w:ascii="宋体" w:hAnsi="宋体" w:cs="宋体"/>
          <w:color w:val="auto"/>
          <w:kern w:val="0"/>
          <w:sz w:val="24"/>
          <w:highlight w:val="none"/>
          <w:lang w:val="zh-CN"/>
        </w:rPr>
        <w:t xml:space="preserve">）：                                                                                                                                                                                                               </w:t>
      </w:r>
    </w:p>
    <w:p w14:paraId="203FA1C4">
      <w:pPr>
        <w:spacing w:line="360" w:lineRule="auto"/>
        <w:ind w:left="4620" w:leftChars="2200"/>
        <w:rPr>
          <w:rFonts w:hint="eastAsia" w:ascii="宋体" w:hAnsi="宋体" w:cs="宋体"/>
          <w:color w:val="auto"/>
          <w:kern w:val="0"/>
          <w:sz w:val="24"/>
          <w:highlight w:val="none"/>
          <w:lang w:val="zh-CN"/>
        </w:rPr>
        <w:sectPr>
          <w:pgSz w:w="11906" w:h="16838"/>
          <w:pgMar w:top="1417" w:right="1417" w:bottom="1417" w:left="1417" w:header="850" w:footer="992" w:gutter="0"/>
          <w:cols w:space="0" w:num="1"/>
          <w:titlePg/>
          <w:rtlGutter w:val="0"/>
          <w:docGrid w:linePitch="312" w:charSpace="0"/>
        </w:sect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 xml:space="preserve">   年   月   日</w:t>
      </w:r>
    </w:p>
    <w:p w14:paraId="7F937753">
      <w:pPr>
        <w:pStyle w:val="78"/>
        <w:snapToGrid w:val="0"/>
        <w:spacing w:line="360" w:lineRule="auto"/>
        <w:ind w:firstLine="0" w:firstLineChars="0"/>
        <w:jc w:val="center"/>
        <w:rPr>
          <w:rFonts w:hint="default" w:ascii="宋体" w:hAnsi="宋体" w:cs="宋体"/>
          <w:b/>
          <w:bCs/>
          <w:color w:val="auto"/>
          <w:kern w:val="0"/>
          <w:sz w:val="36"/>
          <w:szCs w:val="36"/>
          <w:highlight w:val="none"/>
        </w:rPr>
      </w:pPr>
      <w:bookmarkStart w:id="56" w:name="_Toc465665161"/>
      <w:bookmarkStart w:id="57" w:name="_Toc26586"/>
      <w:bookmarkStart w:id="58" w:name="_Toc23131"/>
      <w:r>
        <w:rPr>
          <w:rFonts w:ascii="宋体" w:hAnsi="宋体" w:cs="宋体"/>
          <w:b/>
          <w:bCs/>
          <w:color w:val="auto"/>
          <w:kern w:val="0"/>
          <w:sz w:val="36"/>
          <w:szCs w:val="36"/>
          <w:highlight w:val="none"/>
        </w:rPr>
        <w:t>报价文件</w:t>
      </w:r>
    </w:p>
    <w:p w14:paraId="5134AB46">
      <w:pPr>
        <w:pStyle w:val="17"/>
        <w:rPr>
          <w:rFonts w:hint="default" w:hAnsi="宋体" w:cs="宋体"/>
          <w:color w:val="auto"/>
          <w:highlight w:val="none"/>
        </w:rPr>
      </w:pPr>
    </w:p>
    <w:p w14:paraId="750007D8">
      <w:pPr>
        <w:pStyle w:val="17"/>
        <w:rPr>
          <w:rFonts w:hint="default" w:hAnsi="宋体" w:cs="宋体"/>
          <w:color w:val="auto"/>
          <w:highlight w:val="none"/>
          <w:lang w:val="zh-CN"/>
        </w:rPr>
      </w:pPr>
    </w:p>
    <w:p w14:paraId="6300B5DD">
      <w:pPr>
        <w:snapToGrid w:val="0"/>
        <w:spacing w:line="360" w:lineRule="auto"/>
        <w:ind w:left="570"/>
        <w:jc w:val="center"/>
        <w:outlineLvl w:val="0"/>
        <w:rPr>
          <w:rFonts w:hint="default" w:ascii="宋体" w:hAnsi="宋体" w:cs="宋体"/>
          <w:b/>
          <w:color w:val="auto"/>
          <w:sz w:val="32"/>
          <w:szCs w:val="32"/>
          <w:highlight w:val="none"/>
        </w:rPr>
      </w:pPr>
      <w:bookmarkStart w:id="59" w:name="_Toc11193"/>
      <w:bookmarkStart w:id="60" w:name="_Toc354859551"/>
      <w:bookmarkStart w:id="61" w:name="_Toc6431"/>
      <w:bookmarkStart w:id="62" w:name="_Toc354859632"/>
      <w:bookmarkStart w:id="63" w:name="_Toc6304"/>
      <w:bookmarkStart w:id="64" w:name="_Toc12092"/>
      <w:bookmarkStart w:id="65" w:name="_Toc26069"/>
      <w:bookmarkStart w:id="66" w:name="_Toc233618991"/>
      <w:bookmarkStart w:id="67" w:name="_Toc354859475"/>
      <w:bookmarkStart w:id="68" w:name="_Toc27051"/>
      <w:r>
        <w:rPr>
          <w:rFonts w:hint="eastAsia" w:ascii="宋体" w:hAnsi="宋体" w:cs="宋体"/>
          <w:b/>
          <w:color w:val="auto"/>
          <w:sz w:val="30"/>
          <w:szCs w:val="30"/>
          <w:highlight w:val="none"/>
          <w:lang w:val="en-US" w:eastAsia="zh-CN"/>
        </w:rPr>
        <w:t>一</w:t>
      </w:r>
      <w:r>
        <w:rPr>
          <w:rFonts w:ascii="宋体" w:hAnsi="宋体" w:cs="宋体"/>
          <w:b/>
          <w:color w:val="auto"/>
          <w:sz w:val="30"/>
          <w:szCs w:val="30"/>
          <w:highlight w:val="none"/>
        </w:rPr>
        <w:t>、开标一览表</w:t>
      </w:r>
      <w:bookmarkEnd w:id="59"/>
      <w:bookmarkEnd w:id="60"/>
      <w:bookmarkEnd w:id="61"/>
      <w:bookmarkEnd w:id="62"/>
      <w:bookmarkEnd w:id="63"/>
      <w:bookmarkEnd w:id="64"/>
      <w:bookmarkEnd w:id="65"/>
      <w:bookmarkEnd w:id="66"/>
      <w:bookmarkEnd w:id="67"/>
      <w:bookmarkEnd w:id="68"/>
    </w:p>
    <w:p w14:paraId="6398E0DB">
      <w:pPr>
        <w:snapToGrid w:val="0"/>
        <w:spacing w:line="360" w:lineRule="auto"/>
        <w:rPr>
          <w:rFonts w:hint="default" w:ascii="宋体" w:hAnsi="宋体" w:cs="宋体"/>
          <w:color w:val="auto"/>
          <w:szCs w:val="21"/>
          <w:highlight w:val="none"/>
        </w:rPr>
      </w:pPr>
      <w:r>
        <w:rPr>
          <w:rFonts w:hint="eastAsia" w:ascii="宋体" w:hAnsi="宋体" w:cs="宋体"/>
          <w:color w:val="auto"/>
          <w:szCs w:val="21"/>
          <w:highlight w:val="none"/>
          <w:lang w:eastAsia="zh-CN"/>
        </w:rPr>
        <w:t>中国美术学院</w:t>
      </w:r>
      <w:r>
        <w:rPr>
          <w:rFonts w:ascii="宋体" w:hAnsi="宋体" w:cs="宋体"/>
          <w:color w:val="auto"/>
          <w:szCs w:val="21"/>
          <w:highlight w:val="none"/>
        </w:rPr>
        <w:t xml:space="preserve">  </w:t>
      </w:r>
    </w:p>
    <w:p w14:paraId="4FC7E996">
      <w:pPr>
        <w:snapToGrid w:val="0"/>
        <w:spacing w:line="360" w:lineRule="auto"/>
        <w:rPr>
          <w:rFonts w:hint="default" w:ascii="宋体" w:hAnsi="宋体" w:cs="宋体"/>
          <w:color w:val="auto"/>
          <w:szCs w:val="21"/>
          <w:highlight w:val="none"/>
        </w:rPr>
      </w:pPr>
      <w:r>
        <w:rPr>
          <w:rFonts w:ascii="宋体" w:hAnsi="宋体" w:cs="宋体"/>
          <w:color w:val="auto"/>
          <w:szCs w:val="21"/>
          <w:highlight w:val="none"/>
        </w:rPr>
        <w:t>浙江豪圣建设项目管理有限公司：</w:t>
      </w:r>
    </w:p>
    <w:p w14:paraId="02578C4E">
      <w:pPr>
        <w:snapToGrid w:val="0"/>
        <w:spacing w:line="360" w:lineRule="auto"/>
        <w:ind w:firstLine="482"/>
        <w:rPr>
          <w:rFonts w:ascii="宋体" w:hAnsi="宋体" w:cs="宋体"/>
          <w:color w:val="auto"/>
          <w:kern w:val="0"/>
          <w:sz w:val="24"/>
          <w:highlight w:val="none"/>
          <w:lang w:val="zh-CN"/>
        </w:rPr>
      </w:pPr>
      <w:bookmarkStart w:id="69" w:name="_Toc26301"/>
      <w:bookmarkStart w:id="70" w:name="_Toc4011"/>
      <w:bookmarkStart w:id="71" w:name="_Toc24956"/>
      <w:bookmarkStart w:id="72" w:name="_Toc18315"/>
      <w:bookmarkStart w:id="73" w:name="_Toc233618992"/>
      <w:r>
        <w:rPr>
          <w:rFonts w:hint="eastAsia" w:ascii="宋体" w:hAnsi="宋体" w:cs="宋体"/>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宋体" w:hAnsi="宋体" w:cs="宋体"/>
          <w:color w:val="auto"/>
          <w:sz w:val="24"/>
          <w:highlight w:val="none"/>
        </w:rPr>
        <w:t>（项目名称）</w:t>
      </w:r>
      <w:r>
        <w:rPr>
          <w:rFonts w:hint="eastAsia" w:ascii="宋体" w:hAnsi="宋体" w:cs="宋体"/>
          <w:color w:val="auto"/>
          <w:kern w:val="0"/>
          <w:sz w:val="24"/>
          <w:highlight w:val="none"/>
          <w:lang w:val="zh-CN"/>
        </w:rPr>
        <w:t>【项目编号：</w:t>
      </w:r>
      <w:r>
        <w:rPr>
          <w:rFonts w:hint="eastAsia" w:ascii="宋体" w:hAnsi="宋体" w:cs="宋体"/>
          <w:color w:val="auto"/>
          <w:kern w:val="0"/>
          <w:sz w:val="24"/>
          <w:highlight w:val="none"/>
          <w:lang w:val="zh-CN" w:eastAsia="zh-CN"/>
        </w:rPr>
        <w:t>HSZB-2025-713</w:t>
      </w:r>
      <w:r>
        <w:rPr>
          <w:rFonts w:hint="eastAsia" w:ascii="宋体" w:hAnsi="宋体" w:cs="宋体"/>
          <w:color w:val="auto"/>
          <w:sz w:val="24"/>
          <w:highlight w:val="none"/>
        </w:rPr>
        <w:t>】的实施</w:t>
      </w:r>
      <w:r>
        <w:rPr>
          <w:rFonts w:hint="eastAsia" w:ascii="宋体" w:hAnsi="宋体" w:cs="宋体"/>
          <w:color w:val="auto"/>
          <w:kern w:val="0"/>
          <w:sz w:val="24"/>
          <w:highlight w:val="none"/>
          <w:lang w:val="zh-CN"/>
        </w:rPr>
        <w:t>。</w:t>
      </w:r>
    </w:p>
    <w:p w14:paraId="3B075A01">
      <w:pPr>
        <w:spacing w:line="360" w:lineRule="auto"/>
        <w:jc w:val="center"/>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开标一览表（报价表）(单位均为人民币元)</w:t>
      </w:r>
    </w:p>
    <w:tbl>
      <w:tblPr>
        <w:tblStyle w:val="41"/>
        <w:tblW w:w="137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2548"/>
        <w:gridCol w:w="1907"/>
        <w:gridCol w:w="1559"/>
        <w:gridCol w:w="1984"/>
        <w:gridCol w:w="1908"/>
      </w:tblGrid>
      <w:tr w14:paraId="3EC28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trPr>
        <w:tc>
          <w:tcPr>
            <w:tcW w:w="534" w:type="dxa"/>
            <w:vAlign w:val="center"/>
          </w:tcPr>
          <w:p w14:paraId="4260FB71">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1417" w:type="dxa"/>
            <w:vAlign w:val="center"/>
          </w:tcPr>
          <w:p w14:paraId="36558728">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名称</w:t>
            </w:r>
          </w:p>
        </w:tc>
        <w:tc>
          <w:tcPr>
            <w:tcW w:w="1843" w:type="dxa"/>
            <w:vAlign w:val="top"/>
          </w:tcPr>
          <w:p w14:paraId="1246535F">
            <w:pPr>
              <w:spacing w:line="360" w:lineRule="auto"/>
              <w:jc w:val="center"/>
              <w:rPr>
                <w:rFonts w:ascii="宋体" w:hAnsi="宋体" w:cs="宋体"/>
                <w:b/>
                <w:color w:val="auto"/>
                <w:sz w:val="24"/>
                <w:highlight w:val="none"/>
              </w:rPr>
            </w:pPr>
          </w:p>
          <w:p w14:paraId="210DC03C">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服务范围</w:t>
            </w:r>
          </w:p>
        </w:tc>
        <w:tc>
          <w:tcPr>
            <w:tcW w:w="2548" w:type="dxa"/>
            <w:vAlign w:val="center"/>
          </w:tcPr>
          <w:p w14:paraId="7FDB1A09">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服务要求</w:t>
            </w:r>
          </w:p>
        </w:tc>
        <w:tc>
          <w:tcPr>
            <w:tcW w:w="1907" w:type="dxa"/>
            <w:vAlign w:val="center"/>
          </w:tcPr>
          <w:p w14:paraId="70A613AD">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服务时间</w:t>
            </w:r>
          </w:p>
        </w:tc>
        <w:tc>
          <w:tcPr>
            <w:tcW w:w="1559" w:type="dxa"/>
            <w:vAlign w:val="center"/>
          </w:tcPr>
          <w:p w14:paraId="79587FAB">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服务标准</w:t>
            </w:r>
          </w:p>
        </w:tc>
        <w:tc>
          <w:tcPr>
            <w:tcW w:w="1984" w:type="dxa"/>
            <w:vAlign w:val="top"/>
          </w:tcPr>
          <w:p w14:paraId="2B1DE800">
            <w:pPr>
              <w:spacing w:line="360" w:lineRule="auto"/>
              <w:jc w:val="center"/>
              <w:rPr>
                <w:rFonts w:ascii="宋体" w:hAnsi="宋体" w:cs="宋体"/>
                <w:b/>
                <w:color w:val="auto"/>
                <w:sz w:val="24"/>
                <w:highlight w:val="none"/>
              </w:rPr>
            </w:pPr>
          </w:p>
          <w:p w14:paraId="4F487335">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服务人数</w:t>
            </w:r>
          </w:p>
        </w:tc>
        <w:tc>
          <w:tcPr>
            <w:tcW w:w="1908" w:type="dxa"/>
            <w:vAlign w:val="center"/>
          </w:tcPr>
          <w:p w14:paraId="2C98BD33">
            <w:pPr>
              <w:spacing w:line="360" w:lineRule="auto"/>
              <w:jc w:val="center"/>
              <w:rPr>
                <w:rFonts w:ascii="宋体" w:hAnsi="宋体" w:cs="宋体"/>
                <w:b/>
                <w:color w:val="auto"/>
                <w:sz w:val="24"/>
                <w:highlight w:val="none"/>
              </w:rPr>
            </w:pPr>
          </w:p>
          <w:p w14:paraId="69204608">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备注（如果有）</w:t>
            </w:r>
          </w:p>
          <w:p w14:paraId="644A9B9B">
            <w:pPr>
              <w:spacing w:line="360" w:lineRule="auto"/>
              <w:jc w:val="center"/>
              <w:rPr>
                <w:rFonts w:ascii="宋体" w:hAnsi="宋体" w:cs="宋体"/>
                <w:b/>
                <w:color w:val="auto"/>
                <w:sz w:val="24"/>
                <w:highlight w:val="none"/>
              </w:rPr>
            </w:pPr>
          </w:p>
        </w:tc>
      </w:tr>
      <w:tr w14:paraId="216A3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28760EA5">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1417" w:type="dxa"/>
            <w:vAlign w:val="center"/>
          </w:tcPr>
          <w:p w14:paraId="5CDA6664">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843" w:type="dxa"/>
            <w:vAlign w:val="center"/>
          </w:tcPr>
          <w:p w14:paraId="005675B4">
            <w:pPr>
              <w:snapToGrid w:val="0"/>
              <w:spacing w:line="360" w:lineRule="auto"/>
              <w:jc w:val="center"/>
              <w:rPr>
                <w:rFonts w:ascii="宋体" w:hAnsi="宋体" w:cs="宋体"/>
                <w:color w:val="auto"/>
                <w:sz w:val="24"/>
                <w:highlight w:val="none"/>
              </w:rPr>
            </w:pPr>
          </w:p>
        </w:tc>
        <w:tc>
          <w:tcPr>
            <w:tcW w:w="2548" w:type="dxa"/>
            <w:vAlign w:val="center"/>
          </w:tcPr>
          <w:p w14:paraId="1F436EFE">
            <w:pPr>
              <w:snapToGrid w:val="0"/>
              <w:spacing w:line="360" w:lineRule="auto"/>
              <w:jc w:val="center"/>
              <w:rPr>
                <w:rFonts w:ascii="宋体" w:hAnsi="宋体" w:cs="宋体"/>
                <w:color w:val="auto"/>
                <w:sz w:val="24"/>
                <w:highlight w:val="none"/>
              </w:rPr>
            </w:pPr>
          </w:p>
        </w:tc>
        <w:tc>
          <w:tcPr>
            <w:tcW w:w="1907" w:type="dxa"/>
            <w:vAlign w:val="center"/>
          </w:tcPr>
          <w:p w14:paraId="37948C46">
            <w:pPr>
              <w:snapToGrid w:val="0"/>
              <w:spacing w:line="360" w:lineRule="auto"/>
              <w:jc w:val="center"/>
              <w:rPr>
                <w:rFonts w:ascii="宋体" w:hAnsi="宋体" w:cs="宋体"/>
                <w:color w:val="auto"/>
                <w:sz w:val="24"/>
                <w:highlight w:val="none"/>
              </w:rPr>
            </w:pPr>
          </w:p>
        </w:tc>
        <w:tc>
          <w:tcPr>
            <w:tcW w:w="1559" w:type="dxa"/>
            <w:vAlign w:val="center"/>
          </w:tcPr>
          <w:p w14:paraId="63558332">
            <w:pPr>
              <w:spacing w:line="360" w:lineRule="auto"/>
              <w:jc w:val="center"/>
              <w:rPr>
                <w:rFonts w:ascii="宋体" w:hAnsi="宋体" w:cs="宋体"/>
                <w:color w:val="auto"/>
                <w:sz w:val="24"/>
                <w:highlight w:val="none"/>
              </w:rPr>
            </w:pPr>
          </w:p>
        </w:tc>
        <w:tc>
          <w:tcPr>
            <w:tcW w:w="1984" w:type="dxa"/>
            <w:vAlign w:val="center"/>
          </w:tcPr>
          <w:p w14:paraId="0A38F9A3">
            <w:pPr>
              <w:spacing w:line="360" w:lineRule="auto"/>
              <w:jc w:val="center"/>
              <w:rPr>
                <w:rFonts w:ascii="宋体" w:hAnsi="宋体" w:cs="宋体"/>
                <w:color w:val="auto"/>
                <w:sz w:val="24"/>
                <w:highlight w:val="none"/>
              </w:rPr>
            </w:pPr>
          </w:p>
        </w:tc>
        <w:tc>
          <w:tcPr>
            <w:tcW w:w="1908" w:type="dxa"/>
            <w:vAlign w:val="center"/>
          </w:tcPr>
          <w:p w14:paraId="1904F622">
            <w:pPr>
              <w:spacing w:line="360" w:lineRule="auto"/>
              <w:jc w:val="center"/>
              <w:rPr>
                <w:rFonts w:ascii="宋体" w:hAnsi="宋体" w:cs="宋体"/>
                <w:color w:val="auto"/>
                <w:sz w:val="24"/>
                <w:highlight w:val="none"/>
              </w:rPr>
            </w:pPr>
          </w:p>
        </w:tc>
      </w:tr>
      <w:tr w14:paraId="00AD0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D70AC4A">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1417" w:type="dxa"/>
            <w:vAlign w:val="center"/>
          </w:tcPr>
          <w:p w14:paraId="0431287D">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843" w:type="dxa"/>
            <w:vAlign w:val="center"/>
          </w:tcPr>
          <w:p w14:paraId="59728DE0">
            <w:pPr>
              <w:snapToGrid w:val="0"/>
              <w:spacing w:line="360" w:lineRule="auto"/>
              <w:jc w:val="center"/>
              <w:rPr>
                <w:rFonts w:ascii="宋体" w:hAnsi="宋体" w:cs="宋体"/>
                <w:color w:val="auto"/>
                <w:sz w:val="24"/>
                <w:highlight w:val="none"/>
              </w:rPr>
            </w:pPr>
          </w:p>
        </w:tc>
        <w:tc>
          <w:tcPr>
            <w:tcW w:w="2548" w:type="dxa"/>
            <w:vAlign w:val="center"/>
          </w:tcPr>
          <w:p w14:paraId="546463B3">
            <w:pPr>
              <w:snapToGrid w:val="0"/>
              <w:spacing w:line="360" w:lineRule="auto"/>
              <w:jc w:val="center"/>
              <w:rPr>
                <w:rFonts w:ascii="宋体" w:hAnsi="宋体" w:cs="宋体"/>
                <w:color w:val="auto"/>
                <w:sz w:val="24"/>
                <w:highlight w:val="none"/>
              </w:rPr>
            </w:pPr>
          </w:p>
        </w:tc>
        <w:tc>
          <w:tcPr>
            <w:tcW w:w="1907" w:type="dxa"/>
            <w:vAlign w:val="center"/>
          </w:tcPr>
          <w:p w14:paraId="2243C011">
            <w:pPr>
              <w:snapToGrid w:val="0"/>
              <w:spacing w:line="360" w:lineRule="auto"/>
              <w:jc w:val="center"/>
              <w:rPr>
                <w:rFonts w:ascii="宋体" w:hAnsi="宋体" w:cs="宋体"/>
                <w:color w:val="auto"/>
                <w:sz w:val="24"/>
                <w:highlight w:val="none"/>
              </w:rPr>
            </w:pPr>
          </w:p>
        </w:tc>
        <w:tc>
          <w:tcPr>
            <w:tcW w:w="1559" w:type="dxa"/>
            <w:vAlign w:val="center"/>
          </w:tcPr>
          <w:p w14:paraId="4351F97A">
            <w:pPr>
              <w:spacing w:line="360" w:lineRule="auto"/>
              <w:jc w:val="center"/>
              <w:rPr>
                <w:rFonts w:ascii="宋体" w:hAnsi="宋体" w:cs="宋体"/>
                <w:color w:val="auto"/>
                <w:sz w:val="24"/>
                <w:highlight w:val="none"/>
              </w:rPr>
            </w:pPr>
          </w:p>
        </w:tc>
        <w:tc>
          <w:tcPr>
            <w:tcW w:w="1984" w:type="dxa"/>
            <w:vAlign w:val="center"/>
          </w:tcPr>
          <w:p w14:paraId="230BF1E1">
            <w:pPr>
              <w:spacing w:line="360" w:lineRule="auto"/>
              <w:jc w:val="center"/>
              <w:rPr>
                <w:rFonts w:ascii="宋体" w:hAnsi="宋体" w:cs="宋体"/>
                <w:color w:val="auto"/>
                <w:sz w:val="24"/>
                <w:highlight w:val="none"/>
              </w:rPr>
            </w:pPr>
          </w:p>
        </w:tc>
        <w:tc>
          <w:tcPr>
            <w:tcW w:w="1908" w:type="dxa"/>
            <w:vAlign w:val="center"/>
          </w:tcPr>
          <w:p w14:paraId="2FC27ED0">
            <w:pPr>
              <w:spacing w:line="360" w:lineRule="auto"/>
              <w:jc w:val="center"/>
              <w:rPr>
                <w:rFonts w:ascii="宋体" w:hAnsi="宋体" w:cs="宋体"/>
                <w:color w:val="auto"/>
                <w:sz w:val="24"/>
                <w:highlight w:val="none"/>
              </w:rPr>
            </w:pPr>
          </w:p>
        </w:tc>
      </w:tr>
      <w:tr w14:paraId="5AF3F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65355BA">
            <w:pPr>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1417" w:type="dxa"/>
            <w:vAlign w:val="center"/>
          </w:tcPr>
          <w:p w14:paraId="05B48709">
            <w:pPr>
              <w:snapToGrid w:val="0"/>
              <w:spacing w:line="360" w:lineRule="auto"/>
              <w:jc w:val="center"/>
              <w:rPr>
                <w:rFonts w:ascii="宋体" w:hAnsi="宋体" w:cs="宋体"/>
                <w:color w:val="auto"/>
                <w:sz w:val="24"/>
                <w:highlight w:val="none"/>
              </w:rPr>
            </w:pPr>
          </w:p>
        </w:tc>
        <w:tc>
          <w:tcPr>
            <w:tcW w:w="1843" w:type="dxa"/>
            <w:vAlign w:val="center"/>
          </w:tcPr>
          <w:p w14:paraId="55C88A29">
            <w:pPr>
              <w:snapToGrid w:val="0"/>
              <w:spacing w:line="360" w:lineRule="auto"/>
              <w:jc w:val="center"/>
              <w:rPr>
                <w:rFonts w:ascii="宋体" w:hAnsi="宋体" w:cs="宋体"/>
                <w:color w:val="auto"/>
                <w:sz w:val="24"/>
                <w:highlight w:val="none"/>
              </w:rPr>
            </w:pPr>
          </w:p>
        </w:tc>
        <w:tc>
          <w:tcPr>
            <w:tcW w:w="2548" w:type="dxa"/>
            <w:vAlign w:val="center"/>
          </w:tcPr>
          <w:p w14:paraId="3F0E3895">
            <w:pPr>
              <w:snapToGrid w:val="0"/>
              <w:spacing w:line="360" w:lineRule="auto"/>
              <w:jc w:val="center"/>
              <w:rPr>
                <w:rFonts w:ascii="宋体" w:hAnsi="宋体" w:cs="宋体"/>
                <w:color w:val="auto"/>
                <w:sz w:val="24"/>
                <w:highlight w:val="none"/>
              </w:rPr>
            </w:pPr>
          </w:p>
        </w:tc>
        <w:tc>
          <w:tcPr>
            <w:tcW w:w="1907" w:type="dxa"/>
            <w:vAlign w:val="center"/>
          </w:tcPr>
          <w:p w14:paraId="3FCCDB7B">
            <w:pPr>
              <w:snapToGrid w:val="0"/>
              <w:spacing w:line="360" w:lineRule="auto"/>
              <w:jc w:val="center"/>
              <w:rPr>
                <w:rFonts w:ascii="宋体" w:hAnsi="宋体" w:cs="宋体"/>
                <w:color w:val="auto"/>
                <w:sz w:val="24"/>
                <w:highlight w:val="none"/>
              </w:rPr>
            </w:pPr>
          </w:p>
        </w:tc>
        <w:tc>
          <w:tcPr>
            <w:tcW w:w="1559" w:type="dxa"/>
            <w:vAlign w:val="center"/>
          </w:tcPr>
          <w:p w14:paraId="589F97C6">
            <w:pPr>
              <w:spacing w:line="360" w:lineRule="auto"/>
              <w:jc w:val="center"/>
              <w:rPr>
                <w:rFonts w:ascii="宋体" w:hAnsi="宋体" w:cs="宋体"/>
                <w:color w:val="auto"/>
                <w:sz w:val="24"/>
                <w:highlight w:val="none"/>
              </w:rPr>
            </w:pPr>
          </w:p>
        </w:tc>
        <w:tc>
          <w:tcPr>
            <w:tcW w:w="1984" w:type="dxa"/>
            <w:vAlign w:val="center"/>
          </w:tcPr>
          <w:p w14:paraId="056928BC">
            <w:pPr>
              <w:spacing w:line="360" w:lineRule="auto"/>
              <w:jc w:val="center"/>
              <w:rPr>
                <w:rFonts w:ascii="宋体" w:hAnsi="宋体" w:cs="宋体"/>
                <w:color w:val="auto"/>
                <w:sz w:val="24"/>
                <w:highlight w:val="none"/>
              </w:rPr>
            </w:pPr>
          </w:p>
        </w:tc>
        <w:tc>
          <w:tcPr>
            <w:tcW w:w="1908" w:type="dxa"/>
            <w:vAlign w:val="center"/>
          </w:tcPr>
          <w:p w14:paraId="2E4EDA45">
            <w:pPr>
              <w:spacing w:line="360" w:lineRule="auto"/>
              <w:jc w:val="center"/>
              <w:rPr>
                <w:rFonts w:ascii="宋体" w:hAnsi="宋体" w:cs="宋体"/>
                <w:color w:val="auto"/>
                <w:sz w:val="24"/>
                <w:highlight w:val="none"/>
              </w:rPr>
            </w:pPr>
          </w:p>
        </w:tc>
      </w:tr>
      <w:tr w14:paraId="5B43F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F3A4BD7">
            <w:pPr>
              <w:spacing w:line="360" w:lineRule="auto"/>
              <w:jc w:val="center"/>
              <w:rPr>
                <w:rFonts w:ascii="宋体" w:hAnsi="宋体" w:cs="宋体"/>
                <w:color w:val="auto"/>
                <w:sz w:val="24"/>
                <w:highlight w:val="none"/>
              </w:rPr>
            </w:pPr>
          </w:p>
        </w:tc>
        <w:tc>
          <w:tcPr>
            <w:tcW w:w="1417" w:type="dxa"/>
            <w:vAlign w:val="center"/>
          </w:tcPr>
          <w:p w14:paraId="0D6DE6AC">
            <w:pPr>
              <w:snapToGrid w:val="0"/>
              <w:spacing w:line="360" w:lineRule="auto"/>
              <w:jc w:val="center"/>
              <w:rPr>
                <w:rFonts w:ascii="宋体" w:hAnsi="宋体" w:cs="宋体"/>
                <w:color w:val="auto"/>
                <w:sz w:val="24"/>
                <w:highlight w:val="none"/>
              </w:rPr>
            </w:pPr>
          </w:p>
        </w:tc>
        <w:tc>
          <w:tcPr>
            <w:tcW w:w="1843" w:type="dxa"/>
            <w:vAlign w:val="center"/>
          </w:tcPr>
          <w:p w14:paraId="0684153F">
            <w:pPr>
              <w:snapToGrid w:val="0"/>
              <w:spacing w:line="360" w:lineRule="auto"/>
              <w:jc w:val="center"/>
              <w:rPr>
                <w:rFonts w:ascii="宋体" w:hAnsi="宋体" w:cs="宋体"/>
                <w:color w:val="auto"/>
                <w:sz w:val="24"/>
                <w:highlight w:val="none"/>
              </w:rPr>
            </w:pPr>
          </w:p>
        </w:tc>
        <w:tc>
          <w:tcPr>
            <w:tcW w:w="2548" w:type="dxa"/>
            <w:vAlign w:val="center"/>
          </w:tcPr>
          <w:p w14:paraId="68E28B60">
            <w:pPr>
              <w:snapToGrid w:val="0"/>
              <w:spacing w:line="360" w:lineRule="auto"/>
              <w:jc w:val="center"/>
              <w:rPr>
                <w:rFonts w:ascii="宋体" w:hAnsi="宋体" w:cs="宋体"/>
                <w:color w:val="auto"/>
                <w:sz w:val="24"/>
                <w:highlight w:val="none"/>
              </w:rPr>
            </w:pPr>
          </w:p>
        </w:tc>
        <w:tc>
          <w:tcPr>
            <w:tcW w:w="1907" w:type="dxa"/>
            <w:vAlign w:val="center"/>
          </w:tcPr>
          <w:p w14:paraId="516DD39C">
            <w:pPr>
              <w:snapToGrid w:val="0"/>
              <w:spacing w:line="360" w:lineRule="auto"/>
              <w:jc w:val="center"/>
              <w:rPr>
                <w:rFonts w:ascii="宋体" w:hAnsi="宋体" w:cs="宋体"/>
                <w:color w:val="auto"/>
                <w:sz w:val="24"/>
                <w:highlight w:val="none"/>
              </w:rPr>
            </w:pPr>
          </w:p>
        </w:tc>
        <w:tc>
          <w:tcPr>
            <w:tcW w:w="1559" w:type="dxa"/>
            <w:vAlign w:val="center"/>
          </w:tcPr>
          <w:p w14:paraId="3DDEE234">
            <w:pPr>
              <w:spacing w:line="360" w:lineRule="auto"/>
              <w:jc w:val="center"/>
              <w:rPr>
                <w:rFonts w:ascii="宋体" w:hAnsi="宋体" w:cs="宋体"/>
                <w:color w:val="auto"/>
                <w:sz w:val="24"/>
                <w:highlight w:val="none"/>
              </w:rPr>
            </w:pPr>
          </w:p>
        </w:tc>
        <w:tc>
          <w:tcPr>
            <w:tcW w:w="1984" w:type="dxa"/>
            <w:vAlign w:val="center"/>
          </w:tcPr>
          <w:p w14:paraId="5CCE2F97">
            <w:pPr>
              <w:spacing w:line="360" w:lineRule="auto"/>
              <w:jc w:val="center"/>
              <w:rPr>
                <w:rFonts w:ascii="宋体" w:hAnsi="宋体" w:cs="宋体"/>
                <w:color w:val="auto"/>
                <w:sz w:val="24"/>
                <w:highlight w:val="none"/>
              </w:rPr>
            </w:pPr>
          </w:p>
        </w:tc>
        <w:tc>
          <w:tcPr>
            <w:tcW w:w="1908" w:type="dxa"/>
            <w:vAlign w:val="center"/>
          </w:tcPr>
          <w:p w14:paraId="3A5CA967">
            <w:pPr>
              <w:spacing w:line="360" w:lineRule="auto"/>
              <w:jc w:val="center"/>
              <w:rPr>
                <w:rFonts w:ascii="宋体" w:hAnsi="宋体" w:cs="宋体"/>
                <w:color w:val="auto"/>
                <w:sz w:val="24"/>
                <w:highlight w:val="none"/>
              </w:rPr>
            </w:pPr>
          </w:p>
        </w:tc>
      </w:tr>
      <w:tr w14:paraId="1959F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0FC1917E">
            <w:pPr>
              <w:spacing w:line="360" w:lineRule="auto"/>
              <w:jc w:val="center"/>
              <w:rPr>
                <w:rFonts w:ascii="宋体" w:hAnsi="宋体" w:cs="宋体"/>
                <w:color w:val="auto"/>
                <w:sz w:val="24"/>
                <w:highlight w:val="none"/>
              </w:rPr>
            </w:pPr>
          </w:p>
        </w:tc>
        <w:tc>
          <w:tcPr>
            <w:tcW w:w="1417" w:type="dxa"/>
            <w:vAlign w:val="center"/>
          </w:tcPr>
          <w:p w14:paraId="5D3C5F6E">
            <w:pPr>
              <w:snapToGrid w:val="0"/>
              <w:spacing w:line="360" w:lineRule="auto"/>
              <w:jc w:val="center"/>
              <w:rPr>
                <w:rFonts w:ascii="宋体" w:hAnsi="宋体" w:cs="宋体"/>
                <w:color w:val="auto"/>
                <w:sz w:val="24"/>
                <w:highlight w:val="none"/>
              </w:rPr>
            </w:pPr>
          </w:p>
        </w:tc>
        <w:tc>
          <w:tcPr>
            <w:tcW w:w="1843" w:type="dxa"/>
            <w:vAlign w:val="center"/>
          </w:tcPr>
          <w:p w14:paraId="21A52517">
            <w:pPr>
              <w:snapToGrid w:val="0"/>
              <w:spacing w:line="360" w:lineRule="auto"/>
              <w:jc w:val="center"/>
              <w:rPr>
                <w:rFonts w:ascii="宋体" w:hAnsi="宋体" w:cs="宋体"/>
                <w:color w:val="auto"/>
                <w:sz w:val="24"/>
                <w:highlight w:val="none"/>
              </w:rPr>
            </w:pPr>
          </w:p>
        </w:tc>
        <w:tc>
          <w:tcPr>
            <w:tcW w:w="2548" w:type="dxa"/>
            <w:vAlign w:val="center"/>
          </w:tcPr>
          <w:p w14:paraId="7B1EA57A">
            <w:pPr>
              <w:snapToGrid w:val="0"/>
              <w:spacing w:line="360" w:lineRule="auto"/>
              <w:jc w:val="center"/>
              <w:rPr>
                <w:rFonts w:ascii="宋体" w:hAnsi="宋体" w:cs="宋体"/>
                <w:color w:val="auto"/>
                <w:sz w:val="24"/>
                <w:highlight w:val="none"/>
              </w:rPr>
            </w:pPr>
          </w:p>
        </w:tc>
        <w:tc>
          <w:tcPr>
            <w:tcW w:w="1907" w:type="dxa"/>
            <w:vAlign w:val="center"/>
          </w:tcPr>
          <w:p w14:paraId="2FA247AC">
            <w:pPr>
              <w:snapToGrid w:val="0"/>
              <w:spacing w:line="360" w:lineRule="auto"/>
              <w:jc w:val="center"/>
              <w:rPr>
                <w:rFonts w:ascii="宋体" w:hAnsi="宋体" w:cs="宋体"/>
                <w:color w:val="auto"/>
                <w:sz w:val="24"/>
                <w:highlight w:val="none"/>
              </w:rPr>
            </w:pPr>
          </w:p>
        </w:tc>
        <w:tc>
          <w:tcPr>
            <w:tcW w:w="1559" w:type="dxa"/>
            <w:vAlign w:val="center"/>
          </w:tcPr>
          <w:p w14:paraId="4FFE7CEA">
            <w:pPr>
              <w:spacing w:line="360" w:lineRule="auto"/>
              <w:jc w:val="center"/>
              <w:rPr>
                <w:rFonts w:ascii="宋体" w:hAnsi="宋体" w:cs="宋体"/>
                <w:color w:val="auto"/>
                <w:sz w:val="24"/>
                <w:highlight w:val="none"/>
              </w:rPr>
            </w:pPr>
          </w:p>
        </w:tc>
        <w:tc>
          <w:tcPr>
            <w:tcW w:w="1984" w:type="dxa"/>
            <w:vAlign w:val="center"/>
          </w:tcPr>
          <w:p w14:paraId="4D73FE89">
            <w:pPr>
              <w:spacing w:line="360" w:lineRule="auto"/>
              <w:jc w:val="center"/>
              <w:rPr>
                <w:rFonts w:ascii="宋体" w:hAnsi="宋体" w:cs="宋体"/>
                <w:color w:val="auto"/>
                <w:sz w:val="24"/>
                <w:highlight w:val="none"/>
              </w:rPr>
            </w:pPr>
          </w:p>
        </w:tc>
        <w:tc>
          <w:tcPr>
            <w:tcW w:w="1908" w:type="dxa"/>
            <w:vAlign w:val="center"/>
          </w:tcPr>
          <w:p w14:paraId="40E23E87">
            <w:pPr>
              <w:spacing w:line="360" w:lineRule="auto"/>
              <w:jc w:val="center"/>
              <w:rPr>
                <w:rFonts w:ascii="宋体" w:hAnsi="宋体" w:cs="宋体"/>
                <w:color w:val="auto"/>
                <w:sz w:val="24"/>
                <w:highlight w:val="none"/>
              </w:rPr>
            </w:pPr>
          </w:p>
        </w:tc>
      </w:tr>
      <w:tr w14:paraId="05708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342" w:type="dxa"/>
            <w:gridSpan w:val="4"/>
            <w:vAlign w:val="center"/>
          </w:tcPr>
          <w:p w14:paraId="41CAA63E">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投标报价（小写）</w:t>
            </w:r>
          </w:p>
        </w:tc>
        <w:tc>
          <w:tcPr>
            <w:tcW w:w="7358" w:type="dxa"/>
            <w:gridSpan w:val="4"/>
            <w:vAlign w:val="center"/>
          </w:tcPr>
          <w:p w14:paraId="061E8B36">
            <w:pPr>
              <w:spacing w:line="360" w:lineRule="auto"/>
              <w:jc w:val="center"/>
              <w:rPr>
                <w:rFonts w:ascii="宋体" w:hAnsi="宋体" w:cs="宋体"/>
                <w:color w:val="auto"/>
                <w:sz w:val="24"/>
                <w:highlight w:val="none"/>
              </w:rPr>
            </w:pPr>
          </w:p>
        </w:tc>
      </w:tr>
      <w:tr w14:paraId="4E2B1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342" w:type="dxa"/>
            <w:gridSpan w:val="4"/>
            <w:vAlign w:val="center"/>
          </w:tcPr>
          <w:p w14:paraId="6C7494CE">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投标报价（大写）</w:t>
            </w:r>
          </w:p>
        </w:tc>
        <w:tc>
          <w:tcPr>
            <w:tcW w:w="7358" w:type="dxa"/>
            <w:gridSpan w:val="4"/>
            <w:vAlign w:val="center"/>
          </w:tcPr>
          <w:p w14:paraId="4F4F9302">
            <w:pPr>
              <w:spacing w:line="360" w:lineRule="auto"/>
              <w:jc w:val="center"/>
              <w:rPr>
                <w:rFonts w:ascii="宋体" w:hAnsi="宋体" w:cs="宋体"/>
                <w:color w:val="auto"/>
                <w:sz w:val="24"/>
                <w:highlight w:val="none"/>
              </w:rPr>
            </w:pPr>
          </w:p>
        </w:tc>
      </w:tr>
    </w:tbl>
    <w:p w14:paraId="3B7601B2">
      <w:pPr>
        <w:snapToGrid w:val="0"/>
        <w:spacing w:line="360" w:lineRule="auto"/>
        <w:ind w:left="480"/>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注：</w:t>
      </w:r>
    </w:p>
    <w:p w14:paraId="5C4BF14A">
      <w:pPr>
        <w:spacing w:line="360" w:lineRule="auto"/>
        <w:ind w:left="-2" w:leftChars="-1"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1、投标人需按本表格式填写</w:t>
      </w:r>
      <w:r>
        <w:rPr>
          <w:rFonts w:hint="eastAsia" w:ascii="宋体" w:hAnsi="宋体" w:cs="宋体"/>
          <w:b/>
          <w:color w:val="auto"/>
          <w:kern w:val="0"/>
          <w:sz w:val="24"/>
          <w:highlight w:val="none"/>
          <w:lang w:val="zh-CN"/>
        </w:rPr>
        <w:t>，</w:t>
      </w:r>
      <w:r>
        <w:rPr>
          <w:rFonts w:hint="eastAsia" w:ascii="宋体" w:hAnsi="宋体" w:cs="宋体"/>
          <w:b/>
          <w:color w:val="auto"/>
          <w:kern w:val="0"/>
          <w:sz w:val="24"/>
          <w:highlight w:val="none"/>
        </w:rPr>
        <w:t>否则视为</w:t>
      </w:r>
      <w:r>
        <w:rPr>
          <w:rFonts w:hint="eastAsia" w:ascii="宋体" w:hAnsi="宋体" w:cs="宋体"/>
          <w:b/>
          <w:color w:val="auto"/>
          <w:sz w:val="24"/>
          <w:highlight w:val="none"/>
        </w:rPr>
        <w:t>投标文件含有采购人不能接受的附加条件，投标无效</w:t>
      </w:r>
      <w:r>
        <w:rPr>
          <w:rFonts w:hint="eastAsia" w:ascii="宋体" w:hAnsi="宋体" w:cs="宋体"/>
          <w:color w:val="auto"/>
          <w:kern w:val="0"/>
          <w:sz w:val="24"/>
          <w:highlight w:val="none"/>
          <w:lang w:val="zh-CN"/>
        </w:rPr>
        <w:t>。</w:t>
      </w:r>
    </w:p>
    <w:p w14:paraId="33C721B1">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lang w:val="zh-CN"/>
        </w:rPr>
        <w:t>2、有关本项目实施所涉及的一切费用均计入报价。</w:t>
      </w:r>
      <w:r>
        <w:rPr>
          <w:rFonts w:hint="eastAsia" w:ascii="宋体" w:hAnsi="宋体" w:cs="宋体"/>
          <w:color w:val="auto"/>
          <w:kern w:val="0"/>
          <w:sz w:val="24"/>
          <w:highlight w:val="none"/>
          <w:lang w:val="en-US" w:eastAsia="zh-CN"/>
        </w:rPr>
        <w:t>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成交）条件或者合同</w:t>
      </w:r>
      <w:r>
        <w:rPr>
          <w:rFonts w:hint="eastAsia" w:ascii="宋体" w:hAnsi="宋体" w:eastAsia="宋体" w:cs="宋体"/>
          <w:color w:val="auto"/>
          <w:kern w:val="0"/>
          <w:sz w:val="24"/>
          <w:highlight w:val="none"/>
          <w:lang w:val="en-US" w:eastAsia="zh-CN"/>
        </w:rPr>
        <w:t>签订条件；</w:t>
      </w:r>
      <w:r>
        <w:rPr>
          <w:rFonts w:hint="eastAsia" w:ascii="宋体" w:hAnsi="宋体" w:eastAsia="宋体" w:cs="宋体"/>
          <w:color w:val="auto"/>
          <w:spacing w:val="0"/>
          <w:kern w:val="0"/>
          <w:sz w:val="24"/>
          <w:szCs w:val="24"/>
          <w:highlight w:val="none"/>
        </w:rPr>
        <w:t>总价</w:t>
      </w:r>
      <w:r>
        <w:rPr>
          <w:rFonts w:hint="eastAsia" w:ascii="宋体" w:hAnsi="宋体" w:eastAsia="宋体" w:cs="宋体"/>
          <w:color w:val="auto"/>
          <w:spacing w:val="0"/>
          <w:kern w:val="0"/>
          <w:sz w:val="24"/>
          <w:szCs w:val="24"/>
          <w:highlight w:val="none"/>
          <w:lang w:eastAsia="zh-CN"/>
        </w:rPr>
        <w:t>不为零</w:t>
      </w:r>
      <w:r>
        <w:rPr>
          <w:rFonts w:hint="eastAsia" w:ascii="宋体" w:hAnsi="宋体" w:eastAsia="宋体" w:cs="宋体"/>
          <w:color w:val="auto"/>
          <w:spacing w:val="0"/>
          <w:kern w:val="0"/>
          <w:sz w:val="24"/>
          <w:szCs w:val="24"/>
          <w:highlight w:val="none"/>
        </w:rPr>
        <w:t>，</w:t>
      </w:r>
      <w:r>
        <w:rPr>
          <w:rFonts w:hint="eastAsia" w:ascii="宋体" w:hAnsi="宋体" w:eastAsia="宋体" w:cs="宋体"/>
          <w:color w:val="auto"/>
          <w:spacing w:val="0"/>
          <w:kern w:val="0"/>
          <w:sz w:val="24"/>
          <w:szCs w:val="24"/>
          <w:highlight w:val="none"/>
          <w:lang w:eastAsia="zh-CN"/>
        </w:rPr>
        <w:t>部分</w:t>
      </w:r>
      <w:r>
        <w:rPr>
          <w:rFonts w:hint="eastAsia" w:ascii="宋体" w:hAnsi="宋体" w:eastAsia="宋体" w:cs="宋体"/>
          <w:color w:val="auto"/>
          <w:spacing w:val="0"/>
          <w:kern w:val="0"/>
          <w:sz w:val="24"/>
          <w:szCs w:val="24"/>
          <w:highlight w:val="none"/>
        </w:rPr>
        <w:t>产品、服务单价为零的，视作已包含在总价中</w:t>
      </w:r>
      <w:r>
        <w:rPr>
          <w:rFonts w:hint="eastAsia" w:ascii="宋体" w:hAnsi="宋体" w:eastAsia="宋体" w:cs="宋体"/>
          <w:color w:val="auto"/>
          <w:spacing w:val="0"/>
          <w:kern w:val="0"/>
          <w:sz w:val="24"/>
          <w:szCs w:val="24"/>
          <w:highlight w:val="none"/>
          <w:lang w:eastAsia="zh-CN"/>
        </w:rPr>
        <w:t>。</w:t>
      </w:r>
      <w:r>
        <w:rPr>
          <w:rFonts w:hint="eastAsia" w:ascii="宋体" w:hAnsi="宋体" w:cs="宋体"/>
          <w:b/>
          <w:color w:val="auto"/>
          <w:kern w:val="0"/>
          <w:sz w:val="24"/>
          <w:highlight w:val="none"/>
          <w:lang w:val="zh-CN"/>
        </w:rPr>
        <w:t>采购内容未包含在《开标一览表（报价表）》名称栏中，投标人不能作出合理解释的，</w:t>
      </w:r>
      <w:r>
        <w:rPr>
          <w:rFonts w:hint="eastAsia" w:ascii="宋体" w:hAnsi="宋体" w:cs="宋体"/>
          <w:b/>
          <w:color w:val="auto"/>
          <w:kern w:val="0"/>
          <w:sz w:val="24"/>
          <w:highlight w:val="none"/>
        </w:rPr>
        <w:t>视为</w:t>
      </w:r>
      <w:r>
        <w:rPr>
          <w:rFonts w:hint="eastAsia" w:ascii="宋体" w:hAnsi="宋体" w:cs="宋体"/>
          <w:b/>
          <w:color w:val="auto"/>
          <w:sz w:val="24"/>
          <w:highlight w:val="none"/>
        </w:rPr>
        <w:t>投标文件含有采购人不能接受的附加条件的，投标无效。</w:t>
      </w:r>
    </w:p>
    <w:p w14:paraId="0EE80308">
      <w:pPr>
        <w:snapToGrid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2F22C34C">
      <w:pPr>
        <w:snapToGrid w:val="0"/>
        <w:spacing w:line="360" w:lineRule="auto"/>
        <w:ind w:firstLine="643" w:firstLineChars="200"/>
        <w:jc w:val="center"/>
        <w:outlineLvl w:val="0"/>
        <w:rPr>
          <w:rFonts w:ascii="宋体" w:hAnsi="宋体" w:cs="宋体"/>
          <w:b/>
          <w:color w:val="auto"/>
          <w:sz w:val="32"/>
          <w:szCs w:val="32"/>
          <w:highlight w:val="none"/>
        </w:rPr>
        <w:sectPr>
          <w:pgSz w:w="16838" w:h="11906" w:orient="landscape"/>
          <w:pgMar w:top="1417" w:right="1417" w:bottom="1417" w:left="1417" w:header="850" w:footer="992" w:gutter="0"/>
          <w:cols w:space="0" w:num="1"/>
          <w:titlePg/>
          <w:rtlGutter w:val="0"/>
          <w:docGrid w:linePitch="312" w:charSpace="0"/>
        </w:sectPr>
      </w:pPr>
    </w:p>
    <w:bookmarkEnd w:id="69"/>
    <w:bookmarkEnd w:id="70"/>
    <w:bookmarkEnd w:id="71"/>
    <w:bookmarkEnd w:id="72"/>
    <w:bookmarkEnd w:id="73"/>
    <w:p w14:paraId="2E89691A">
      <w:pPr>
        <w:pStyle w:val="151"/>
        <w:keepNext w:val="0"/>
        <w:pageBreakBefore w:val="0"/>
        <w:tabs>
          <w:tab w:val="clear" w:pos="720"/>
        </w:tabs>
        <w:snapToGrid w:val="0"/>
        <w:spacing w:before="120" w:after="120"/>
        <w:ind w:firstLine="643"/>
        <w:outlineLvl w:val="9"/>
        <w:rPr>
          <w:rFonts w:ascii="宋体" w:hAnsi="宋体" w:eastAsia="宋体" w:cs="宋体"/>
          <w:color w:val="auto"/>
          <w:sz w:val="32"/>
          <w:szCs w:val="32"/>
          <w:highlight w:val="none"/>
        </w:rPr>
      </w:pPr>
      <w:r>
        <w:rPr>
          <w:rFonts w:hint="eastAsia" w:ascii="宋体" w:hAnsi="宋体" w:eastAsia="宋体" w:cs="宋体"/>
          <w:color w:val="auto"/>
          <w:kern w:val="2"/>
          <w:sz w:val="32"/>
          <w:szCs w:val="32"/>
          <w:highlight w:val="none"/>
          <w:lang w:val="en-US" w:eastAsia="zh-CN"/>
        </w:rPr>
        <w:t>二</w:t>
      </w:r>
      <w:r>
        <w:rPr>
          <w:rFonts w:hint="eastAsia" w:ascii="宋体" w:hAnsi="宋体" w:eastAsia="宋体" w:cs="宋体"/>
          <w:color w:val="auto"/>
          <w:kern w:val="2"/>
          <w:sz w:val="32"/>
          <w:szCs w:val="32"/>
          <w:highlight w:val="none"/>
        </w:rPr>
        <w:t>、</w:t>
      </w:r>
      <w:r>
        <w:rPr>
          <w:rFonts w:hint="eastAsia" w:ascii="宋体" w:hAnsi="宋体" w:eastAsia="宋体" w:cs="宋体"/>
          <w:color w:val="auto"/>
          <w:sz w:val="32"/>
          <w:szCs w:val="32"/>
          <w:highlight w:val="none"/>
        </w:rPr>
        <w:t>中小企业声明函</w:t>
      </w:r>
      <w:bookmarkStart w:id="74" w:name="_Hlk101259491"/>
      <w:r>
        <w:rPr>
          <w:rFonts w:hint="eastAsia" w:ascii="宋体" w:hAnsi="宋体" w:eastAsia="宋体" w:cs="宋体"/>
          <w:color w:val="auto"/>
          <w:sz w:val="32"/>
          <w:szCs w:val="32"/>
          <w:highlight w:val="none"/>
        </w:rPr>
        <w:t>（如果有）</w:t>
      </w:r>
      <w:bookmarkEnd w:id="74"/>
    </w:p>
    <w:p w14:paraId="1E99ECEA">
      <w:pPr>
        <w:widowControl/>
        <w:spacing w:line="360" w:lineRule="auto"/>
        <w:ind w:firstLine="120" w:firstLineChars="50"/>
        <w:jc w:val="left"/>
        <w:rPr>
          <w:rFonts w:ascii="宋体" w:hAnsi="宋体" w:cs="宋体"/>
          <w:b/>
          <w:color w:val="auto"/>
          <w:sz w:val="24"/>
          <w:highlight w:val="none"/>
        </w:rPr>
      </w:pPr>
      <w:r>
        <w:rPr>
          <w:rFonts w:hint="eastAsia" w:ascii="宋体" w:hAnsi="宋体" w:cs="宋体"/>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hint="eastAsia" w:ascii="宋体" w:hAnsi="宋体" w:cs="宋体"/>
          <w:b/>
          <w:color w:val="auto"/>
          <w:sz w:val="24"/>
          <w:highlight w:val="none"/>
          <w:lang w:val="en-US" w:eastAsia="zh-CN"/>
        </w:rPr>
        <w:t>5</w:t>
      </w:r>
      <w:r>
        <w:rPr>
          <w:rFonts w:hint="eastAsia" w:ascii="宋体" w:hAnsi="宋体" w:cs="宋体"/>
          <w:b/>
          <w:color w:val="auto"/>
          <w:sz w:val="24"/>
          <w:highlight w:val="none"/>
        </w:rPr>
        <w:t>）。]</w:t>
      </w:r>
    </w:p>
    <w:p w14:paraId="6094CFDF">
      <w:pPr>
        <w:rPr>
          <w:rFonts w:hint="eastAsia" w:ascii="宋体" w:hAnsi="宋体" w:cs="宋体"/>
          <w:b/>
          <w:color w:val="auto"/>
          <w:sz w:val="32"/>
          <w:szCs w:val="32"/>
          <w:highlight w:val="none"/>
          <w:lang w:val="en-US" w:eastAsia="zh-CN"/>
        </w:rPr>
      </w:pPr>
    </w:p>
    <w:p w14:paraId="109CFFE9">
      <w:pPr>
        <w:pStyle w:val="78"/>
        <w:snapToGrid w:val="0"/>
        <w:spacing w:line="360" w:lineRule="auto"/>
        <w:ind w:firstLine="321" w:firstLineChars="100"/>
        <w:jc w:val="center"/>
        <w:rPr>
          <w:rFonts w:hint="eastAsia" w:ascii="宋体" w:hAnsi="宋体" w:cs="宋体"/>
          <w:b/>
          <w:color w:val="auto"/>
          <w:sz w:val="32"/>
          <w:szCs w:val="32"/>
          <w:highlight w:val="none"/>
          <w:lang w:val="en-US" w:eastAsia="zh-CN"/>
        </w:rPr>
        <w:sectPr>
          <w:pgSz w:w="11906" w:h="16838"/>
          <w:pgMar w:top="1417" w:right="1417" w:bottom="1417" w:left="1417" w:header="850" w:footer="992" w:gutter="0"/>
          <w:cols w:space="0" w:num="1"/>
          <w:titlePg/>
          <w:rtlGutter w:val="0"/>
          <w:docGrid w:linePitch="312" w:charSpace="0"/>
        </w:sectPr>
      </w:pPr>
    </w:p>
    <w:p w14:paraId="0C7C4249">
      <w:pPr>
        <w:pStyle w:val="78"/>
        <w:snapToGrid w:val="0"/>
        <w:spacing w:line="360" w:lineRule="auto"/>
        <w:ind w:firstLine="321" w:firstLineChars="100"/>
        <w:jc w:val="center"/>
        <w:rPr>
          <w:rFonts w:hint="default" w:ascii="宋体" w:hAnsi="宋体" w:cs="宋体"/>
          <w:b/>
          <w:color w:val="auto"/>
          <w:sz w:val="30"/>
          <w:szCs w:val="30"/>
          <w:highlight w:val="none"/>
        </w:rPr>
      </w:pPr>
      <w:r>
        <w:rPr>
          <w:rFonts w:hint="eastAsia" w:ascii="宋体" w:hAnsi="宋体" w:cs="宋体"/>
          <w:b/>
          <w:color w:val="auto"/>
          <w:sz w:val="32"/>
          <w:szCs w:val="32"/>
          <w:highlight w:val="none"/>
          <w:lang w:val="en-US" w:eastAsia="zh-CN"/>
        </w:rPr>
        <w:t>三</w:t>
      </w:r>
      <w:r>
        <w:rPr>
          <w:rFonts w:ascii="宋体" w:hAnsi="宋体" w:cs="宋体"/>
          <w:b/>
          <w:color w:val="auto"/>
          <w:sz w:val="32"/>
          <w:szCs w:val="32"/>
          <w:highlight w:val="none"/>
        </w:rPr>
        <w:t>、</w:t>
      </w:r>
      <w:r>
        <w:rPr>
          <w:rFonts w:ascii="宋体" w:hAnsi="宋体" w:cs="宋体"/>
          <w:b/>
          <w:color w:val="auto"/>
          <w:sz w:val="30"/>
          <w:szCs w:val="30"/>
          <w:highlight w:val="none"/>
        </w:rPr>
        <w:t>代理服务费支付承诺书格式</w:t>
      </w:r>
    </w:p>
    <w:p w14:paraId="1FBB1C98">
      <w:pPr>
        <w:snapToGrid w:val="0"/>
        <w:spacing w:before="50" w:after="156" w:afterLines="50" w:line="360" w:lineRule="auto"/>
        <w:jc w:val="both"/>
        <w:rPr>
          <w:rFonts w:hint="default" w:ascii="宋体" w:hAnsi="宋体" w:cs="宋体"/>
          <w:b/>
          <w:color w:val="auto"/>
          <w:sz w:val="30"/>
          <w:szCs w:val="30"/>
          <w:highlight w:val="none"/>
        </w:rPr>
      </w:pPr>
    </w:p>
    <w:p w14:paraId="3FE748B2">
      <w:pPr>
        <w:snapToGrid w:val="0"/>
        <w:spacing w:before="50" w:after="50" w:line="360" w:lineRule="auto"/>
        <w:rPr>
          <w:rFonts w:hint="default" w:ascii="宋体" w:hAnsi="宋体" w:cs="宋体"/>
          <w:snapToGrid w:val="0"/>
          <w:color w:val="auto"/>
          <w:kern w:val="0"/>
          <w:sz w:val="24"/>
          <w:highlight w:val="none"/>
        </w:rPr>
      </w:pPr>
      <w:r>
        <w:rPr>
          <w:rFonts w:ascii="宋体" w:hAnsi="宋体" w:cs="宋体"/>
          <w:snapToGrid w:val="0"/>
          <w:color w:val="auto"/>
          <w:kern w:val="0"/>
          <w:sz w:val="24"/>
          <w:highlight w:val="none"/>
        </w:rPr>
        <w:t>致：浙江豪圣建设项目管理有限公司：</w:t>
      </w:r>
    </w:p>
    <w:p w14:paraId="5F93652C">
      <w:pPr>
        <w:snapToGrid w:val="0"/>
        <w:spacing w:before="50" w:after="50" w:line="360" w:lineRule="auto"/>
        <w:rPr>
          <w:rFonts w:hint="default" w:ascii="宋体" w:hAnsi="宋体" w:cs="宋体"/>
          <w:snapToGrid w:val="0"/>
          <w:color w:val="auto"/>
          <w:kern w:val="0"/>
          <w:sz w:val="24"/>
          <w:highlight w:val="none"/>
        </w:rPr>
      </w:pPr>
    </w:p>
    <w:p w14:paraId="4656F68D">
      <w:pPr>
        <w:snapToGrid w:val="0"/>
        <w:spacing w:before="50" w:after="50" w:line="360" w:lineRule="auto"/>
        <w:ind w:firstLine="630"/>
        <w:rPr>
          <w:rFonts w:hint="default" w:ascii="宋体" w:hAnsi="宋体" w:cs="宋体"/>
          <w:snapToGrid w:val="0"/>
          <w:color w:val="auto"/>
          <w:kern w:val="0"/>
          <w:sz w:val="24"/>
          <w:highlight w:val="none"/>
        </w:rPr>
      </w:pPr>
      <w:r>
        <w:rPr>
          <w:rFonts w:ascii="宋体" w:hAnsi="宋体" w:cs="宋体"/>
          <w:snapToGrid w:val="0"/>
          <w:color w:val="auto"/>
          <w:kern w:val="0"/>
          <w:sz w:val="24"/>
          <w:highlight w:val="none"/>
        </w:rPr>
        <w:t>我公司已认真阅读了招标文件（项目编号：</w:t>
      </w:r>
      <w:r>
        <w:rPr>
          <w:rFonts w:ascii="宋体" w:hAnsi="宋体" w:cs="宋体"/>
          <w:snapToGrid w:val="0"/>
          <w:color w:val="auto"/>
          <w:kern w:val="0"/>
          <w:sz w:val="24"/>
          <w:highlight w:val="none"/>
          <w:u w:val="single"/>
        </w:rPr>
        <w:t xml:space="preserve">           </w:t>
      </w:r>
      <w:r>
        <w:rPr>
          <w:rFonts w:ascii="宋体" w:hAnsi="宋体" w:cs="宋体"/>
          <w:snapToGrid w:val="0"/>
          <w:color w:val="auto"/>
          <w:kern w:val="0"/>
          <w:sz w:val="24"/>
          <w:highlight w:val="none"/>
        </w:rPr>
        <w:t>）并在此承诺：</w:t>
      </w:r>
    </w:p>
    <w:p w14:paraId="0C14AEA1">
      <w:pPr>
        <w:snapToGrid w:val="0"/>
        <w:spacing w:before="50" w:after="50" w:line="360" w:lineRule="auto"/>
        <w:ind w:firstLine="630"/>
        <w:rPr>
          <w:rFonts w:hint="default" w:ascii="宋体" w:hAnsi="宋体" w:cs="宋体"/>
          <w:snapToGrid w:val="0"/>
          <w:color w:val="auto"/>
          <w:kern w:val="0"/>
          <w:sz w:val="24"/>
          <w:highlight w:val="none"/>
        </w:rPr>
      </w:pPr>
      <w:r>
        <w:rPr>
          <w:rFonts w:ascii="宋体" w:hAnsi="宋体" w:cs="宋体"/>
          <w:snapToGrid w:val="0"/>
          <w:color w:val="auto"/>
          <w:kern w:val="0"/>
          <w:sz w:val="24"/>
          <w:highlight w:val="none"/>
        </w:rPr>
        <w:t>如中标，我公司将自中标公告发布之日起5个工作日内按招标文件规定的标准（金额）一次性向采购代理机构支付代理服务费。</w:t>
      </w:r>
    </w:p>
    <w:p w14:paraId="6FB0EA9F">
      <w:pPr>
        <w:snapToGrid w:val="0"/>
        <w:spacing w:before="50" w:after="50" w:line="360" w:lineRule="auto"/>
        <w:ind w:firstLine="630"/>
        <w:rPr>
          <w:rFonts w:hint="default" w:ascii="宋体" w:hAnsi="宋体" w:cs="宋体"/>
          <w:snapToGrid w:val="0"/>
          <w:color w:val="auto"/>
          <w:kern w:val="0"/>
          <w:sz w:val="24"/>
          <w:highlight w:val="none"/>
        </w:rPr>
      </w:pPr>
    </w:p>
    <w:p w14:paraId="0974F8EE">
      <w:pPr>
        <w:snapToGrid w:val="0"/>
        <w:spacing w:before="50" w:after="50" w:line="360" w:lineRule="auto"/>
        <w:ind w:firstLine="630"/>
        <w:rPr>
          <w:rFonts w:hint="default" w:ascii="宋体" w:hAnsi="宋体" w:cs="宋体"/>
          <w:snapToGrid w:val="0"/>
          <w:color w:val="auto"/>
          <w:kern w:val="0"/>
          <w:sz w:val="24"/>
          <w:highlight w:val="none"/>
        </w:rPr>
      </w:pPr>
    </w:p>
    <w:p w14:paraId="1DE428B2">
      <w:pPr>
        <w:snapToGrid w:val="0"/>
        <w:spacing w:before="50" w:after="50" w:line="360" w:lineRule="auto"/>
        <w:ind w:firstLine="630"/>
        <w:rPr>
          <w:rFonts w:hint="default" w:ascii="宋体" w:hAnsi="宋体" w:cs="宋体"/>
          <w:snapToGrid w:val="0"/>
          <w:color w:val="auto"/>
          <w:kern w:val="0"/>
          <w:sz w:val="24"/>
          <w:highlight w:val="none"/>
        </w:rPr>
      </w:pPr>
    </w:p>
    <w:p w14:paraId="755FB300">
      <w:pPr>
        <w:snapToGrid w:val="0"/>
        <w:spacing w:before="50" w:after="50" w:line="360" w:lineRule="auto"/>
        <w:ind w:firstLine="630"/>
        <w:rPr>
          <w:rFonts w:hint="default" w:ascii="宋体" w:hAnsi="宋体" w:cs="宋体"/>
          <w:snapToGrid w:val="0"/>
          <w:color w:val="auto"/>
          <w:kern w:val="0"/>
          <w:sz w:val="24"/>
          <w:highlight w:val="none"/>
        </w:rPr>
      </w:pPr>
    </w:p>
    <w:p w14:paraId="6EDAE19A">
      <w:pPr>
        <w:adjustRightInd w:val="0"/>
        <w:snapToGrid w:val="0"/>
        <w:spacing w:line="360" w:lineRule="auto"/>
        <w:ind w:firstLine="480" w:firstLineChars="200"/>
        <w:rPr>
          <w:rFonts w:hint="default" w:ascii="宋体" w:hAnsi="宋体" w:cs="宋体"/>
          <w:color w:val="auto"/>
          <w:kern w:val="0"/>
          <w:sz w:val="24"/>
          <w:highlight w:val="none"/>
        </w:rPr>
      </w:pPr>
      <w:r>
        <w:rPr>
          <w:rFonts w:hint="eastAsia" w:ascii="宋体" w:hAnsi="宋体" w:cs="宋体"/>
          <w:color w:val="auto"/>
          <w:sz w:val="24"/>
          <w:highlight w:val="none"/>
        </w:rPr>
        <w:t>投标人名称（电子签名）</w:t>
      </w:r>
      <w:r>
        <w:rPr>
          <w:rFonts w:ascii="宋体" w:hAnsi="宋体" w:cs="宋体"/>
          <w:color w:val="auto"/>
          <w:kern w:val="0"/>
          <w:sz w:val="24"/>
          <w:highlight w:val="none"/>
        </w:rPr>
        <w:t>：</w:t>
      </w:r>
    </w:p>
    <w:p w14:paraId="64D21C8A">
      <w:pPr>
        <w:widowControl/>
        <w:adjustRightInd w:val="0"/>
        <w:snapToGrid w:val="0"/>
        <w:spacing w:line="360" w:lineRule="auto"/>
        <w:ind w:firstLine="480" w:firstLineChars="200"/>
        <w:jc w:val="left"/>
        <w:rPr>
          <w:rFonts w:hint="default" w:ascii="宋体" w:hAnsi="宋体" w:cs="宋体"/>
          <w:color w:val="auto"/>
          <w:kern w:val="0"/>
          <w:sz w:val="24"/>
          <w:highlight w:val="none"/>
        </w:rPr>
      </w:pPr>
      <w:r>
        <w:rPr>
          <w:rFonts w:ascii="宋体" w:hAnsi="宋体" w:cs="宋体"/>
          <w:color w:val="auto"/>
          <w:kern w:val="0"/>
          <w:sz w:val="24"/>
          <w:highlight w:val="none"/>
        </w:rPr>
        <w:t>法定代表人或其授权代表（签字或盖章）：</w:t>
      </w:r>
    </w:p>
    <w:p w14:paraId="1BB406C5">
      <w:pPr>
        <w:pStyle w:val="8"/>
        <w:adjustRightInd w:val="0"/>
        <w:snapToGrid w:val="0"/>
        <w:spacing w:beforeLines="0" w:afterLines="0" w:line="360" w:lineRule="auto"/>
        <w:ind w:firstLine="480" w:firstLineChars="200"/>
        <w:outlineLvl w:val="0"/>
        <w:rPr>
          <w:rFonts w:hint="default" w:hAnsi="宋体" w:cs="宋体"/>
          <w:b/>
          <w:color w:val="auto"/>
          <w:sz w:val="32"/>
          <w:szCs w:val="32"/>
          <w:highlight w:val="none"/>
        </w:rPr>
      </w:pPr>
      <w:bookmarkStart w:id="75" w:name="_Toc21299"/>
      <w:bookmarkStart w:id="76" w:name="_Toc10491"/>
      <w:r>
        <w:rPr>
          <w:rFonts w:hAnsi="宋体" w:cs="宋体"/>
          <w:color w:val="auto"/>
          <w:kern w:val="0"/>
          <w:highlight w:val="none"/>
        </w:rPr>
        <w:t>日期：     年  月  日</w:t>
      </w:r>
      <w:bookmarkEnd w:id="75"/>
      <w:bookmarkEnd w:id="76"/>
    </w:p>
    <w:p w14:paraId="425183DD">
      <w:pPr>
        <w:pStyle w:val="78"/>
        <w:snapToGrid w:val="0"/>
        <w:spacing w:line="360" w:lineRule="auto"/>
        <w:ind w:left="360" w:firstLine="240" w:firstLineChars="100"/>
        <w:jc w:val="center"/>
        <w:rPr>
          <w:rFonts w:hint="default" w:ascii="宋体" w:hAnsi="宋体" w:cs="宋体"/>
          <w:color w:val="auto"/>
          <w:sz w:val="24"/>
          <w:szCs w:val="24"/>
          <w:highlight w:val="none"/>
        </w:rPr>
      </w:pPr>
    </w:p>
    <w:p w14:paraId="14A3AF32">
      <w:pPr>
        <w:pStyle w:val="4"/>
        <w:keepNext w:val="0"/>
        <w:keepLines w:val="0"/>
        <w:pageBreakBefore/>
        <w:widowControl/>
        <w:tabs>
          <w:tab w:val="left" w:pos="432"/>
        </w:tabs>
        <w:spacing w:before="100" w:beforeAutospacing="1" w:after="100" w:afterAutospacing="1" w:line="360" w:lineRule="auto"/>
        <w:ind w:left="1290" w:firstLine="3373" w:firstLineChars="700"/>
        <w:jc w:val="left"/>
        <w:rPr>
          <w:rFonts w:ascii="宋体" w:hAnsi="宋体" w:cs="宋体"/>
          <w:color w:val="auto"/>
          <w:sz w:val="48"/>
          <w:szCs w:val="48"/>
          <w:highlight w:val="none"/>
        </w:rPr>
      </w:pPr>
      <w:r>
        <w:rPr>
          <w:rFonts w:hint="eastAsia" w:ascii="宋体" w:hAnsi="宋体" w:cs="宋体"/>
          <w:color w:val="auto"/>
          <w:sz w:val="48"/>
          <w:szCs w:val="48"/>
          <w:highlight w:val="none"/>
        </w:rPr>
        <w:t>附件</w:t>
      </w:r>
      <w:bookmarkEnd w:id="56"/>
    </w:p>
    <w:p w14:paraId="214CE011">
      <w:pPr>
        <w:spacing w:line="360" w:lineRule="auto"/>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附件1：</w:t>
      </w:r>
    </w:p>
    <w:p w14:paraId="6D2FC717">
      <w:pPr>
        <w:spacing w:line="360" w:lineRule="auto"/>
        <w:jc w:val="center"/>
        <w:rPr>
          <w:rFonts w:ascii="宋体" w:hAnsi="宋体" w:cs="宋体"/>
          <w:b/>
          <w:color w:val="auto"/>
          <w:spacing w:val="6"/>
          <w:sz w:val="32"/>
          <w:szCs w:val="32"/>
          <w:highlight w:val="none"/>
        </w:rPr>
      </w:pPr>
      <w:bookmarkStart w:id="77" w:name="OLE_LINK14"/>
      <w:bookmarkStart w:id="78" w:name="OLE_LINK13"/>
      <w:r>
        <w:rPr>
          <w:rFonts w:hint="eastAsia" w:ascii="宋体" w:hAnsi="宋体" w:cs="宋体"/>
          <w:b/>
          <w:color w:val="auto"/>
          <w:spacing w:val="6"/>
          <w:sz w:val="32"/>
          <w:szCs w:val="32"/>
          <w:highlight w:val="none"/>
        </w:rPr>
        <w:t>残疾人福利性单位声明函</w:t>
      </w:r>
    </w:p>
    <w:bookmarkEnd w:id="77"/>
    <w:bookmarkEnd w:id="78"/>
    <w:p w14:paraId="2A251A2D">
      <w:pPr>
        <w:spacing w:line="360" w:lineRule="auto"/>
        <w:rPr>
          <w:rFonts w:ascii="宋体" w:hAnsi="宋体" w:cs="宋体"/>
          <w:b/>
          <w:color w:val="auto"/>
          <w:spacing w:val="6"/>
          <w:sz w:val="30"/>
          <w:szCs w:val="30"/>
          <w:highlight w:val="none"/>
        </w:rPr>
      </w:pPr>
    </w:p>
    <w:p w14:paraId="4B3E3DC9">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宋体" w:hAnsi="宋体" w:cs="宋体"/>
          <w:color w:val="auto"/>
          <w:sz w:val="24"/>
          <w:highlight w:val="none"/>
          <w:u w:val="single"/>
        </w:rPr>
        <w:t>（采购人）</w:t>
      </w:r>
      <w:r>
        <w:rPr>
          <w:rFonts w:hint="eastAsia" w:ascii="宋体" w:hAnsi="宋体" w:cs="宋体"/>
          <w:color w:val="auto"/>
          <w:sz w:val="24"/>
          <w:highlight w:val="none"/>
        </w:rPr>
        <w:t>_单位的_</w:t>
      </w:r>
      <w:r>
        <w:rPr>
          <w:rFonts w:hint="eastAsia" w:ascii="宋体" w:hAnsi="宋体" w:cs="宋体"/>
          <w:color w:val="auto"/>
          <w:sz w:val="24"/>
          <w:highlight w:val="none"/>
          <w:u w:val="single"/>
        </w:rPr>
        <w:t>（项目名称）</w:t>
      </w:r>
      <w:r>
        <w:rPr>
          <w:rFonts w:hint="eastAsia" w:ascii="宋体" w:hAnsi="宋体" w:cs="宋体"/>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40508AF7">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本单位对上述声明的真实性负责。如有虚假，将依法承担相应责任。</w:t>
      </w:r>
    </w:p>
    <w:p w14:paraId="023818FF">
      <w:pPr>
        <w:spacing w:line="360" w:lineRule="auto"/>
        <w:ind w:firstLine="480" w:firstLineChars="200"/>
        <w:rPr>
          <w:rFonts w:ascii="宋体" w:hAnsi="宋体" w:cs="宋体"/>
          <w:color w:val="auto"/>
          <w:sz w:val="24"/>
          <w:highlight w:val="none"/>
        </w:rPr>
      </w:pPr>
    </w:p>
    <w:p w14:paraId="40EEEBDC">
      <w:pPr>
        <w:spacing w:line="360" w:lineRule="auto"/>
        <w:ind w:firstLine="480" w:firstLineChars="200"/>
        <w:rPr>
          <w:rFonts w:ascii="宋体" w:hAnsi="宋体" w:cs="宋体"/>
          <w:color w:val="auto"/>
          <w:sz w:val="24"/>
          <w:highlight w:val="none"/>
        </w:rPr>
      </w:pPr>
    </w:p>
    <w:p w14:paraId="7264AC19">
      <w:pPr>
        <w:tabs>
          <w:tab w:val="left" w:pos="4860"/>
        </w:tabs>
        <w:spacing w:line="360" w:lineRule="auto"/>
        <w:ind w:right="1560" w:firstLine="480" w:firstLineChars="200"/>
        <w:jc w:val="center"/>
        <w:rPr>
          <w:rFonts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color w:val="auto"/>
          <w:kern w:val="0"/>
          <w:sz w:val="24"/>
          <w:highlight w:val="none"/>
          <w:lang w:val="zh-CN"/>
        </w:rPr>
        <w:t>投标人名称（电子签名）</w:t>
      </w:r>
      <w:r>
        <w:rPr>
          <w:rFonts w:hint="eastAsia" w:ascii="宋体" w:hAnsi="宋体" w:cs="宋体"/>
          <w:color w:val="auto"/>
          <w:sz w:val="24"/>
          <w:highlight w:val="none"/>
        </w:rPr>
        <w:t>：</w:t>
      </w:r>
    </w:p>
    <w:p w14:paraId="03DE89E2">
      <w:pPr>
        <w:tabs>
          <w:tab w:val="left" w:pos="4860"/>
        </w:tabs>
        <w:spacing w:line="360" w:lineRule="auto"/>
        <w:ind w:right="1560" w:firstLine="480" w:firstLineChars="200"/>
        <w:jc w:val="center"/>
        <w:rPr>
          <w:rFonts w:ascii="宋体" w:hAnsi="宋体" w:cs="宋体"/>
          <w:color w:val="auto"/>
          <w:sz w:val="24"/>
          <w:highlight w:val="none"/>
        </w:rPr>
      </w:pPr>
      <w:r>
        <w:rPr>
          <w:rFonts w:hint="eastAsia" w:ascii="宋体" w:hAnsi="宋体" w:cs="宋体"/>
          <w:color w:val="auto"/>
          <w:sz w:val="24"/>
          <w:highlight w:val="none"/>
        </w:rPr>
        <w:t xml:space="preserve">       日  期：</w:t>
      </w:r>
    </w:p>
    <w:p w14:paraId="6F1590F8">
      <w:pPr>
        <w:spacing w:line="360" w:lineRule="auto"/>
        <w:ind w:firstLine="480" w:firstLineChars="200"/>
        <w:rPr>
          <w:rFonts w:ascii="宋体" w:hAnsi="宋体" w:cs="宋体"/>
          <w:color w:val="auto"/>
          <w:sz w:val="24"/>
          <w:highlight w:val="none"/>
        </w:rPr>
      </w:pPr>
    </w:p>
    <w:p w14:paraId="49615994">
      <w:pPr>
        <w:spacing w:line="360" w:lineRule="auto"/>
        <w:ind w:firstLine="420" w:firstLineChars="200"/>
        <w:rPr>
          <w:rFonts w:ascii="宋体" w:hAnsi="宋体" w:cs="宋体"/>
          <w:color w:val="auto"/>
          <w:highlight w:val="none"/>
        </w:rPr>
      </w:pPr>
    </w:p>
    <w:p w14:paraId="529D51DE">
      <w:pPr>
        <w:spacing w:line="360" w:lineRule="auto"/>
        <w:ind w:firstLine="420" w:firstLineChars="200"/>
        <w:rPr>
          <w:rFonts w:ascii="宋体" w:hAnsi="宋体" w:cs="宋体"/>
          <w:color w:val="auto"/>
          <w:highlight w:val="none"/>
        </w:rPr>
      </w:pPr>
    </w:p>
    <w:p w14:paraId="37E648F7">
      <w:pPr>
        <w:spacing w:line="360" w:lineRule="auto"/>
        <w:ind w:firstLine="420" w:firstLineChars="200"/>
        <w:rPr>
          <w:rFonts w:ascii="宋体" w:hAnsi="宋体" w:cs="宋体"/>
          <w:color w:val="auto"/>
          <w:highlight w:val="none"/>
        </w:rPr>
      </w:pPr>
    </w:p>
    <w:p w14:paraId="466FFF91">
      <w:pPr>
        <w:spacing w:line="360" w:lineRule="auto"/>
        <w:ind w:firstLine="420" w:firstLineChars="200"/>
        <w:rPr>
          <w:rFonts w:ascii="宋体" w:hAnsi="宋体" w:cs="宋体"/>
          <w:color w:val="auto"/>
          <w:highlight w:val="none"/>
        </w:rPr>
      </w:pPr>
    </w:p>
    <w:p w14:paraId="160F2A75">
      <w:pPr>
        <w:spacing w:line="360" w:lineRule="auto"/>
        <w:rPr>
          <w:rFonts w:ascii="宋体" w:hAnsi="宋体" w:cs="宋体"/>
          <w:b/>
          <w:color w:val="auto"/>
          <w:sz w:val="24"/>
          <w:highlight w:val="none"/>
        </w:rPr>
      </w:pPr>
    </w:p>
    <w:p w14:paraId="75B738A7">
      <w:pPr>
        <w:spacing w:line="360" w:lineRule="auto"/>
        <w:rPr>
          <w:rFonts w:ascii="宋体" w:hAnsi="宋体" w:cs="宋体"/>
          <w:b/>
          <w:color w:val="auto"/>
          <w:sz w:val="24"/>
          <w:highlight w:val="none"/>
        </w:rPr>
      </w:pPr>
    </w:p>
    <w:p w14:paraId="2EBFAFEB">
      <w:pPr>
        <w:spacing w:line="360" w:lineRule="auto"/>
        <w:rPr>
          <w:rFonts w:ascii="宋体" w:hAnsi="宋体" w:cs="宋体"/>
          <w:b/>
          <w:color w:val="auto"/>
          <w:sz w:val="24"/>
          <w:highlight w:val="none"/>
        </w:rPr>
      </w:pPr>
    </w:p>
    <w:p w14:paraId="7D1C58F7">
      <w:pPr>
        <w:spacing w:line="360" w:lineRule="auto"/>
        <w:rPr>
          <w:rFonts w:ascii="宋体" w:hAnsi="宋体" w:cs="宋体"/>
          <w:b/>
          <w:color w:val="auto"/>
          <w:sz w:val="24"/>
          <w:highlight w:val="none"/>
        </w:rPr>
      </w:pPr>
    </w:p>
    <w:p w14:paraId="362A2266">
      <w:pPr>
        <w:spacing w:line="360" w:lineRule="auto"/>
        <w:rPr>
          <w:rFonts w:ascii="宋体" w:hAnsi="宋体" w:cs="宋体"/>
          <w:b/>
          <w:color w:val="auto"/>
          <w:sz w:val="24"/>
          <w:highlight w:val="none"/>
        </w:rPr>
      </w:pPr>
    </w:p>
    <w:p w14:paraId="05887B97">
      <w:pPr>
        <w:spacing w:line="360" w:lineRule="auto"/>
        <w:rPr>
          <w:rFonts w:ascii="宋体" w:hAnsi="宋体" w:cs="宋体"/>
          <w:b/>
          <w:color w:val="auto"/>
          <w:sz w:val="24"/>
          <w:highlight w:val="none"/>
        </w:rPr>
      </w:pPr>
    </w:p>
    <w:p w14:paraId="46B95CCA">
      <w:pPr>
        <w:spacing w:line="360" w:lineRule="auto"/>
        <w:rPr>
          <w:rFonts w:ascii="宋体" w:hAnsi="宋体" w:cs="宋体"/>
          <w:b/>
          <w:color w:val="auto"/>
          <w:sz w:val="24"/>
          <w:highlight w:val="none"/>
        </w:rPr>
      </w:pPr>
    </w:p>
    <w:p w14:paraId="3F50BED8">
      <w:pPr>
        <w:spacing w:line="360" w:lineRule="auto"/>
        <w:rPr>
          <w:rFonts w:ascii="宋体" w:hAnsi="宋体" w:cs="宋体"/>
          <w:b/>
          <w:color w:val="auto"/>
          <w:sz w:val="24"/>
          <w:highlight w:val="none"/>
        </w:rPr>
      </w:pPr>
    </w:p>
    <w:p w14:paraId="14804963">
      <w:pPr>
        <w:spacing w:line="360" w:lineRule="auto"/>
        <w:rPr>
          <w:rFonts w:ascii="宋体" w:hAnsi="宋体" w:cs="宋体"/>
          <w:b/>
          <w:color w:val="auto"/>
          <w:sz w:val="24"/>
          <w:highlight w:val="none"/>
        </w:rPr>
      </w:pPr>
    </w:p>
    <w:p w14:paraId="245C2EEE">
      <w:pPr>
        <w:autoSpaceDE w:val="0"/>
        <w:autoSpaceDN w:val="0"/>
        <w:jc w:val="center"/>
        <w:rPr>
          <w:rFonts w:ascii="宋体" w:hAnsi="宋体" w:cs="宋体"/>
          <w:b/>
          <w:color w:val="auto"/>
          <w:spacing w:val="6"/>
          <w:sz w:val="32"/>
          <w:szCs w:val="32"/>
          <w:highlight w:val="none"/>
        </w:rPr>
      </w:pPr>
    </w:p>
    <w:p w14:paraId="4470ADD9">
      <w:pPr>
        <w:autoSpaceDE w:val="0"/>
        <w:autoSpaceDN w:val="0"/>
        <w:jc w:val="center"/>
        <w:rPr>
          <w:rFonts w:ascii="宋体" w:hAnsi="宋体" w:cs="宋体"/>
          <w:b/>
          <w:color w:val="auto"/>
          <w:spacing w:val="6"/>
          <w:sz w:val="32"/>
          <w:szCs w:val="32"/>
          <w:highlight w:val="none"/>
        </w:rPr>
      </w:pPr>
    </w:p>
    <w:p w14:paraId="650129A0">
      <w:pPr>
        <w:autoSpaceDE w:val="0"/>
        <w:autoSpaceDN w:val="0"/>
        <w:jc w:val="center"/>
        <w:rPr>
          <w:rFonts w:ascii="宋体" w:hAnsi="宋体" w:cs="宋体"/>
          <w:b/>
          <w:bCs/>
          <w:color w:val="auto"/>
          <w:sz w:val="32"/>
          <w:szCs w:val="32"/>
          <w:highlight w:val="none"/>
        </w:rPr>
      </w:pPr>
      <w:r>
        <w:rPr>
          <w:rFonts w:hint="eastAsia" w:ascii="宋体" w:hAnsi="宋体" w:cs="宋体"/>
          <w:b/>
          <w:color w:val="auto"/>
          <w:spacing w:val="6"/>
          <w:sz w:val="32"/>
          <w:szCs w:val="32"/>
          <w:highlight w:val="none"/>
        </w:rPr>
        <w:t>附件</w:t>
      </w:r>
      <w:r>
        <w:rPr>
          <w:rFonts w:hint="eastAsia" w:ascii="宋体" w:hAnsi="宋体" w:cs="宋体"/>
          <w:b/>
          <w:color w:val="auto"/>
          <w:spacing w:val="6"/>
          <w:sz w:val="32"/>
          <w:szCs w:val="32"/>
          <w:highlight w:val="none"/>
          <w:lang w:val="en-US" w:eastAsia="zh-CN"/>
        </w:rPr>
        <w:t>2</w:t>
      </w:r>
      <w:r>
        <w:rPr>
          <w:rFonts w:hint="eastAsia" w:ascii="宋体" w:hAnsi="宋体" w:cs="宋体"/>
          <w:b/>
          <w:color w:val="auto"/>
          <w:spacing w:val="6"/>
          <w:sz w:val="32"/>
          <w:szCs w:val="32"/>
          <w:highlight w:val="none"/>
        </w:rPr>
        <w:t>：</w:t>
      </w:r>
      <w:r>
        <w:rPr>
          <w:rFonts w:hint="eastAsia" w:ascii="宋体" w:hAnsi="宋体" w:cs="宋体"/>
          <w:b/>
          <w:bCs/>
          <w:color w:val="auto"/>
          <w:sz w:val="32"/>
          <w:szCs w:val="32"/>
          <w:highlight w:val="none"/>
        </w:rPr>
        <w:t>业务专用章使用说明函</w:t>
      </w:r>
    </w:p>
    <w:p w14:paraId="529B028E">
      <w:pPr>
        <w:spacing w:line="360" w:lineRule="auto"/>
        <w:rPr>
          <w:rFonts w:ascii="宋体" w:hAnsi="宋体" w:cs="宋体"/>
          <w:color w:val="auto"/>
          <w:sz w:val="24"/>
          <w:highlight w:val="none"/>
          <w:u w:val="single"/>
        </w:rPr>
      </w:pPr>
    </w:p>
    <w:p w14:paraId="215BDBAF">
      <w:pPr>
        <w:spacing w:line="360" w:lineRule="auto"/>
        <w:rPr>
          <w:rFonts w:ascii="宋体" w:hAnsi="宋体" w:cs="宋体"/>
          <w:color w:val="auto"/>
          <w:sz w:val="24"/>
          <w:highlight w:val="none"/>
        </w:rPr>
      </w:pPr>
      <w:r>
        <w:rPr>
          <w:rFonts w:hint="eastAsia" w:ascii="宋体" w:hAnsi="宋体" w:cs="宋体"/>
          <w:color w:val="auto"/>
          <w:sz w:val="24"/>
          <w:highlight w:val="none"/>
          <w:u w:val="single"/>
        </w:rPr>
        <w:t>（采购人）、（采购代理机构）：</w:t>
      </w:r>
    </w:p>
    <w:p w14:paraId="19D17A6B">
      <w:pPr>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lang w:val="zh-CN"/>
        </w:rPr>
        <w:t>我方</w:t>
      </w:r>
      <w:r>
        <w:rPr>
          <w:rFonts w:hint="eastAsia" w:ascii="宋体" w:hAnsi="宋体" w:cs="宋体"/>
          <w:color w:val="auto"/>
          <w:kern w:val="0"/>
          <w:sz w:val="24"/>
          <w:highlight w:val="none"/>
          <w:u w:val="single"/>
          <w:lang w:val="zh-CN"/>
        </w:rPr>
        <w:t xml:space="preserve">                         </w:t>
      </w:r>
      <w:r>
        <w:rPr>
          <w:rFonts w:hint="eastAsia" w:ascii="宋体" w:hAnsi="宋体" w:cs="宋体"/>
          <w:color w:val="auto"/>
          <w:sz w:val="24"/>
          <w:highlight w:val="none"/>
        </w:rPr>
        <w:t>(投标人全称)是中华人民共和国依法登记注册的合法企业，</w:t>
      </w:r>
      <w:r>
        <w:rPr>
          <w:rFonts w:hint="eastAsia" w:ascii="宋体" w:hAnsi="宋体" w:cs="宋体"/>
          <w:bCs/>
          <w:color w:val="auto"/>
          <w:sz w:val="24"/>
          <w:highlight w:val="none"/>
        </w:rPr>
        <w:t>在参加</w:t>
      </w:r>
      <w:r>
        <w:rPr>
          <w:rFonts w:hint="eastAsia" w:ascii="宋体" w:hAnsi="宋体" w:cs="宋体"/>
          <w:color w:val="auto"/>
          <w:sz w:val="24"/>
          <w:highlight w:val="none"/>
        </w:rPr>
        <w:t>你方组织的（项目名称）【</w:t>
      </w:r>
      <w:r>
        <w:rPr>
          <w:rFonts w:ascii="宋体" w:hAnsi="宋体" w:cs="宋体"/>
          <w:color w:val="auto"/>
          <w:sz w:val="24"/>
          <w:highlight w:val="none"/>
        </w:rPr>
        <w:t xml:space="preserve">项目编号：    </w:t>
      </w:r>
      <w:r>
        <w:rPr>
          <w:rFonts w:hint="eastAsia" w:ascii="宋体" w:hAnsi="宋体" w:cs="宋体"/>
          <w:color w:val="auto"/>
          <w:sz w:val="24"/>
          <w:highlight w:val="none"/>
        </w:rPr>
        <w:t>】</w:t>
      </w:r>
      <w:r>
        <w:rPr>
          <w:rFonts w:hint="eastAsia" w:ascii="宋体" w:hAnsi="宋体" w:cs="宋体"/>
          <w:bCs/>
          <w:color w:val="auto"/>
          <w:sz w:val="24"/>
          <w:highlight w:val="none"/>
        </w:rPr>
        <w:t>投标活动中作如下说明：</w:t>
      </w:r>
      <w:r>
        <w:rPr>
          <w:rFonts w:hint="eastAsia" w:ascii="宋体" w:hAnsi="宋体" w:cs="宋体"/>
          <w:color w:val="auto"/>
          <w:sz w:val="24"/>
          <w:highlight w:val="none"/>
        </w:rPr>
        <w:t xml:space="preserve">我方所使用的“XX专用章”与法定名称章具有同等的法律效力，对使用“XX专用章”的行为予以完全承认，并愿意承担相应责任。   </w:t>
      </w:r>
    </w:p>
    <w:p w14:paraId="5305FAEC">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特此说明。</w:t>
      </w:r>
    </w:p>
    <w:p w14:paraId="3EC54233">
      <w:pPr>
        <w:spacing w:line="360" w:lineRule="auto"/>
        <w:ind w:firstLine="494"/>
        <w:rPr>
          <w:rFonts w:ascii="宋体" w:hAnsi="宋体" w:cs="宋体"/>
          <w:color w:val="auto"/>
          <w:sz w:val="24"/>
          <w:highlight w:val="none"/>
        </w:rPr>
      </w:pPr>
    </w:p>
    <w:p w14:paraId="6C563C6D">
      <w:pPr>
        <w:spacing w:line="360" w:lineRule="auto"/>
        <w:ind w:firstLine="494"/>
        <w:rPr>
          <w:rFonts w:ascii="宋体" w:hAnsi="宋体" w:cs="宋体"/>
          <w:color w:val="auto"/>
          <w:sz w:val="24"/>
          <w:highlight w:val="none"/>
        </w:rPr>
      </w:pPr>
    </w:p>
    <w:p w14:paraId="15FC75F8">
      <w:pPr>
        <w:spacing w:line="360" w:lineRule="auto"/>
        <w:ind w:firstLine="494"/>
        <w:rPr>
          <w:rFonts w:ascii="宋体" w:hAnsi="宋体" w:cs="宋体"/>
          <w:color w:val="auto"/>
          <w:sz w:val="24"/>
          <w:highlight w:val="none"/>
        </w:rPr>
      </w:pPr>
    </w:p>
    <w:p w14:paraId="0D2D6F50">
      <w:pPr>
        <w:spacing w:line="360" w:lineRule="auto"/>
        <w:ind w:right="480" w:firstLine="4080" w:firstLineChars="1700"/>
        <w:rPr>
          <w:rFonts w:ascii="宋体" w:hAnsi="宋体" w:cs="宋体"/>
          <w:color w:val="auto"/>
          <w:sz w:val="24"/>
          <w:highlight w:val="none"/>
        </w:rPr>
      </w:pPr>
      <w:r>
        <w:rPr>
          <w:rFonts w:hint="eastAsia" w:ascii="宋体" w:hAnsi="宋体" w:cs="宋体"/>
          <w:color w:val="auto"/>
          <w:sz w:val="24"/>
          <w:highlight w:val="none"/>
        </w:rPr>
        <w:t>投标单位（法定名称章）：</w:t>
      </w:r>
    </w:p>
    <w:p w14:paraId="37D32F85">
      <w:pPr>
        <w:ind w:right="1440" w:firstLine="494"/>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14:paraId="71653840">
      <w:pPr>
        <w:rPr>
          <w:rFonts w:ascii="宋体" w:hAnsi="宋体" w:cs="宋体"/>
          <w:color w:val="auto"/>
          <w:sz w:val="24"/>
          <w:highlight w:val="none"/>
        </w:rPr>
      </w:pPr>
      <w:r>
        <w:rPr>
          <w:rFonts w:hint="eastAsia" w:ascii="宋体" w:hAnsi="宋体" w:cs="宋体"/>
          <w:b/>
          <w:bCs/>
          <w:color w:val="auto"/>
          <w:sz w:val="24"/>
          <w:highlight w:val="none"/>
        </w:rPr>
        <w:t>附：</w:t>
      </w:r>
    </w:p>
    <w:p w14:paraId="7C899476">
      <w:pPr>
        <w:spacing w:line="360" w:lineRule="auto"/>
        <w:rPr>
          <w:rFonts w:ascii="宋体" w:hAnsi="宋体" w:cs="宋体"/>
          <w:bCs/>
          <w:color w:val="auto"/>
          <w:sz w:val="24"/>
          <w:highlight w:val="none"/>
        </w:rPr>
      </w:pPr>
      <w:r>
        <w:rPr>
          <w:rFonts w:hint="eastAsia" w:ascii="宋体" w:hAnsi="宋体" w:cs="宋体"/>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8415" b="12700"/>
                <wp:wrapNone/>
                <wp:docPr id="2"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XRFQWS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12700"/>
                <wp:wrapNone/>
                <wp:docPr id="5"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yES1F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color w:val="auto"/>
          <w:sz w:val="24"/>
          <w:highlight w:val="none"/>
        </w:rPr>
        <w:t>投标单位法定名称章（印模）                投标单位“XX专用章”（印模）</w:t>
      </w:r>
    </w:p>
    <w:p w14:paraId="7B3F7760">
      <w:pPr>
        <w:autoSpaceDE w:val="0"/>
        <w:autoSpaceDN w:val="0"/>
        <w:jc w:val="center"/>
        <w:rPr>
          <w:rFonts w:ascii="宋体" w:hAnsi="宋体" w:cs="宋体"/>
          <w:b/>
          <w:color w:val="auto"/>
          <w:spacing w:val="6"/>
          <w:sz w:val="32"/>
          <w:szCs w:val="32"/>
          <w:highlight w:val="none"/>
        </w:rPr>
      </w:pPr>
    </w:p>
    <w:p w14:paraId="1989CF1C">
      <w:pPr>
        <w:autoSpaceDE w:val="0"/>
        <w:autoSpaceDN w:val="0"/>
        <w:jc w:val="center"/>
        <w:rPr>
          <w:rFonts w:ascii="宋体" w:hAnsi="宋体" w:cs="宋体"/>
          <w:b/>
          <w:color w:val="auto"/>
          <w:spacing w:val="6"/>
          <w:sz w:val="32"/>
          <w:szCs w:val="32"/>
          <w:highlight w:val="none"/>
        </w:rPr>
      </w:pPr>
    </w:p>
    <w:p w14:paraId="1E542F10">
      <w:pPr>
        <w:autoSpaceDE w:val="0"/>
        <w:autoSpaceDN w:val="0"/>
        <w:jc w:val="center"/>
        <w:rPr>
          <w:rFonts w:ascii="宋体" w:hAnsi="宋体" w:cs="宋体"/>
          <w:b/>
          <w:color w:val="auto"/>
          <w:spacing w:val="6"/>
          <w:sz w:val="32"/>
          <w:szCs w:val="32"/>
          <w:highlight w:val="none"/>
        </w:rPr>
      </w:pPr>
    </w:p>
    <w:p w14:paraId="57E68756">
      <w:pPr>
        <w:autoSpaceDE w:val="0"/>
        <w:autoSpaceDN w:val="0"/>
        <w:jc w:val="center"/>
        <w:rPr>
          <w:rFonts w:ascii="宋体" w:hAnsi="宋体" w:cs="宋体"/>
          <w:b/>
          <w:color w:val="auto"/>
          <w:spacing w:val="6"/>
          <w:sz w:val="32"/>
          <w:szCs w:val="32"/>
          <w:highlight w:val="none"/>
        </w:rPr>
      </w:pPr>
    </w:p>
    <w:p w14:paraId="677288F0">
      <w:pPr>
        <w:autoSpaceDE w:val="0"/>
        <w:autoSpaceDN w:val="0"/>
        <w:jc w:val="center"/>
        <w:rPr>
          <w:rFonts w:ascii="宋体" w:hAnsi="宋体" w:cs="宋体"/>
          <w:b/>
          <w:color w:val="auto"/>
          <w:spacing w:val="6"/>
          <w:sz w:val="32"/>
          <w:szCs w:val="32"/>
          <w:highlight w:val="none"/>
        </w:rPr>
      </w:pPr>
    </w:p>
    <w:p w14:paraId="616CC4E6">
      <w:pPr>
        <w:autoSpaceDE w:val="0"/>
        <w:autoSpaceDN w:val="0"/>
        <w:jc w:val="center"/>
        <w:rPr>
          <w:rFonts w:ascii="宋体" w:hAnsi="宋体" w:cs="宋体"/>
          <w:b/>
          <w:color w:val="auto"/>
          <w:spacing w:val="6"/>
          <w:sz w:val="32"/>
          <w:szCs w:val="32"/>
          <w:highlight w:val="none"/>
        </w:rPr>
      </w:pPr>
    </w:p>
    <w:p w14:paraId="2C29B1FF">
      <w:pPr>
        <w:autoSpaceDE w:val="0"/>
        <w:autoSpaceDN w:val="0"/>
        <w:jc w:val="center"/>
        <w:rPr>
          <w:rFonts w:ascii="宋体" w:hAnsi="宋体" w:cs="宋体"/>
          <w:b/>
          <w:color w:val="auto"/>
          <w:spacing w:val="6"/>
          <w:sz w:val="32"/>
          <w:szCs w:val="32"/>
          <w:highlight w:val="none"/>
        </w:rPr>
      </w:pPr>
    </w:p>
    <w:p w14:paraId="2F0EC444">
      <w:pPr>
        <w:autoSpaceDE w:val="0"/>
        <w:autoSpaceDN w:val="0"/>
        <w:jc w:val="center"/>
        <w:rPr>
          <w:rFonts w:ascii="宋体" w:hAnsi="宋体" w:cs="宋体"/>
          <w:b/>
          <w:color w:val="auto"/>
          <w:spacing w:val="6"/>
          <w:sz w:val="32"/>
          <w:szCs w:val="32"/>
          <w:highlight w:val="none"/>
        </w:rPr>
      </w:pPr>
    </w:p>
    <w:p w14:paraId="0983679C">
      <w:pPr>
        <w:autoSpaceDE w:val="0"/>
        <w:autoSpaceDN w:val="0"/>
        <w:jc w:val="center"/>
        <w:rPr>
          <w:rFonts w:ascii="宋体" w:hAnsi="宋体" w:cs="宋体"/>
          <w:b/>
          <w:color w:val="auto"/>
          <w:spacing w:val="6"/>
          <w:sz w:val="32"/>
          <w:szCs w:val="32"/>
          <w:highlight w:val="none"/>
        </w:rPr>
      </w:pPr>
    </w:p>
    <w:p w14:paraId="3C25BF00">
      <w:pPr>
        <w:autoSpaceDE w:val="0"/>
        <w:autoSpaceDN w:val="0"/>
        <w:jc w:val="center"/>
        <w:rPr>
          <w:rFonts w:ascii="宋体" w:hAnsi="宋体" w:cs="宋体"/>
          <w:b/>
          <w:color w:val="auto"/>
          <w:spacing w:val="6"/>
          <w:sz w:val="32"/>
          <w:szCs w:val="32"/>
          <w:highlight w:val="none"/>
        </w:rPr>
      </w:pPr>
    </w:p>
    <w:p w14:paraId="402DE545">
      <w:pPr>
        <w:autoSpaceDE w:val="0"/>
        <w:autoSpaceDN w:val="0"/>
        <w:jc w:val="center"/>
        <w:rPr>
          <w:rFonts w:ascii="宋体" w:hAnsi="宋体" w:cs="宋体"/>
          <w:b/>
          <w:color w:val="auto"/>
          <w:spacing w:val="6"/>
          <w:sz w:val="32"/>
          <w:szCs w:val="32"/>
          <w:highlight w:val="none"/>
        </w:rPr>
      </w:pPr>
    </w:p>
    <w:p w14:paraId="0E442817">
      <w:pPr>
        <w:autoSpaceDE w:val="0"/>
        <w:autoSpaceDN w:val="0"/>
        <w:jc w:val="center"/>
        <w:rPr>
          <w:rFonts w:ascii="宋体" w:hAnsi="宋体" w:cs="宋体"/>
          <w:b/>
          <w:color w:val="auto"/>
          <w:spacing w:val="6"/>
          <w:sz w:val="32"/>
          <w:szCs w:val="32"/>
          <w:highlight w:val="none"/>
        </w:rPr>
      </w:pPr>
    </w:p>
    <w:p w14:paraId="5EA098FE">
      <w:pPr>
        <w:autoSpaceDE w:val="0"/>
        <w:autoSpaceDN w:val="0"/>
        <w:jc w:val="center"/>
        <w:rPr>
          <w:rFonts w:ascii="宋体" w:hAnsi="宋体" w:cs="宋体"/>
          <w:b/>
          <w:color w:val="auto"/>
          <w:spacing w:val="6"/>
          <w:sz w:val="32"/>
          <w:szCs w:val="32"/>
          <w:highlight w:val="none"/>
        </w:rPr>
      </w:pPr>
    </w:p>
    <w:p w14:paraId="5BE1D5EF">
      <w:pPr>
        <w:autoSpaceDE w:val="0"/>
        <w:autoSpaceDN w:val="0"/>
        <w:jc w:val="center"/>
        <w:rPr>
          <w:rFonts w:ascii="宋体" w:hAnsi="宋体" w:cs="宋体"/>
          <w:b/>
          <w:color w:val="auto"/>
          <w:spacing w:val="6"/>
          <w:sz w:val="32"/>
          <w:szCs w:val="32"/>
          <w:highlight w:val="none"/>
        </w:rPr>
      </w:pPr>
    </w:p>
    <w:p w14:paraId="3CF9DB00">
      <w:pPr>
        <w:snapToGrid w:val="0"/>
        <w:spacing w:line="360" w:lineRule="auto"/>
        <w:jc w:val="center"/>
        <w:outlineLvl w:val="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附件</w:t>
      </w:r>
      <w:r>
        <w:rPr>
          <w:rFonts w:hint="eastAsia" w:ascii="宋体" w:hAnsi="宋体" w:cs="宋体"/>
          <w:b/>
          <w:color w:val="auto"/>
          <w:kern w:val="0"/>
          <w:sz w:val="32"/>
          <w:szCs w:val="32"/>
          <w:highlight w:val="none"/>
          <w:lang w:val="en-US" w:eastAsia="zh-CN"/>
        </w:rPr>
        <w:t>3</w:t>
      </w:r>
      <w:r>
        <w:rPr>
          <w:rFonts w:hint="eastAsia" w:ascii="宋体" w:hAnsi="宋体" w:cs="宋体"/>
          <w:b/>
          <w:color w:val="auto"/>
          <w:kern w:val="0"/>
          <w:sz w:val="32"/>
          <w:szCs w:val="32"/>
          <w:highlight w:val="none"/>
        </w:rPr>
        <w:t>：联合协议</w:t>
      </w:r>
    </w:p>
    <w:p w14:paraId="5564D10B">
      <w:pPr>
        <w:widowControl/>
        <w:spacing w:line="360" w:lineRule="auto"/>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（以联合体形式投标的，提供联合协议；本项目不接受联合体投标或者投标人不以联合体形式投标的，则不需要提供）</w:t>
      </w:r>
    </w:p>
    <w:p w14:paraId="26FF16EC">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（联合体所有成员名称）</w:t>
      </w:r>
      <w:r>
        <w:rPr>
          <w:rFonts w:hint="eastAsia" w:ascii="宋体" w:hAnsi="宋体" w:cs="宋体"/>
          <w:color w:val="auto"/>
          <w:kern w:val="0"/>
          <w:sz w:val="24"/>
          <w:highlight w:val="none"/>
        </w:rPr>
        <w:t>自愿</w:t>
      </w:r>
      <w:r>
        <w:rPr>
          <w:rFonts w:hint="eastAsia" w:ascii="宋体" w:hAnsi="宋体" w:cs="宋体"/>
          <w:color w:val="auto"/>
          <w:kern w:val="0"/>
          <w:sz w:val="24"/>
          <w:highlight w:val="none"/>
          <w:lang w:val="zh-CN"/>
        </w:rPr>
        <w:t>组成一个联合体，以一个投标人的身份</w:t>
      </w:r>
      <w:r>
        <w:rPr>
          <w:rFonts w:hint="eastAsia" w:ascii="宋体" w:hAnsi="宋体" w:cs="宋体"/>
          <w:color w:val="auto"/>
          <w:kern w:val="0"/>
          <w:sz w:val="24"/>
          <w:highlight w:val="none"/>
        </w:rPr>
        <w:t>参加</w:t>
      </w:r>
      <w:r>
        <w:rPr>
          <w:rFonts w:hint="eastAsia" w:ascii="宋体" w:hAnsi="宋体" w:cs="宋体"/>
          <w:color w:val="auto"/>
          <w:sz w:val="24"/>
          <w:highlight w:val="none"/>
        </w:rPr>
        <w:t>（项目名称）【</w:t>
      </w:r>
      <w:r>
        <w:rPr>
          <w:rFonts w:ascii="宋体" w:hAnsi="宋体" w:cs="宋体"/>
          <w:color w:val="auto"/>
          <w:sz w:val="24"/>
          <w:highlight w:val="none"/>
        </w:rPr>
        <w:t xml:space="preserve">项目编号：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 xml:space="preserve">投标。 </w:t>
      </w:r>
    </w:p>
    <w:p w14:paraId="6801BEE6">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一、各方一致决定，</w:t>
      </w:r>
      <w:r>
        <w:rPr>
          <w:rFonts w:hint="eastAsia" w:ascii="宋体" w:hAnsi="宋体" w:cs="宋体"/>
          <w:color w:val="auto"/>
          <w:kern w:val="0"/>
          <w:sz w:val="24"/>
          <w:highlight w:val="none"/>
          <w:u w:val="single"/>
        </w:rPr>
        <w:t>（某联合体成员名称）</w:t>
      </w:r>
      <w:r>
        <w:rPr>
          <w:rFonts w:hint="eastAsia" w:ascii="宋体" w:hAnsi="宋体" w:cs="宋体"/>
          <w:color w:val="auto"/>
          <w:kern w:val="0"/>
          <w:sz w:val="24"/>
          <w:highlight w:val="none"/>
        </w:rPr>
        <w:t>为联合体</w:t>
      </w:r>
      <w:r>
        <w:rPr>
          <w:rFonts w:hint="eastAsia" w:ascii="宋体" w:hAnsi="宋体" w:cs="宋体"/>
          <w:color w:val="auto"/>
          <w:kern w:val="0"/>
          <w:sz w:val="24"/>
          <w:highlight w:val="none"/>
          <w:lang w:val="zh-CN"/>
        </w:rPr>
        <w:t>牵头人</w:t>
      </w:r>
      <w:r>
        <w:rPr>
          <w:rFonts w:hint="eastAsia" w:ascii="宋体" w:hAnsi="宋体" w:cs="宋体"/>
          <w:color w:val="auto"/>
          <w:sz w:val="24"/>
          <w:highlight w:val="none"/>
        </w:rPr>
        <w:t>，代表所有联合体成员负责投标和合同实施阶段的主办、协调工作</w:t>
      </w:r>
      <w:r>
        <w:rPr>
          <w:rFonts w:hint="eastAsia" w:ascii="宋体" w:hAnsi="宋体" w:cs="宋体"/>
          <w:color w:val="auto"/>
          <w:kern w:val="0"/>
          <w:sz w:val="24"/>
          <w:highlight w:val="none"/>
          <w:lang w:val="zh-CN"/>
        </w:rPr>
        <w:t>。</w:t>
      </w:r>
    </w:p>
    <w:p w14:paraId="3E054AF1">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w:t>
      </w:r>
      <w:r>
        <w:rPr>
          <w:rFonts w:hint="eastAsia" w:ascii="宋体" w:hAnsi="宋体" w:cs="宋体"/>
          <w:color w:val="auto"/>
          <w:sz w:val="24"/>
          <w:highlight w:val="none"/>
        </w:rPr>
        <w:t>所有联合体成员各方签署授权书，授权书载明的</w:t>
      </w:r>
      <w:r>
        <w:rPr>
          <w:rFonts w:hint="eastAsia" w:ascii="宋体" w:hAnsi="宋体" w:cs="宋体"/>
          <w:color w:val="auto"/>
          <w:kern w:val="0"/>
          <w:sz w:val="24"/>
          <w:highlight w:val="none"/>
          <w:lang w:val="zh-CN"/>
        </w:rPr>
        <w:t>授权代表根据招标文件规定及投标内容而对采购人、采购代理机构所作的任何合法承诺，包括书面澄清及响应等均对联合投标各方产生约束力。</w:t>
      </w:r>
    </w:p>
    <w:p w14:paraId="476F81F2">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三、本次联合投标中，分工如下：</w:t>
      </w:r>
    </w:p>
    <w:p w14:paraId="1BBA343B">
      <w:pPr>
        <w:snapToGrid w:val="0"/>
        <w:spacing w:line="360" w:lineRule="auto"/>
        <w:ind w:firstLine="576"/>
        <w:rPr>
          <w:rFonts w:ascii="宋体" w:hAnsi="宋体" w:cs="宋体"/>
          <w:color w:val="auto"/>
          <w:kern w:val="0"/>
          <w:sz w:val="24"/>
          <w:highlight w:val="none"/>
          <w:lang w:val="zh-CN"/>
        </w:rPr>
      </w:pPr>
      <w:bookmarkStart w:id="79" w:name="_Hlk101134295"/>
      <w:r>
        <w:rPr>
          <w:rFonts w:hint="eastAsia" w:ascii="宋体" w:hAnsi="宋体" w:cs="宋体"/>
          <w:color w:val="auto"/>
          <w:kern w:val="0"/>
          <w:sz w:val="24"/>
          <w:highlight w:val="none"/>
          <w:u w:val="single"/>
        </w:rPr>
        <w:t>（联合体成员1）</w:t>
      </w:r>
      <w:r>
        <w:rPr>
          <w:rFonts w:hint="eastAsia" w:ascii="宋体" w:hAnsi="宋体" w:cs="宋体"/>
          <w:color w:val="auto"/>
          <w:kern w:val="0"/>
          <w:sz w:val="24"/>
          <w:highlight w:val="none"/>
          <w:lang w:val="zh-CN"/>
        </w:rPr>
        <w:t>承担的工作和义务为：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14:paraId="298212CA">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2</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lang w:val="zh-CN"/>
        </w:rPr>
        <w:t>承担的工作和义务为：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14:paraId="54852C69">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w:t>
      </w:r>
    </w:p>
    <w:bookmarkEnd w:id="79"/>
    <w:p w14:paraId="552E5DB0">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四、联合体成员中小企业合同份额。</w:t>
      </w:r>
    </w:p>
    <w:p w14:paraId="188A4E9F">
      <w:pPr>
        <w:snapToGrid w:val="0"/>
        <w:spacing w:line="360" w:lineRule="auto"/>
        <w:ind w:firstLine="576"/>
        <w:rPr>
          <w:rFonts w:ascii="宋体" w:hAnsi="宋体" w:cs="宋体"/>
          <w:b/>
          <w:color w:val="auto"/>
          <w:kern w:val="0"/>
          <w:sz w:val="24"/>
          <w:highlight w:val="none"/>
          <w:lang w:val="zh-CN"/>
        </w:rPr>
      </w:pPr>
      <w:r>
        <w:rPr>
          <w:rFonts w:hint="eastAsia" w:ascii="宋体" w:hAnsi="宋体" w:cs="宋体"/>
          <w:color w:val="auto"/>
          <w:kern w:val="0"/>
          <w:sz w:val="24"/>
          <w:highlight w:val="none"/>
          <w:lang w:val="zh-CN"/>
        </w:rPr>
        <w:t>1、</w:t>
      </w:r>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X,</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rPr>
        <w:t>提供的全部</w:t>
      </w:r>
      <w:r>
        <w:rPr>
          <w:rFonts w:hint="eastAsia" w:ascii="宋体" w:hAnsi="宋体" w:cs="宋体"/>
          <w:color w:val="auto"/>
          <w:kern w:val="0"/>
          <w:sz w:val="24"/>
          <w:highlight w:val="none"/>
          <w:lang w:val="en-US" w:eastAsia="zh-CN"/>
        </w:rPr>
        <w:t>服务</w:t>
      </w:r>
      <w:r>
        <w:rPr>
          <w:rFonts w:hint="eastAsia" w:ascii="宋体" w:hAnsi="宋体" w:cs="宋体"/>
          <w:color w:val="auto"/>
          <w:kern w:val="0"/>
          <w:sz w:val="24"/>
          <w:highlight w:val="none"/>
        </w:rPr>
        <w:t>由小微企业</w:t>
      </w:r>
      <w:r>
        <w:rPr>
          <w:rFonts w:hint="eastAsia" w:ascii="宋体" w:hAnsi="宋体" w:cs="宋体"/>
          <w:color w:val="auto"/>
          <w:kern w:val="0"/>
          <w:sz w:val="24"/>
          <w:highlight w:val="none"/>
          <w:lang w:val="en-US" w:eastAsia="zh-CN"/>
        </w:rPr>
        <w:t>承接</w:t>
      </w:r>
      <w:r>
        <w:rPr>
          <w:rFonts w:hint="eastAsia" w:ascii="宋体" w:hAnsi="宋体" w:cs="宋体"/>
          <w:color w:val="auto"/>
          <w:kern w:val="0"/>
          <w:sz w:val="24"/>
          <w:highlight w:val="none"/>
        </w:rPr>
        <w:t>，其合同份额占到合同总金额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kern w:val="0"/>
          <w:sz w:val="24"/>
          <w:highlight w:val="none"/>
          <w:lang w:val="zh-CN"/>
        </w:rPr>
        <w:t>……。</w:t>
      </w:r>
      <w:r>
        <w:rPr>
          <w:rFonts w:hint="eastAsia" w:ascii="宋体" w:hAnsi="宋体" w:cs="宋体"/>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14:paraId="791ED01D">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sz w:val="24"/>
          <w:highlight w:val="none"/>
        </w:rPr>
        <w:t>2、中小企业合同金额达到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color w:val="auto"/>
          <w:kern w:val="0"/>
          <w:sz w:val="24"/>
          <w:highlight w:val="none"/>
          <w:lang w:val="zh-CN"/>
        </w:rPr>
        <w:t>）</w:t>
      </w:r>
    </w:p>
    <w:p w14:paraId="77E89A4C">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五、如果中标，</w:t>
      </w:r>
      <w:r>
        <w:rPr>
          <w:rFonts w:hint="eastAsia" w:ascii="宋体" w:hAnsi="宋体" w:cs="宋体"/>
          <w:color w:val="auto"/>
          <w:sz w:val="24"/>
          <w:highlight w:val="none"/>
        </w:rPr>
        <w:t>联合体各成员方共同与采购人签订合同，并就采购合同约定的事项对采购人承担连带责任。</w:t>
      </w:r>
    </w:p>
    <w:p w14:paraId="78BEAA46">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六、有关本次联合投标的其他事宜：</w:t>
      </w:r>
    </w:p>
    <w:p w14:paraId="033F9DC7">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1、联合体各方不再单独参加或者与其他供应商另外组成联合体参加同一合同项下的政府采购活动。</w:t>
      </w:r>
    </w:p>
    <w:p w14:paraId="3A2C97D8">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2、联合体中有同类资质的各方按照联合体分工承担相同工作的，按照资质等级较低的供应商确定资质等级。</w:t>
      </w:r>
    </w:p>
    <w:p w14:paraId="6F7F2EA5">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3、本协议提交采购人、采购代理机构后，联合体各方不得以任何形式对上述内容进行修改或撤销。</w:t>
      </w:r>
    </w:p>
    <w:p w14:paraId="390B7D62">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7A45C1D8">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5CA3177F">
      <w:pPr>
        <w:snapToGrid w:val="0"/>
        <w:spacing w:line="360" w:lineRule="auto"/>
        <w:ind w:right="960"/>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14:paraId="3FD692F0">
      <w:pP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  年  月   日</w:t>
      </w:r>
    </w:p>
    <w:p w14:paraId="33E33CCF">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60112868">
      <w:pPr>
        <w:autoSpaceDE w:val="0"/>
        <w:autoSpaceDN w:val="0"/>
        <w:jc w:val="center"/>
        <w:rPr>
          <w:rFonts w:ascii="宋体" w:hAnsi="宋体" w:cs="宋体"/>
          <w:b/>
          <w:color w:val="auto"/>
          <w:spacing w:val="6"/>
          <w:sz w:val="32"/>
          <w:szCs w:val="32"/>
          <w:highlight w:val="none"/>
        </w:rPr>
      </w:pPr>
    </w:p>
    <w:p w14:paraId="0B5DE3CC">
      <w:pPr>
        <w:autoSpaceDE w:val="0"/>
        <w:autoSpaceDN w:val="0"/>
        <w:jc w:val="center"/>
        <w:rPr>
          <w:rFonts w:ascii="宋体" w:hAnsi="宋体" w:cs="宋体"/>
          <w:b/>
          <w:color w:val="auto"/>
          <w:spacing w:val="6"/>
          <w:sz w:val="32"/>
          <w:szCs w:val="32"/>
          <w:highlight w:val="none"/>
        </w:rPr>
      </w:pPr>
    </w:p>
    <w:p w14:paraId="264EEAD6">
      <w:pPr>
        <w:autoSpaceDE w:val="0"/>
        <w:autoSpaceDN w:val="0"/>
        <w:jc w:val="center"/>
        <w:rPr>
          <w:rFonts w:ascii="宋体" w:hAnsi="宋体" w:cs="宋体"/>
          <w:b/>
          <w:color w:val="auto"/>
          <w:spacing w:val="6"/>
          <w:sz w:val="32"/>
          <w:szCs w:val="32"/>
          <w:highlight w:val="none"/>
        </w:rPr>
      </w:pPr>
    </w:p>
    <w:p w14:paraId="1FED3D2A">
      <w:pPr>
        <w:autoSpaceDE w:val="0"/>
        <w:autoSpaceDN w:val="0"/>
        <w:jc w:val="center"/>
        <w:rPr>
          <w:rFonts w:ascii="宋体" w:hAnsi="宋体" w:cs="宋体"/>
          <w:b/>
          <w:color w:val="auto"/>
          <w:spacing w:val="6"/>
          <w:sz w:val="32"/>
          <w:szCs w:val="32"/>
          <w:highlight w:val="none"/>
        </w:rPr>
      </w:pPr>
    </w:p>
    <w:p w14:paraId="5B55E386">
      <w:pPr>
        <w:autoSpaceDE w:val="0"/>
        <w:autoSpaceDN w:val="0"/>
        <w:jc w:val="center"/>
        <w:rPr>
          <w:rFonts w:ascii="宋体" w:hAnsi="宋体" w:cs="宋体"/>
          <w:b/>
          <w:color w:val="auto"/>
          <w:spacing w:val="6"/>
          <w:sz w:val="32"/>
          <w:szCs w:val="32"/>
          <w:highlight w:val="none"/>
        </w:rPr>
      </w:pPr>
    </w:p>
    <w:p w14:paraId="5A0C17BE">
      <w:pPr>
        <w:autoSpaceDE w:val="0"/>
        <w:autoSpaceDN w:val="0"/>
        <w:jc w:val="center"/>
        <w:rPr>
          <w:rFonts w:ascii="宋体" w:hAnsi="宋体" w:cs="宋体"/>
          <w:b/>
          <w:color w:val="auto"/>
          <w:spacing w:val="6"/>
          <w:sz w:val="32"/>
          <w:szCs w:val="32"/>
          <w:highlight w:val="none"/>
        </w:rPr>
      </w:pPr>
    </w:p>
    <w:p w14:paraId="46297733">
      <w:pPr>
        <w:autoSpaceDE w:val="0"/>
        <w:autoSpaceDN w:val="0"/>
        <w:jc w:val="center"/>
        <w:rPr>
          <w:rFonts w:ascii="宋体" w:hAnsi="宋体" w:cs="宋体"/>
          <w:b/>
          <w:color w:val="auto"/>
          <w:spacing w:val="6"/>
          <w:sz w:val="32"/>
          <w:szCs w:val="32"/>
          <w:highlight w:val="none"/>
        </w:rPr>
      </w:pPr>
    </w:p>
    <w:p w14:paraId="3C996620">
      <w:pPr>
        <w:autoSpaceDE w:val="0"/>
        <w:autoSpaceDN w:val="0"/>
        <w:jc w:val="center"/>
        <w:rPr>
          <w:rFonts w:ascii="宋体" w:hAnsi="宋体" w:cs="宋体"/>
          <w:b/>
          <w:color w:val="auto"/>
          <w:spacing w:val="6"/>
          <w:sz w:val="32"/>
          <w:szCs w:val="32"/>
          <w:highlight w:val="none"/>
        </w:rPr>
      </w:pPr>
    </w:p>
    <w:p w14:paraId="350E10E9">
      <w:pPr>
        <w:autoSpaceDE w:val="0"/>
        <w:autoSpaceDN w:val="0"/>
        <w:jc w:val="center"/>
        <w:rPr>
          <w:rFonts w:ascii="宋体" w:hAnsi="宋体" w:cs="宋体"/>
          <w:b/>
          <w:color w:val="auto"/>
          <w:spacing w:val="6"/>
          <w:sz w:val="32"/>
          <w:szCs w:val="32"/>
          <w:highlight w:val="none"/>
        </w:rPr>
      </w:pPr>
    </w:p>
    <w:p w14:paraId="3712D890">
      <w:pPr>
        <w:autoSpaceDE w:val="0"/>
        <w:autoSpaceDN w:val="0"/>
        <w:jc w:val="center"/>
        <w:rPr>
          <w:rFonts w:ascii="宋体" w:hAnsi="宋体" w:cs="宋体"/>
          <w:b/>
          <w:color w:val="auto"/>
          <w:spacing w:val="6"/>
          <w:sz w:val="32"/>
          <w:szCs w:val="32"/>
          <w:highlight w:val="none"/>
        </w:rPr>
      </w:pPr>
    </w:p>
    <w:p w14:paraId="7EF2D2B6">
      <w:pPr>
        <w:autoSpaceDE w:val="0"/>
        <w:autoSpaceDN w:val="0"/>
        <w:jc w:val="center"/>
        <w:rPr>
          <w:rFonts w:ascii="宋体" w:hAnsi="宋体" w:cs="宋体"/>
          <w:b/>
          <w:color w:val="auto"/>
          <w:spacing w:val="6"/>
          <w:sz w:val="32"/>
          <w:szCs w:val="32"/>
          <w:highlight w:val="none"/>
        </w:rPr>
      </w:pPr>
    </w:p>
    <w:p w14:paraId="203114ED">
      <w:pPr>
        <w:autoSpaceDE w:val="0"/>
        <w:autoSpaceDN w:val="0"/>
        <w:jc w:val="center"/>
        <w:rPr>
          <w:rFonts w:ascii="宋体" w:hAnsi="宋体" w:cs="宋体"/>
          <w:b/>
          <w:color w:val="auto"/>
          <w:spacing w:val="6"/>
          <w:sz w:val="32"/>
          <w:szCs w:val="32"/>
          <w:highlight w:val="none"/>
        </w:rPr>
      </w:pPr>
    </w:p>
    <w:p w14:paraId="50A44BA5">
      <w:pPr>
        <w:autoSpaceDE w:val="0"/>
        <w:autoSpaceDN w:val="0"/>
        <w:jc w:val="center"/>
        <w:rPr>
          <w:rFonts w:ascii="宋体" w:hAnsi="宋体" w:cs="宋体"/>
          <w:b/>
          <w:color w:val="auto"/>
          <w:spacing w:val="6"/>
          <w:sz w:val="32"/>
          <w:szCs w:val="32"/>
          <w:highlight w:val="none"/>
        </w:rPr>
      </w:pPr>
    </w:p>
    <w:p w14:paraId="01211DD9">
      <w:pPr>
        <w:autoSpaceDE w:val="0"/>
        <w:autoSpaceDN w:val="0"/>
        <w:jc w:val="center"/>
        <w:rPr>
          <w:rFonts w:ascii="宋体" w:hAnsi="宋体" w:cs="宋体"/>
          <w:b/>
          <w:color w:val="auto"/>
          <w:spacing w:val="6"/>
          <w:sz w:val="32"/>
          <w:szCs w:val="32"/>
          <w:highlight w:val="none"/>
        </w:rPr>
      </w:pPr>
    </w:p>
    <w:p w14:paraId="734866FD">
      <w:pPr>
        <w:autoSpaceDE w:val="0"/>
        <w:autoSpaceDN w:val="0"/>
        <w:jc w:val="center"/>
        <w:rPr>
          <w:rFonts w:ascii="宋体" w:hAnsi="宋体" w:cs="宋体"/>
          <w:b/>
          <w:color w:val="auto"/>
          <w:spacing w:val="6"/>
          <w:sz w:val="32"/>
          <w:szCs w:val="32"/>
          <w:highlight w:val="none"/>
        </w:rPr>
      </w:pPr>
    </w:p>
    <w:p w14:paraId="674F34CD">
      <w:pPr>
        <w:autoSpaceDE w:val="0"/>
        <w:autoSpaceDN w:val="0"/>
        <w:jc w:val="center"/>
        <w:rPr>
          <w:rFonts w:ascii="宋体" w:hAnsi="宋体" w:cs="宋体"/>
          <w:b/>
          <w:color w:val="auto"/>
          <w:spacing w:val="6"/>
          <w:sz w:val="32"/>
          <w:szCs w:val="32"/>
          <w:highlight w:val="none"/>
        </w:rPr>
      </w:pPr>
    </w:p>
    <w:p w14:paraId="7AABC8D6">
      <w:pPr>
        <w:autoSpaceDE w:val="0"/>
        <w:autoSpaceDN w:val="0"/>
        <w:jc w:val="center"/>
        <w:rPr>
          <w:rFonts w:ascii="宋体" w:hAnsi="宋体" w:cs="宋体"/>
          <w:b/>
          <w:color w:val="auto"/>
          <w:spacing w:val="6"/>
          <w:sz w:val="32"/>
          <w:szCs w:val="32"/>
          <w:highlight w:val="none"/>
        </w:rPr>
      </w:pPr>
    </w:p>
    <w:p w14:paraId="33571DDF">
      <w:pPr>
        <w:autoSpaceDE w:val="0"/>
        <w:autoSpaceDN w:val="0"/>
        <w:jc w:val="center"/>
        <w:rPr>
          <w:rFonts w:ascii="宋体" w:hAnsi="宋体" w:cs="宋体"/>
          <w:b/>
          <w:color w:val="auto"/>
          <w:spacing w:val="6"/>
          <w:sz w:val="32"/>
          <w:szCs w:val="32"/>
          <w:highlight w:val="none"/>
        </w:rPr>
      </w:pPr>
    </w:p>
    <w:p w14:paraId="57E05824">
      <w:pPr>
        <w:autoSpaceDE w:val="0"/>
        <w:autoSpaceDN w:val="0"/>
        <w:jc w:val="center"/>
        <w:rPr>
          <w:rFonts w:ascii="宋体" w:hAnsi="宋体" w:cs="宋体"/>
          <w:b/>
          <w:color w:val="auto"/>
          <w:spacing w:val="6"/>
          <w:sz w:val="32"/>
          <w:szCs w:val="32"/>
          <w:highlight w:val="none"/>
        </w:rPr>
      </w:pPr>
    </w:p>
    <w:p w14:paraId="4AE65464">
      <w:pPr>
        <w:autoSpaceDE w:val="0"/>
        <w:autoSpaceDN w:val="0"/>
        <w:jc w:val="center"/>
        <w:rPr>
          <w:rFonts w:ascii="宋体" w:hAnsi="宋体" w:cs="宋体"/>
          <w:b/>
          <w:color w:val="auto"/>
          <w:spacing w:val="6"/>
          <w:sz w:val="32"/>
          <w:szCs w:val="32"/>
          <w:highlight w:val="none"/>
        </w:rPr>
      </w:pPr>
    </w:p>
    <w:p w14:paraId="29A28075">
      <w:pPr>
        <w:autoSpaceDE w:val="0"/>
        <w:autoSpaceDN w:val="0"/>
        <w:jc w:val="center"/>
        <w:rPr>
          <w:rFonts w:ascii="宋体" w:hAnsi="宋体" w:cs="宋体"/>
          <w:b/>
          <w:color w:val="auto"/>
          <w:spacing w:val="6"/>
          <w:sz w:val="32"/>
          <w:szCs w:val="32"/>
          <w:highlight w:val="none"/>
        </w:rPr>
      </w:pPr>
    </w:p>
    <w:p w14:paraId="4E69E69D">
      <w:pPr>
        <w:autoSpaceDE w:val="0"/>
        <w:autoSpaceDN w:val="0"/>
        <w:jc w:val="center"/>
        <w:rPr>
          <w:rFonts w:ascii="宋体" w:hAnsi="宋体" w:cs="宋体"/>
          <w:b/>
          <w:color w:val="auto"/>
          <w:spacing w:val="6"/>
          <w:sz w:val="32"/>
          <w:szCs w:val="32"/>
          <w:highlight w:val="none"/>
        </w:rPr>
      </w:pPr>
    </w:p>
    <w:p w14:paraId="3E410A99">
      <w:pPr>
        <w:autoSpaceDE w:val="0"/>
        <w:autoSpaceDN w:val="0"/>
        <w:jc w:val="center"/>
        <w:rPr>
          <w:rFonts w:ascii="宋体" w:hAnsi="宋体" w:cs="宋体"/>
          <w:b/>
          <w:color w:val="auto"/>
          <w:spacing w:val="6"/>
          <w:sz w:val="32"/>
          <w:szCs w:val="32"/>
          <w:highlight w:val="none"/>
        </w:rPr>
      </w:pPr>
    </w:p>
    <w:p w14:paraId="42B74B2B">
      <w:pPr>
        <w:autoSpaceDE w:val="0"/>
        <w:autoSpaceDN w:val="0"/>
        <w:jc w:val="center"/>
        <w:rPr>
          <w:rFonts w:ascii="宋体" w:hAnsi="宋体" w:cs="宋体"/>
          <w:b/>
          <w:color w:val="auto"/>
          <w:spacing w:val="6"/>
          <w:sz w:val="32"/>
          <w:szCs w:val="32"/>
          <w:highlight w:val="none"/>
        </w:rPr>
      </w:pPr>
    </w:p>
    <w:p w14:paraId="6028BC7C">
      <w:pPr>
        <w:autoSpaceDE w:val="0"/>
        <w:autoSpaceDN w:val="0"/>
        <w:jc w:val="center"/>
        <w:rPr>
          <w:rFonts w:ascii="宋体" w:hAnsi="宋体" w:cs="宋体"/>
          <w:b/>
          <w:color w:val="auto"/>
          <w:spacing w:val="6"/>
          <w:sz w:val="32"/>
          <w:szCs w:val="32"/>
          <w:highlight w:val="none"/>
        </w:rPr>
      </w:pPr>
    </w:p>
    <w:p w14:paraId="146679D3">
      <w:pPr>
        <w:snapToGrid w:val="0"/>
        <w:spacing w:line="360" w:lineRule="auto"/>
        <w:jc w:val="center"/>
        <w:outlineLvl w:val="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附件</w:t>
      </w:r>
      <w:r>
        <w:rPr>
          <w:rFonts w:hint="eastAsia" w:ascii="宋体" w:hAnsi="宋体" w:cs="宋体"/>
          <w:b/>
          <w:color w:val="auto"/>
          <w:kern w:val="0"/>
          <w:sz w:val="32"/>
          <w:szCs w:val="32"/>
          <w:highlight w:val="none"/>
          <w:lang w:val="en-US" w:eastAsia="zh-CN"/>
        </w:rPr>
        <w:t>4</w:t>
      </w:r>
      <w:r>
        <w:rPr>
          <w:rFonts w:hint="eastAsia" w:ascii="宋体" w:hAnsi="宋体" w:cs="宋体"/>
          <w:b/>
          <w:color w:val="auto"/>
          <w:kern w:val="0"/>
          <w:sz w:val="32"/>
          <w:szCs w:val="32"/>
          <w:highlight w:val="none"/>
        </w:rPr>
        <w:t>：分包意向协议</w:t>
      </w:r>
    </w:p>
    <w:p w14:paraId="48F6A02E">
      <w:pPr>
        <w:widowControl/>
        <w:spacing w:line="360" w:lineRule="auto"/>
        <w:ind w:firstLine="120" w:firstLineChars="50"/>
        <w:jc w:val="left"/>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b/>
          <w:color w:val="auto"/>
          <w:sz w:val="24"/>
          <w:highlight w:val="none"/>
        </w:rPr>
        <w:t>中标后以分包方式履行合同的，提供分包意向协议；采购人不同意分包或者投标人中标后不以分包方式履行合同的，则不需要提供。</w:t>
      </w:r>
      <w:r>
        <w:rPr>
          <w:rFonts w:hint="eastAsia" w:ascii="宋体" w:hAnsi="宋体" w:cs="宋体"/>
          <w:color w:val="auto"/>
          <w:sz w:val="24"/>
          <w:highlight w:val="none"/>
        </w:rPr>
        <w:t>）</w:t>
      </w:r>
    </w:p>
    <w:p w14:paraId="31E52D84">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若成为</w:t>
      </w:r>
      <w:r>
        <w:rPr>
          <w:rFonts w:hint="eastAsia" w:ascii="宋体" w:hAnsi="宋体" w:cs="宋体"/>
          <w:color w:val="auto"/>
          <w:sz w:val="24"/>
          <w:highlight w:val="none"/>
        </w:rPr>
        <w:t>（项目名称）【</w:t>
      </w:r>
      <w:r>
        <w:rPr>
          <w:rFonts w:ascii="宋体" w:hAnsi="宋体" w:cs="宋体"/>
          <w:color w:val="auto"/>
          <w:sz w:val="24"/>
          <w:highlight w:val="none"/>
        </w:rPr>
        <w:t xml:space="preserve">项目编号：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的中标供应商，将依法采取分包方式履行合同。</w:t>
      </w: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rPr>
        <w:t>与</w:t>
      </w:r>
      <w:r>
        <w:rPr>
          <w:rFonts w:hint="eastAsia" w:ascii="宋体" w:hAnsi="宋体" w:cs="宋体"/>
          <w:color w:val="auto"/>
          <w:kern w:val="0"/>
          <w:sz w:val="24"/>
          <w:highlight w:val="none"/>
          <w:u w:val="single"/>
        </w:rPr>
        <w:t>（所有分包供应商名称）</w:t>
      </w:r>
      <w:r>
        <w:rPr>
          <w:rFonts w:hint="eastAsia" w:ascii="宋体" w:hAnsi="宋体" w:cs="宋体"/>
          <w:color w:val="auto"/>
          <w:kern w:val="0"/>
          <w:sz w:val="24"/>
          <w:highlight w:val="none"/>
        </w:rPr>
        <w:t>达成分包意向协议</w:t>
      </w:r>
      <w:r>
        <w:rPr>
          <w:rFonts w:hint="eastAsia" w:ascii="宋体" w:hAnsi="宋体" w:cs="宋体"/>
          <w:color w:val="auto"/>
          <w:kern w:val="0"/>
          <w:sz w:val="24"/>
          <w:highlight w:val="none"/>
          <w:lang w:val="zh-CN"/>
        </w:rPr>
        <w:t xml:space="preserve">。 </w:t>
      </w:r>
    </w:p>
    <w:p w14:paraId="132A6190">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一、分包标的及数量</w:t>
      </w:r>
    </w:p>
    <w:p w14:paraId="0CA3D646">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将</w:t>
      </w:r>
      <w:r>
        <w:rPr>
          <w:rFonts w:hint="eastAsia" w:ascii="宋体" w:hAnsi="宋体" w:cs="宋体"/>
          <w:color w:val="auto"/>
          <w:highlight w:val="none"/>
          <w:u w:val="single"/>
        </w:rPr>
        <w:t xml:space="preserve"> </w:t>
      </w:r>
      <w:r>
        <w:rPr>
          <w:rFonts w:ascii="宋体" w:hAnsi="宋体" w:cs="宋体"/>
          <w:color w:val="auto"/>
          <w:kern w:val="0"/>
          <w:sz w:val="24"/>
          <w:highlight w:val="none"/>
          <w:u w:val="single"/>
        </w:rPr>
        <w:t xml:space="preserve">  XX工作内容   </w:t>
      </w:r>
      <w:r>
        <w:rPr>
          <w:rFonts w:hint="eastAsia" w:ascii="宋体" w:hAnsi="宋体" w:cs="宋体"/>
          <w:color w:val="auto"/>
          <w:sz w:val="24"/>
          <w:highlight w:val="none"/>
        </w:rPr>
        <w:t>分包给</w:t>
      </w:r>
      <w:r>
        <w:rPr>
          <w:rFonts w:hint="eastAsia" w:ascii="宋体" w:hAnsi="宋体" w:cs="宋体"/>
          <w:color w:val="auto"/>
          <w:kern w:val="0"/>
          <w:sz w:val="24"/>
          <w:highlight w:val="none"/>
          <w:u w:val="single"/>
        </w:rPr>
        <w:t>（分包供应商1名称）</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u w:val="single"/>
        </w:rPr>
        <w:t>（分包供应商1名称），</w:t>
      </w:r>
      <w:r>
        <w:rPr>
          <w:rFonts w:hint="eastAsia" w:ascii="宋体" w:hAnsi="宋体" w:cs="宋体"/>
          <w:color w:val="auto"/>
          <w:kern w:val="0"/>
          <w:sz w:val="24"/>
          <w:highlight w:val="none"/>
          <w:lang w:val="zh-CN"/>
        </w:rPr>
        <w:t>具备承</w:t>
      </w:r>
      <w:r>
        <w:rPr>
          <w:rFonts w:hint="eastAsia" w:ascii="宋体" w:hAnsi="宋体" w:cs="宋体"/>
          <w:color w:val="auto"/>
          <w:kern w:val="0"/>
          <w:sz w:val="24"/>
          <w:highlight w:val="none"/>
        </w:rPr>
        <w:t>担</w:t>
      </w:r>
      <w:r>
        <w:rPr>
          <w:rFonts w:hint="eastAsia" w:ascii="宋体" w:hAnsi="宋体" w:cs="宋体"/>
          <w:color w:val="auto"/>
          <w:kern w:val="0"/>
          <w:sz w:val="24"/>
          <w:highlight w:val="none"/>
          <w:u w:val="single"/>
          <w:lang w:val="zh-CN"/>
        </w:rPr>
        <w:t>XX工作内容</w:t>
      </w:r>
      <w:r>
        <w:rPr>
          <w:rFonts w:hint="eastAsia" w:ascii="宋体" w:hAnsi="宋体" w:cs="宋体"/>
          <w:color w:val="auto"/>
          <w:kern w:val="0"/>
          <w:sz w:val="24"/>
          <w:highlight w:val="none"/>
          <w:lang w:val="zh-CN"/>
        </w:rPr>
        <w:t>相应资质条件且不得再次分包；</w:t>
      </w:r>
    </w:p>
    <w:p w14:paraId="66791E90">
      <w:pPr>
        <w:pStyle w:val="5"/>
        <w:tabs>
          <w:tab w:val="left" w:pos="432"/>
        </w:tabs>
        <w:ind w:left="664" w:leftChars="316" w:firstLine="229" w:firstLineChars="95"/>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p w14:paraId="6EB0B7F1">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二、分包供应商中小企业合同份额</w:t>
      </w:r>
    </w:p>
    <w:p w14:paraId="694064C7">
      <w:pPr>
        <w:snapToGrid w:val="0"/>
        <w:spacing w:line="360" w:lineRule="auto"/>
        <w:ind w:firstLine="576"/>
        <w:rPr>
          <w:rFonts w:ascii="宋体" w:hAnsi="宋体" w:cs="宋体"/>
          <w:b/>
          <w:color w:val="auto"/>
          <w:kern w:val="0"/>
          <w:sz w:val="24"/>
          <w:highlight w:val="none"/>
          <w:lang w:val="zh-CN"/>
        </w:rPr>
      </w:pPr>
      <w:r>
        <w:rPr>
          <w:rFonts w:ascii="宋体" w:hAnsi="宋体" w:cs="宋体"/>
          <w:color w:val="auto"/>
          <w:kern w:val="0"/>
          <w:sz w:val="24"/>
          <w:highlight w:val="none"/>
        </w:rPr>
        <w:t>1、</w:t>
      </w:r>
      <w:r>
        <w:rPr>
          <w:rFonts w:hint="eastAsia" w:ascii="宋体" w:hAnsi="宋体" w:cs="宋体"/>
          <w:color w:val="auto"/>
          <w:kern w:val="0"/>
          <w:sz w:val="24"/>
          <w:highlight w:val="none"/>
          <w:u w:val="single"/>
        </w:rPr>
        <w:t>（分包供应商X</w:t>
      </w:r>
      <w:r>
        <w:rPr>
          <w:rFonts w:ascii="宋体" w:hAnsi="宋体" w:cs="宋体"/>
          <w:color w:val="auto"/>
          <w:kern w:val="0"/>
          <w:sz w:val="24"/>
          <w:highlight w:val="none"/>
          <w:u w:val="single"/>
        </w:rPr>
        <w:t>,</w:t>
      </w:r>
      <w:r>
        <w:rPr>
          <w:rFonts w:hint="eastAsia" w:ascii="宋体" w:hAnsi="宋体" w:cs="宋体"/>
          <w:color w:val="auto"/>
          <w:kern w:val="0"/>
          <w:sz w:val="24"/>
          <w:highlight w:val="none"/>
          <w:u w:val="single"/>
        </w:rPr>
        <w:t>……）提供的</w:t>
      </w:r>
      <w:r>
        <w:rPr>
          <w:rFonts w:hint="eastAsia" w:ascii="宋体" w:hAnsi="宋体" w:cs="宋体"/>
          <w:color w:val="auto"/>
          <w:kern w:val="0"/>
          <w:sz w:val="24"/>
          <w:highlight w:val="none"/>
          <w:u w:val="single"/>
          <w:lang w:val="en-US" w:eastAsia="zh-CN"/>
        </w:rPr>
        <w:t>服务</w:t>
      </w:r>
      <w:r>
        <w:rPr>
          <w:rFonts w:hint="eastAsia" w:ascii="宋体" w:hAnsi="宋体" w:cs="宋体"/>
          <w:color w:val="auto"/>
          <w:kern w:val="0"/>
          <w:sz w:val="24"/>
          <w:highlight w:val="none"/>
          <w:u w:val="single"/>
        </w:rPr>
        <w:t>全部由小微企业</w:t>
      </w:r>
      <w:r>
        <w:rPr>
          <w:rFonts w:hint="eastAsia" w:ascii="宋体" w:hAnsi="宋体" w:cs="宋体"/>
          <w:color w:val="auto"/>
          <w:kern w:val="0"/>
          <w:sz w:val="24"/>
          <w:highlight w:val="none"/>
          <w:u w:val="single"/>
          <w:lang w:val="en-US" w:eastAsia="zh-CN"/>
        </w:rPr>
        <w:t>承接</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rPr>
        <w:t>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highlight w:val="none"/>
        </w:rPr>
        <w:t>。</w:t>
      </w:r>
      <w:r>
        <w:rPr>
          <w:rFonts w:hint="eastAsia" w:ascii="宋体" w:hAnsi="宋体" w:cs="宋体"/>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14:paraId="309C9753">
      <w:pPr>
        <w:spacing w:line="360" w:lineRule="auto"/>
        <w:ind w:firstLine="480" w:firstLineChars="200"/>
        <w:rPr>
          <w:rFonts w:ascii="宋体" w:hAnsi="宋体" w:cs="宋体"/>
          <w:b/>
          <w:bCs/>
          <w:color w:val="auto"/>
          <w:kern w:val="0"/>
          <w:sz w:val="24"/>
          <w:highlight w:val="none"/>
          <w:lang w:val="zh-CN"/>
        </w:rPr>
      </w:pPr>
      <w:r>
        <w:rPr>
          <w:rFonts w:hint="eastAsia" w:ascii="宋体" w:hAnsi="宋体" w:cs="宋体"/>
          <w:color w:val="auto"/>
          <w:sz w:val="24"/>
          <w:highlight w:val="none"/>
        </w:rPr>
        <w:t>2、</w:t>
      </w:r>
      <w:bookmarkStart w:id="80" w:name="_Hlk101133173"/>
      <w:r>
        <w:rPr>
          <w:rFonts w:hint="eastAsia" w:ascii="宋体" w:hAnsi="宋体" w:cs="宋体"/>
          <w:color w:val="auto"/>
          <w:sz w:val="24"/>
          <w:highlight w:val="none"/>
        </w:rPr>
        <w:t>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要求合同分包形式参加的项目或采购包，供应商按招标文件第一部分招标公告申请人的资格要求中规定的</w:t>
      </w:r>
      <w:r>
        <w:rPr>
          <w:rFonts w:hint="eastAsia" w:ascii="宋体" w:hAnsi="宋体" w:cs="宋体"/>
          <w:b/>
          <w:color w:val="auto"/>
          <w:kern w:val="0"/>
          <w:sz w:val="24"/>
          <w:highlight w:val="none"/>
          <w:lang w:val="zh-CN"/>
        </w:rPr>
        <w:t>分包意向协议</w:t>
      </w:r>
      <w:r>
        <w:rPr>
          <w:rFonts w:hint="eastAsia" w:ascii="宋体" w:hAnsi="宋体" w:cs="宋体"/>
          <w:b/>
          <w:bCs/>
          <w:color w:val="auto"/>
          <w:sz w:val="24"/>
          <w:highlight w:val="none"/>
        </w:rPr>
        <w:t>中中小企业、小微企业合同金额应当达到的比例要求填写。</w:t>
      </w:r>
      <w:r>
        <w:rPr>
          <w:rFonts w:hint="eastAsia" w:ascii="宋体" w:hAnsi="宋体" w:cs="宋体"/>
          <w:b/>
          <w:bCs/>
          <w:color w:val="auto"/>
          <w:kern w:val="0"/>
          <w:sz w:val="24"/>
          <w:highlight w:val="none"/>
          <w:lang w:val="zh-CN"/>
        </w:rPr>
        <w:t>）</w:t>
      </w:r>
      <w:bookmarkEnd w:id="80"/>
    </w:p>
    <w:p w14:paraId="54890A01">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三、分包工作履行期限、地点、方式</w:t>
      </w:r>
    </w:p>
    <w:p w14:paraId="1878F7AB">
      <w:pPr>
        <w:snapToGrid w:val="0"/>
        <w:spacing w:line="360" w:lineRule="auto"/>
        <w:ind w:firstLine="576"/>
        <w:rPr>
          <w:rFonts w:ascii="宋体" w:hAnsi="宋体" w:cs="宋体"/>
          <w:color w:val="auto"/>
          <w:highlight w:val="none"/>
          <w:u w:val="single"/>
        </w:rPr>
      </w:pPr>
      <w:r>
        <w:rPr>
          <w:rFonts w:hint="eastAsia" w:ascii="宋体" w:hAnsi="宋体" w:cs="宋体"/>
          <w:color w:val="auto"/>
          <w:highlight w:val="none"/>
          <w:u w:val="single"/>
        </w:rPr>
        <w:t xml:space="preserve">                                                                                  </w:t>
      </w:r>
    </w:p>
    <w:p w14:paraId="300B6CB5">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四、质量</w:t>
      </w:r>
    </w:p>
    <w:p w14:paraId="69DE14F9">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32F19D84">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五、价款或者报酬</w:t>
      </w:r>
    </w:p>
    <w:p w14:paraId="01DE224B">
      <w:pPr>
        <w:snapToGrid w:val="0"/>
        <w:spacing w:line="360" w:lineRule="auto"/>
        <w:ind w:left="573" w:leftChars="273"/>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6367CB72">
      <w:pPr>
        <w:snapToGrid w:val="0"/>
        <w:spacing w:line="360" w:lineRule="auto"/>
        <w:ind w:left="573" w:leftChars="273"/>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六、违约责任</w:t>
      </w:r>
    </w:p>
    <w:p w14:paraId="7AE711BB">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7F19BF18">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七、争议解决的办法</w:t>
      </w:r>
    </w:p>
    <w:p w14:paraId="52024911">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7F1039BC">
      <w:pPr>
        <w:snapToGrid w:val="0"/>
        <w:spacing w:line="360" w:lineRule="auto"/>
        <w:ind w:left="5758" w:leftChars="342" w:hanging="5040" w:hanging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投标人名称(电子签名)：</w:t>
      </w:r>
    </w:p>
    <w:p w14:paraId="49D905B0">
      <w:pP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分包供应商名称(电子签名/公章)：</w:t>
      </w:r>
    </w:p>
    <w:p w14:paraId="5CA0ED46">
      <w:pPr>
        <w:snapToGrid w:val="0"/>
        <w:spacing w:line="360" w:lineRule="auto"/>
        <w:ind w:firstLine="5760" w:firstLineChars="2400"/>
        <w:rPr>
          <w:rFonts w:ascii="宋体" w:hAnsi="宋体" w:cs="宋体"/>
          <w:color w:val="auto"/>
          <w:highlight w:val="none"/>
        </w:rPr>
      </w:pPr>
      <w:r>
        <w:rPr>
          <w:rFonts w:hint="eastAsia" w:ascii="宋体" w:hAnsi="宋体" w:cs="宋体"/>
          <w:color w:val="auto"/>
          <w:kern w:val="0"/>
          <w:sz w:val="24"/>
          <w:highlight w:val="none"/>
          <w:lang w:val="zh-CN"/>
        </w:rPr>
        <w:t>……</w:t>
      </w:r>
    </w:p>
    <w:p w14:paraId="320A2781">
      <w:pPr>
        <w:spacing w:line="360" w:lineRule="auto"/>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6C992547">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553156F1">
      <w:pPr>
        <w:autoSpaceDE w:val="0"/>
        <w:autoSpaceDN w:val="0"/>
        <w:jc w:val="center"/>
        <w:rPr>
          <w:rFonts w:ascii="宋体" w:hAnsi="宋体" w:cs="宋体"/>
          <w:b/>
          <w:color w:val="auto"/>
          <w:spacing w:val="6"/>
          <w:sz w:val="32"/>
          <w:szCs w:val="32"/>
          <w:highlight w:val="none"/>
        </w:rPr>
      </w:pPr>
    </w:p>
    <w:p w14:paraId="38DEF476">
      <w:pPr>
        <w:autoSpaceDE w:val="0"/>
        <w:autoSpaceDN w:val="0"/>
        <w:jc w:val="center"/>
        <w:rPr>
          <w:rFonts w:ascii="宋体" w:hAnsi="宋体" w:cs="宋体"/>
          <w:b/>
          <w:color w:val="auto"/>
          <w:spacing w:val="6"/>
          <w:sz w:val="32"/>
          <w:szCs w:val="32"/>
          <w:highlight w:val="none"/>
        </w:rPr>
      </w:pPr>
    </w:p>
    <w:p w14:paraId="216AE68B">
      <w:pPr>
        <w:autoSpaceDE w:val="0"/>
        <w:autoSpaceDN w:val="0"/>
        <w:jc w:val="center"/>
        <w:rPr>
          <w:rFonts w:ascii="宋体" w:hAnsi="宋体" w:cs="宋体"/>
          <w:b/>
          <w:color w:val="auto"/>
          <w:spacing w:val="6"/>
          <w:sz w:val="32"/>
          <w:szCs w:val="32"/>
          <w:highlight w:val="none"/>
        </w:rPr>
      </w:pPr>
    </w:p>
    <w:p w14:paraId="100855D0">
      <w:pPr>
        <w:autoSpaceDE w:val="0"/>
        <w:autoSpaceDN w:val="0"/>
        <w:jc w:val="center"/>
        <w:rPr>
          <w:rFonts w:ascii="宋体" w:hAnsi="宋体" w:cs="宋体"/>
          <w:b/>
          <w:color w:val="auto"/>
          <w:spacing w:val="6"/>
          <w:sz w:val="32"/>
          <w:szCs w:val="32"/>
          <w:highlight w:val="none"/>
        </w:rPr>
      </w:pPr>
    </w:p>
    <w:p w14:paraId="4D865204">
      <w:pPr>
        <w:autoSpaceDE w:val="0"/>
        <w:autoSpaceDN w:val="0"/>
        <w:jc w:val="center"/>
        <w:rPr>
          <w:rFonts w:ascii="宋体" w:hAnsi="宋体" w:cs="宋体"/>
          <w:b/>
          <w:color w:val="auto"/>
          <w:spacing w:val="6"/>
          <w:sz w:val="32"/>
          <w:szCs w:val="32"/>
          <w:highlight w:val="none"/>
        </w:rPr>
      </w:pPr>
    </w:p>
    <w:p w14:paraId="71927531">
      <w:pPr>
        <w:autoSpaceDE w:val="0"/>
        <w:autoSpaceDN w:val="0"/>
        <w:jc w:val="center"/>
        <w:rPr>
          <w:rFonts w:ascii="宋体" w:hAnsi="宋体" w:cs="宋体"/>
          <w:b/>
          <w:color w:val="auto"/>
          <w:spacing w:val="6"/>
          <w:sz w:val="32"/>
          <w:szCs w:val="32"/>
          <w:highlight w:val="none"/>
        </w:rPr>
      </w:pPr>
    </w:p>
    <w:p w14:paraId="20529F3C">
      <w:pPr>
        <w:autoSpaceDE w:val="0"/>
        <w:autoSpaceDN w:val="0"/>
        <w:jc w:val="center"/>
        <w:rPr>
          <w:rFonts w:ascii="宋体" w:hAnsi="宋体" w:cs="宋体"/>
          <w:b/>
          <w:color w:val="auto"/>
          <w:spacing w:val="6"/>
          <w:sz w:val="32"/>
          <w:szCs w:val="32"/>
          <w:highlight w:val="none"/>
        </w:rPr>
      </w:pPr>
    </w:p>
    <w:p w14:paraId="36477D66">
      <w:pPr>
        <w:autoSpaceDE w:val="0"/>
        <w:autoSpaceDN w:val="0"/>
        <w:jc w:val="center"/>
        <w:rPr>
          <w:rFonts w:ascii="宋体" w:hAnsi="宋体" w:cs="宋体"/>
          <w:b/>
          <w:color w:val="auto"/>
          <w:spacing w:val="6"/>
          <w:sz w:val="32"/>
          <w:szCs w:val="32"/>
          <w:highlight w:val="none"/>
        </w:rPr>
      </w:pPr>
    </w:p>
    <w:p w14:paraId="7AB57F59">
      <w:pPr>
        <w:autoSpaceDE w:val="0"/>
        <w:autoSpaceDN w:val="0"/>
        <w:jc w:val="center"/>
        <w:rPr>
          <w:rFonts w:ascii="宋体" w:hAnsi="宋体" w:cs="宋体"/>
          <w:b/>
          <w:color w:val="auto"/>
          <w:spacing w:val="6"/>
          <w:sz w:val="32"/>
          <w:szCs w:val="32"/>
          <w:highlight w:val="none"/>
        </w:rPr>
      </w:pPr>
    </w:p>
    <w:p w14:paraId="696609CF">
      <w:pPr>
        <w:autoSpaceDE w:val="0"/>
        <w:autoSpaceDN w:val="0"/>
        <w:jc w:val="center"/>
        <w:rPr>
          <w:rFonts w:ascii="宋体" w:hAnsi="宋体" w:cs="宋体"/>
          <w:b/>
          <w:color w:val="auto"/>
          <w:spacing w:val="6"/>
          <w:sz w:val="32"/>
          <w:szCs w:val="32"/>
          <w:highlight w:val="none"/>
        </w:rPr>
      </w:pPr>
    </w:p>
    <w:p w14:paraId="3E9BBD34">
      <w:pPr>
        <w:autoSpaceDE w:val="0"/>
        <w:autoSpaceDN w:val="0"/>
        <w:jc w:val="center"/>
        <w:rPr>
          <w:rFonts w:ascii="宋体" w:hAnsi="宋体" w:cs="宋体"/>
          <w:b/>
          <w:color w:val="auto"/>
          <w:spacing w:val="6"/>
          <w:sz w:val="32"/>
          <w:szCs w:val="32"/>
          <w:highlight w:val="none"/>
        </w:rPr>
      </w:pPr>
    </w:p>
    <w:p w14:paraId="476E4000">
      <w:pPr>
        <w:autoSpaceDE w:val="0"/>
        <w:autoSpaceDN w:val="0"/>
        <w:jc w:val="center"/>
        <w:rPr>
          <w:rFonts w:ascii="宋体" w:hAnsi="宋体" w:cs="宋体"/>
          <w:b/>
          <w:color w:val="auto"/>
          <w:spacing w:val="6"/>
          <w:sz w:val="32"/>
          <w:szCs w:val="32"/>
          <w:highlight w:val="none"/>
        </w:rPr>
      </w:pPr>
    </w:p>
    <w:p w14:paraId="09B5514B">
      <w:pPr>
        <w:autoSpaceDE w:val="0"/>
        <w:autoSpaceDN w:val="0"/>
        <w:jc w:val="center"/>
        <w:rPr>
          <w:rFonts w:ascii="宋体" w:hAnsi="宋体" w:cs="宋体"/>
          <w:b/>
          <w:color w:val="auto"/>
          <w:spacing w:val="6"/>
          <w:sz w:val="32"/>
          <w:szCs w:val="32"/>
          <w:highlight w:val="none"/>
        </w:rPr>
      </w:pPr>
    </w:p>
    <w:p w14:paraId="5BB818B8">
      <w:pPr>
        <w:autoSpaceDE w:val="0"/>
        <w:autoSpaceDN w:val="0"/>
        <w:jc w:val="center"/>
        <w:rPr>
          <w:rFonts w:ascii="宋体" w:hAnsi="宋体" w:cs="宋体"/>
          <w:b/>
          <w:color w:val="auto"/>
          <w:spacing w:val="6"/>
          <w:sz w:val="32"/>
          <w:szCs w:val="32"/>
          <w:highlight w:val="none"/>
        </w:rPr>
      </w:pPr>
    </w:p>
    <w:p w14:paraId="0FAE3A3F">
      <w:pPr>
        <w:autoSpaceDE w:val="0"/>
        <w:autoSpaceDN w:val="0"/>
        <w:jc w:val="center"/>
        <w:rPr>
          <w:rFonts w:ascii="宋体" w:hAnsi="宋体" w:cs="宋体"/>
          <w:b/>
          <w:color w:val="auto"/>
          <w:spacing w:val="6"/>
          <w:sz w:val="32"/>
          <w:szCs w:val="32"/>
          <w:highlight w:val="none"/>
        </w:rPr>
      </w:pPr>
    </w:p>
    <w:p w14:paraId="1CD1EAB6">
      <w:pPr>
        <w:autoSpaceDE w:val="0"/>
        <w:autoSpaceDN w:val="0"/>
        <w:jc w:val="center"/>
        <w:rPr>
          <w:rFonts w:ascii="宋体" w:hAnsi="宋体" w:cs="宋体"/>
          <w:b/>
          <w:color w:val="auto"/>
          <w:spacing w:val="6"/>
          <w:sz w:val="32"/>
          <w:szCs w:val="32"/>
          <w:highlight w:val="none"/>
        </w:rPr>
      </w:pPr>
    </w:p>
    <w:p w14:paraId="703C3829">
      <w:pPr>
        <w:autoSpaceDE w:val="0"/>
        <w:autoSpaceDN w:val="0"/>
        <w:jc w:val="center"/>
        <w:rPr>
          <w:rFonts w:ascii="宋体" w:hAnsi="宋体" w:cs="宋体"/>
          <w:b/>
          <w:color w:val="auto"/>
          <w:spacing w:val="6"/>
          <w:sz w:val="32"/>
          <w:szCs w:val="32"/>
          <w:highlight w:val="none"/>
        </w:rPr>
      </w:pPr>
    </w:p>
    <w:p w14:paraId="2D61A825">
      <w:pPr>
        <w:autoSpaceDE w:val="0"/>
        <w:autoSpaceDN w:val="0"/>
        <w:jc w:val="center"/>
        <w:rPr>
          <w:rFonts w:ascii="宋体" w:hAnsi="宋体" w:cs="宋体"/>
          <w:b/>
          <w:color w:val="auto"/>
          <w:spacing w:val="6"/>
          <w:sz w:val="32"/>
          <w:szCs w:val="32"/>
          <w:highlight w:val="none"/>
        </w:rPr>
      </w:pPr>
    </w:p>
    <w:p w14:paraId="6FD98363">
      <w:pPr>
        <w:autoSpaceDE w:val="0"/>
        <w:autoSpaceDN w:val="0"/>
        <w:jc w:val="center"/>
        <w:rPr>
          <w:rFonts w:ascii="宋体" w:hAnsi="宋体" w:cs="宋体"/>
          <w:b/>
          <w:color w:val="auto"/>
          <w:spacing w:val="6"/>
          <w:sz w:val="32"/>
          <w:szCs w:val="32"/>
          <w:highlight w:val="none"/>
        </w:rPr>
      </w:pPr>
    </w:p>
    <w:p w14:paraId="50B94E7A">
      <w:pPr>
        <w:autoSpaceDE w:val="0"/>
        <w:autoSpaceDN w:val="0"/>
        <w:jc w:val="center"/>
        <w:rPr>
          <w:rFonts w:ascii="宋体" w:hAnsi="宋体" w:cs="宋体"/>
          <w:b/>
          <w:color w:val="auto"/>
          <w:spacing w:val="6"/>
          <w:sz w:val="32"/>
          <w:szCs w:val="32"/>
          <w:highlight w:val="none"/>
        </w:rPr>
      </w:pPr>
    </w:p>
    <w:p w14:paraId="5C3A1247">
      <w:pPr>
        <w:autoSpaceDE w:val="0"/>
        <w:autoSpaceDN w:val="0"/>
        <w:jc w:val="center"/>
        <w:rPr>
          <w:rFonts w:ascii="宋体" w:hAnsi="宋体" w:cs="宋体"/>
          <w:b/>
          <w:color w:val="auto"/>
          <w:spacing w:val="6"/>
          <w:sz w:val="32"/>
          <w:szCs w:val="32"/>
          <w:highlight w:val="none"/>
        </w:rPr>
      </w:pPr>
    </w:p>
    <w:p w14:paraId="29420B70">
      <w:pPr>
        <w:autoSpaceDE w:val="0"/>
        <w:autoSpaceDN w:val="0"/>
        <w:jc w:val="center"/>
        <w:rPr>
          <w:rFonts w:ascii="宋体" w:hAnsi="宋体" w:cs="宋体"/>
          <w:b/>
          <w:color w:val="auto"/>
          <w:spacing w:val="6"/>
          <w:sz w:val="32"/>
          <w:szCs w:val="32"/>
          <w:highlight w:val="none"/>
        </w:rPr>
      </w:pPr>
    </w:p>
    <w:p w14:paraId="4A42C235">
      <w:pPr>
        <w:autoSpaceDE w:val="0"/>
        <w:autoSpaceDN w:val="0"/>
        <w:jc w:val="center"/>
        <w:rPr>
          <w:rFonts w:ascii="宋体" w:hAnsi="宋体" w:cs="宋体"/>
          <w:b/>
          <w:color w:val="auto"/>
          <w:spacing w:val="6"/>
          <w:sz w:val="32"/>
          <w:szCs w:val="32"/>
          <w:highlight w:val="none"/>
        </w:rPr>
      </w:pPr>
    </w:p>
    <w:p w14:paraId="522FC72D">
      <w:pPr>
        <w:autoSpaceDE w:val="0"/>
        <w:autoSpaceDN w:val="0"/>
        <w:jc w:val="center"/>
        <w:rPr>
          <w:rFonts w:ascii="宋体" w:hAnsi="宋体" w:cs="宋体"/>
          <w:b/>
          <w:color w:val="auto"/>
          <w:spacing w:val="6"/>
          <w:sz w:val="32"/>
          <w:szCs w:val="32"/>
          <w:highlight w:val="none"/>
        </w:rPr>
      </w:pPr>
    </w:p>
    <w:p w14:paraId="3B6999E1">
      <w:pPr>
        <w:autoSpaceDE w:val="0"/>
        <w:autoSpaceDN w:val="0"/>
        <w:jc w:val="center"/>
        <w:rPr>
          <w:rFonts w:ascii="宋体" w:hAnsi="宋体" w:cs="宋体"/>
          <w:b/>
          <w:color w:val="auto"/>
          <w:spacing w:val="6"/>
          <w:sz w:val="32"/>
          <w:szCs w:val="32"/>
          <w:highlight w:val="none"/>
        </w:rPr>
      </w:pPr>
    </w:p>
    <w:p w14:paraId="36430D2A">
      <w:pPr>
        <w:autoSpaceDE w:val="0"/>
        <w:autoSpaceDN w:val="0"/>
        <w:jc w:val="center"/>
        <w:rPr>
          <w:rFonts w:ascii="宋体" w:hAnsi="宋体" w:cs="宋体"/>
          <w:b/>
          <w:color w:val="auto"/>
          <w:spacing w:val="6"/>
          <w:sz w:val="32"/>
          <w:szCs w:val="32"/>
          <w:highlight w:val="none"/>
        </w:rPr>
      </w:pPr>
    </w:p>
    <w:p w14:paraId="1F1347CF">
      <w:pPr>
        <w:snapToGrid w:val="0"/>
        <w:spacing w:line="360" w:lineRule="auto"/>
        <w:outlineLvl w:val="0"/>
        <w:rPr>
          <w:rFonts w:ascii="宋体" w:hAnsi="宋体" w:cs="宋体"/>
          <w:b/>
          <w:color w:val="auto"/>
          <w:kern w:val="0"/>
          <w:sz w:val="44"/>
          <w:szCs w:val="44"/>
          <w:highlight w:val="none"/>
        </w:rPr>
      </w:pPr>
      <w:r>
        <w:rPr>
          <w:rFonts w:hint="eastAsia" w:ascii="宋体" w:hAnsi="宋体" w:cs="宋体"/>
          <w:b/>
          <w:color w:val="auto"/>
          <w:kern w:val="0"/>
          <w:sz w:val="44"/>
          <w:szCs w:val="44"/>
          <w:highlight w:val="none"/>
        </w:rPr>
        <w:t>附件</w:t>
      </w:r>
      <w:r>
        <w:rPr>
          <w:rFonts w:hint="eastAsia" w:ascii="宋体" w:hAnsi="宋体" w:cs="宋体"/>
          <w:b/>
          <w:color w:val="auto"/>
          <w:kern w:val="0"/>
          <w:sz w:val="44"/>
          <w:szCs w:val="44"/>
          <w:highlight w:val="none"/>
          <w:lang w:val="en-US" w:eastAsia="zh-CN"/>
        </w:rPr>
        <w:t>5</w:t>
      </w:r>
      <w:r>
        <w:rPr>
          <w:rFonts w:hint="eastAsia" w:ascii="宋体" w:hAnsi="宋体" w:cs="宋体"/>
          <w:b/>
          <w:color w:val="auto"/>
          <w:kern w:val="0"/>
          <w:sz w:val="44"/>
          <w:szCs w:val="44"/>
          <w:highlight w:val="none"/>
        </w:rPr>
        <w:t>：中小企业声明函</w:t>
      </w:r>
    </w:p>
    <w:p w14:paraId="7DF67DCE">
      <w:pPr>
        <w:spacing w:line="360" w:lineRule="auto"/>
        <w:jc w:val="center"/>
        <w:rPr>
          <w:rFonts w:ascii="宋体" w:hAnsi="宋体" w:cs="宋体"/>
          <w:color w:val="auto"/>
          <w:sz w:val="24"/>
          <w:highlight w:val="none"/>
          <w:u w:val="single"/>
        </w:rPr>
      </w:pPr>
    </w:p>
    <w:p w14:paraId="1E9A46E0">
      <w:pPr>
        <w:spacing w:line="360" w:lineRule="auto"/>
        <w:jc w:val="center"/>
        <w:rPr>
          <w:rFonts w:ascii="宋体" w:hAnsi="宋体" w:cs="宋体"/>
          <w:b/>
          <w:color w:val="auto"/>
          <w:sz w:val="32"/>
          <w:szCs w:val="32"/>
          <w:highlight w:val="none"/>
        </w:rPr>
      </w:pPr>
      <w:r>
        <w:rPr>
          <w:rFonts w:hint="eastAsia" w:ascii="宋体" w:hAnsi="宋体" w:cs="宋体"/>
          <w:b/>
          <w:color w:val="auto"/>
          <w:sz w:val="32"/>
          <w:szCs w:val="32"/>
          <w:highlight w:val="none"/>
        </w:rPr>
        <w:t>中小企业声明函（</w:t>
      </w:r>
      <w:r>
        <w:rPr>
          <w:rFonts w:hint="eastAsia" w:ascii="宋体" w:hAnsi="宋体" w:cs="宋体"/>
          <w:b/>
          <w:color w:val="auto"/>
          <w:sz w:val="32"/>
          <w:szCs w:val="32"/>
          <w:highlight w:val="none"/>
          <w:lang w:val="en-US" w:eastAsia="zh-CN"/>
        </w:rPr>
        <w:t>服务</w:t>
      </w:r>
      <w:r>
        <w:rPr>
          <w:rFonts w:hint="eastAsia" w:ascii="宋体" w:hAnsi="宋体" w:cs="宋体"/>
          <w:b/>
          <w:color w:val="auto"/>
          <w:sz w:val="32"/>
          <w:szCs w:val="32"/>
          <w:highlight w:val="none"/>
        </w:rPr>
        <w:t>）</w:t>
      </w:r>
    </w:p>
    <w:p w14:paraId="4A988FEB">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 xml:space="preserve">本公司（联合体）郑重声明，根据《政府采购促进中小企业发展管理办法》（财库﹝2020﹞46 号）的规定，本公司（联合体）参加 </w:t>
      </w:r>
      <w:r>
        <w:rPr>
          <w:rFonts w:hint="eastAsia" w:ascii="宋体" w:hAnsi="宋体" w:cs="宋体"/>
          <w:color w:val="auto"/>
          <w:sz w:val="24"/>
          <w:szCs w:val="24"/>
          <w:highlight w:val="none"/>
          <w:u w:val="single"/>
        </w:rPr>
        <w:t xml:space="preserve">（采购人） </w:t>
      </w:r>
      <w:r>
        <w:rPr>
          <w:rFonts w:hint="eastAsia" w:ascii="宋体" w:hAnsi="宋体" w:cs="宋体"/>
          <w:color w:val="auto"/>
          <w:sz w:val="24"/>
          <w:szCs w:val="24"/>
          <w:highlight w:val="none"/>
        </w:rPr>
        <w:t xml:space="preserve">的 </w:t>
      </w:r>
      <w:r>
        <w:rPr>
          <w:rFonts w:hint="eastAsia" w:ascii="宋体" w:hAnsi="宋体" w:cs="宋体"/>
          <w:color w:val="auto"/>
          <w:sz w:val="24"/>
          <w:szCs w:val="24"/>
          <w:highlight w:val="none"/>
          <w:u w:val="single"/>
        </w:rPr>
        <w:t>（项目名称）</w:t>
      </w:r>
      <w:r>
        <w:rPr>
          <w:rFonts w:hint="eastAsia" w:ascii="宋体" w:hAnsi="宋体" w:cs="宋体"/>
          <w:color w:val="auto"/>
          <w:sz w:val="24"/>
          <w:szCs w:val="24"/>
          <w:highlight w:val="none"/>
        </w:rPr>
        <w:t xml:space="preserve"> 采购活动，</w:t>
      </w:r>
      <w:r>
        <w:rPr>
          <w:rFonts w:hint="eastAsia" w:ascii="宋体" w:hAnsi="宋体" w:cs="宋体"/>
          <w:color w:val="auto"/>
          <w:sz w:val="24"/>
          <w:highlight w:val="none"/>
        </w:rPr>
        <w:t>服务全部由符合政策要求的中小企业承接</w:t>
      </w:r>
      <w:r>
        <w:rPr>
          <w:rFonts w:hint="eastAsia" w:ascii="宋体" w:hAnsi="宋体" w:cs="宋体"/>
          <w:color w:val="auto"/>
          <w:sz w:val="24"/>
          <w:szCs w:val="24"/>
          <w:highlight w:val="none"/>
        </w:rPr>
        <w:t>。相关企业（含联合体中的中小企业、签订分包意向协议的中小企业）的具体情况如下：</w:t>
      </w:r>
    </w:p>
    <w:p w14:paraId="1737AC26">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 xml:space="preserve">1. </w:t>
      </w:r>
      <w:r>
        <w:rPr>
          <w:rFonts w:hint="eastAsia" w:ascii="宋体" w:hAnsi="宋体" w:cs="宋体"/>
          <w:color w:val="auto"/>
          <w:sz w:val="24"/>
          <w:szCs w:val="24"/>
          <w:highlight w:val="none"/>
          <w:u w:val="single"/>
        </w:rPr>
        <w:t>（标的名称）</w:t>
      </w:r>
      <w:r>
        <w:rPr>
          <w:rFonts w:hint="eastAsia" w:ascii="宋体" w:hAnsi="宋体" w:cs="宋体"/>
          <w:color w:val="auto"/>
          <w:sz w:val="24"/>
          <w:szCs w:val="24"/>
          <w:highlight w:val="none"/>
        </w:rPr>
        <w:t xml:space="preserve"> ，属于 </w:t>
      </w:r>
      <w:r>
        <w:rPr>
          <w:rFonts w:hint="eastAsia" w:ascii="宋体" w:hAnsi="宋体" w:cs="宋体"/>
          <w:color w:val="auto"/>
          <w:sz w:val="24"/>
          <w:szCs w:val="24"/>
          <w:highlight w:val="none"/>
          <w:u w:val="single"/>
        </w:rPr>
        <w:t>（采购文件中明确的所属行业）</w:t>
      </w:r>
      <w:r>
        <w:rPr>
          <w:rFonts w:hint="eastAsia" w:ascii="宋体" w:hAnsi="宋体" w:cs="宋体"/>
          <w:color w:val="auto"/>
          <w:sz w:val="24"/>
          <w:szCs w:val="24"/>
          <w:highlight w:val="none"/>
        </w:rPr>
        <w:t>行业 ；</w:t>
      </w:r>
      <w:r>
        <w:rPr>
          <w:rFonts w:hint="eastAsia" w:ascii="宋体" w:hAnsi="宋体" w:cs="宋体"/>
          <w:color w:val="auto"/>
          <w:sz w:val="24"/>
          <w:highlight w:val="none"/>
        </w:rPr>
        <w:t>承建（承接）企业</w:t>
      </w:r>
      <w:r>
        <w:rPr>
          <w:rFonts w:hint="eastAsia" w:ascii="宋体" w:hAnsi="宋体" w:cs="宋体"/>
          <w:color w:val="auto"/>
          <w:sz w:val="24"/>
          <w:szCs w:val="24"/>
          <w:highlight w:val="none"/>
        </w:rPr>
        <w:t>为</w:t>
      </w:r>
      <w:r>
        <w:rPr>
          <w:rFonts w:hint="eastAsia" w:ascii="宋体" w:hAnsi="宋体" w:cs="宋体"/>
          <w:color w:val="auto"/>
          <w:sz w:val="24"/>
          <w:szCs w:val="24"/>
          <w:highlight w:val="none"/>
          <w:u w:val="single"/>
        </w:rPr>
        <w:t xml:space="preserve"> （企业名称）</w:t>
      </w:r>
      <w:r>
        <w:rPr>
          <w:rFonts w:hint="eastAsia" w:ascii="宋体" w:hAnsi="宋体" w:cs="宋体"/>
          <w:color w:val="auto"/>
          <w:sz w:val="24"/>
          <w:szCs w:val="24"/>
          <w:highlight w:val="none"/>
        </w:rPr>
        <w:t xml:space="preserve"> ，从业人员</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人，营业收入为</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万元，资产总额为</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万元，属于</w:t>
      </w:r>
      <w:r>
        <w:rPr>
          <w:rFonts w:hint="eastAsia" w:ascii="宋体" w:hAnsi="宋体" w:cs="宋体"/>
          <w:color w:val="auto"/>
          <w:sz w:val="24"/>
          <w:szCs w:val="24"/>
          <w:highlight w:val="none"/>
          <w:u w:val="single"/>
        </w:rPr>
        <w:t xml:space="preserve"> （中型企业、小型企业、微型企业）</w:t>
      </w:r>
      <w:r>
        <w:rPr>
          <w:rFonts w:hint="eastAsia" w:ascii="宋体" w:hAnsi="宋体" w:cs="宋体"/>
          <w:color w:val="auto"/>
          <w:sz w:val="24"/>
          <w:szCs w:val="24"/>
          <w:highlight w:val="none"/>
        </w:rPr>
        <w:t xml:space="preserve"> ；</w:t>
      </w:r>
    </w:p>
    <w:p w14:paraId="567732B2">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 xml:space="preserve">2. </w:t>
      </w:r>
      <w:r>
        <w:rPr>
          <w:rFonts w:hint="eastAsia" w:ascii="宋体" w:hAnsi="宋体" w:cs="宋体"/>
          <w:color w:val="auto"/>
          <w:sz w:val="24"/>
          <w:szCs w:val="24"/>
          <w:highlight w:val="none"/>
          <w:u w:val="single"/>
        </w:rPr>
        <w:t>（标的名称）</w:t>
      </w:r>
      <w:r>
        <w:rPr>
          <w:rFonts w:hint="eastAsia" w:ascii="宋体" w:hAnsi="宋体" w:cs="宋体"/>
          <w:color w:val="auto"/>
          <w:sz w:val="24"/>
          <w:szCs w:val="24"/>
          <w:highlight w:val="none"/>
        </w:rPr>
        <w:t xml:space="preserve"> ，属于 </w:t>
      </w:r>
      <w:r>
        <w:rPr>
          <w:rFonts w:hint="eastAsia" w:ascii="宋体" w:hAnsi="宋体" w:cs="宋体"/>
          <w:color w:val="auto"/>
          <w:sz w:val="24"/>
          <w:szCs w:val="24"/>
          <w:highlight w:val="none"/>
          <w:u w:val="single"/>
        </w:rPr>
        <w:t>（采购文件中明确的所属行业）</w:t>
      </w:r>
      <w:r>
        <w:rPr>
          <w:rFonts w:hint="eastAsia" w:ascii="宋体" w:hAnsi="宋体" w:cs="宋体"/>
          <w:color w:val="auto"/>
          <w:sz w:val="24"/>
          <w:szCs w:val="24"/>
          <w:highlight w:val="none"/>
        </w:rPr>
        <w:t>行业 ；</w:t>
      </w:r>
      <w:r>
        <w:rPr>
          <w:rFonts w:hint="eastAsia" w:ascii="宋体" w:hAnsi="宋体" w:cs="宋体"/>
          <w:color w:val="auto"/>
          <w:sz w:val="24"/>
          <w:highlight w:val="none"/>
        </w:rPr>
        <w:t>承建（承接）企业</w:t>
      </w:r>
      <w:r>
        <w:rPr>
          <w:rFonts w:hint="eastAsia" w:ascii="宋体" w:hAnsi="宋体" w:cs="宋体"/>
          <w:color w:val="auto"/>
          <w:sz w:val="24"/>
          <w:szCs w:val="24"/>
          <w:highlight w:val="none"/>
        </w:rPr>
        <w:t>为</w:t>
      </w:r>
      <w:r>
        <w:rPr>
          <w:rFonts w:hint="eastAsia" w:ascii="宋体" w:hAnsi="宋体" w:cs="宋体"/>
          <w:color w:val="auto"/>
          <w:sz w:val="24"/>
          <w:szCs w:val="24"/>
          <w:highlight w:val="none"/>
          <w:u w:val="single"/>
        </w:rPr>
        <w:t xml:space="preserve"> （企业名称）</w:t>
      </w:r>
      <w:r>
        <w:rPr>
          <w:rFonts w:hint="eastAsia" w:ascii="宋体" w:hAnsi="宋体" w:cs="宋体"/>
          <w:color w:val="auto"/>
          <w:sz w:val="24"/>
          <w:szCs w:val="24"/>
          <w:highlight w:val="none"/>
        </w:rPr>
        <w:t xml:space="preserve"> ，从业人员</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人，营业收入为</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万元，资产总额为</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万元，属于</w:t>
      </w:r>
      <w:r>
        <w:rPr>
          <w:rFonts w:hint="eastAsia" w:ascii="宋体" w:hAnsi="宋体" w:cs="宋体"/>
          <w:color w:val="auto"/>
          <w:sz w:val="24"/>
          <w:szCs w:val="24"/>
          <w:highlight w:val="none"/>
          <w:u w:val="single"/>
        </w:rPr>
        <w:t xml:space="preserve"> （中型企业、小型企业、微型企业）</w:t>
      </w:r>
      <w:r>
        <w:rPr>
          <w:rFonts w:hint="eastAsia" w:ascii="宋体" w:hAnsi="宋体" w:cs="宋体"/>
          <w:color w:val="auto"/>
          <w:sz w:val="24"/>
          <w:szCs w:val="24"/>
          <w:highlight w:val="none"/>
        </w:rPr>
        <w:t xml:space="preserve"> ；</w:t>
      </w:r>
    </w:p>
    <w:p w14:paraId="332511DC">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w:t>
      </w:r>
    </w:p>
    <w:p w14:paraId="3226ABF2">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以上企业，不属于大企业的分支机构，不存在控股股东为大企业的情形，也不存在与大企业的负责人为同一人的情形。</w:t>
      </w:r>
    </w:p>
    <w:p w14:paraId="5D94AB99">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本企业对上述声明内容的真实性负责。如有虚假，将依法承担相应责任。</w:t>
      </w:r>
    </w:p>
    <w:p w14:paraId="15BD4431">
      <w:pPr>
        <w:snapToGrid w:val="0"/>
        <w:spacing w:line="360" w:lineRule="auto"/>
        <w:ind w:firstLine="5160" w:firstLineChars="2150"/>
        <w:rPr>
          <w:rFonts w:ascii="宋体" w:hAnsi="宋体" w:cs="宋体"/>
          <w:color w:val="auto"/>
          <w:kern w:val="0"/>
          <w:sz w:val="24"/>
          <w:szCs w:val="24"/>
          <w:highlight w:val="none"/>
        </w:rPr>
      </w:pPr>
      <w:r>
        <w:rPr>
          <w:rFonts w:hint="eastAsia" w:ascii="宋体" w:hAnsi="宋体" w:cs="宋体"/>
          <w:color w:val="auto"/>
          <w:kern w:val="0"/>
          <w:sz w:val="24"/>
          <w:szCs w:val="24"/>
          <w:highlight w:val="none"/>
          <w:lang w:val="zh-CN"/>
        </w:rPr>
        <w:t>投标人名称(电子签名)：</w:t>
      </w:r>
    </w:p>
    <w:p w14:paraId="356A27C7">
      <w:pPr>
        <w:snapToGrid w:val="0"/>
        <w:spacing w:line="360" w:lineRule="auto"/>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 xml:space="preserve">                                           日期</w:t>
      </w:r>
      <w:r>
        <w:rPr>
          <w:rFonts w:hint="eastAsia" w:ascii="宋体" w:hAnsi="宋体" w:cs="宋体"/>
          <w:color w:val="auto"/>
          <w:kern w:val="0"/>
          <w:sz w:val="24"/>
          <w:szCs w:val="24"/>
          <w:highlight w:val="none"/>
        </w:rPr>
        <w:t xml:space="preserve">：  年  </w:t>
      </w:r>
      <w:r>
        <w:rPr>
          <w:rFonts w:hint="eastAsia" w:ascii="宋体" w:hAnsi="宋体" w:cs="宋体"/>
          <w:color w:val="auto"/>
          <w:kern w:val="0"/>
          <w:sz w:val="24"/>
          <w:szCs w:val="24"/>
          <w:highlight w:val="none"/>
          <w:lang w:val="zh-CN"/>
        </w:rPr>
        <w:t>月</w:t>
      </w:r>
      <w:r>
        <w:rPr>
          <w:rFonts w:hint="eastAsia" w:ascii="宋体" w:hAnsi="宋体" w:cs="宋体"/>
          <w:color w:val="auto"/>
          <w:kern w:val="0"/>
          <w:sz w:val="24"/>
          <w:szCs w:val="24"/>
          <w:highlight w:val="none"/>
        </w:rPr>
        <w:t xml:space="preserve">   </w:t>
      </w:r>
      <w:r>
        <w:rPr>
          <w:rFonts w:hint="eastAsia" w:ascii="宋体" w:hAnsi="宋体" w:cs="宋体"/>
          <w:color w:val="auto"/>
          <w:kern w:val="0"/>
          <w:sz w:val="24"/>
          <w:szCs w:val="24"/>
          <w:highlight w:val="none"/>
          <w:lang w:val="zh-CN"/>
        </w:rPr>
        <w:t>日</w:t>
      </w:r>
    </w:p>
    <w:p w14:paraId="390F91BF">
      <w:pPr>
        <w:spacing w:line="360" w:lineRule="auto"/>
        <w:ind w:right="420"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注：</w:t>
      </w:r>
    </w:p>
    <w:p w14:paraId="0F8EBF67">
      <w:pPr>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①</w:t>
      </w:r>
      <w:r>
        <w:rPr>
          <w:rFonts w:hint="eastAsia" w:ascii="宋体" w:hAnsi="宋体" w:eastAsia="宋体" w:cs="宋体"/>
          <w:b/>
          <w:bCs/>
          <w:color w:val="auto"/>
          <w:sz w:val="24"/>
          <w:szCs w:val="24"/>
          <w:highlight w:val="none"/>
        </w:rPr>
        <w:t>从业人员、营业收入、资产总额填报上一年度数据，无上一年度数据的新成立企业可不填报</w:t>
      </w:r>
      <w:r>
        <w:rPr>
          <w:rFonts w:hint="eastAsia" w:ascii="宋体" w:hAnsi="宋体" w:eastAsia="宋体" w:cs="宋体"/>
          <w:b/>
          <w:bCs/>
          <w:color w:val="auto"/>
          <w:sz w:val="24"/>
          <w:szCs w:val="24"/>
          <w:highlight w:val="none"/>
          <w:lang w:eastAsia="zh-CN"/>
        </w:rPr>
        <w:t>。②</w:t>
      </w:r>
      <w:r>
        <w:rPr>
          <w:rFonts w:hint="eastAsia" w:ascii="宋体" w:hAnsi="宋体" w:eastAsia="宋体" w:cs="宋体"/>
          <w:b/>
          <w:bCs/>
          <w:color w:val="auto"/>
          <w:sz w:val="24"/>
          <w:szCs w:val="24"/>
          <w:highlight w:val="none"/>
        </w:rPr>
        <w:t>《中小企业声明函》中“标的名称”、“采购文件中明确的所属行业”依据招标文件第二部分投标人须知前附表中“采购标的及其对应的中小企业划分标准所属行业”的指引，逐一填写，不得缺漏。</w:t>
      </w:r>
    </w:p>
    <w:p w14:paraId="2C05D33D">
      <w:pPr>
        <w:spacing w:line="240" w:lineRule="auto"/>
        <w:ind w:firstLine="0" w:firstLineChars="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br w:type="page"/>
      </w:r>
    </w:p>
    <w:p w14:paraId="0891AACC">
      <w:pPr>
        <w:spacing w:line="360" w:lineRule="auto"/>
        <w:ind w:firstLine="482" w:firstLineChars="200"/>
        <w:rPr>
          <w:rFonts w:hint="eastAsia" w:ascii="宋体" w:hAnsi="宋体" w:eastAsia="宋体" w:cs="宋体"/>
          <w:b/>
          <w:bCs/>
          <w:color w:val="auto"/>
          <w:sz w:val="24"/>
          <w:szCs w:val="24"/>
          <w:highlight w:val="none"/>
        </w:rPr>
      </w:pPr>
    </w:p>
    <w:p w14:paraId="0D4CF807">
      <w:pPr>
        <w:spacing w:line="360" w:lineRule="auto"/>
        <w:jc w:val="center"/>
        <w:rPr>
          <w:rFonts w:ascii="宋体" w:hAnsi="宋体" w:cs="宋体"/>
          <w:b/>
          <w:color w:val="auto"/>
          <w:sz w:val="32"/>
          <w:szCs w:val="32"/>
          <w:highlight w:val="none"/>
        </w:rPr>
      </w:pPr>
    </w:p>
    <w:p w14:paraId="6A2AFF37">
      <w:pPr>
        <w:spacing w:line="360" w:lineRule="auto"/>
        <w:jc w:val="center"/>
        <w:rPr>
          <w:rFonts w:ascii="宋体" w:hAnsi="宋体" w:cs="宋体"/>
          <w:b/>
          <w:color w:val="auto"/>
          <w:sz w:val="32"/>
          <w:szCs w:val="32"/>
          <w:highlight w:val="none"/>
        </w:rPr>
      </w:pPr>
    </w:p>
    <w:p w14:paraId="41F2F5EB">
      <w:pPr>
        <w:pStyle w:val="8"/>
        <w:snapToGrid w:val="0"/>
        <w:spacing w:before="156" w:after="156" w:line="360" w:lineRule="auto"/>
        <w:jc w:val="center"/>
        <w:outlineLvl w:val="0"/>
        <w:rPr>
          <w:rFonts w:hint="default" w:hAnsi="宋体" w:cs="宋体"/>
          <w:b/>
          <w:bCs/>
          <w:color w:val="auto"/>
          <w:sz w:val="32"/>
          <w:szCs w:val="32"/>
          <w:highlight w:val="none"/>
        </w:rPr>
      </w:pPr>
      <w:r>
        <w:rPr>
          <w:rFonts w:hint="eastAsia" w:hAnsi="宋体" w:cs="宋体"/>
          <w:b/>
          <w:bCs/>
          <w:color w:val="auto"/>
          <w:sz w:val="32"/>
          <w:szCs w:val="32"/>
          <w:highlight w:val="none"/>
          <w:lang w:val="en-US" w:eastAsia="zh-CN"/>
        </w:rPr>
        <w:t xml:space="preserve">附件6  </w:t>
      </w:r>
      <w:r>
        <w:rPr>
          <w:rFonts w:hAnsi="宋体" w:cs="宋体"/>
          <w:b/>
          <w:bCs/>
          <w:color w:val="auto"/>
          <w:sz w:val="32"/>
          <w:szCs w:val="32"/>
          <w:highlight w:val="none"/>
        </w:rPr>
        <w:t>市场监管总局关于发布参与实施政府采购节能产品、环境标志产品认证机构名录的公告（2019年第16号）</w:t>
      </w:r>
      <w:bookmarkEnd w:id="57"/>
      <w:bookmarkEnd w:id="58"/>
    </w:p>
    <w:p w14:paraId="1A0F2302">
      <w:pPr>
        <w:widowControl/>
        <w:shd w:val="clear" w:color="auto" w:fill="FFFFFF"/>
        <w:spacing w:before="68" w:after="299" w:line="360" w:lineRule="auto"/>
        <w:jc w:val="center"/>
        <w:textAlignment w:val="baseline"/>
        <w:rPr>
          <w:rFonts w:hint="default" w:ascii="宋体" w:hAnsi="宋体" w:cs="宋体"/>
          <w:b/>
          <w:color w:val="auto"/>
          <w:kern w:val="0"/>
          <w:sz w:val="28"/>
          <w:highlight w:val="none"/>
        </w:rPr>
      </w:pPr>
    </w:p>
    <w:p w14:paraId="0B8E46B3">
      <w:pPr>
        <w:widowControl/>
        <w:shd w:val="clear" w:color="auto" w:fill="FFFFFF"/>
        <w:spacing w:before="68" w:after="299" w:line="360" w:lineRule="auto"/>
        <w:jc w:val="center"/>
        <w:textAlignment w:val="baseline"/>
        <w:rPr>
          <w:rFonts w:hint="default" w:ascii="宋体" w:hAnsi="宋体" w:cs="宋体"/>
          <w:b/>
          <w:color w:val="auto"/>
          <w:kern w:val="0"/>
          <w:sz w:val="36"/>
          <w:highlight w:val="none"/>
        </w:rPr>
      </w:pPr>
      <w:r>
        <w:rPr>
          <w:rFonts w:ascii="宋体" w:hAnsi="宋体" w:cs="宋体"/>
          <w:b/>
          <w:color w:val="auto"/>
          <w:kern w:val="0"/>
          <w:sz w:val="36"/>
          <w:highlight w:val="none"/>
        </w:rPr>
        <w:t>市场监管总局关于发布参与实施政府采购节能产品、环境</w:t>
      </w:r>
    </w:p>
    <w:p w14:paraId="7CE8DF13">
      <w:pPr>
        <w:widowControl/>
        <w:shd w:val="clear" w:color="auto" w:fill="FFFFFF"/>
        <w:spacing w:before="68" w:after="299" w:line="360" w:lineRule="auto"/>
        <w:jc w:val="center"/>
        <w:textAlignment w:val="baseline"/>
        <w:rPr>
          <w:rFonts w:hint="default" w:ascii="宋体" w:hAnsi="宋体" w:cs="宋体"/>
          <w:b/>
          <w:color w:val="auto"/>
          <w:kern w:val="0"/>
          <w:sz w:val="24"/>
          <w:highlight w:val="none"/>
        </w:rPr>
      </w:pPr>
      <w:r>
        <w:rPr>
          <w:rFonts w:ascii="宋体" w:hAnsi="宋体" w:cs="宋体"/>
          <w:b/>
          <w:color w:val="auto"/>
          <w:kern w:val="0"/>
          <w:sz w:val="36"/>
          <w:highlight w:val="none"/>
        </w:rPr>
        <w:t>标志产品认证机构名录的公告</w:t>
      </w:r>
    </w:p>
    <w:p w14:paraId="15D6A180">
      <w:pPr>
        <w:widowControl/>
        <w:shd w:val="clear" w:color="auto" w:fill="FFFFFF"/>
        <w:spacing w:before="68" w:after="299" w:line="360" w:lineRule="auto"/>
        <w:jc w:val="center"/>
        <w:textAlignment w:val="baseline"/>
        <w:rPr>
          <w:rFonts w:hint="default" w:ascii="宋体" w:hAnsi="宋体" w:cs="宋体"/>
          <w:color w:val="auto"/>
          <w:kern w:val="0"/>
          <w:sz w:val="24"/>
          <w:highlight w:val="none"/>
        </w:rPr>
      </w:pPr>
      <w:r>
        <w:rPr>
          <w:rFonts w:ascii="宋体" w:hAnsi="宋体" w:cs="宋体"/>
          <w:color w:val="auto"/>
          <w:kern w:val="0"/>
          <w:sz w:val="24"/>
          <w:highlight w:val="none"/>
        </w:rPr>
        <w:t>2019年第16号</w:t>
      </w:r>
    </w:p>
    <w:p w14:paraId="047F23AC">
      <w:pPr>
        <w:widowControl/>
        <w:shd w:val="clear" w:color="auto" w:fill="FFFFFF"/>
        <w:spacing w:before="68" w:after="299" w:line="360" w:lineRule="auto"/>
        <w:ind w:firstLine="424" w:firstLineChars="177"/>
        <w:jc w:val="left"/>
        <w:textAlignment w:val="baseline"/>
        <w:rPr>
          <w:rFonts w:hint="default" w:ascii="宋体" w:hAnsi="宋体" w:cs="宋体"/>
          <w:color w:val="auto"/>
          <w:kern w:val="0"/>
          <w:sz w:val="24"/>
          <w:highlight w:val="none"/>
        </w:rPr>
      </w:pPr>
      <w:r>
        <w:rPr>
          <w:rFonts w:ascii="宋体" w:hAnsi="宋体" w:cs="宋体"/>
          <w:color w:val="auto"/>
          <w:kern w:val="0"/>
          <w:sz w:val="24"/>
          <w:highlight w:val="none"/>
        </w:rPr>
        <w:t>根据《财政部 发展改革委 生态环境部市场监管总局关于调整优化节能产品、环境标志产品政府采购执行机制的通知》(财库〔2019〕9号)和《市场监管总局办公厅关于扩大参与实施政府采购节能产品、环境标志产品认证机构范围的通知》（市监认证函〔2019〕513号）要求，经商财政部、发展改革委、生态环境部，市场监管总局已组织完成扩大参与实施政府采购节能产品、环境标志产品认证机构范围试点优选工作，现将《参与实施政府采购节能产品认证机构名录》《参与实施政府采购环境标志产品认证机构名录》予以公布。</w:t>
      </w:r>
    </w:p>
    <w:p w14:paraId="30009616">
      <w:pPr>
        <w:widowControl/>
        <w:shd w:val="clear" w:color="auto" w:fill="FFFFFF"/>
        <w:spacing w:before="68" w:after="299" w:line="360" w:lineRule="auto"/>
        <w:ind w:firstLine="424" w:firstLineChars="177"/>
        <w:jc w:val="left"/>
        <w:textAlignment w:val="baseline"/>
        <w:rPr>
          <w:rFonts w:hint="default" w:ascii="宋体" w:hAnsi="宋体" w:cs="宋体"/>
          <w:color w:val="auto"/>
          <w:kern w:val="0"/>
          <w:sz w:val="24"/>
          <w:highlight w:val="none"/>
        </w:rPr>
      </w:pPr>
      <w:r>
        <w:rPr>
          <w:rFonts w:ascii="宋体" w:hAnsi="宋体" w:cs="宋体"/>
          <w:color w:val="auto"/>
          <w:kern w:val="0"/>
          <w:sz w:val="24"/>
          <w:highlight w:val="none"/>
        </w:rPr>
        <w:t>自本公告发布后，新增认证机构应尽快完成政府采购认证信息系统对接，对接完成后方可开展相关认证工作。</w:t>
      </w:r>
    </w:p>
    <w:p w14:paraId="7A2511CE">
      <w:pPr>
        <w:widowControl/>
        <w:shd w:val="clear" w:color="auto" w:fill="FFFFFF"/>
        <w:spacing w:before="68" w:after="299" w:line="360" w:lineRule="auto"/>
        <w:jc w:val="right"/>
        <w:textAlignment w:val="baseline"/>
        <w:rPr>
          <w:rFonts w:hint="default" w:ascii="宋体" w:hAnsi="宋体" w:cs="宋体"/>
          <w:color w:val="auto"/>
          <w:kern w:val="0"/>
          <w:sz w:val="24"/>
          <w:highlight w:val="none"/>
        </w:rPr>
      </w:pPr>
      <w:r>
        <w:rPr>
          <w:rFonts w:ascii="宋体" w:hAnsi="宋体" w:cs="宋体"/>
          <w:color w:val="auto"/>
          <w:kern w:val="0"/>
          <w:sz w:val="24"/>
          <w:highlight w:val="none"/>
        </w:rPr>
        <w:t>市场监管总局</w:t>
      </w:r>
    </w:p>
    <w:p w14:paraId="185F87A9">
      <w:pPr>
        <w:widowControl/>
        <w:shd w:val="clear" w:color="auto" w:fill="FFFFFF"/>
        <w:spacing w:before="68" w:after="299" w:line="360" w:lineRule="auto"/>
        <w:jc w:val="right"/>
        <w:textAlignment w:val="baseline"/>
        <w:rPr>
          <w:rFonts w:hint="default" w:ascii="宋体" w:hAnsi="宋体" w:cs="宋体"/>
          <w:color w:val="auto"/>
          <w:kern w:val="0"/>
          <w:sz w:val="24"/>
          <w:highlight w:val="none"/>
        </w:rPr>
      </w:pPr>
      <w:r>
        <w:rPr>
          <w:rFonts w:ascii="宋体" w:hAnsi="宋体" w:cs="宋体"/>
          <w:color w:val="auto"/>
          <w:kern w:val="0"/>
          <w:sz w:val="24"/>
          <w:highlight w:val="none"/>
        </w:rPr>
        <w:t>2019年4月3日</w:t>
      </w:r>
    </w:p>
    <w:p w14:paraId="1FA9A790">
      <w:pPr>
        <w:keepNext/>
        <w:widowControl/>
        <w:rPr>
          <w:rFonts w:hint="default" w:ascii="宋体" w:hAnsi="宋体" w:cs="宋体"/>
          <w:color w:val="auto"/>
          <w:highlight w:val="none"/>
        </w:rPr>
      </w:pPr>
      <w:r>
        <w:rPr>
          <w:rFonts w:ascii="宋体" w:hAnsi="宋体" w:cs="宋体"/>
          <w:color w:val="auto"/>
          <w:highlight w:val="none"/>
        </w:rPr>
        <w:br w:type="page"/>
      </w:r>
      <w:r>
        <w:rPr>
          <w:rFonts w:ascii="宋体" w:hAnsi="宋体" w:cs="宋体"/>
          <w:color w:val="auto"/>
          <w:highlight w:val="none"/>
        </w:rPr>
        <w:t>附1：参与实施政府采购节能产品认证机构名录</w:t>
      </w:r>
    </w:p>
    <w:tbl>
      <w:tblPr>
        <w:tblStyle w:val="41"/>
        <w:tblW w:w="9782" w:type="dxa"/>
        <w:jc w:val="center"/>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shd w:val="clear" w:color="auto" w:fill="FFFFFF"/>
        <w:tblLayout w:type="fixed"/>
        <w:tblCellMar>
          <w:top w:w="27" w:type="dxa"/>
          <w:left w:w="27" w:type="dxa"/>
          <w:bottom w:w="27" w:type="dxa"/>
          <w:right w:w="27" w:type="dxa"/>
        </w:tblCellMar>
      </w:tblPr>
      <w:tblGrid>
        <w:gridCol w:w="568"/>
        <w:gridCol w:w="1134"/>
        <w:gridCol w:w="1347"/>
        <w:gridCol w:w="1402"/>
        <w:gridCol w:w="2070"/>
        <w:gridCol w:w="3261"/>
      </w:tblGrid>
      <w:tr w14:paraId="25145443">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27" w:type="dxa"/>
            <w:left w:w="27" w:type="dxa"/>
            <w:bottom w:w="27" w:type="dxa"/>
            <w:right w:w="27" w:type="dxa"/>
          </w:tblCellMar>
        </w:tblPrEx>
        <w:trPr>
          <w:trHeight w:val="454" w:hRule="atLeast"/>
          <w:tblHeader/>
          <w:jc w:val="center"/>
        </w:trPr>
        <w:tc>
          <w:tcPr>
            <w:tcW w:w="568" w:type="dxa"/>
            <w:vMerge w:val="restart"/>
            <w:shd w:val="clear" w:color="auto" w:fill="DAEEF3"/>
            <w:tcMar>
              <w:top w:w="0" w:type="dxa"/>
              <w:left w:w="108" w:type="dxa"/>
              <w:bottom w:w="0" w:type="dxa"/>
              <w:right w:w="108" w:type="dxa"/>
            </w:tcMar>
            <w:vAlign w:val="center"/>
          </w:tcPr>
          <w:p w14:paraId="525ADBE5">
            <w:pPr>
              <w:widowControl/>
              <w:spacing w:line="276" w:lineRule="auto"/>
              <w:jc w:val="center"/>
              <w:textAlignment w:val="baseline"/>
              <w:rPr>
                <w:rFonts w:hint="default" w:ascii="宋体" w:hAnsi="宋体" w:cs="宋体"/>
                <w:b/>
                <w:color w:val="auto"/>
                <w:w w:val="90"/>
                <w:kern w:val="0"/>
                <w:sz w:val="22"/>
                <w:szCs w:val="22"/>
                <w:highlight w:val="none"/>
              </w:rPr>
            </w:pPr>
            <w:r>
              <w:rPr>
                <w:rFonts w:ascii="宋体" w:hAnsi="宋体" w:cs="宋体"/>
                <w:b/>
                <w:color w:val="auto"/>
                <w:w w:val="90"/>
                <w:kern w:val="0"/>
                <w:sz w:val="22"/>
                <w:szCs w:val="22"/>
                <w:highlight w:val="none"/>
              </w:rPr>
              <w:t>序号</w:t>
            </w:r>
          </w:p>
        </w:tc>
        <w:tc>
          <w:tcPr>
            <w:tcW w:w="2481" w:type="dxa"/>
            <w:gridSpan w:val="2"/>
            <w:shd w:val="clear" w:color="auto" w:fill="DAEEF3"/>
            <w:tcMar>
              <w:top w:w="0" w:type="dxa"/>
              <w:left w:w="108" w:type="dxa"/>
              <w:bottom w:w="0" w:type="dxa"/>
              <w:right w:w="108" w:type="dxa"/>
            </w:tcMar>
            <w:vAlign w:val="center"/>
          </w:tcPr>
          <w:p w14:paraId="3E5F079F">
            <w:pPr>
              <w:widowControl/>
              <w:spacing w:line="276" w:lineRule="auto"/>
              <w:jc w:val="center"/>
              <w:textAlignment w:val="baseline"/>
              <w:rPr>
                <w:rFonts w:hint="default" w:ascii="宋体" w:hAnsi="宋体" w:cs="宋体"/>
                <w:b/>
                <w:color w:val="auto"/>
                <w:w w:val="90"/>
                <w:kern w:val="0"/>
                <w:sz w:val="22"/>
                <w:szCs w:val="22"/>
                <w:highlight w:val="none"/>
              </w:rPr>
            </w:pPr>
            <w:r>
              <w:rPr>
                <w:rFonts w:ascii="宋体" w:hAnsi="宋体" w:cs="宋体"/>
                <w:b/>
                <w:color w:val="auto"/>
                <w:w w:val="90"/>
                <w:kern w:val="0"/>
                <w:sz w:val="22"/>
                <w:szCs w:val="22"/>
                <w:highlight w:val="none"/>
              </w:rPr>
              <w:t>一级目录</w:t>
            </w:r>
          </w:p>
        </w:tc>
        <w:tc>
          <w:tcPr>
            <w:tcW w:w="3472" w:type="dxa"/>
            <w:gridSpan w:val="2"/>
            <w:shd w:val="clear" w:color="auto" w:fill="DAEEF3"/>
            <w:tcMar>
              <w:top w:w="0" w:type="dxa"/>
              <w:left w:w="108" w:type="dxa"/>
              <w:bottom w:w="0" w:type="dxa"/>
              <w:right w:w="108" w:type="dxa"/>
            </w:tcMar>
            <w:vAlign w:val="center"/>
          </w:tcPr>
          <w:p w14:paraId="3E0F91B1">
            <w:pPr>
              <w:widowControl/>
              <w:spacing w:line="276" w:lineRule="auto"/>
              <w:jc w:val="center"/>
              <w:textAlignment w:val="baseline"/>
              <w:rPr>
                <w:rFonts w:hint="default" w:ascii="宋体" w:hAnsi="宋体" w:cs="宋体"/>
                <w:b/>
                <w:color w:val="auto"/>
                <w:w w:val="90"/>
                <w:kern w:val="0"/>
                <w:sz w:val="22"/>
                <w:szCs w:val="22"/>
                <w:highlight w:val="none"/>
              </w:rPr>
            </w:pPr>
            <w:r>
              <w:rPr>
                <w:rFonts w:ascii="宋体" w:hAnsi="宋体" w:cs="宋体"/>
                <w:b/>
                <w:color w:val="auto"/>
                <w:w w:val="90"/>
                <w:kern w:val="0"/>
                <w:sz w:val="22"/>
                <w:szCs w:val="22"/>
                <w:highlight w:val="none"/>
              </w:rPr>
              <w:t>二级目录</w:t>
            </w:r>
          </w:p>
        </w:tc>
        <w:tc>
          <w:tcPr>
            <w:tcW w:w="3261" w:type="dxa"/>
            <w:vMerge w:val="restart"/>
            <w:shd w:val="clear" w:color="auto" w:fill="DAEEF3"/>
            <w:tcMar>
              <w:top w:w="0" w:type="dxa"/>
              <w:left w:w="108" w:type="dxa"/>
              <w:bottom w:w="0" w:type="dxa"/>
              <w:right w:w="108" w:type="dxa"/>
            </w:tcMar>
            <w:vAlign w:val="center"/>
          </w:tcPr>
          <w:p w14:paraId="2F8769CA">
            <w:pPr>
              <w:widowControl/>
              <w:spacing w:line="276" w:lineRule="auto"/>
              <w:jc w:val="center"/>
              <w:textAlignment w:val="baseline"/>
              <w:rPr>
                <w:rFonts w:hint="default" w:ascii="宋体" w:hAnsi="宋体" w:cs="宋体"/>
                <w:b/>
                <w:color w:val="auto"/>
                <w:w w:val="90"/>
                <w:kern w:val="0"/>
                <w:sz w:val="22"/>
                <w:szCs w:val="22"/>
                <w:highlight w:val="none"/>
              </w:rPr>
            </w:pPr>
            <w:r>
              <w:rPr>
                <w:rFonts w:ascii="宋体" w:hAnsi="宋体" w:cs="宋体"/>
                <w:b/>
                <w:color w:val="auto"/>
                <w:w w:val="90"/>
                <w:kern w:val="0"/>
                <w:sz w:val="22"/>
                <w:szCs w:val="22"/>
                <w:highlight w:val="none"/>
              </w:rPr>
              <w:t>认证机构名录</w:t>
            </w:r>
          </w:p>
        </w:tc>
      </w:tr>
      <w:tr w14:paraId="0A18C916">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27" w:type="dxa"/>
            <w:left w:w="27" w:type="dxa"/>
            <w:bottom w:w="27" w:type="dxa"/>
            <w:right w:w="27" w:type="dxa"/>
          </w:tblCellMar>
        </w:tblPrEx>
        <w:trPr>
          <w:trHeight w:val="454" w:hRule="atLeast"/>
          <w:tblHeader/>
          <w:jc w:val="center"/>
        </w:trPr>
        <w:tc>
          <w:tcPr>
            <w:tcW w:w="568" w:type="dxa"/>
            <w:vMerge w:val="continue"/>
            <w:shd w:val="clear" w:color="auto" w:fill="DAEEF3"/>
            <w:vAlign w:val="center"/>
          </w:tcPr>
          <w:p w14:paraId="0905CF73">
            <w:pPr>
              <w:spacing w:line="276" w:lineRule="auto"/>
              <w:jc w:val="center"/>
              <w:textAlignment w:val="baseline"/>
              <w:rPr>
                <w:rFonts w:hint="default" w:ascii="宋体" w:hAnsi="宋体" w:cs="宋体"/>
                <w:color w:val="auto"/>
                <w:w w:val="90"/>
                <w:kern w:val="0"/>
                <w:sz w:val="22"/>
                <w:szCs w:val="22"/>
                <w:highlight w:val="none"/>
              </w:rPr>
            </w:pPr>
          </w:p>
        </w:tc>
        <w:tc>
          <w:tcPr>
            <w:tcW w:w="1134" w:type="dxa"/>
            <w:shd w:val="clear" w:color="auto" w:fill="DAEEF3"/>
            <w:vAlign w:val="center"/>
          </w:tcPr>
          <w:p w14:paraId="4598B8D9">
            <w:pPr>
              <w:widowControl/>
              <w:spacing w:line="276" w:lineRule="auto"/>
              <w:jc w:val="center"/>
              <w:textAlignment w:val="baseline"/>
              <w:rPr>
                <w:rFonts w:hint="default" w:ascii="宋体" w:hAnsi="宋体" w:cs="宋体"/>
                <w:b/>
                <w:color w:val="auto"/>
                <w:w w:val="90"/>
                <w:kern w:val="0"/>
                <w:sz w:val="22"/>
                <w:szCs w:val="22"/>
                <w:highlight w:val="none"/>
              </w:rPr>
            </w:pPr>
            <w:r>
              <w:rPr>
                <w:rFonts w:ascii="宋体" w:hAnsi="宋体" w:cs="宋体"/>
                <w:b/>
                <w:color w:val="auto"/>
                <w:w w:val="90"/>
                <w:kern w:val="0"/>
                <w:sz w:val="22"/>
                <w:szCs w:val="22"/>
                <w:highlight w:val="none"/>
              </w:rPr>
              <w:t>产品代码</w:t>
            </w:r>
          </w:p>
        </w:tc>
        <w:tc>
          <w:tcPr>
            <w:tcW w:w="1347" w:type="dxa"/>
            <w:shd w:val="clear" w:color="auto" w:fill="DAEEF3"/>
            <w:tcMar>
              <w:top w:w="0" w:type="dxa"/>
              <w:left w:w="0" w:type="dxa"/>
              <w:bottom w:w="0" w:type="dxa"/>
              <w:right w:w="0" w:type="dxa"/>
            </w:tcMar>
            <w:vAlign w:val="center"/>
          </w:tcPr>
          <w:p w14:paraId="64155346">
            <w:pPr>
              <w:widowControl/>
              <w:spacing w:line="276" w:lineRule="auto"/>
              <w:jc w:val="center"/>
              <w:textAlignment w:val="baseline"/>
              <w:rPr>
                <w:rFonts w:hint="default" w:ascii="宋体" w:hAnsi="宋体" w:cs="宋体"/>
                <w:b/>
                <w:color w:val="auto"/>
                <w:w w:val="90"/>
                <w:kern w:val="0"/>
                <w:sz w:val="22"/>
                <w:szCs w:val="22"/>
                <w:highlight w:val="none"/>
              </w:rPr>
            </w:pPr>
            <w:r>
              <w:rPr>
                <w:rFonts w:ascii="宋体" w:hAnsi="宋体" w:cs="宋体"/>
                <w:b/>
                <w:color w:val="auto"/>
                <w:w w:val="90"/>
                <w:kern w:val="0"/>
                <w:sz w:val="22"/>
                <w:szCs w:val="22"/>
                <w:highlight w:val="none"/>
              </w:rPr>
              <w:t>产品名称</w:t>
            </w:r>
          </w:p>
        </w:tc>
        <w:tc>
          <w:tcPr>
            <w:tcW w:w="1402" w:type="dxa"/>
            <w:shd w:val="clear" w:color="auto" w:fill="DAEEF3"/>
            <w:tcMar>
              <w:top w:w="0" w:type="dxa"/>
              <w:left w:w="108" w:type="dxa"/>
              <w:bottom w:w="0" w:type="dxa"/>
              <w:right w:w="108" w:type="dxa"/>
            </w:tcMar>
            <w:vAlign w:val="center"/>
          </w:tcPr>
          <w:p w14:paraId="5DE67AA0">
            <w:pPr>
              <w:widowControl/>
              <w:spacing w:line="276" w:lineRule="auto"/>
              <w:jc w:val="center"/>
              <w:textAlignment w:val="baseline"/>
              <w:rPr>
                <w:rFonts w:hint="default" w:ascii="宋体" w:hAnsi="宋体" w:cs="宋体"/>
                <w:b/>
                <w:color w:val="auto"/>
                <w:w w:val="90"/>
                <w:kern w:val="0"/>
                <w:sz w:val="22"/>
                <w:szCs w:val="22"/>
                <w:highlight w:val="none"/>
              </w:rPr>
            </w:pPr>
            <w:r>
              <w:rPr>
                <w:rFonts w:ascii="宋体" w:hAnsi="宋体" w:cs="宋体"/>
                <w:b/>
                <w:color w:val="auto"/>
                <w:w w:val="90"/>
                <w:kern w:val="0"/>
                <w:sz w:val="22"/>
                <w:szCs w:val="22"/>
                <w:highlight w:val="none"/>
              </w:rPr>
              <w:t>产品代码</w:t>
            </w:r>
          </w:p>
        </w:tc>
        <w:tc>
          <w:tcPr>
            <w:tcW w:w="2070" w:type="dxa"/>
            <w:shd w:val="clear" w:color="auto" w:fill="DAEEF3"/>
            <w:tcMar>
              <w:top w:w="0" w:type="dxa"/>
              <w:left w:w="0" w:type="dxa"/>
              <w:bottom w:w="0" w:type="dxa"/>
              <w:right w:w="0" w:type="dxa"/>
            </w:tcMar>
            <w:vAlign w:val="center"/>
          </w:tcPr>
          <w:p w14:paraId="70AAEBC4">
            <w:pPr>
              <w:widowControl/>
              <w:spacing w:line="276" w:lineRule="auto"/>
              <w:jc w:val="center"/>
              <w:textAlignment w:val="baseline"/>
              <w:rPr>
                <w:rFonts w:hint="default" w:ascii="宋体" w:hAnsi="宋体" w:cs="宋体"/>
                <w:b/>
                <w:color w:val="auto"/>
                <w:w w:val="90"/>
                <w:kern w:val="0"/>
                <w:sz w:val="22"/>
                <w:szCs w:val="22"/>
                <w:highlight w:val="none"/>
              </w:rPr>
            </w:pPr>
            <w:r>
              <w:rPr>
                <w:rFonts w:ascii="宋体" w:hAnsi="宋体" w:cs="宋体"/>
                <w:b/>
                <w:color w:val="auto"/>
                <w:w w:val="90"/>
                <w:kern w:val="0"/>
                <w:sz w:val="22"/>
                <w:szCs w:val="22"/>
                <w:highlight w:val="none"/>
              </w:rPr>
              <w:t>产品名称</w:t>
            </w:r>
          </w:p>
        </w:tc>
        <w:tc>
          <w:tcPr>
            <w:tcW w:w="3261" w:type="dxa"/>
            <w:vMerge w:val="continue"/>
            <w:shd w:val="clear" w:color="auto" w:fill="DAEEF3"/>
            <w:tcMar>
              <w:top w:w="0" w:type="dxa"/>
              <w:left w:w="0" w:type="dxa"/>
              <w:bottom w:w="0" w:type="dxa"/>
              <w:right w:w="0" w:type="dxa"/>
            </w:tcMar>
            <w:vAlign w:val="center"/>
          </w:tcPr>
          <w:p w14:paraId="31AE51BB">
            <w:pPr>
              <w:spacing w:line="276" w:lineRule="auto"/>
              <w:jc w:val="left"/>
              <w:textAlignment w:val="baseline"/>
              <w:rPr>
                <w:rFonts w:hint="default" w:ascii="宋体" w:hAnsi="宋体" w:cs="宋体"/>
                <w:color w:val="auto"/>
                <w:w w:val="90"/>
                <w:kern w:val="0"/>
                <w:sz w:val="22"/>
                <w:szCs w:val="22"/>
                <w:highlight w:val="none"/>
              </w:rPr>
            </w:pPr>
          </w:p>
        </w:tc>
      </w:tr>
      <w:tr w14:paraId="0826A0CD">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27" w:type="dxa"/>
            <w:left w:w="27" w:type="dxa"/>
            <w:bottom w:w="27" w:type="dxa"/>
            <w:right w:w="27" w:type="dxa"/>
          </w:tblCellMar>
        </w:tblPrEx>
        <w:trPr>
          <w:trHeight w:val="454" w:hRule="atLeast"/>
          <w:jc w:val="center"/>
        </w:trPr>
        <w:tc>
          <w:tcPr>
            <w:tcW w:w="568" w:type="dxa"/>
            <w:vMerge w:val="restart"/>
            <w:shd w:val="clear" w:color="auto" w:fill="FFFFFF"/>
            <w:tcMar>
              <w:top w:w="0" w:type="dxa"/>
              <w:left w:w="108" w:type="dxa"/>
              <w:bottom w:w="0" w:type="dxa"/>
              <w:right w:w="108" w:type="dxa"/>
            </w:tcMar>
            <w:vAlign w:val="center"/>
          </w:tcPr>
          <w:p w14:paraId="5D40B616">
            <w:pPr>
              <w:widowControl/>
              <w:spacing w:line="276" w:lineRule="auto"/>
              <w:jc w:val="center"/>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1</w:t>
            </w:r>
          </w:p>
        </w:tc>
        <w:tc>
          <w:tcPr>
            <w:tcW w:w="1134" w:type="dxa"/>
            <w:vMerge w:val="restart"/>
            <w:shd w:val="clear" w:color="auto" w:fill="FFFFFF"/>
            <w:tcMar>
              <w:top w:w="0" w:type="dxa"/>
              <w:left w:w="108" w:type="dxa"/>
              <w:bottom w:w="0" w:type="dxa"/>
              <w:right w:w="108" w:type="dxa"/>
            </w:tcMar>
            <w:vAlign w:val="center"/>
          </w:tcPr>
          <w:p w14:paraId="79798349">
            <w:pPr>
              <w:widowControl/>
              <w:spacing w:line="276" w:lineRule="auto"/>
              <w:jc w:val="center"/>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A020101</w:t>
            </w:r>
          </w:p>
        </w:tc>
        <w:tc>
          <w:tcPr>
            <w:tcW w:w="1347" w:type="dxa"/>
            <w:vMerge w:val="restart"/>
            <w:shd w:val="clear" w:color="auto" w:fill="FFFFFF"/>
            <w:tcMar>
              <w:top w:w="0" w:type="dxa"/>
              <w:left w:w="108" w:type="dxa"/>
              <w:bottom w:w="0" w:type="dxa"/>
              <w:right w:w="108" w:type="dxa"/>
            </w:tcMar>
            <w:vAlign w:val="center"/>
          </w:tcPr>
          <w:p w14:paraId="22A3094B">
            <w:pPr>
              <w:widowControl/>
              <w:spacing w:line="276" w:lineRule="auto"/>
              <w:jc w:val="center"/>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计算机设备</w:t>
            </w:r>
          </w:p>
        </w:tc>
        <w:tc>
          <w:tcPr>
            <w:tcW w:w="1402" w:type="dxa"/>
            <w:shd w:val="clear" w:color="auto" w:fill="FFFFFF"/>
            <w:tcMar>
              <w:top w:w="0" w:type="dxa"/>
              <w:left w:w="108" w:type="dxa"/>
              <w:bottom w:w="0" w:type="dxa"/>
              <w:right w:w="108" w:type="dxa"/>
            </w:tcMar>
            <w:vAlign w:val="center"/>
          </w:tcPr>
          <w:p w14:paraId="2DCE37B5">
            <w:pPr>
              <w:widowControl/>
              <w:spacing w:line="276" w:lineRule="auto"/>
              <w:jc w:val="center"/>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A02010104</w:t>
            </w:r>
          </w:p>
        </w:tc>
        <w:tc>
          <w:tcPr>
            <w:tcW w:w="2070" w:type="dxa"/>
            <w:shd w:val="clear" w:color="auto" w:fill="FFFFFF"/>
            <w:tcMar>
              <w:top w:w="0" w:type="dxa"/>
              <w:left w:w="108" w:type="dxa"/>
              <w:bottom w:w="0" w:type="dxa"/>
              <w:right w:w="108" w:type="dxa"/>
            </w:tcMar>
            <w:vAlign w:val="center"/>
          </w:tcPr>
          <w:p w14:paraId="1E8B2FF7">
            <w:pPr>
              <w:widowControl/>
              <w:spacing w:line="276" w:lineRule="auto"/>
              <w:jc w:val="center"/>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台式计算机</w:t>
            </w:r>
          </w:p>
        </w:tc>
        <w:tc>
          <w:tcPr>
            <w:tcW w:w="3261" w:type="dxa"/>
            <w:vMerge w:val="restart"/>
            <w:shd w:val="clear" w:color="auto" w:fill="FFFFFF"/>
            <w:tcMar>
              <w:top w:w="0" w:type="dxa"/>
              <w:left w:w="108" w:type="dxa"/>
              <w:bottom w:w="0" w:type="dxa"/>
              <w:right w:w="108" w:type="dxa"/>
            </w:tcMar>
            <w:vAlign w:val="center"/>
          </w:tcPr>
          <w:p w14:paraId="571BBB4E">
            <w:pPr>
              <w:widowControl/>
              <w:spacing w:line="276" w:lineRule="auto"/>
              <w:jc w:val="left"/>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中国质量认证中心</w:t>
            </w:r>
          </w:p>
          <w:p w14:paraId="050F6521">
            <w:pPr>
              <w:widowControl/>
              <w:spacing w:line="276" w:lineRule="auto"/>
              <w:jc w:val="left"/>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北京赛西认证有限责任公司</w:t>
            </w:r>
          </w:p>
          <w:p w14:paraId="1D1E124E">
            <w:pPr>
              <w:widowControl/>
              <w:spacing w:line="276" w:lineRule="auto"/>
              <w:jc w:val="left"/>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中国网络安全审查技术与认证中心</w:t>
            </w:r>
          </w:p>
          <w:p w14:paraId="101144B7">
            <w:pPr>
              <w:widowControl/>
              <w:spacing w:line="276" w:lineRule="auto"/>
              <w:jc w:val="left"/>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广州赛宝认证中心服务有限公司</w:t>
            </w:r>
          </w:p>
        </w:tc>
      </w:tr>
      <w:tr w14:paraId="590F8718">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27" w:type="dxa"/>
            <w:left w:w="27" w:type="dxa"/>
            <w:bottom w:w="27" w:type="dxa"/>
            <w:right w:w="27" w:type="dxa"/>
          </w:tblCellMar>
        </w:tblPrEx>
        <w:trPr>
          <w:trHeight w:val="454" w:hRule="atLeast"/>
          <w:jc w:val="center"/>
        </w:trPr>
        <w:tc>
          <w:tcPr>
            <w:tcW w:w="568" w:type="dxa"/>
            <w:vMerge w:val="continue"/>
            <w:shd w:val="clear" w:color="auto" w:fill="FFFFFF"/>
            <w:vAlign w:val="center"/>
          </w:tcPr>
          <w:p w14:paraId="01178FC1">
            <w:pPr>
              <w:widowControl/>
              <w:spacing w:line="276" w:lineRule="auto"/>
              <w:jc w:val="center"/>
              <w:rPr>
                <w:rFonts w:hint="default" w:ascii="宋体" w:hAnsi="宋体" w:cs="宋体"/>
                <w:color w:val="auto"/>
                <w:w w:val="90"/>
                <w:kern w:val="0"/>
                <w:sz w:val="22"/>
                <w:szCs w:val="22"/>
                <w:highlight w:val="none"/>
              </w:rPr>
            </w:pPr>
          </w:p>
        </w:tc>
        <w:tc>
          <w:tcPr>
            <w:tcW w:w="1134" w:type="dxa"/>
            <w:vMerge w:val="continue"/>
            <w:shd w:val="clear" w:color="auto" w:fill="FFFFFF"/>
            <w:vAlign w:val="center"/>
          </w:tcPr>
          <w:p w14:paraId="7245ABC3">
            <w:pPr>
              <w:widowControl/>
              <w:spacing w:line="276" w:lineRule="auto"/>
              <w:jc w:val="center"/>
              <w:rPr>
                <w:rFonts w:hint="default" w:ascii="宋体" w:hAnsi="宋体" w:cs="宋体"/>
                <w:color w:val="auto"/>
                <w:w w:val="90"/>
                <w:kern w:val="0"/>
                <w:sz w:val="22"/>
                <w:szCs w:val="22"/>
                <w:highlight w:val="none"/>
              </w:rPr>
            </w:pPr>
          </w:p>
        </w:tc>
        <w:tc>
          <w:tcPr>
            <w:tcW w:w="1347" w:type="dxa"/>
            <w:vMerge w:val="continue"/>
            <w:shd w:val="clear" w:color="auto" w:fill="FFFFFF"/>
            <w:vAlign w:val="center"/>
          </w:tcPr>
          <w:p w14:paraId="27D4C377">
            <w:pPr>
              <w:widowControl/>
              <w:spacing w:line="276" w:lineRule="auto"/>
              <w:jc w:val="center"/>
              <w:rPr>
                <w:rFonts w:hint="default" w:ascii="宋体" w:hAnsi="宋体" w:cs="宋体"/>
                <w:color w:val="auto"/>
                <w:w w:val="90"/>
                <w:kern w:val="0"/>
                <w:sz w:val="22"/>
                <w:szCs w:val="22"/>
                <w:highlight w:val="none"/>
              </w:rPr>
            </w:pPr>
          </w:p>
        </w:tc>
        <w:tc>
          <w:tcPr>
            <w:tcW w:w="1402" w:type="dxa"/>
            <w:shd w:val="clear" w:color="auto" w:fill="FFFFFF"/>
            <w:tcMar>
              <w:left w:w="108" w:type="dxa"/>
              <w:right w:w="108" w:type="dxa"/>
            </w:tcMar>
            <w:vAlign w:val="center"/>
          </w:tcPr>
          <w:p w14:paraId="57EB3F39">
            <w:pPr>
              <w:widowControl/>
              <w:spacing w:line="276" w:lineRule="auto"/>
              <w:jc w:val="center"/>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A02010105</w:t>
            </w:r>
          </w:p>
        </w:tc>
        <w:tc>
          <w:tcPr>
            <w:tcW w:w="2070" w:type="dxa"/>
            <w:shd w:val="clear" w:color="auto" w:fill="FFFFFF"/>
            <w:tcMar>
              <w:top w:w="0" w:type="dxa"/>
              <w:left w:w="0" w:type="dxa"/>
              <w:bottom w:w="0" w:type="dxa"/>
              <w:right w:w="0" w:type="dxa"/>
            </w:tcMar>
            <w:vAlign w:val="center"/>
          </w:tcPr>
          <w:p w14:paraId="4C3C855A">
            <w:pPr>
              <w:widowControl/>
              <w:spacing w:line="276" w:lineRule="auto"/>
              <w:jc w:val="center"/>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便携式计算机</w:t>
            </w:r>
          </w:p>
        </w:tc>
        <w:tc>
          <w:tcPr>
            <w:tcW w:w="3261" w:type="dxa"/>
            <w:vMerge w:val="continue"/>
            <w:shd w:val="clear" w:color="auto" w:fill="FFFFFF"/>
            <w:tcMar>
              <w:top w:w="0" w:type="dxa"/>
              <w:bottom w:w="0" w:type="dxa"/>
            </w:tcMar>
            <w:vAlign w:val="center"/>
          </w:tcPr>
          <w:p w14:paraId="3B174A57">
            <w:pPr>
              <w:widowControl/>
              <w:spacing w:line="276" w:lineRule="auto"/>
              <w:jc w:val="left"/>
              <w:rPr>
                <w:rFonts w:hint="default" w:ascii="宋体" w:hAnsi="宋体" w:cs="宋体"/>
                <w:color w:val="auto"/>
                <w:w w:val="90"/>
                <w:kern w:val="0"/>
                <w:sz w:val="22"/>
                <w:szCs w:val="22"/>
                <w:highlight w:val="none"/>
              </w:rPr>
            </w:pPr>
          </w:p>
        </w:tc>
      </w:tr>
      <w:tr w14:paraId="1D32B0AD">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27" w:type="dxa"/>
            <w:left w:w="27" w:type="dxa"/>
            <w:bottom w:w="27" w:type="dxa"/>
            <w:right w:w="27" w:type="dxa"/>
          </w:tblCellMar>
        </w:tblPrEx>
        <w:trPr>
          <w:trHeight w:val="454" w:hRule="atLeast"/>
          <w:jc w:val="center"/>
        </w:trPr>
        <w:tc>
          <w:tcPr>
            <w:tcW w:w="568" w:type="dxa"/>
            <w:vMerge w:val="continue"/>
            <w:shd w:val="clear" w:color="auto" w:fill="FFFFFF"/>
            <w:vAlign w:val="center"/>
          </w:tcPr>
          <w:p w14:paraId="484DFB3E">
            <w:pPr>
              <w:widowControl/>
              <w:spacing w:line="276" w:lineRule="auto"/>
              <w:jc w:val="center"/>
              <w:rPr>
                <w:rFonts w:hint="default" w:ascii="宋体" w:hAnsi="宋体" w:cs="宋体"/>
                <w:color w:val="auto"/>
                <w:w w:val="90"/>
                <w:kern w:val="0"/>
                <w:sz w:val="22"/>
                <w:szCs w:val="22"/>
                <w:highlight w:val="none"/>
              </w:rPr>
            </w:pPr>
          </w:p>
        </w:tc>
        <w:tc>
          <w:tcPr>
            <w:tcW w:w="1134" w:type="dxa"/>
            <w:vMerge w:val="continue"/>
            <w:shd w:val="clear" w:color="auto" w:fill="FFFFFF"/>
            <w:vAlign w:val="center"/>
          </w:tcPr>
          <w:p w14:paraId="327920FB">
            <w:pPr>
              <w:widowControl/>
              <w:spacing w:line="276" w:lineRule="auto"/>
              <w:jc w:val="center"/>
              <w:rPr>
                <w:rFonts w:hint="default" w:ascii="宋体" w:hAnsi="宋体" w:cs="宋体"/>
                <w:color w:val="auto"/>
                <w:w w:val="90"/>
                <w:kern w:val="0"/>
                <w:sz w:val="22"/>
                <w:szCs w:val="22"/>
                <w:highlight w:val="none"/>
              </w:rPr>
            </w:pPr>
          </w:p>
        </w:tc>
        <w:tc>
          <w:tcPr>
            <w:tcW w:w="1347" w:type="dxa"/>
            <w:vMerge w:val="continue"/>
            <w:shd w:val="clear" w:color="auto" w:fill="FFFFFF"/>
            <w:vAlign w:val="center"/>
          </w:tcPr>
          <w:p w14:paraId="2A774FEA">
            <w:pPr>
              <w:widowControl/>
              <w:spacing w:line="276" w:lineRule="auto"/>
              <w:jc w:val="center"/>
              <w:rPr>
                <w:rFonts w:hint="default" w:ascii="宋体" w:hAnsi="宋体" w:cs="宋体"/>
                <w:color w:val="auto"/>
                <w:w w:val="90"/>
                <w:kern w:val="0"/>
                <w:sz w:val="22"/>
                <w:szCs w:val="22"/>
                <w:highlight w:val="none"/>
              </w:rPr>
            </w:pPr>
          </w:p>
        </w:tc>
        <w:tc>
          <w:tcPr>
            <w:tcW w:w="1402" w:type="dxa"/>
            <w:shd w:val="clear" w:color="auto" w:fill="FFFFFF"/>
            <w:tcMar>
              <w:left w:w="108" w:type="dxa"/>
              <w:right w:w="108" w:type="dxa"/>
            </w:tcMar>
            <w:vAlign w:val="center"/>
          </w:tcPr>
          <w:p w14:paraId="0D8C824F">
            <w:pPr>
              <w:widowControl/>
              <w:spacing w:line="276" w:lineRule="auto"/>
              <w:jc w:val="center"/>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A02010107</w:t>
            </w:r>
          </w:p>
        </w:tc>
        <w:tc>
          <w:tcPr>
            <w:tcW w:w="2070" w:type="dxa"/>
            <w:shd w:val="clear" w:color="auto" w:fill="FFFFFF"/>
            <w:tcMar>
              <w:top w:w="0" w:type="dxa"/>
              <w:left w:w="0" w:type="dxa"/>
              <w:bottom w:w="0" w:type="dxa"/>
              <w:right w:w="0" w:type="dxa"/>
            </w:tcMar>
            <w:vAlign w:val="center"/>
          </w:tcPr>
          <w:p w14:paraId="7841D5DE">
            <w:pPr>
              <w:widowControl/>
              <w:spacing w:line="276" w:lineRule="auto"/>
              <w:jc w:val="center"/>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平板式微型计算机</w:t>
            </w:r>
          </w:p>
        </w:tc>
        <w:tc>
          <w:tcPr>
            <w:tcW w:w="3261" w:type="dxa"/>
            <w:vMerge w:val="continue"/>
            <w:shd w:val="clear" w:color="auto" w:fill="FFFFFF"/>
            <w:tcMar>
              <w:top w:w="0" w:type="dxa"/>
              <w:bottom w:w="0" w:type="dxa"/>
            </w:tcMar>
            <w:vAlign w:val="center"/>
          </w:tcPr>
          <w:p w14:paraId="0FC58751">
            <w:pPr>
              <w:widowControl/>
              <w:spacing w:line="276" w:lineRule="auto"/>
              <w:jc w:val="left"/>
              <w:rPr>
                <w:rFonts w:hint="default" w:ascii="宋体" w:hAnsi="宋体" w:cs="宋体"/>
                <w:color w:val="auto"/>
                <w:w w:val="90"/>
                <w:kern w:val="0"/>
                <w:sz w:val="22"/>
                <w:szCs w:val="22"/>
                <w:highlight w:val="none"/>
              </w:rPr>
            </w:pPr>
          </w:p>
        </w:tc>
      </w:tr>
      <w:tr w14:paraId="6D507664">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27" w:type="dxa"/>
            <w:left w:w="27" w:type="dxa"/>
            <w:bottom w:w="27" w:type="dxa"/>
            <w:right w:w="27" w:type="dxa"/>
          </w:tblCellMar>
        </w:tblPrEx>
        <w:trPr>
          <w:trHeight w:val="454" w:hRule="atLeast"/>
          <w:jc w:val="center"/>
        </w:trPr>
        <w:tc>
          <w:tcPr>
            <w:tcW w:w="568" w:type="dxa"/>
            <w:vMerge w:val="restart"/>
            <w:shd w:val="clear" w:color="auto" w:fill="FFFFFF"/>
            <w:tcMar>
              <w:top w:w="0" w:type="dxa"/>
              <w:left w:w="108" w:type="dxa"/>
              <w:bottom w:w="0" w:type="dxa"/>
              <w:right w:w="108" w:type="dxa"/>
            </w:tcMar>
            <w:vAlign w:val="center"/>
          </w:tcPr>
          <w:p w14:paraId="532F3499">
            <w:pPr>
              <w:widowControl/>
              <w:spacing w:line="276" w:lineRule="auto"/>
              <w:jc w:val="center"/>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2</w:t>
            </w:r>
          </w:p>
        </w:tc>
        <w:tc>
          <w:tcPr>
            <w:tcW w:w="1134" w:type="dxa"/>
            <w:vMerge w:val="restart"/>
            <w:shd w:val="clear" w:color="auto" w:fill="FFFFFF"/>
            <w:tcMar>
              <w:top w:w="0" w:type="dxa"/>
              <w:left w:w="108" w:type="dxa"/>
              <w:bottom w:w="0" w:type="dxa"/>
              <w:right w:w="108" w:type="dxa"/>
            </w:tcMar>
            <w:vAlign w:val="center"/>
          </w:tcPr>
          <w:p w14:paraId="67727C4A">
            <w:pPr>
              <w:widowControl/>
              <w:spacing w:line="276" w:lineRule="auto"/>
              <w:jc w:val="center"/>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A020106</w:t>
            </w:r>
          </w:p>
        </w:tc>
        <w:tc>
          <w:tcPr>
            <w:tcW w:w="1347" w:type="dxa"/>
            <w:vMerge w:val="restart"/>
            <w:shd w:val="clear" w:color="auto" w:fill="FFFFFF"/>
            <w:tcMar>
              <w:top w:w="0" w:type="dxa"/>
              <w:left w:w="108" w:type="dxa"/>
              <w:bottom w:w="0" w:type="dxa"/>
              <w:right w:w="108" w:type="dxa"/>
            </w:tcMar>
            <w:vAlign w:val="center"/>
          </w:tcPr>
          <w:p w14:paraId="645C5C73">
            <w:pPr>
              <w:widowControl/>
              <w:spacing w:line="276" w:lineRule="auto"/>
              <w:jc w:val="center"/>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输入输出设备</w:t>
            </w:r>
          </w:p>
        </w:tc>
        <w:tc>
          <w:tcPr>
            <w:tcW w:w="1402" w:type="dxa"/>
            <w:shd w:val="clear" w:color="auto" w:fill="FFFFFF"/>
            <w:tcMar>
              <w:top w:w="0" w:type="dxa"/>
              <w:left w:w="108" w:type="dxa"/>
              <w:bottom w:w="0" w:type="dxa"/>
              <w:right w:w="108" w:type="dxa"/>
            </w:tcMar>
            <w:vAlign w:val="center"/>
          </w:tcPr>
          <w:p w14:paraId="5491D1EB">
            <w:pPr>
              <w:widowControl/>
              <w:spacing w:line="276" w:lineRule="auto"/>
              <w:jc w:val="center"/>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A02010601</w:t>
            </w:r>
          </w:p>
        </w:tc>
        <w:tc>
          <w:tcPr>
            <w:tcW w:w="2070" w:type="dxa"/>
            <w:shd w:val="clear" w:color="auto" w:fill="FFFFFF"/>
            <w:tcMar>
              <w:top w:w="0" w:type="dxa"/>
              <w:left w:w="108" w:type="dxa"/>
              <w:bottom w:w="0" w:type="dxa"/>
              <w:right w:w="108" w:type="dxa"/>
            </w:tcMar>
            <w:vAlign w:val="center"/>
          </w:tcPr>
          <w:p w14:paraId="0345BD69">
            <w:pPr>
              <w:widowControl/>
              <w:spacing w:line="276" w:lineRule="auto"/>
              <w:jc w:val="center"/>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打印设备</w:t>
            </w:r>
          </w:p>
        </w:tc>
        <w:tc>
          <w:tcPr>
            <w:tcW w:w="3261" w:type="dxa"/>
            <w:vMerge w:val="continue"/>
            <w:shd w:val="clear" w:color="auto" w:fill="FFFFFF"/>
            <w:tcMar>
              <w:top w:w="0" w:type="dxa"/>
              <w:left w:w="0" w:type="dxa"/>
              <w:bottom w:w="0" w:type="dxa"/>
              <w:right w:w="0" w:type="dxa"/>
            </w:tcMar>
            <w:vAlign w:val="center"/>
          </w:tcPr>
          <w:p w14:paraId="4158A2AA">
            <w:pPr>
              <w:widowControl/>
              <w:spacing w:line="276" w:lineRule="auto"/>
              <w:jc w:val="left"/>
              <w:rPr>
                <w:rFonts w:hint="default" w:ascii="宋体" w:hAnsi="宋体" w:cs="宋体"/>
                <w:color w:val="auto"/>
                <w:w w:val="90"/>
                <w:kern w:val="0"/>
                <w:sz w:val="22"/>
                <w:szCs w:val="22"/>
                <w:highlight w:val="none"/>
              </w:rPr>
            </w:pPr>
          </w:p>
        </w:tc>
      </w:tr>
      <w:tr w14:paraId="014A8875">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27" w:type="dxa"/>
            <w:left w:w="27" w:type="dxa"/>
            <w:bottom w:w="27" w:type="dxa"/>
            <w:right w:w="27" w:type="dxa"/>
          </w:tblCellMar>
        </w:tblPrEx>
        <w:trPr>
          <w:trHeight w:val="454" w:hRule="atLeast"/>
          <w:jc w:val="center"/>
        </w:trPr>
        <w:tc>
          <w:tcPr>
            <w:tcW w:w="568" w:type="dxa"/>
            <w:vMerge w:val="continue"/>
            <w:shd w:val="clear" w:color="auto" w:fill="FFFFFF"/>
            <w:vAlign w:val="center"/>
          </w:tcPr>
          <w:p w14:paraId="014E4FBE">
            <w:pPr>
              <w:widowControl/>
              <w:spacing w:line="276" w:lineRule="auto"/>
              <w:jc w:val="center"/>
              <w:rPr>
                <w:rFonts w:hint="default" w:ascii="宋体" w:hAnsi="宋体" w:cs="宋体"/>
                <w:color w:val="auto"/>
                <w:w w:val="90"/>
                <w:kern w:val="0"/>
                <w:sz w:val="22"/>
                <w:szCs w:val="22"/>
                <w:highlight w:val="none"/>
              </w:rPr>
            </w:pPr>
          </w:p>
        </w:tc>
        <w:tc>
          <w:tcPr>
            <w:tcW w:w="1134" w:type="dxa"/>
            <w:vMerge w:val="continue"/>
            <w:shd w:val="clear" w:color="auto" w:fill="FFFFFF"/>
            <w:vAlign w:val="center"/>
          </w:tcPr>
          <w:p w14:paraId="0D41CFB7">
            <w:pPr>
              <w:widowControl/>
              <w:spacing w:line="276" w:lineRule="auto"/>
              <w:jc w:val="center"/>
              <w:rPr>
                <w:rFonts w:hint="default" w:ascii="宋体" w:hAnsi="宋体" w:cs="宋体"/>
                <w:color w:val="auto"/>
                <w:w w:val="90"/>
                <w:kern w:val="0"/>
                <w:sz w:val="22"/>
                <w:szCs w:val="22"/>
                <w:highlight w:val="none"/>
              </w:rPr>
            </w:pPr>
          </w:p>
        </w:tc>
        <w:tc>
          <w:tcPr>
            <w:tcW w:w="1347" w:type="dxa"/>
            <w:vMerge w:val="continue"/>
            <w:shd w:val="clear" w:color="auto" w:fill="FFFFFF"/>
            <w:vAlign w:val="center"/>
          </w:tcPr>
          <w:p w14:paraId="08CFE976">
            <w:pPr>
              <w:widowControl/>
              <w:spacing w:line="276" w:lineRule="auto"/>
              <w:jc w:val="center"/>
              <w:rPr>
                <w:rFonts w:hint="default" w:ascii="宋体" w:hAnsi="宋体" w:cs="宋体"/>
                <w:color w:val="auto"/>
                <w:w w:val="90"/>
                <w:kern w:val="0"/>
                <w:sz w:val="22"/>
                <w:szCs w:val="22"/>
                <w:highlight w:val="none"/>
              </w:rPr>
            </w:pPr>
          </w:p>
        </w:tc>
        <w:tc>
          <w:tcPr>
            <w:tcW w:w="1402" w:type="dxa"/>
            <w:shd w:val="clear" w:color="auto" w:fill="FFFFFF"/>
            <w:tcMar>
              <w:left w:w="108" w:type="dxa"/>
              <w:right w:w="108" w:type="dxa"/>
            </w:tcMar>
            <w:vAlign w:val="center"/>
          </w:tcPr>
          <w:p w14:paraId="5FCCB8E1">
            <w:pPr>
              <w:widowControl/>
              <w:spacing w:line="276" w:lineRule="auto"/>
              <w:jc w:val="center"/>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A02010604</w:t>
            </w:r>
          </w:p>
        </w:tc>
        <w:tc>
          <w:tcPr>
            <w:tcW w:w="2070" w:type="dxa"/>
            <w:shd w:val="clear" w:color="auto" w:fill="FFFFFF"/>
            <w:tcMar>
              <w:top w:w="0" w:type="dxa"/>
              <w:left w:w="0" w:type="dxa"/>
              <w:bottom w:w="0" w:type="dxa"/>
              <w:right w:w="0" w:type="dxa"/>
            </w:tcMar>
            <w:vAlign w:val="center"/>
          </w:tcPr>
          <w:p w14:paraId="0A18119D">
            <w:pPr>
              <w:widowControl/>
              <w:spacing w:line="276" w:lineRule="auto"/>
              <w:jc w:val="center"/>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显示设备</w:t>
            </w:r>
          </w:p>
        </w:tc>
        <w:tc>
          <w:tcPr>
            <w:tcW w:w="3261" w:type="dxa"/>
            <w:vMerge w:val="continue"/>
            <w:shd w:val="clear" w:color="auto" w:fill="FFFFFF"/>
            <w:tcMar>
              <w:top w:w="0" w:type="dxa"/>
              <w:bottom w:w="0" w:type="dxa"/>
            </w:tcMar>
            <w:vAlign w:val="center"/>
          </w:tcPr>
          <w:p w14:paraId="2A1E6050">
            <w:pPr>
              <w:widowControl/>
              <w:spacing w:line="276" w:lineRule="auto"/>
              <w:jc w:val="left"/>
              <w:rPr>
                <w:rFonts w:hint="default" w:ascii="宋体" w:hAnsi="宋体" w:cs="宋体"/>
                <w:color w:val="auto"/>
                <w:w w:val="90"/>
                <w:kern w:val="0"/>
                <w:sz w:val="22"/>
                <w:szCs w:val="22"/>
                <w:highlight w:val="none"/>
              </w:rPr>
            </w:pPr>
          </w:p>
        </w:tc>
      </w:tr>
      <w:tr w14:paraId="0A14752B">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27" w:type="dxa"/>
            <w:left w:w="27" w:type="dxa"/>
            <w:bottom w:w="27" w:type="dxa"/>
            <w:right w:w="27" w:type="dxa"/>
          </w:tblCellMar>
        </w:tblPrEx>
        <w:trPr>
          <w:trHeight w:val="454" w:hRule="atLeast"/>
          <w:jc w:val="center"/>
        </w:trPr>
        <w:tc>
          <w:tcPr>
            <w:tcW w:w="568" w:type="dxa"/>
            <w:vMerge w:val="continue"/>
            <w:shd w:val="clear" w:color="auto" w:fill="FFFFFF"/>
            <w:vAlign w:val="center"/>
          </w:tcPr>
          <w:p w14:paraId="00566674">
            <w:pPr>
              <w:widowControl/>
              <w:spacing w:line="276" w:lineRule="auto"/>
              <w:jc w:val="center"/>
              <w:rPr>
                <w:rFonts w:hint="default" w:ascii="宋体" w:hAnsi="宋体" w:cs="宋体"/>
                <w:color w:val="auto"/>
                <w:w w:val="90"/>
                <w:kern w:val="0"/>
                <w:sz w:val="22"/>
                <w:szCs w:val="22"/>
                <w:highlight w:val="none"/>
              </w:rPr>
            </w:pPr>
          </w:p>
        </w:tc>
        <w:tc>
          <w:tcPr>
            <w:tcW w:w="1134" w:type="dxa"/>
            <w:vMerge w:val="continue"/>
            <w:shd w:val="clear" w:color="auto" w:fill="FFFFFF"/>
            <w:vAlign w:val="center"/>
          </w:tcPr>
          <w:p w14:paraId="7A1076DA">
            <w:pPr>
              <w:widowControl/>
              <w:spacing w:line="276" w:lineRule="auto"/>
              <w:jc w:val="center"/>
              <w:rPr>
                <w:rFonts w:hint="default" w:ascii="宋体" w:hAnsi="宋体" w:cs="宋体"/>
                <w:color w:val="auto"/>
                <w:w w:val="90"/>
                <w:kern w:val="0"/>
                <w:sz w:val="22"/>
                <w:szCs w:val="22"/>
                <w:highlight w:val="none"/>
              </w:rPr>
            </w:pPr>
          </w:p>
        </w:tc>
        <w:tc>
          <w:tcPr>
            <w:tcW w:w="1347" w:type="dxa"/>
            <w:vMerge w:val="continue"/>
            <w:shd w:val="clear" w:color="auto" w:fill="FFFFFF"/>
            <w:vAlign w:val="center"/>
          </w:tcPr>
          <w:p w14:paraId="672B2433">
            <w:pPr>
              <w:widowControl/>
              <w:spacing w:line="276" w:lineRule="auto"/>
              <w:jc w:val="center"/>
              <w:rPr>
                <w:rFonts w:hint="default" w:ascii="宋体" w:hAnsi="宋体" w:cs="宋体"/>
                <w:color w:val="auto"/>
                <w:w w:val="90"/>
                <w:kern w:val="0"/>
                <w:sz w:val="22"/>
                <w:szCs w:val="22"/>
                <w:highlight w:val="none"/>
              </w:rPr>
            </w:pPr>
          </w:p>
        </w:tc>
        <w:tc>
          <w:tcPr>
            <w:tcW w:w="1402" w:type="dxa"/>
            <w:shd w:val="clear" w:color="auto" w:fill="FFFFFF"/>
            <w:tcMar>
              <w:left w:w="108" w:type="dxa"/>
              <w:right w:w="108" w:type="dxa"/>
            </w:tcMar>
            <w:vAlign w:val="center"/>
          </w:tcPr>
          <w:p w14:paraId="33375028">
            <w:pPr>
              <w:widowControl/>
              <w:spacing w:line="276" w:lineRule="auto"/>
              <w:jc w:val="center"/>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A02010609</w:t>
            </w:r>
          </w:p>
        </w:tc>
        <w:tc>
          <w:tcPr>
            <w:tcW w:w="2070" w:type="dxa"/>
            <w:shd w:val="clear" w:color="auto" w:fill="FFFFFF"/>
            <w:tcMar>
              <w:top w:w="0" w:type="dxa"/>
              <w:left w:w="0" w:type="dxa"/>
              <w:bottom w:w="0" w:type="dxa"/>
              <w:right w:w="0" w:type="dxa"/>
            </w:tcMar>
            <w:vAlign w:val="center"/>
          </w:tcPr>
          <w:p w14:paraId="38CD3276">
            <w:pPr>
              <w:widowControl/>
              <w:spacing w:line="276" w:lineRule="auto"/>
              <w:jc w:val="center"/>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图形图像输入设备</w:t>
            </w:r>
          </w:p>
        </w:tc>
        <w:tc>
          <w:tcPr>
            <w:tcW w:w="3261" w:type="dxa"/>
            <w:vMerge w:val="continue"/>
            <w:shd w:val="clear" w:color="auto" w:fill="FFFFFF"/>
            <w:tcMar>
              <w:top w:w="0" w:type="dxa"/>
              <w:bottom w:w="0" w:type="dxa"/>
            </w:tcMar>
            <w:vAlign w:val="center"/>
          </w:tcPr>
          <w:p w14:paraId="55D46F8A">
            <w:pPr>
              <w:widowControl/>
              <w:spacing w:line="276" w:lineRule="auto"/>
              <w:jc w:val="left"/>
              <w:rPr>
                <w:rFonts w:hint="default" w:ascii="宋体" w:hAnsi="宋体" w:cs="宋体"/>
                <w:color w:val="auto"/>
                <w:w w:val="90"/>
                <w:kern w:val="0"/>
                <w:sz w:val="22"/>
                <w:szCs w:val="22"/>
                <w:highlight w:val="none"/>
              </w:rPr>
            </w:pPr>
          </w:p>
        </w:tc>
      </w:tr>
      <w:tr w14:paraId="4679FD44">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27" w:type="dxa"/>
            <w:left w:w="27" w:type="dxa"/>
            <w:bottom w:w="27" w:type="dxa"/>
            <w:right w:w="27" w:type="dxa"/>
          </w:tblCellMar>
        </w:tblPrEx>
        <w:trPr>
          <w:trHeight w:val="454" w:hRule="atLeast"/>
          <w:jc w:val="center"/>
        </w:trPr>
        <w:tc>
          <w:tcPr>
            <w:tcW w:w="568" w:type="dxa"/>
            <w:shd w:val="clear" w:color="auto" w:fill="FFFFFF"/>
            <w:tcMar>
              <w:top w:w="0" w:type="dxa"/>
              <w:left w:w="108" w:type="dxa"/>
              <w:bottom w:w="0" w:type="dxa"/>
              <w:right w:w="108" w:type="dxa"/>
            </w:tcMar>
            <w:vAlign w:val="center"/>
          </w:tcPr>
          <w:p w14:paraId="738126D1">
            <w:pPr>
              <w:widowControl/>
              <w:spacing w:line="276" w:lineRule="auto"/>
              <w:jc w:val="center"/>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3</w:t>
            </w:r>
          </w:p>
        </w:tc>
        <w:tc>
          <w:tcPr>
            <w:tcW w:w="1134" w:type="dxa"/>
            <w:shd w:val="clear" w:color="auto" w:fill="FFFFFF"/>
            <w:tcMar>
              <w:top w:w="0" w:type="dxa"/>
              <w:left w:w="108" w:type="dxa"/>
              <w:bottom w:w="0" w:type="dxa"/>
              <w:right w:w="108" w:type="dxa"/>
            </w:tcMar>
            <w:vAlign w:val="center"/>
          </w:tcPr>
          <w:p w14:paraId="06B67099">
            <w:pPr>
              <w:widowControl/>
              <w:spacing w:line="276" w:lineRule="auto"/>
              <w:jc w:val="center"/>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A020202</w:t>
            </w:r>
          </w:p>
        </w:tc>
        <w:tc>
          <w:tcPr>
            <w:tcW w:w="1347" w:type="dxa"/>
            <w:shd w:val="clear" w:color="auto" w:fill="FFFFFF"/>
            <w:tcMar>
              <w:top w:w="0" w:type="dxa"/>
              <w:left w:w="108" w:type="dxa"/>
              <w:bottom w:w="0" w:type="dxa"/>
              <w:right w:w="108" w:type="dxa"/>
            </w:tcMar>
            <w:vAlign w:val="center"/>
          </w:tcPr>
          <w:p w14:paraId="30FC3662">
            <w:pPr>
              <w:widowControl/>
              <w:spacing w:line="276" w:lineRule="auto"/>
              <w:jc w:val="center"/>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投影仪</w:t>
            </w:r>
          </w:p>
        </w:tc>
        <w:tc>
          <w:tcPr>
            <w:tcW w:w="1402" w:type="dxa"/>
            <w:shd w:val="clear" w:color="auto" w:fill="FFFFFF"/>
            <w:tcMar>
              <w:top w:w="0" w:type="dxa"/>
              <w:left w:w="108" w:type="dxa"/>
              <w:bottom w:w="0" w:type="dxa"/>
              <w:right w:w="108" w:type="dxa"/>
            </w:tcMar>
            <w:vAlign w:val="center"/>
          </w:tcPr>
          <w:p w14:paraId="2E3396AF">
            <w:pPr>
              <w:widowControl/>
              <w:spacing w:line="276" w:lineRule="auto"/>
              <w:jc w:val="center"/>
              <w:textAlignment w:val="baseline"/>
              <w:rPr>
                <w:rFonts w:hint="default" w:ascii="宋体" w:hAnsi="宋体" w:cs="宋体"/>
                <w:color w:val="auto"/>
                <w:w w:val="90"/>
                <w:kern w:val="0"/>
                <w:sz w:val="22"/>
                <w:szCs w:val="22"/>
                <w:highlight w:val="none"/>
              </w:rPr>
            </w:pPr>
          </w:p>
        </w:tc>
        <w:tc>
          <w:tcPr>
            <w:tcW w:w="2070" w:type="dxa"/>
            <w:shd w:val="clear" w:color="auto" w:fill="FFFFFF"/>
            <w:tcMar>
              <w:top w:w="0" w:type="dxa"/>
              <w:left w:w="108" w:type="dxa"/>
              <w:bottom w:w="0" w:type="dxa"/>
              <w:right w:w="108" w:type="dxa"/>
            </w:tcMar>
            <w:vAlign w:val="center"/>
          </w:tcPr>
          <w:p w14:paraId="04CDF7B3">
            <w:pPr>
              <w:widowControl/>
              <w:spacing w:line="276" w:lineRule="auto"/>
              <w:jc w:val="center"/>
              <w:textAlignment w:val="baseline"/>
              <w:rPr>
                <w:rFonts w:hint="default" w:ascii="宋体" w:hAnsi="宋体" w:cs="宋体"/>
                <w:color w:val="auto"/>
                <w:w w:val="90"/>
                <w:kern w:val="0"/>
                <w:sz w:val="22"/>
                <w:szCs w:val="22"/>
                <w:highlight w:val="none"/>
              </w:rPr>
            </w:pPr>
          </w:p>
        </w:tc>
        <w:tc>
          <w:tcPr>
            <w:tcW w:w="3261" w:type="dxa"/>
            <w:vMerge w:val="continue"/>
            <w:shd w:val="clear" w:color="auto" w:fill="FFFFFF"/>
            <w:tcMar>
              <w:top w:w="0" w:type="dxa"/>
              <w:left w:w="0" w:type="dxa"/>
              <w:bottom w:w="0" w:type="dxa"/>
              <w:right w:w="0" w:type="dxa"/>
            </w:tcMar>
            <w:vAlign w:val="center"/>
          </w:tcPr>
          <w:p w14:paraId="2038EF1B">
            <w:pPr>
              <w:widowControl/>
              <w:spacing w:line="276" w:lineRule="auto"/>
              <w:jc w:val="left"/>
              <w:rPr>
                <w:rFonts w:hint="default" w:ascii="宋体" w:hAnsi="宋体" w:cs="宋体"/>
                <w:color w:val="auto"/>
                <w:w w:val="90"/>
                <w:kern w:val="0"/>
                <w:sz w:val="22"/>
                <w:szCs w:val="22"/>
                <w:highlight w:val="none"/>
              </w:rPr>
            </w:pPr>
          </w:p>
        </w:tc>
      </w:tr>
      <w:tr w14:paraId="53FC00EF">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27" w:type="dxa"/>
            <w:left w:w="27" w:type="dxa"/>
            <w:bottom w:w="27" w:type="dxa"/>
            <w:right w:w="27" w:type="dxa"/>
          </w:tblCellMar>
        </w:tblPrEx>
        <w:trPr>
          <w:trHeight w:val="454" w:hRule="atLeast"/>
          <w:jc w:val="center"/>
        </w:trPr>
        <w:tc>
          <w:tcPr>
            <w:tcW w:w="568" w:type="dxa"/>
            <w:shd w:val="clear" w:color="auto" w:fill="FFFFFF"/>
            <w:tcMar>
              <w:top w:w="0" w:type="dxa"/>
              <w:left w:w="108" w:type="dxa"/>
              <w:bottom w:w="0" w:type="dxa"/>
              <w:right w:w="108" w:type="dxa"/>
            </w:tcMar>
            <w:vAlign w:val="center"/>
          </w:tcPr>
          <w:p w14:paraId="227EC112">
            <w:pPr>
              <w:widowControl/>
              <w:spacing w:line="276" w:lineRule="auto"/>
              <w:jc w:val="center"/>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4</w:t>
            </w:r>
          </w:p>
        </w:tc>
        <w:tc>
          <w:tcPr>
            <w:tcW w:w="1134" w:type="dxa"/>
            <w:shd w:val="clear" w:color="auto" w:fill="FFFFFF"/>
            <w:tcMar>
              <w:top w:w="0" w:type="dxa"/>
              <w:left w:w="108" w:type="dxa"/>
              <w:bottom w:w="0" w:type="dxa"/>
              <w:right w:w="108" w:type="dxa"/>
            </w:tcMar>
            <w:vAlign w:val="center"/>
          </w:tcPr>
          <w:p w14:paraId="5353488E">
            <w:pPr>
              <w:widowControl/>
              <w:spacing w:line="276" w:lineRule="auto"/>
              <w:jc w:val="center"/>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A020204611</w:t>
            </w:r>
          </w:p>
        </w:tc>
        <w:tc>
          <w:tcPr>
            <w:tcW w:w="1347" w:type="dxa"/>
            <w:shd w:val="clear" w:color="auto" w:fill="FFFFFF"/>
            <w:tcMar>
              <w:top w:w="0" w:type="dxa"/>
              <w:left w:w="108" w:type="dxa"/>
              <w:bottom w:w="0" w:type="dxa"/>
              <w:right w:w="108" w:type="dxa"/>
            </w:tcMar>
            <w:vAlign w:val="center"/>
          </w:tcPr>
          <w:p w14:paraId="49D0DC29">
            <w:pPr>
              <w:widowControl/>
              <w:spacing w:line="276" w:lineRule="auto"/>
              <w:jc w:val="center"/>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多功能一体机</w:t>
            </w:r>
          </w:p>
        </w:tc>
        <w:tc>
          <w:tcPr>
            <w:tcW w:w="1402" w:type="dxa"/>
            <w:shd w:val="clear" w:color="auto" w:fill="FFFFFF"/>
            <w:tcMar>
              <w:top w:w="0" w:type="dxa"/>
              <w:left w:w="108" w:type="dxa"/>
              <w:bottom w:w="0" w:type="dxa"/>
              <w:right w:w="108" w:type="dxa"/>
            </w:tcMar>
            <w:vAlign w:val="center"/>
          </w:tcPr>
          <w:p w14:paraId="5E7CEB69">
            <w:pPr>
              <w:widowControl/>
              <w:spacing w:line="276" w:lineRule="auto"/>
              <w:jc w:val="center"/>
              <w:textAlignment w:val="baseline"/>
              <w:rPr>
                <w:rFonts w:hint="default" w:ascii="宋体" w:hAnsi="宋体" w:cs="宋体"/>
                <w:color w:val="auto"/>
                <w:w w:val="90"/>
                <w:kern w:val="0"/>
                <w:sz w:val="22"/>
                <w:szCs w:val="22"/>
                <w:highlight w:val="none"/>
              </w:rPr>
            </w:pPr>
          </w:p>
        </w:tc>
        <w:tc>
          <w:tcPr>
            <w:tcW w:w="2070" w:type="dxa"/>
            <w:shd w:val="clear" w:color="auto" w:fill="FFFFFF"/>
            <w:tcMar>
              <w:top w:w="0" w:type="dxa"/>
              <w:left w:w="108" w:type="dxa"/>
              <w:bottom w:w="0" w:type="dxa"/>
              <w:right w:w="108" w:type="dxa"/>
            </w:tcMar>
            <w:vAlign w:val="center"/>
          </w:tcPr>
          <w:p w14:paraId="65986F1E">
            <w:pPr>
              <w:widowControl/>
              <w:spacing w:line="276" w:lineRule="auto"/>
              <w:jc w:val="center"/>
              <w:textAlignment w:val="baseline"/>
              <w:rPr>
                <w:rFonts w:hint="default" w:ascii="宋体" w:hAnsi="宋体" w:cs="宋体"/>
                <w:color w:val="auto"/>
                <w:w w:val="90"/>
                <w:kern w:val="0"/>
                <w:sz w:val="22"/>
                <w:szCs w:val="22"/>
                <w:highlight w:val="none"/>
              </w:rPr>
            </w:pPr>
          </w:p>
        </w:tc>
        <w:tc>
          <w:tcPr>
            <w:tcW w:w="3261" w:type="dxa"/>
            <w:vMerge w:val="continue"/>
            <w:shd w:val="clear" w:color="auto" w:fill="FFFFFF"/>
            <w:tcMar>
              <w:top w:w="0" w:type="dxa"/>
              <w:left w:w="0" w:type="dxa"/>
              <w:bottom w:w="0" w:type="dxa"/>
              <w:right w:w="0" w:type="dxa"/>
            </w:tcMar>
            <w:vAlign w:val="center"/>
          </w:tcPr>
          <w:p w14:paraId="3D26268E">
            <w:pPr>
              <w:widowControl/>
              <w:spacing w:line="276" w:lineRule="auto"/>
              <w:jc w:val="left"/>
              <w:rPr>
                <w:rFonts w:hint="default" w:ascii="宋体" w:hAnsi="宋体" w:cs="宋体"/>
                <w:color w:val="auto"/>
                <w:w w:val="90"/>
                <w:kern w:val="0"/>
                <w:sz w:val="22"/>
                <w:szCs w:val="22"/>
                <w:highlight w:val="none"/>
              </w:rPr>
            </w:pPr>
          </w:p>
        </w:tc>
      </w:tr>
      <w:tr w14:paraId="26F8CF4A">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27" w:type="dxa"/>
            <w:left w:w="27" w:type="dxa"/>
            <w:bottom w:w="27" w:type="dxa"/>
            <w:right w:w="27" w:type="dxa"/>
          </w:tblCellMar>
        </w:tblPrEx>
        <w:trPr>
          <w:trHeight w:val="454" w:hRule="atLeast"/>
          <w:jc w:val="center"/>
        </w:trPr>
        <w:tc>
          <w:tcPr>
            <w:tcW w:w="568" w:type="dxa"/>
            <w:shd w:val="clear" w:color="auto" w:fill="FFFFFF"/>
            <w:tcMar>
              <w:top w:w="0" w:type="dxa"/>
              <w:left w:w="108" w:type="dxa"/>
              <w:bottom w:w="0" w:type="dxa"/>
              <w:right w:w="108" w:type="dxa"/>
            </w:tcMar>
            <w:vAlign w:val="center"/>
          </w:tcPr>
          <w:p w14:paraId="49085574">
            <w:pPr>
              <w:widowControl/>
              <w:spacing w:line="276" w:lineRule="auto"/>
              <w:jc w:val="center"/>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5</w:t>
            </w:r>
          </w:p>
        </w:tc>
        <w:tc>
          <w:tcPr>
            <w:tcW w:w="1134" w:type="dxa"/>
            <w:shd w:val="clear" w:color="auto" w:fill="FFFFFF"/>
            <w:tcMar>
              <w:top w:w="0" w:type="dxa"/>
              <w:left w:w="108" w:type="dxa"/>
              <w:bottom w:w="0" w:type="dxa"/>
              <w:right w:w="108" w:type="dxa"/>
            </w:tcMar>
            <w:vAlign w:val="center"/>
          </w:tcPr>
          <w:p w14:paraId="3C7D632A">
            <w:pPr>
              <w:widowControl/>
              <w:spacing w:line="276" w:lineRule="auto"/>
              <w:jc w:val="center"/>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A020519</w:t>
            </w:r>
          </w:p>
        </w:tc>
        <w:tc>
          <w:tcPr>
            <w:tcW w:w="1347" w:type="dxa"/>
            <w:shd w:val="clear" w:color="auto" w:fill="FFFFFF"/>
            <w:tcMar>
              <w:top w:w="0" w:type="dxa"/>
              <w:left w:w="108" w:type="dxa"/>
              <w:bottom w:w="0" w:type="dxa"/>
              <w:right w:w="108" w:type="dxa"/>
            </w:tcMar>
            <w:vAlign w:val="center"/>
          </w:tcPr>
          <w:p w14:paraId="30BEE306">
            <w:pPr>
              <w:widowControl/>
              <w:spacing w:line="276" w:lineRule="auto"/>
              <w:jc w:val="center"/>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泵</w:t>
            </w:r>
          </w:p>
        </w:tc>
        <w:tc>
          <w:tcPr>
            <w:tcW w:w="1402" w:type="dxa"/>
            <w:shd w:val="clear" w:color="auto" w:fill="FFFFFF"/>
            <w:tcMar>
              <w:top w:w="0" w:type="dxa"/>
              <w:left w:w="108" w:type="dxa"/>
              <w:bottom w:w="0" w:type="dxa"/>
              <w:right w:w="108" w:type="dxa"/>
            </w:tcMar>
            <w:vAlign w:val="center"/>
          </w:tcPr>
          <w:p w14:paraId="46323B89">
            <w:pPr>
              <w:widowControl/>
              <w:spacing w:line="276" w:lineRule="auto"/>
              <w:jc w:val="center"/>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A02051901</w:t>
            </w:r>
          </w:p>
        </w:tc>
        <w:tc>
          <w:tcPr>
            <w:tcW w:w="2070" w:type="dxa"/>
            <w:shd w:val="clear" w:color="auto" w:fill="FFFFFF"/>
            <w:tcMar>
              <w:top w:w="0" w:type="dxa"/>
              <w:left w:w="108" w:type="dxa"/>
              <w:bottom w:w="0" w:type="dxa"/>
              <w:right w:w="108" w:type="dxa"/>
            </w:tcMar>
            <w:vAlign w:val="center"/>
          </w:tcPr>
          <w:p w14:paraId="4FB77819">
            <w:pPr>
              <w:widowControl/>
              <w:spacing w:line="276" w:lineRule="auto"/>
              <w:jc w:val="center"/>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离心泵</w:t>
            </w:r>
          </w:p>
        </w:tc>
        <w:tc>
          <w:tcPr>
            <w:tcW w:w="3261" w:type="dxa"/>
            <w:shd w:val="clear" w:color="auto" w:fill="FFFFFF"/>
            <w:tcMar>
              <w:top w:w="0" w:type="dxa"/>
              <w:left w:w="108" w:type="dxa"/>
              <w:bottom w:w="0" w:type="dxa"/>
              <w:right w:w="108" w:type="dxa"/>
            </w:tcMar>
            <w:vAlign w:val="center"/>
          </w:tcPr>
          <w:p w14:paraId="218A7A6C">
            <w:pPr>
              <w:widowControl/>
              <w:spacing w:line="276" w:lineRule="auto"/>
              <w:jc w:val="left"/>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中国质量认证中心</w:t>
            </w:r>
          </w:p>
          <w:p w14:paraId="763C7A0F">
            <w:pPr>
              <w:widowControl/>
              <w:spacing w:line="276" w:lineRule="auto"/>
              <w:jc w:val="left"/>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电能（北京）认证中心有限公司</w:t>
            </w:r>
          </w:p>
          <w:p w14:paraId="1675B03D">
            <w:pPr>
              <w:widowControl/>
              <w:spacing w:line="276" w:lineRule="auto"/>
              <w:jc w:val="left"/>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方圆标志认证集团有限公司</w:t>
            </w:r>
          </w:p>
        </w:tc>
      </w:tr>
      <w:tr w14:paraId="7B7AA000">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27" w:type="dxa"/>
            <w:left w:w="27" w:type="dxa"/>
            <w:bottom w:w="27" w:type="dxa"/>
            <w:right w:w="27" w:type="dxa"/>
          </w:tblCellMar>
        </w:tblPrEx>
        <w:trPr>
          <w:trHeight w:val="454" w:hRule="atLeast"/>
          <w:jc w:val="center"/>
        </w:trPr>
        <w:tc>
          <w:tcPr>
            <w:tcW w:w="568" w:type="dxa"/>
            <w:vMerge w:val="restart"/>
            <w:shd w:val="clear" w:color="auto" w:fill="FFFFFF"/>
            <w:tcMar>
              <w:top w:w="0" w:type="dxa"/>
              <w:left w:w="108" w:type="dxa"/>
              <w:bottom w:w="0" w:type="dxa"/>
              <w:right w:w="108" w:type="dxa"/>
            </w:tcMar>
            <w:vAlign w:val="center"/>
          </w:tcPr>
          <w:p w14:paraId="7481B408">
            <w:pPr>
              <w:widowControl/>
              <w:spacing w:line="276" w:lineRule="auto"/>
              <w:jc w:val="center"/>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6</w:t>
            </w:r>
          </w:p>
        </w:tc>
        <w:tc>
          <w:tcPr>
            <w:tcW w:w="1134" w:type="dxa"/>
            <w:vMerge w:val="restart"/>
            <w:shd w:val="clear" w:color="auto" w:fill="FFFFFF"/>
            <w:tcMar>
              <w:top w:w="0" w:type="dxa"/>
              <w:left w:w="108" w:type="dxa"/>
              <w:bottom w:w="0" w:type="dxa"/>
              <w:right w:w="108" w:type="dxa"/>
            </w:tcMar>
            <w:vAlign w:val="center"/>
          </w:tcPr>
          <w:p w14:paraId="2A7D34B2">
            <w:pPr>
              <w:widowControl/>
              <w:spacing w:line="276" w:lineRule="auto"/>
              <w:jc w:val="center"/>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A020523</w:t>
            </w:r>
          </w:p>
        </w:tc>
        <w:tc>
          <w:tcPr>
            <w:tcW w:w="1347" w:type="dxa"/>
            <w:vMerge w:val="restart"/>
            <w:shd w:val="clear" w:color="auto" w:fill="FFFFFF"/>
            <w:tcMar>
              <w:top w:w="0" w:type="dxa"/>
              <w:left w:w="108" w:type="dxa"/>
              <w:bottom w:w="0" w:type="dxa"/>
              <w:right w:w="108" w:type="dxa"/>
            </w:tcMar>
            <w:vAlign w:val="center"/>
          </w:tcPr>
          <w:p w14:paraId="4945B1C8">
            <w:pPr>
              <w:widowControl/>
              <w:spacing w:line="276" w:lineRule="auto"/>
              <w:jc w:val="center"/>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制冷空调设备</w:t>
            </w:r>
          </w:p>
        </w:tc>
        <w:tc>
          <w:tcPr>
            <w:tcW w:w="1402" w:type="dxa"/>
            <w:shd w:val="clear" w:color="auto" w:fill="FFFFFF"/>
            <w:tcMar>
              <w:top w:w="0" w:type="dxa"/>
              <w:left w:w="108" w:type="dxa"/>
              <w:bottom w:w="0" w:type="dxa"/>
              <w:right w:w="108" w:type="dxa"/>
            </w:tcMar>
            <w:vAlign w:val="center"/>
          </w:tcPr>
          <w:p w14:paraId="318176CB">
            <w:pPr>
              <w:widowControl/>
              <w:spacing w:line="276" w:lineRule="auto"/>
              <w:jc w:val="center"/>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A02052301</w:t>
            </w:r>
          </w:p>
        </w:tc>
        <w:tc>
          <w:tcPr>
            <w:tcW w:w="2070" w:type="dxa"/>
            <w:shd w:val="clear" w:color="auto" w:fill="FFFFFF"/>
            <w:tcMar>
              <w:top w:w="0" w:type="dxa"/>
              <w:left w:w="108" w:type="dxa"/>
              <w:bottom w:w="0" w:type="dxa"/>
              <w:right w:w="108" w:type="dxa"/>
            </w:tcMar>
            <w:vAlign w:val="center"/>
          </w:tcPr>
          <w:p w14:paraId="4E5109CF">
            <w:pPr>
              <w:widowControl/>
              <w:spacing w:line="276" w:lineRule="auto"/>
              <w:jc w:val="center"/>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制冷压缩机</w:t>
            </w:r>
          </w:p>
        </w:tc>
        <w:tc>
          <w:tcPr>
            <w:tcW w:w="3261" w:type="dxa"/>
            <w:vMerge w:val="restart"/>
            <w:shd w:val="clear" w:color="auto" w:fill="FFFFFF"/>
            <w:tcMar>
              <w:top w:w="0" w:type="dxa"/>
              <w:left w:w="108" w:type="dxa"/>
              <w:bottom w:w="0" w:type="dxa"/>
              <w:right w:w="108" w:type="dxa"/>
            </w:tcMar>
            <w:vAlign w:val="center"/>
          </w:tcPr>
          <w:p w14:paraId="746F2E25">
            <w:pPr>
              <w:widowControl/>
              <w:spacing w:line="276" w:lineRule="auto"/>
              <w:jc w:val="left"/>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中国质量认证中心</w:t>
            </w:r>
          </w:p>
          <w:p w14:paraId="2E768394">
            <w:pPr>
              <w:widowControl/>
              <w:spacing w:line="276" w:lineRule="auto"/>
              <w:jc w:val="left"/>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威凯认证检测有限公司</w:t>
            </w:r>
          </w:p>
          <w:p w14:paraId="09669B29">
            <w:pPr>
              <w:widowControl/>
              <w:spacing w:line="276" w:lineRule="auto"/>
              <w:jc w:val="left"/>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合肥通用机械产品认证有限公司</w:t>
            </w:r>
          </w:p>
          <w:p w14:paraId="4628A1CD">
            <w:pPr>
              <w:widowControl/>
              <w:spacing w:line="276" w:lineRule="auto"/>
              <w:jc w:val="left"/>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北京中冷通质量认证中心有限公司</w:t>
            </w:r>
          </w:p>
        </w:tc>
      </w:tr>
      <w:tr w14:paraId="728AD39E">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27" w:type="dxa"/>
            <w:left w:w="27" w:type="dxa"/>
            <w:bottom w:w="27" w:type="dxa"/>
            <w:right w:w="27" w:type="dxa"/>
          </w:tblCellMar>
        </w:tblPrEx>
        <w:trPr>
          <w:trHeight w:val="454" w:hRule="atLeast"/>
          <w:jc w:val="center"/>
        </w:trPr>
        <w:tc>
          <w:tcPr>
            <w:tcW w:w="568" w:type="dxa"/>
            <w:vMerge w:val="continue"/>
            <w:shd w:val="clear" w:color="auto" w:fill="FFFFFF"/>
            <w:vAlign w:val="center"/>
          </w:tcPr>
          <w:p w14:paraId="46C33DAF">
            <w:pPr>
              <w:widowControl/>
              <w:spacing w:line="276" w:lineRule="auto"/>
              <w:jc w:val="center"/>
              <w:rPr>
                <w:rFonts w:hint="default" w:ascii="宋体" w:hAnsi="宋体" w:cs="宋体"/>
                <w:color w:val="auto"/>
                <w:w w:val="90"/>
                <w:kern w:val="0"/>
                <w:sz w:val="22"/>
                <w:szCs w:val="22"/>
                <w:highlight w:val="none"/>
              </w:rPr>
            </w:pPr>
          </w:p>
        </w:tc>
        <w:tc>
          <w:tcPr>
            <w:tcW w:w="1134" w:type="dxa"/>
            <w:vMerge w:val="continue"/>
            <w:shd w:val="clear" w:color="auto" w:fill="FFFFFF"/>
            <w:vAlign w:val="center"/>
          </w:tcPr>
          <w:p w14:paraId="6303C3FF">
            <w:pPr>
              <w:widowControl/>
              <w:spacing w:line="276" w:lineRule="auto"/>
              <w:jc w:val="center"/>
              <w:rPr>
                <w:rFonts w:hint="default" w:ascii="宋体" w:hAnsi="宋体" w:cs="宋体"/>
                <w:color w:val="auto"/>
                <w:w w:val="90"/>
                <w:kern w:val="0"/>
                <w:sz w:val="22"/>
                <w:szCs w:val="22"/>
                <w:highlight w:val="none"/>
              </w:rPr>
            </w:pPr>
          </w:p>
        </w:tc>
        <w:tc>
          <w:tcPr>
            <w:tcW w:w="1347" w:type="dxa"/>
            <w:vMerge w:val="continue"/>
            <w:shd w:val="clear" w:color="auto" w:fill="FFFFFF"/>
            <w:vAlign w:val="center"/>
          </w:tcPr>
          <w:p w14:paraId="5A84194B">
            <w:pPr>
              <w:widowControl/>
              <w:spacing w:line="276" w:lineRule="auto"/>
              <w:jc w:val="center"/>
              <w:rPr>
                <w:rFonts w:hint="default" w:ascii="宋体" w:hAnsi="宋体" w:cs="宋体"/>
                <w:color w:val="auto"/>
                <w:w w:val="90"/>
                <w:kern w:val="0"/>
                <w:sz w:val="22"/>
                <w:szCs w:val="22"/>
                <w:highlight w:val="none"/>
              </w:rPr>
            </w:pPr>
          </w:p>
        </w:tc>
        <w:tc>
          <w:tcPr>
            <w:tcW w:w="1402" w:type="dxa"/>
            <w:shd w:val="clear" w:color="auto" w:fill="FFFFFF"/>
            <w:tcMar>
              <w:left w:w="108" w:type="dxa"/>
              <w:right w:w="108" w:type="dxa"/>
            </w:tcMar>
            <w:vAlign w:val="center"/>
          </w:tcPr>
          <w:p w14:paraId="632638EC">
            <w:pPr>
              <w:widowControl/>
              <w:spacing w:line="276" w:lineRule="auto"/>
              <w:jc w:val="center"/>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A02052305</w:t>
            </w:r>
          </w:p>
        </w:tc>
        <w:tc>
          <w:tcPr>
            <w:tcW w:w="2070" w:type="dxa"/>
            <w:shd w:val="clear" w:color="auto" w:fill="FFFFFF"/>
            <w:tcMar>
              <w:top w:w="0" w:type="dxa"/>
              <w:left w:w="0" w:type="dxa"/>
              <w:bottom w:w="0" w:type="dxa"/>
              <w:right w:w="0" w:type="dxa"/>
            </w:tcMar>
            <w:vAlign w:val="center"/>
          </w:tcPr>
          <w:p w14:paraId="285A9E4D">
            <w:pPr>
              <w:widowControl/>
              <w:spacing w:line="276" w:lineRule="auto"/>
              <w:jc w:val="center"/>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空调机组</w:t>
            </w:r>
          </w:p>
        </w:tc>
        <w:tc>
          <w:tcPr>
            <w:tcW w:w="3261" w:type="dxa"/>
            <w:vMerge w:val="continue"/>
            <w:shd w:val="clear" w:color="auto" w:fill="FFFFFF"/>
            <w:tcMar>
              <w:top w:w="0" w:type="dxa"/>
              <w:bottom w:w="0" w:type="dxa"/>
            </w:tcMar>
            <w:vAlign w:val="center"/>
          </w:tcPr>
          <w:p w14:paraId="25D03C70">
            <w:pPr>
              <w:widowControl/>
              <w:spacing w:line="276" w:lineRule="auto"/>
              <w:jc w:val="left"/>
              <w:rPr>
                <w:rFonts w:hint="default" w:ascii="宋体" w:hAnsi="宋体" w:cs="宋体"/>
                <w:color w:val="auto"/>
                <w:w w:val="90"/>
                <w:kern w:val="0"/>
                <w:sz w:val="22"/>
                <w:szCs w:val="22"/>
                <w:highlight w:val="none"/>
              </w:rPr>
            </w:pPr>
          </w:p>
        </w:tc>
      </w:tr>
      <w:tr w14:paraId="5697007C">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27" w:type="dxa"/>
            <w:left w:w="27" w:type="dxa"/>
            <w:bottom w:w="27" w:type="dxa"/>
            <w:right w:w="27" w:type="dxa"/>
          </w:tblCellMar>
        </w:tblPrEx>
        <w:trPr>
          <w:trHeight w:val="454" w:hRule="atLeast"/>
          <w:jc w:val="center"/>
        </w:trPr>
        <w:tc>
          <w:tcPr>
            <w:tcW w:w="568" w:type="dxa"/>
            <w:vMerge w:val="continue"/>
            <w:shd w:val="clear" w:color="auto" w:fill="FFFFFF"/>
            <w:vAlign w:val="center"/>
          </w:tcPr>
          <w:p w14:paraId="4220EFD2">
            <w:pPr>
              <w:widowControl/>
              <w:spacing w:line="276" w:lineRule="auto"/>
              <w:jc w:val="center"/>
              <w:rPr>
                <w:rFonts w:hint="default" w:ascii="宋体" w:hAnsi="宋体" w:cs="宋体"/>
                <w:color w:val="auto"/>
                <w:w w:val="90"/>
                <w:kern w:val="0"/>
                <w:sz w:val="22"/>
                <w:szCs w:val="22"/>
                <w:highlight w:val="none"/>
              </w:rPr>
            </w:pPr>
          </w:p>
        </w:tc>
        <w:tc>
          <w:tcPr>
            <w:tcW w:w="1134" w:type="dxa"/>
            <w:vMerge w:val="continue"/>
            <w:shd w:val="clear" w:color="auto" w:fill="FFFFFF"/>
            <w:vAlign w:val="center"/>
          </w:tcPr>
          <w:p w14:paraId="0A53AD82">
            <w:pPr>
              <w:widowControl/>
              <w:spacing w:line="276" w:lineRule="auto"/>
              <w:jc w:val="center"/>
              <w:rPr>
                <w:rFonts w:hint="default" w:ascii="宋体" w:hAnsi="宋体" w:cs="宋体"/>
                <w:color w:val="auto"/>
                <w:w w:val="90"/>
                <w:kern w:val="0"/>
                <w:sz w:val="22"/>
                <w:szCs w:val="22"/>
                <w:highlight w:val="none"/>
              </w:rPr>
            </w:pPr>
          </w:p>
        </w:tc>
        <w:tc>
          <w:tcPr>
            <w:tcW w:w="1347" w:type="dxa"/>
            <w:vMerge w:val="continue"/>
            <w:shd w:val="clear" w:color="auto" w:fill="FFFFFF"/>
            <w:vAlign w:val="center"/>
          </w:tcPr>
          <w:p w14:paraId="2FDE82F9">
            <w:pPr>
              <w:widowControl/>
              <w:spacing w:line="276" w:lineRule="auto"/>
              <w:jc w:val="center"/>
              <w:rPr>
                <w:rFonts w:hint="default" w:ascii="宋体" w:hAnsi="宋体" w:cs="宋体"/>
                <w:color w:val="auto"/>
                <w:w w:val="90"/>
                <w:kern w:val="0"/>
                <w:sz w:val="22"/>
                <w:szCs w:val="22"/>
                <w:highlight w:val="none"/>
              </w:rPr>
            </w:pPr>
          </w:p>
        </w:tc>
        <w:tc>
          <w:tcPr>
            <w:tcW w:w="1402" w:type="dxa"/>
            <w:shd w:val="clear" w:color="auto" w:fill="FFFFFF"/>
            <w:tcMar>
              <w:left w:w="108" w:type="dxa"/>
              <w:right w:w="108" w:type="dxa"/>
            </w:tcMar>
            <w:vAlign w:val="center"/>
          </w:tcPr>
          <w:p w14:paraId="5D875E83">
            <w:pPr>
              <w:widowControl/>
              <w:spacing w:line="276" w:lineRule="auto"/>
              <w:jc w:val="center"/>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A02052309</w:t>
            </w:r>
          </w:p>
        </w:tc>
        <w:tc>
          <w:tcPr>
            <w:tcW w:w="2070" w:type="dxa"/>
            <w:shd w:val="clear" w:color="auto" w:fill="FFFFFF"/>
            <w:tcMar>
              <w:top w:w="0" w:type="dxa"/>
              <w:left w:w="0" w:type="dxa"/>
              <w:bottom w:w="0" w:type="dxa"/>
              <w:right w:w="0" w:type="dxa"/>
            </w:tcMar>
            <w:vAlign w:val="center"/>
          </w:tcPr>
          <w:p w14:paraId="4CDD0AD0">
            <w:pPr>
              <w:widowControl/>
              <w:spacing w:line="276" w:lineRule="auto"/>
              <w:jc w:val="center"/>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专用制冷、空调设备</w:t>
            </w:r>
          </w:p>
        </w:tc>
        <w:tc>
          <w:tcPr>
            <w:tcW w:w="3261" w:type="dxa"/>
            <w:vMerge w:val="continue"/>
            <w:shd w:val="clear" w:color="auto" w:fill="FFFFFF"/>
            <w:tcMar>
              <w:top w:w="0" w:type="dxa"/>
              <w:bottom w:w="0" w:type="dxa"/>
            </w:tcMar>
            <w:vAlign w:val="center"/>
          </w:tcPr>
          <w:p w14:paraId="3DD234A5">
            <w:pPr>
              <w:widowControl/>
              <w:spacing w:line="276" w:lineRule="auto"/>
              <w:jc w:val="left"/>
              <w:rPr>
                <w:rFonts w:hint="default" w:ascii="宋体" w:hAnsi="宋体" w:cs="宋体"/>
                <w:color w:val="auto"/>
                <w:w w:val="90"/>
                <w:kern w:val="0"/>
                <w:sz w:val="22"/>
                <w:szCs w:val="22"/>
                <w:highlight w:val="none"/>
              </w:rPr>
            </w:pPr>
          </w:p>
        </w:tc>
      </w:tr>
      <w:tr w14:paraId="565A73A2">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27" w:type="dxa"/>
            <w:left w:w="27" w:type="dxa"/>
            <w:bottom w:w="27" w:type="dxa"/>
            <w:right w:w="27" w:type="dxa"/>
          </w:tblCellMar>
        </w:tblPrEx>
        <w:trPr>
          <w:trHeight w:val="454" w:hRule="atLeast"/>
          <w:jc w:val="center"/>
        </w:trPr>
        <w:tc>
          <w:tcPr>
            <w:tcW w:w="568" w:type="dxa"/>
            <w:vMerge w:val="continue"/>
            <w:shd w:val="clear" w:color="auto" w:fill="FFFFFF"/>
            <w:vAlign w:val="center"/>
          </w:tcPr>
          <w:p w14:paraId="1C67C5C1">
            <w:pPr>
              <w:widowControl/>
              <w:spacing w:line="276" w:lineRule="auto"/>
              <w:jc w:val="center"/>
              <w:rPr>
                <w:rFonts w:hint="default" w:ascii="宋体" w:hAnsi="宋体" w:cs="宋体"/>
                <w:color w:val="auto"/>
                <w:w w:val="90"/>
                <w:kern w:val="0"/>
                <w:sz w:val="22"/>
                <w:szCs w:val="22"/>
                <w:highlight w:val="none"/>
              </w:rPr>
            </w:pPr>
          </w:p>
        </w:tc>
        <w:tc>
          <w:tcPr>
            <w:tcW w:w="1134" w:type="dxa"/>
            <w:vMerge w:val="continue"/>
            <w:shd w:val="clear" w:color="auto" w:fill="FFFFFF"/>
            <w:vAlign w:val="center"/>
          </w:tcPr>
          <w:p w14:paraId="4581EAAD">
            <w:pPr>
              <w:widowControl/>
              <w:spacing w:line="276" w:lineRule="auto"/>
              <w:jc w:val="center"/>
              <w:rPr>
                <w:rFonts w:hint="default" w:ascii="宋体" w:hAnsi="宋体" w:cs="宋体"/>
                <w:color w:val="auto"/>
                <w:w w:val="90"/>
                <w:kern w:val="0"/>
                <w:sz w:val="22"/>
                <w:szCs w:val="22"/>
                <w:highlight w:val="none"/>
              </w:rPr>
            </w:pPr>
          </w:p>
        </w:tc>
        <w:tc>
          <w:tcPr>
            <w:tcW w:w="1347" w:type="dxa"/>
            <w:vMerge w:val="continue"/>
            <w:shd w:val="clear" w:color="auto" w:fill="FFFFFF"/>
            <w:vAlign w:val="center"/>
          </w:tcPr>
          <w:p w14:paraId="1495056F">
            <w:pPr>
              <w:widowControl/>
              <w:spacing w:line="276" w:lineRule="auto"/>
              <w:jc w:val="center"/>
              <w:rPr>
                <w:rFonts w:hint="default" w:ascii="宋体" w:hAnsi="宋体" w:cs="宋体"/>
                <w:color w:val="auto"/>
                <w:w w:val="90"/>
                <w:kern w:val="0"/>
                <w:sz w:val="22"/>
                <w:szCs w:val="22"/>
                <w:highlight w:val="none"/>
              </w:rPr>
            </w:pPr>
          </w:p>
        </w:tc>
        <w:tc>
          <w:tcPr>
            <w:tcW w:w="1402" w:type="dxa"/>
            <w:shd w:val="clear" w:color="auto" w:fill="FFFFFF"/>
            <w:tcMar>
              <w:left w:w="108" w:type="dxa"/>
              <w:right w:w="108" w:type="dxa"/>
            </w:tcMar>
            <w:vAlign w:val="center"/>
          </w:tcPr>
          <w:p w14:paraId="34F4D2CA">
            <w:pPr>
              <w:widowControl/>
              <w:spacing w:line="276" w:lineRule="auto"/>
              <w:jc w:val="center"/>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A02052399</w:t>
            </w:r>
          </w:p>
        </w:tc>
        <w:tc>
          <w:tcPr>
            <w:tcW w:w="2070" w:type="dxa"/>
            <w:shd w:val="clear" w:color="auto" w:fill="FFFFFF"/>
            <w:tcMar>
              <w:top w:w="0" w:type="dxa"/>
              <w:left w:w="0" w:type="dxa"/>
              <w:bottom w:w="0" w:type="dxa"/>
              <w:right w:w="0" w:type="dxa"/>
            </w:tcMar>
            <w:vAlign w:val="center"/>
          </w:tcPr>
          <w:p w14:paraId="4F9C3668">
            <w:pPr>
              <w:widowControl/>
              <w:spacing w:line="276" w:lineRule="auto"/>
              <w:jc w:val="center"/>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其他制冷空调设备</w:t>
            </w:r>
          </w:p>
        </w:tc>
        <w:tc>
          <w:tcPr>
            <w:tcW w:w="3261" w:type="dxa"/>
            <w:vMerge w:val="continue"/>
            <w:shd w:val="clear" w:color="auto" w:fill="FFFFFF"/>
            <w:tcMar>
              <w:top w:w="0" w:type="dxa"/>
              <w:bottom w:w="0" w:type="dxa"/>
            </w:tcMar>
            <w:vAlign w:val="center"/>
          </w:tcPr>
          <w:p w14:paraId="7B7D007E">
            <w:pPr>
              <w:widowControl/>
              <w:spacing w:line="276" w:lineRule="auto"/>
              <w:jc w:val="left"/>
              <w:rPr>
                <w:rFonts w:hint="default" w:ascii="宋体" w:hAnsi="宋体" w:cs="宋体"/>
                <w:color w:val="auto"/>
                <w:w w:val="90"/>
                <w:kern w:val="0"/>
                <w:sz w:val="22"/>
                <w:szCs w:val="22"/>
                <w:highlight w:val="none"/>
              </w:rPr>
            </w:pPr>
          </w:p>
        </w:tc>
      </w:tr>
      <w:tr w14:paraId="583F97D7">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27" w:type="dxa"/>
            <w:left w:w="27" w:type="dxa"/>
            <w:bottom w:w="27" w:type="dxa"/>
            <w:right w:w="27" w:type="dxa"/>
          </w:tblCellMar>
        </w:tblPrEx>
        <w:trPr>
          <w:trHeight w:val="454" w:hRule="atLeast"/>
          <w:jc w:val="center"/>
        </w:trPr>
        <w:tc>
          <w:tcPr>
            <w:tcW w:w="568" w:type="dxa"/>
            <w:shd w:val="clear" w:color="auto" w:fill="FFFFFF"/>
            <w:tcMar>
              <w:top w:w="0" w:type="dxa"/>
              <w:left w:w="108" w:type="dxa"/>
              <w:bottom w:w="0" w:type="dxa"/>
              <w:right w:w="108" w:type="dxa"/>
            </w:tcMar>
            <w:vAlign w:val="center"/>
          </w:tcPr>
          <w:p w14:paraId="1B3CAD36">
            <w:pPr>
              <w:widowControl/>
              <w:spacing w:line="276" w:lineRule="auto"/>
              <w:jc w:val="center"/>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7</w:t>
            </w:r>
          </w:p>
        </w:tc>
        <w:tc>
          <w:tcPr>
            <w:tcW w:w="1134" w:type="dxa"/>
            <w:shd w:val="clear" w:color="auto" w:fill="FFFFFF"/>
            <w:tcMar>
              <w:top w:w="0" w:type="dxa"/>
              <w:left w:w="108" w:type="dxa"/>
              <w:bottom w:w="0" w:type="dxa"/>
              <w:right w:w="108" w:type="dxa"/>
            </w:tcMar>
            <w:vAlign w:val="center"/>
          </w:tcPr>
          <w:p w14:paraId="5943027C">
            <w:pPr>
              <w:widowControl/>
              <w:spacing w:line="276" w:lineRule="auto"/>
              <w:jc w:val="center"/>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A020601</w:t>
            </w:r>
          </w:p>
        </w:tc>
        <w:tc>
          <w:tcPr>
            <w:tcW w:w="1347" w:type="dxa"/>
            <w:shd w:val="clear" w:color="auto" w:fill="FFFFFF"/>
            <w:tcMar>
              <w:top w:w="0" w:type="dxa"/>
              <w:left w:w="108" w:type="dxa"/>
              <w:bottom w:w="0" w:type="dxa"/>
              <w:right w:w="108" w:type="dxa"/>
            </w:tcMar>
            <w:vAlign w:val="center"/>
          </w:tcPr>
          <w:p w14:paraId="5BF74531">
            <w:pPr>
              <w:widowControl/>
              <w:spacing w:line="276" w:lineRule="auto"/>
              <w:jc w:val="center"/>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电机</w:t>
            </w:r>
          </w:p>
        </w:tc>
        <w:tc>
          <w:tcPr>
            <w:tcW w:w="1402" w:type="dxa"/>
            <w:shd w:val="clear" w:color="auto" w:fill="FFFFFF"/>
            <w:tcMar>
              <w:top w:w="0" w:type="dxa"/>
              <w:left w:w="108" w:type="dxa"/>
              <w:bottom w:w="0" w:type="dxa"/>
              <w:right w:w="108" w:type="dxa"/>
            </w:tcMar>
            <w:vAlign w:val="center"/>
          </w:tcPr>
          <w:p w14:paraId="0BDD7107">
            <w:pPr>
              <w:widowControl/>
              <w:spacing w:line="276" w:lineRule="auto"/>
              <w:jc w:val="center"/>
              <w:textAlignment w:val="baseline"/>
              <w:rPr>
                <w:rFonts w:hint="default" w:ascii="宋体" w:hAnsi="宋体" w:cs="宋体"/>
                <w:color w:val="auto"/>
                <w:w w:val="90"/>
                <w:kern w:val="0"/>
                <w:sz w:val="22"/>
                <w:szCs w:val="22"/>
                <w:highlight w:val="none"/>
              </w:rPr>
            </w:pPr>
          </w:p>
        </w:tc>
        <w:tc>
          <w:tcPr>
            <w:tcW w:w="2070" w:type="dxa"/>
            <w:shd w:val="clear" w:color="auto" w:fill="FFFFFF"/>
            <w:tcMar>
              <w:top w:w="0" w:type="dxa"/>
              <w:left w:w="108" w:type="dxa"/>
              <w:bottom w:w="0" w:type="dxa"/>
              <w:right w:w="108" w:type="dxa"/>
            </w:tcMar>
            <w:vAlign w:val="center"/>
          </w:tcPr>
          <w:p w14:paraId="34B54B74">
            <w:pPr>
              <w:widowControl/>
              <w:spacing w:line="276" w:lineRule="auto"/>
              <w:jc w:val="center"/>
              <w:textAlignment w:val="baseline"/>
              <w:rPr>
                <w:rFonts w:hint="default" w:ascii="宋体" w:hAnsi="宋体" w:cs="宋体"/>
                <w:color w:val="auto"/>
                <w:w w:val="90"/>
                <w:kern w:val="0"/>
                <w:sz w:val="22"/>
                <w:szCs w:val="22"/>
                <w:highlight w:val="none"/>
              </w:rPr>
            </w:pPr>
          </w:p>
        </w:tc>
        <w:tc>
          <w:tcPr>
            <w:tcW w:w="3261" w:type="dxa"/>
            <w:shd w:val="clear" w:color="auto" w:fill="FFFFFF"/>
            <w:tcMar>
              <w:top w:w="0" w:type="dxa"/>
              <w:left w:w="108" w:type="dxa"/>
              <w:bottom w:w="0" w:type="dxa"/>
              <w:right w:w="108" w:type="dxa"/>
            </w:tcMar>
            <w:vAlign w:val="center"/>
          </w:tcPr>
          <w:p w14:paraId="218F8DF7">
            <w:pPr>
              <w:widowControl/>
              <w:spacing w:line="276" w:lineRule="auto"/>
              <w:jc w:val="left"/>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中国质量认证中心</w:t>
            </w:r>
          </w:p>
          <w:p w14:paraId="75B51836">
            <w:pPr>
              <w:widowControl/>
              <w:spacing w:line="276" w:lineRule="auto"/>
              <w:jc w:val="left"/>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威凯认证检测有限公司</w:t>
            </w:r>
          </w:p>
          <w:p w14:paraId="057EE893">
            <w:pPr>
              <w:widowControl/>
              <w:spacing w:line="276" w:lineRule="auto"/>
              <w:jc w:val="left"/>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电能（北京）认证中心有限公司</w:t>
            </w:r>
          </w:p>
          <w:p w14:paraId="4DBBA139">
            <w:pPr>
              <w:widowControl/>
              <w:spacing w:line="276" w:lineRule="auto"/>
              <w:jc w:val="left"/>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中国船级社质量认证公司</w:t>
            </w:r>
          </w:p>
        </w:tc>
      </w:tr>
      <w:tr w14:paraId="43A75230">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27" w:type="dxa"/>
            <w:left w:w="27" w:type="dxa"/>
            <w:bottom w:w="27" w:type="dxa"/>
            <w:right w:w="27" w:type="dxa"/>
          </w:tblCellMar>
        </w:tblPrEx>
        <w:trPr>
          <w:trHeight w:val="454" w:hRule="atLeast"/>
          <w:jc w:val="center"/>
        </w:trPr>
        <w:tc>
          <w:tcPr>
            <w:tcW w:w="568" w:type="dxa"/>
            <w:shd w:val="clear" w:color="auto" w:fill="FFFFFF"/>
            <w:tcMar>
              <w:top w:w="0" w:type="dxa"/>
              <w:left w:w="108" w:type="dxa"/>
              <w:bottom w:w="0" w:type="dxa"/>
              <w:right w:w="108" w:type="dxa"/>
            </w:tcMar>
            <w:vAlign w:val="center"/>
          </w:tcPr>
          <w:p w14:paraId="45830653">
            <w:pPr>
              <w:widowControl/>
              <w:spacing w:line="276" w:lineRule="auto"/>
              <w:jc w:val="center"/>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8</w:t>
            </w:r>
          </w:p>
        </w:tc>
        <w:tc>
          <w:tcPr>
            <w:tcW w:w="1134" w:type="dxa"/>
            <w:shd w:val="clear" w:color="auto" w:fill="FFFFFF"/>
            <w:tcMar>
              <w:top w:w="0" w:type="dxa"/>
              <w:left w:w="108" w:type="dxa"/>
              <w:bottom w:w="0" w:type="dxa"/>
              <w:right w:w="108" w:type="dxa"/>
            </w:tcMar>
            <w:vAlign w:val="center"/>
          </w:tcPr>
          <w:p w14:paraId="52BF1888">
            <w:pPr>
              <w:widowControl/>
              <w:spacing w:line="276" w:lineRule="auto"/>
              <w:jc w:val="center"/>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A020602</w:t>
            </w:r>
          </w:p>
        </w:tc>
        <w:tc>
          <w:tcPr>
            <w:tcW w:w="1347" w:type="dxa"/>
            <w:shd w:val="clear" w:color="auto" w:fill="FFFFFF"/>
            <w:tcMar>
              <w:top w:w="0" w:type="dxa"/>
              <w:left w:w="108" w:type="dxa"/>
              <w:bottom w:w="0" w:type="dxa"/>
              <w:right w:w="108" w:type="dxa"/>
            </w:tcMar>
            <w:vAlign w:val="center"/>
          </w:tcPr>
          <w:p w14:paraId="025643CF">
            <w:pPr>
              <w:widowControl/>
              <w:spacing w:line="276" w:lineRule="auto"/>
              <w:jc w:val="center"/>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变压器</w:t>
            </w:r>
          </w:p>
        </w:tc>
        <w:tc>
          <w:tcPr>
            <w:tcW w:w="1402" w:type="dxa"/>
            <w:shd w:val="clear" w:color="auto" w:fill="FFFFFF"/>
            <w:tcMar>
              <w:top w:w="0" w:type="dxa"/>
              <w:left w:w="108" w:type="dxa"/>
              <w:bottom w:w="0" w:type="dxa"/>
              <w:right w:w="108" w:type="dxa"/>
            </w:tcMar>
            <w:vAlign w:val="center"/>
          </w:tcPr>
          <w:p w14:paraId="340F37B8">
            <w:pPr>
              <w:widowControl/>
              <w:spacing w:line="276" w:lineRule="auto"/>
              <w:jc w:val="center"/>
              <w:textAlignment w:val="baseline"/>
              <w:rPr>
                <w:rFonts w:hint="default" w:ascii="宋体" w:hAnsi="宋体" w:cs="宋体"/>
                <w:color w:val="auto"/>
                <w:w w:val="90"/>
                <w:kern w:val="0"/>
                <w:sz w:val="22"/>
                <w:szCs w:val="22"/>
                <w:highlight w:val="none"/>
              </w:rPr>
            </w:pPr>
          </w:p>
        </w:tc>
        <w:tc>
          <w:tcPr>
            <w:tcW w:w="2070" w:type="dxa"/>
            <w:shd w:val="clear" w:color="auto" w:fill="FFFFFF"/>
            <w:tcMar>
              <w:top w:w="0" w:type="dxa"/>
              <w:left w:w="108" w:type="dxa"/>
              <w:bottom w:w="0" w:type="dxa"/>
              <w:right w:w="108" w:type="dxa"/>
            </w:tcMar>
            <w:vAlign w:val="center"/>
          </w:tcPr>
          <w:p w14:paraId="0660C8CB">
            <w:pPr>
              <w:widowControl/>
              <w:spacing w:line="276" w:lineRule="auto"/>
              <w:jc w:val="center"/>
              <w:textAlignment w:val="baseline"/>
              <w:rPr>
                <w:rFonts w:hint="default" w:ascii="宋体" w:hAnsi="宋体" w:cs="宋体"/>
                <w:color w:val="auto"/>
                <w:w w:val="90"/>
                <w:kern w:val="0"/>
                <w:sz w:val="22"/>
                <w:szCs w:val="22"/>
                <w:highlight w:val="none"/>
              </w:rPr>
            </w:pPr>
          </w:p>
        </w:tc>
        <w:tc>
          <w:tcPr>
            <w:tcW w:w="3261" w:type="dxa"/>
            <w:shd w:val="clear" w:color="auto" w:fill="FFFFFF"/>
            <w:tcMar>
              <w:top w:w="0" w:type="dxa"/>
              <w:left w:w="108" w:type="dxa"/>
              <w:bottom w:w="0" w:type="dxa"/>
              <w:right w:w="108" w:type="dxa"/>
            </w:tcMar>
            <w:vAlign w:val="center"/>
          </w:tcPr>
          <w:p w14:paraId="501F37B7">
            <w:pPr>
              <w:widowControl/>
              <w:spacing w:line="276" w:lineRule="auto"/>
              <w:jc w:val="left"/>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中国质量认证中心</w:t>
            </w:r>
          </w:p>
          <w:p w14:paraId="6F76B3D1">
            <w:pPr>
              <w:widowControl/>
              <w:spacing w:line="276" w:lineRule="auto"/>
              <w:jc w:val="left"/>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电能（北京）认证中心有限公司</w:t>
            </w:r>
          </w:p>
          <w:p w14:paraId="18BCF182">
            <w:pPr>
              <w:widowControl/>
              <w:spacing w:line="276" w:lineRule="auto"/>
              <w:jc w:val="left"/>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方圆标志认证集团有限公司</w:t>
            </w:r>
          </w:p>
        </w:tc>
      </w:tr>
      <w:tr w14:paraId="29175399">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27" w:type="dxa"/>
            <w:left w:w="27" w:type="dxa"/>
            <w:bottom w:w="27" w:type="dxa"/>
            <w:right w:w="27" w:type="dxa"/>
          </w:tblCellMar>
        </w:tblPrEx>
        <w:trPr>
          <w:trHeight w:val="454" w:hRule="atLeast"/>
          <w:jc w:val="center"/>
        </w:trPr>
        <w:tc>
          <w:tcPr>
            <w:tcW w:w="568" w:type="dxa"/>
            <w:shd w:val="clear" w:color="auto" w:fill="FFFFFF"/>
            <w:tcMar>
              <w:top w:w="0" w:type="dxa"/>
              <w:left w:w="108" w:type="dxa"/>
              <w:bottom w:w="0" w:type="dxa"/>
              <w:right w:w="108" w:type="dxa"/>
            </w:tcMar>
            <w:vAlign w:val="center"/>
          </w:tcPr>
          <w:p w14:paraId="78D11210">
            <w:pPr>
              <w:widowControl/>
              <w:spacing w:line="276" w:lineRule="auto"/>
              <w:jc w:val="center"/>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9</w:t>
            </w:r>
          </w:p>
        </w:tc>
        <w:tc>
          <w:tcPr>
            <w:tcW w:w="1134" w:type="dxa"/>
            <w:shd w:val="clear" w:color="auto" w:fill="FFFFFF"/>
            <w:tcMar>
              <w:top w:w="0" w:type="dxa"/>
              <w:left w:w="108" w:type="dxa"/>
              <w:bottom w:w="0" w:type="dxa"/>
              <w:right w:w="108" w:type="dxa"/>
            </w:tcMar>
            <w:vAlign w:val="center"/>
          </w:tcPr>
          <w:p w14:paraId="44F59C5B">
            <w:pPr>
              <w:widowControl/>
              <w:spacing w:line="276" w:lineRule="auto"/>
              <w:jc w:val="center"/>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A020609</w:t>
            </w:r>
          </w:p>
        </w:tc>
        <w:tc>
          <w:tcPr>
            <w:tcW w:w="1347" w:type="dxa"/>
            <w:shd w:val="clear" w:color="auto" w:fill="FFFFFF"/>
            <w:tcMar>
              <w:top w:w="0" w:type="dxa"/>
              <w:left w:w="108" w:type="dxa"/>
              <w:bottom w:w="0" w:type="dxa"/>
              <w:right w:w="108" w:type="dxa"/>
            </w:tcMar>
            <w:vAlign w:val="center"/>
          </w:tcPr>
          <w:p w14:paraId="3234F6B6">
            <w:pPr>
              <w:widowControl/>
              <w:spacing w:line="276" w:lineRule="auto"/>
              <w:jc w:val="center"/>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镇流器</w:t>
            </w:r>
          </w:p>
        </w:tc>
        <w:tc>
          <w:tcPr>
            <w:tcW w:w="1402" w:type="dxa"/>
            <w:shd w:val="clear" w:color="auto" w:fill="FFFFFF"/>
            <w:tcMar>
              <w:top w:w="0" w:type="dxa"/>
              <w:left w:w="108" w:type="dxa"/>
              <w:bottom w:w="0" w:type="dxa"/>
              <w:right w:w="108" w:type="dxa"/>
            </w:tcMar>
            <w:vAlign w:val="center"/>
          </w:tcPr>
          <w:p w14:paraId="5728AC76">
            <w:pPr>
              <w:widowControl/>
              <w:spacing w:line="276" w:lineRule="auto"/>
              <w:jc w:val="center"/>
              <w:textAlignment w:val="baseline"/>
              <w:rPr>
                <w:rFonts w:hint="default" w:ascii="宋体" w:hAnsi="宋体" w:cs="宋体"/>
                <w:color w:val="auto"/>
                <w:w w:val="90"/>
                <w:kern w:val="0"/>
                <w:sz w:val="22"/>
                <w:szCs w:val="22"/>
                <w:highlight w:val="none"/>
              </w:rPr>
            </w:pPr>
          </w:p>
        </w:tc>
        <w:tc>
          <w:tcPr>
            <w:tcW w:w="2070" w:type="dxa"/>
            <w:shd w:val="clear" w:color="auto" w:fill="FFFFFF"/>
            <w:tcMar>
              <w:top w:w="0" w:type="dxa"/>
              <w:left w:w="108" w:type="dxa"/>
              <w:bottom w:w="0" w:type="dxa"/>
              <w:right w:w="108" w:type="dxa"/>
            </w:tcMar>
            <w:vAlign w:val="center"/>
          </w:tcPr>
          <w:p w14:paraId="06F56CFB">
            <w:pPr>
              <w:widowControl/>
              <w:spacing w:line="276" w:lineRule="auto"/>
              <w:jc w:val="center"/>
              <w:textAlignment w:val="baseline"/>
              <w:rPr>
                <w:rFonts w:hint="default" w:ascii="宋体" w:hAnsi="宋体" w:cs="宋体"/>
                <w:color w:val="auto"/>
                <w:w w:val="90"/>
                <w:kern w:val="0"/>
                <w:sz w:val="22"/>
                <w:szCs w:val="22"/>
                <w:highlight w:val="none"/>
              </w:rPr>
            </w:pPr>
          </w:p>
        </w:tc>
        <w:tc>
          <w:tcPr>
            <w:tcW w:w="3261" w:type="dxa"/>
            <w:shd w:val="clear" w:color="auto" w:fill="FFFFFF"/>
            <w:tcMar>
              <w:top w:w="0" w:type="dxa"/>
              <w:left w:w="108" w:type="dxa"/>
              <w:bottom w:w="0" w:type="dxa"/>
              <w:right w:w="108" w:type="dxa"/>
            </w:tcMar>
            <w:vAlign w:val="center"/>
          </w:tcPr>
          <w:p w14:paraId="7DA60C63">
            <w:pPr>
              <w:widowControl/>
              <w:spacing w:line="276" w:lineRule="auto"/>
              <w:jc w:val="left"/>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中国质量认证中心</w:t>
            </w:r>
          </w:p>
          <w:p w14:paraId="6A75714B">
            <w:pPr>
              <w:widowControl/>
              <w:spacing w:line="276" w:lineRule="auto"/>
              <w:jc w:val="left"/>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深圳市计量质量检测研究院</w:t>
            </w:r>
          </w:p>
          <w:p w14:paraId="30FA1C72">
            <w:pPr>
              <w:widowControl/>
              <w:spacing w:line="276" w:lineRule="auto"/>
              <w:jc w:val="left"/>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中标合信（北京）认证有限公司</w:t>
            </w:r>
          </w:p>
        </w:tc>
      </w:tr>
      <w:tr w14:paraId="2B77E663">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27" w:type="dxa"/>
            <w:left w:w="27" w:type="dxa"/>
            <w:bottom w:w="27" w:type="dxa"/>
            <w:right w:w="27" w:type="dxa"/>
          </w:tblCellMar>
        </w:tblPrEx>
        <w:trPr>
          <w:trHeight w:val="454" w:hRule="atLeast"/>
          <w:jc w:val="center"/>
        </w:trPr>
        <w:tc>
          <w:tcPr>
            <w:tcW w:w="568" w:type="dxa"/>
            <w:vMerge w:val="restart"/>
            <w:shd w:val="clear" w:color="auto" w:fill="FFFFFF"/>
            <w:tcMar>
              <w:top w:w="0" w:type="dxa"/>
              <w:left w:w="108" w:type="dxa"/>
              <w:bottom w:w="0" w:type="dxa"/>
              <w:right w:w="108" w:type="dxa"/>
            </w:tcMar>
            <w:vAlign w:val="center"/>
          </w:tcPr>
          <w:p w14:paraId="3EAF3012">
            <w:pPr>
              <w:widowControl/>
              <w:spacing w:line="276" w:lineRule="auto"/>
              <w:jc w:val="center"/>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10</w:t>
            </w:r>
          </w:p>
        </w:tc>
        <w:tc>
          <w:tcPr>
            <w:tcW w:w="1134" w:type="dxa"/>
            <w:vMerge w:val="restart"/>
            <w:shd w:val="clear" w:color="auto" w:fill="FFFFFF"/>
            <w:tcMar>
              <w:top w:w="0" w:type="dxa"/>
              <w:left w:w="108" w:type="dxa"/>
              <w:bottom w:w="0" w:type="dxa"/>
              <w:right w:w="108" w:type="dxa"/>
            </w:tcMar>
            <w:vAlign w:val="center"/>
          </w:tcPr>
          <w:p w14:paraId="1C44A87A">
            <w:pPr>
              <w:widowControl/>
              <w:spacing w:line="276" w:lineRule="auto"/>
              <w:jc w:val="center"/>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A020618</w:t>
            </w:r>
          </w:p>
        </w:tc>
        <w:tc>
          <w:tcPr>
            <w:tcW w:w="1347" w:type="dxa"/>
            <w:vMerge w:val="restart"/>
            <w:shd w:val="clear" w:color="auto" w:fill="FFFFFF"/>
            <w:tcMar>
              <w:top w:w="0" w:type="dxa"/>
              <w:left w:w="108" w:type="dxa"/>
              <w:bottom w:w="0" w:type="dxa"/>
              <w:right w:w="108" w:type="dxa"/>
            </w:tcMar>
            <w:vAlign w:val="center"/>
          </w:tcPr>
          <w:p w14:paraId="3751F9DE">
            <w:pPr>
              <w:widowControl/>
              <w:spacing w:line="276" w:lineRule="auto"/>
              <w:jc w:val="center"/>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生活用电器</w:t>
            </w:r>
          </w:p>
        </w:tc>
        <w:tc>
          <w:tcPr>
            <w:tcW w:w="1402" w:type="dxa"/>
            <w:shd w:val="clear" w:color="auto" w:fill="FFFFFF"/>
            <w:tcMar>
              <w:top w:w="0" w:type="dxa"/>
              <w:left w:w="108" w:type="dxa"/>
              <w:bottom w:w="0" w:type="dxa"/>
              <w:right w:w="108" w:type="dxa"/>
            </w:tcMar>
            <w:vAlign w:val="center"/>
          </w:tcPr>
          <w:p w14:paraId="44A5E925">
            <w:pPr>
              <w:widowControl/>
              <w:spacing w:line="276" w:lineRule="auto"/>
              <w:jc w:val="center"/>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A0206180101</w:t>
            </w:r>
          </w:p>
        </w:tc>
        <w:tc>
          <w:tcPr>
            <w:tcW w:w="2070" w:type="dxa"/>
            <w:shd w:val="clear" w:color="auto" w:fill="FFFFFF"/>
            <w:tcMar>
              <w:top w:w="0" w:type="dxa"/>
              <w:left w:w="108" w:type="dxa"/>
              <w:bottom w:w="0" w:type="dxa"/>
              <w:right w:w="108" w:type="dxa"/>
            </w:tcMar>
            <w:vAlign w:val="center"/>
          </w:tcPr>
          <w:p w14:paraId="5CDF8E6D">
            <w:pPr>
              <w:widowControl/>
              <w:spacing w:line="276" w:lineRule="auto"/>
              <w:jc w:val="center"/>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电冰箱</w:t>
            </w:r>
          </w:p>
        </w:tc>
        <w:tc>
          <w:tcPr>
            <w:tcW w:w="3261" w:type="dxa"/>
            <w:shd w:val="clear" w:color="auto" w:fill="FFFFFF"/>
            <w:tcMar>
              <w:top w:w="0" w:type="dxa"/>
              <w:left w:w="108" w:type="dxa"/>
              <w:bottom w:w="0" w:type="dxa"/>
              <w:right w:w="108" w:type="dxa"/>
            </w:tcMar>
            <w:vAlign w:val="center"/>
          </w:tcPr>
          <w:p w14:paraId="79CD0136">
            <w:pPr>
              <w:widowControl/>
              <w:spacing w:line="276" w:lineRule="auto"/>
              <w:jc w:val="left"/>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中国质量认证中心</w:t>
            </w:r>
          </w:p>
          <w:p w14:paraId="3A0EFC9D">
            <w:pPr>
              <w:widowControl/>
              <w:spacing w:line="276" w:lineRule="auto"/>
              <w:jc w:val="left"/>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威凯认证检测有限公司</w:t>
            </w:r>
          </w:p>
          <w:p w14:paraId="2A92D984">
            <w:pPr>
              <w:widowControl/>
              <w:spacing w:line="276" w:lineRule="auto"/>
              <w:jc w:val="left"/>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中家院（北京）检测认证有限公司</w:t>
            </w:r>
          </w:p>
        </w:tc>
      </w:tr>
      <w:tr w14:paraId="44D46EEB">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27" w:type="dxa"/>
            <w:left w:w="27" w:type="dxa"/>
            <w:bottom w:w="27" w:type="dxa"/>
            <w:right w:w="27" w:type="dxa"/>
          </w:tblCellMar>
        </w:tblPrEx>
        <w:trPr>
          <w:trHeight w:val="454" w:hRule="atLeast"/>
          <w:jc w:val="center"/>
        </w:trPr>
        <w:tc>
          <w:tcPr>
            <w:tcW w:w="568" w:type="dxa"/>
            <w:vMerge w:val="continue"/>
            <w:shd w:val="clear" w:color="auto" w:fill="FFFFFF"/>
            <w:vAlign w:val="center"/>
          </w:tcPr>
          <w:p w14:paraId="443B159F">
            <w:pPr>
              <w:widowControl/>
              <w:spacing w:line="276" w:lineRule="auto"/>
              <w:jc w:val="center"/>
              <w:rPr>
                <w:rFonts w:hint="default" w:ascii="宋体" w:hAnsi="宋体" w:cs="宋体"/>
                <w:color w:val="auto"/>
                <w:w w:val="90"/>
                <w:kern w:val="0"/>
                <w:sz w:val="22"/>
                <w:szCs w:val="22"/>
                <w:highlight w:val="none"/>
              </w:rPr>
            </w:pPr>
          </w:p>
        </w:tc>
        <w:tc>
          <w:tcPr>
            <w:tcW w:w="1134" w:type="dxa"/>
            <w:vMerge w:val="continue"/>
            <w:shd w:val="clear" w:color="auto" w:fill="FFFFFF"/>
            <w:vAlign w:val="center"/>
          </w:tcPr>
          <w:p w14:paraId="6829673F">
            <w:pPr>
              <w:widowControl/>
              <w:spacing w:line="276" w:lineRule="auto"/>
              <w:jc w:val="center"/>
              <w:rPr>
                <w:rFonts w:hint="default" w:ascii="宋体" w:hAnsi="宋体" w:cs="宋体"/>
                <w:color w:val="auto"/>
                <w:w w:val="90"/>
                <w:kern w:val="0"/>
                <w:sz w:val="22"/>
                <w:szCs w:val="22"/>
                <w:highlight w:val="none"/>
              </w:rPr>
            </w:pPr>
          </w:p>
        </w:tc>
        <w:tc>
          <w:tcPr>
            <w:tcW w:w="1347" w:type="dxa"/>
            <w:vMerge w:val="continue"/>
            <w:shd w:val="clear" w:color="auto" w:fill="FFFFFF"/>
            <w:vAlign w:val="center"/>
          </w:tcPr>
          <w:p w14:paraId="64891A40">
            <w:pPr>
              <w:widowControl/>
              <w:spacing w:line="276" w:lineRule="auto"/>
              <w:jc w:val="center"/>
              <w:rPr>
                <w:rFonts w:hint="default" w:ascii="宋体" w:hAnsi="宋体" w:cs="宋体"/>
                <w:color w:val="auto"/>
                <w:w w:val="90"/>
                <w:kern w:val="0"/>
                <w:sz w:val="22"/>
                <w:szCs w:val="22"/>
                <w:highlight w:val="none"/>
              </w:rPr>
            </w:pPr>
          </w:p>
        </w:tc>
        <w:tc>
          <w:tcPr>
            <w:tcW w:w="1402" w:type="dxa"/>
            <w:shd w:val="clear" w:color="auto" w:fill="FFFFFF"/>
            <w:tcMar>
              <w:left w:w="108" w:type="dxa"/>
              <w:right w:w="108" w:type="dxa"/>
            </w:tcMar>
            <w:vAlign w:val="center"/>
          </w:tcPr>
          <w:p w14:paraId="60D3662B">
            <w:pPr>
              <w:widowControl/>
              <w:spacing w:line="276" w:lineRule="auto"/>
              <w:jc w:val="center"/>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A0206180203</w:t>
            </w:r>
          </w:p>
        </w:tc>
        <w:tc>
          <w:tcPr>
            <w:tcW w:w="2070" w:type="dxa"/>
            <w:shd w:val="clear" w:color="auto" w:fill="FFFFFF"/>
            <w:tcMar>
              <w:top w:w="0" w:type="dxa"/>
              <w:left w:w="0" w:type="dxa"/>
              <w:bottom w:w="0" w:type="dxa"/>
              <w:right w:w="0" w:type="dxa"/>
            </w:tcMar>
            <w:vAlign w:val="center"/>
          </w:tcPr>
          <w:p w14:paraId="28CCABB1">
            <w:pPr>
              <w:widowControl/>
              <w:spacing w:line="276" w:lineRule="auto"/>
              <w:jc w:val="center"/>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空调机</w:t>
            </w:r>
          </w:p>
        </w:tc>
        <w:tc>
          <w:tcPr>
            <w:tcW w:w="3261" w:type="dxa"/>
            <w:shd w:val="clear" w:color="auto" w:fill="FFFFFF"/>
            <w:tcMar>
              <w:top w:w="0" w:type="dxa"/>
              <w:bottom w:w="0" w:type="dxa"/>
            </w:tcMar>
            <w:vAlign w:val="center"/>
          </w:tcPr>
          <w:p w14:paraId="06F86858">
            <w:pPr>
              <w:widowControl/>
              <w:spacing w:line="276" w:lineRule="auto"/>
              <w:jc w:val="left"/>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中国质量认证中心</w:t>
            </w:r>
          </w:p>
          <w:p w14:paraId="0466EE59">
            <w:pPr>
              <w:widowControl/>
              <w:spacing w:line="276" w:lineRule="auto"/>
              <w:jc w:val="left"/>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威凯认证检测有限公司</w:t>
            </w:r>
          </w:p>
          <w:p w14:paraId="665C6BC7">
            <w:pPr>
              <w:widowControl/>
              <w:spacing w:line="276" w:lineRule="auto"/>
              <w:jc w:val="left"/>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中家院（北京）检测认证有限公司</w:t>
            </w:r>
          </w:p>
          <w:p w14:paraId="7DC0AFA6">
            <w:pPr>
              <w:widowControl/>
              <w:spacing w:line="276" w:lineRule="auto"/>
              <w:jc w:val="left"/>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合肥通用机械产品认证有限公司</w:t>
            </w:r>
          </w:p>
        </w:tc>
      </w:tr>
      <w:tr w14:paraId="1B33F2B4">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27" w:type="dxa"/>
            <w:left w:w="27" w:type="dxa"/>
            <w:bottom w:w="27" w:type="dxa"/>
            <w:right w:w="27" w:type="dxa"/>
          </w:tblCellMar>
        </w:tblPrEx>
        <w:trPr>
          <w:trHeight w:val="454" w:hRule="atLeast"/>
          <w:jc w:val="center"/>
        </w:trPr>
        <w:tc>
          <w:tcPr>
            <w:tcW w:w="568" w:type="dxa"/>
            <w:vMerge w:val="continue"/>
            <w:shd w:val="clear" w:color="auto" w:fill="FFFFFF"/>
            <w:vAlign w:val="center"/>
          </w:tcPr>
          <w:p w14:paraId="016DEA52">
            <w:pPr>
              <w:widowControl/>
              <w:spacing w:line="276" w:lineRule="auto"/>
              <w:jc w:val="center"/>
              <w:rPr>
                <w:rFonts w:hint="default" w:ascii="宋体" w:hAnsi="宋体" w:cs="宋体"/>
                <w:color w:val="auto"/>
                <w:w w:val="90"/>
                <w:kern w:val="0"/>
                <w:sz w:val="22"/>
                <w:szCs w:val="22"/>
                <w:highlight w:val="none"/>
              </w:rPr>
            </w:pPr>
          </w:p>
        </w:tc>
        <w:tc>
          <w:tcPr>
            <w:tcW w:w="1134" w:type="dxa"/>
            <w:vMerge w:val="continue"/>
            <w:shd w:val="clear" w:color="auto" w:fill="FFFFFF"/>
            <w:vAlign w:val="center"/>
          </w:tcPr>
          <w:p w14:paraId="26A6F9AC">
            <w:pPr>
              <w:widowControl/>
              <w:spacing w:line="276" w:lineRule="auto"/>
              <w:jc w:val="center"/>
              <w:rPr>
                <w:rFonts w:hint="default" w:ascii="宋体" w:hAnsi="宋体" w:cs="宋体"/>
                <w:color w:val="auto"/>
                <w:w w:val="90"/>
                <w:kern w:val="0"/>
                <w:sz w:val="22"/>
                <w:szCs w:val="22"/>
                <w:highlight w:val="none"/>
              </w:rPr>
            </w:pPr>
          </w:p>
        </w:tc>
        <w:tc>
          <w:tcPr>
            <w:tcW w:w="1347" w:type="dxa"/>
            <w:vMerge w:val="continue"/>
            <w:shd w:val="clear" w:color="auto" w:fill="FFFFFF"/>
            <w:vAlign w:val="center"/>
          </w:tcPr>
          <w:p w14:paraId="1117C846">
            <w:pPr>
              <w:widowControl/>
              <w:spacing w:line="276" w:lineRule="auto"/>
              <w:jc w:val="center"/>
              <w:rPr>
                <w:rFonts w:hint="default" w:ascii="宋体" w:hAnsi="宋体" w:cs="宋体"/>
                <w:color w:val="auto"/>
                <w:w w:val="90"/>
                <w:kern w:val="0"/>
                <w:sz w:val="22"/>
                <w:szCs w:val="22"/>
                <w:highlight w:val="none"/>
              </w:rPr>
            </w:pPr>
          </w:p>
        </w:tc>
        <w:tc>
          <w:tcPr>
            <w:tcW w:w="1402" w:type="dxa"/>
            <w:shd w:val="clear" w:color="auto" w:fill="FFFFFF"/>
            <w:tcMar>
              <w:left w:w="108" w:type="dxa"/>
              <w:right w:w="108" w:type="dxa"/>
            </w:tcMar>
            <w:vAlign w:val="center"/>
          </w:tcPr>
          <w:p w14:paraId="5F055F14">
            <w:pPr>
              <w:widowControl/>
              <w:spacing w:line="276" w:lineRule="auto"/>
              <w:jc w:val="center"/>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A0206180301</w:t>
            </w:r>
          </w:p>
        </w:tc>
        <w:tc>
          <w:tcPr>
            <w:tcW w:w="2070" w:type="dxa"/>
            <w:shd w:val="clear" w:color="auto" w:fill="FFFFFF"/>
            <w:tcMar>
              <w:top w:w="0" w:type="dxa"/>
              <w:left w:w="0" w:type="dxa"/>
              <w:bottom w:w="0" w:type="dxa"/>
              <w:right w:w="0" w:type="dxa"/>
            </w:tcMar>
            <w:vAlign w:val="center"/>
          </w:tcPr>
          <w:p w14:paraId="4ED87959">
            <w:pPr>
              <w:widowControl/>
              <w:spacing w:line="276" w:lineRule="auto"/>
              <w:jc w:val="center"/>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洗衣机</w:t>
            </w:r>
          </w:p>
        </w:tc>
        <w:tc>
          <w:tcPr>
            <w:tcW w:w="3261" w:type="dxa"/>
            <w:shd w:val="clear" w:color="auto" w:fill="FFFFFF"/>
            <w:tcMar>
              <w:top w:w="0" w:type="dxa"/>
              <w:bottom w:w="0" w:type="dxa"/>
            </w:tcMar>
            <w:vAlign w:val="center"/>
          </w:tcPr>
          <w:p w14:paraId="06A83622">
            <w:pPr>
              <w:widowControl/>
              <w:spacing w:line="276" w:lineRule="auto"/>
              <w:jc w:val="left"/>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中国质量认证中心</w:t>
            </w:r>
          </w:p>
          <w:p w14:paraId="5FE2FC2D">
            <w:pPr>
              <w:widowControl/>
              <w:spacing w:line="276" w:lineRule="auto"/>
              <w:jc w:val="left"/>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威凯认证检测有限公司</w:t>
            </w:r>
          </w:p>
          <w:p w14:paraId="3B1966CB">
            <w:pPr>
              <w:widowControl/>
              <w:spacing w:line="276" w:lineRule="auto"/>
              <w:jc w:val="left"/>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中家院（北京）检测认证有限公司</w:t>
            </w:r>
          </w:p>
        </w:tc>
      </w:tr>
      <w:tr w14:paraId="0534BEB9">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27" w:type="dxa"/>
            <w:left w:w="27" w:type="dxa"/>
            <w:bottom w:w="27" w:type="dxa"/>
            <w:right w:w="27" w:type="dxa"/>
          </w:tblCellMar>
        </w:tblPrEx>
        <w:trPr>
          <w:trHeight w:val="454" w:hRule="atLeast"/>
          <w:jc w:val="center"/>
        </w:trPr>
        <w:tc>
          <w:tcPr>
            <w:tcW w:w="568" w:type="dxa"/>
            <w:vMerge w:val="continue"/>
            <w:shd w:val="clear" w:color="auto" w:fill="FFFFFF"/>
            <w:vAlign w:val="center"/>
          </w:tcPr>
          <w:p w14:paraId="0E2CBECC">
            <w:pPr>
              <w:widowControl/>
              <w:spacing w:line="276" w:lineRule="auto"/>
              <w:jc w:val="center"/>
              <w:rPr>
                <w:rFonts w:hint="default" w:ascii="宋体" w:hAnsi="宋体" w:cs="宋体"/>
                <w:color w:val="auto"/>
                <w:w w:val="90"/>
                <w:kern w:val="0"/>
                <w:sz w:val="22"/>
                <w:szCs w:val="22"/>
                <w:highlight w:val="none"/>
              </w:rPr>
            </w:pPr>
          </w:p>
        </w:tc>
        <w:tc>
          <w:tcPr>
            <w:tcW w:w="1134" w:type="dxa"/>
            <w:vMerge w:val="continue"/>
            <w:shd w:val="clear" w:color="auto" w:fill="FFFFFF"/>
            <w:vAlign w:val="center"/>
          </w:tcPr>
          <w:p w14:paraId="692BE9F8">
            <w:pPr>
              <w:widowControl/>
              <w:spacing w:line="276" w:lineRule="auto"/>
              <w:jc w:val="center"/>
              <w:rPr>
                <w:rFonts w:hint="default" w:ascii="宋体" w:hAnsi="宋体" w:cs="宋体"/>
                <w:color w:val="auto"/>
                <w:w w:val="90"/>
                <w:kern w:val="0"/>
                <w:sz w:val="22"/>
                <w:szCs w:val="22"/>
                <w:highlight w:val="none"/>
              </w:rPr>
            </w:pPr>
          </w:p>
        </w:tc>
        <w:tc>
          <w:tcPr>
            <w:tcW w:w="1347" w:type="dxa"/>
            <w:vMerge w:val="continue"/>
            <w:shd w:val="clear" w:color="auto" w:fill="FFFFFF"/>
            <w:vAlign w:val="center"/>
          </w:tcPr>
          <w:p w14:paraId="4B85E042">
            <w:pPr>
              <w:widowControl/>
              <w:spacing w:line="276" w:lineRule="auto"/>
              <w:jc w:val="center"/>
              <w:rPr>
                <w:rFonts w:hint="default" w:ascii="宋体" w:hAnsi="宋体" w:cs="宋体"/>
                <w:color w:val="auto"/>
                <w:w w:val="90"/>
                <w:kern w:val="0"/>
                <w:sz w:val="22"/>
                <w:szCs w:val="22"/>
                <w:highlight w:val="none"/>
              </w:rPr>
            </w:pPr>
          </w:p>
        </w:tc>
        <w:tc>
          <w:tcPr>
            <w:tcW w:w="1402" w:type="dxa"/>
            <w:shd w:val="clear" w:color="auto" w:fill="FFFFFF"/>
            <w:tcMar>
              <w:left w:w="108" w:type="dxa"/>
              <w:right w:w="108" w:type="dxa"/>
            </w:tcMar>
            <w:vAlign w:val="center"/>
          </w:tcPr>
          <w:p w14:paraId="0292EBDE">
            <w:pPr>
              <w:widowControl/>
              <w:spacing w:line="276" w:lineRule="auto"/>
              <w:jc w:val="center"/>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A02061808</w:t>
            </w:r>
          </w:p>
        </w:tc>
        <w:tc>
          <w:tcPr>
            <w:tcW w:w="2070" w:type="dxa"/>
            <w:shd w:val="clear" w:color="auto" w:fill="FFFFFF"/>
            <w:tcMar>
              <w:top w:w="0" w:type="dxa"/>
              <w:left w:w="0" w:type="dxa"/>
              <w:bottom w:w="0" w:type="dxa"/>
              <w:right w:w="0" w:type="dxa"/>
            </w:tcMar>
            <w:vAlign w:val="center"/>
          </w:tcPr>
          <w:p w14:paraId="0B3861C7">
            <w:pPr>
              <w:widowControl/>
              <w:spacing w:line="276" w:lineRule="auto"/>
              <w:jc w:val="center"/>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热水器</w:t>
            </w:r>
          </w:p>
        </w:tc>
        <w:tc>
          <w:tcPr>
            <w:tcW w:w="3261" w:type="dxa"/>
            <w:shd w:val="clear" w:color="auto" w:fill="FFFFFF"/>
            <w:tcMar>
              <w:top w:w="0" w:type="dxa"/>
              <w:bottom w:w="0" w:type="dxa"/>
            </w:tcMar>
            <w:vAlign w:val="center"/>
          </w:tcPr>
          <w:p w14:paraId="2EA400B5">
            <w:pPr>
              <w:widowControl/>
              <w:spacing w:line="276" w:lineRule="auto"/>
              <w:jc w:val="left"/>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中国质量认证中心</w:t>
            </w:r>
          </w:p>
          <w:p w14:paraId="5FB8B217">
            <w:pPr>
              <w:widowControl/>
              <w:spacing w:line="276" w:lineRule="auto"/>
              <w:jc w:val="left"/>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威凯认证检测有限公司</w:t>
            </w:r>
          </w:p>
          <w:p w14:paraId="2D80A487">
            <w:pPr>
              <w:widowControl/>
              <w:spacing w:line="276" w:lineRule="auto"/>
              <w:jc w:val="left"/>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中家院（北京）检测认证有限公司</w:t>
            </w:r>
          </w:p>
          <w:p w14:paraId="45E9E87A">
            <w:pPr>
              <w:widowControl/>
              <w:spacing w:line="276" w:lineRule="auto"/>
              <w:jc w:val="left"/>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合肥通用机械产品认证有限公司(范围仅限于“热泵热水器”)</w:t>
            </w:r>
          </w:p>
        </w:tc>
      </w:tr>
      <w:tr w14:paraId="2A5BDAEA">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27" w:type="dxa"/>
            <w:left w:w="27" w:type="dxa"/>
            <w:bottom w:w="27" w:type="dxa"/>
            <w:right w:w="27" w:type="dxa"/>
          </w:tblCellMar>
        </w:tblPrEx>
        <w:trPr>
          <w:trHeight w:val="454" w:hRule="atLeast"/>
          <w:jc w:val="center"/>
        </w:trPr>
        <w:tc>
          <w:tcPr>
            <w:tcW w:w="568" w:type="dxa"/>
            <w:shd w:val="clear" w:color="auto" w:fill="FFFFFF"/>
            <w:tcMar>
              <w:top w:w="0" w:type="dxa"/>
              <w:left w:w="108" w:type="dxa"/>
              <w:bottom w:w="0" w:type="dxa"/>
              <w:right w:w="108" w:type="dxa"/>
            </w:tcMar>
            <w:vAlign w:val="center"/>
          </w:tcPr>
          <w:p w14:paraId="470BD4FB">
            <w:pPr>
              <w:widowControl/>
              <w:spacing w:line="276" w:lineRule="auto"/>
              <w:jc w:val="center"/>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11</w:t>
            </w:r>
          </w:p>
        </w:tc>
        <w:tc>
          <w:tcPr>
            <w:tcW w:w="1134" w:type="dxa"/>
            <w:shd w:val="clear" w:color="auto" w:fill="FFFFFF"/>
            <w:tcMar>
              <w:top w:w="0" w:type="dxa"/>
              <w:left w:w="108" w:type="dxa"/>
              <w:bottom w:w="0" w:type="dxa"/>
              <w:right w:w="108" w:type="dxa"/>
            </w:tcMar>
            <w:vAlign w:val="center"/>
          </w:tcPr>
          <w:p w14:paraId="28B26932">
            <w:pPr>
              <w:widowControl/>
              <w:spacing w:line="276" w:lineRule="auto"/>
              <w:jc w:val="center"/>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A020619</w:t>
            </w:r>
          </w:p>
        </w:tc>
        <w:tc>
          <w:tcPr>
            <w:tcW w:w="1347" w:type="dxa"/>
            <w:shd w:val="clear" w:color="auto" w:fill="FFFFFF"/>
            <w:tcMar>
              <w:top w:w="0" w:type="dxa"/>
              <w:left w:w="108" w:type="dxa"/>
              <w:bottom w:w="0" w:type="dxa"/>
              <w:right w:w="108" w:type="dxa"/>
            </w:tcMar>
            <w:vAlign w:val="center"/>
          </w:tcPr>
          <w:p w14:paraId="0A334A0D">
            <w:pPr>
              <w:widowControl/>
              <w:spacing w:line="276" w:lineRule="auto"/>
              <w:jc w:val="center"/>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照明设备</w:t>
            </w:r>
          </w:p>
        </w:tc>
        <w:tc>
          <w:tcPr>
            <w:tcW w:w="1402" w:type="dxa"/>
            <w:shd w:val="clear" w:color="auto" w:fill="FFFFFF"/>
            <w:tcMar>
              <w:top w:w="0" w:type="dxa"/>
              <w:left w:w="108" w:type="dxa"/>
              <w:bottom w:w="0" w:type="dxa"/>
              <w:right w:w="108" w:type="dxa"/>
            </w:tcMar>
            <w:vAlign w:val="center"/>
          </w:tcPr>
          <w:p w14:paraId="729B4ED1">
            <w:pPr>
              <w:widowControl/>
              <w:spacing w:line="276" w:lineRule="auto"/>
              <w:jc w:val="center"/>
              <w:textAlignment w:val="baseline"/>
              <w:rPr>
                <w:rFonts w:hint="default" w:ascii="宋体" w:hAnsi="宋体" w:cs="宋体"/>
                <w:color w:val="auto"/>
                <w:w w:val="90"/>
                <w:kern w:val="0"/>
                <w:sz w:val="22"/>
                <w:szCs w:val="22"/>
                <w:highlight w:val="none"/>
              </w:rPr>
            </w:pPr>
          </w:p>
        </w:tc>
        <w:tc>
          <w:tcPr>
            <w:tcW w:w="2070" w:type="dxa"/>
            <w:shd w:val="clear" w:color="auto" w:fill="FFFFFF"/>
            <w:tcMar>
              <w:top w:w="0" w:type="dxa"/>
              <w:left w:w="108" w:type="dxa"/>
              <w:bottom w:w="0" w:type="dxa"/>
              <w:right w:w="108" w:type="dxa"/>
            </w:tcMar>
            <w:vAlign w:val="center"/>
          </w:tcPr>
          <w:p w14:paraId="24F9FDC7">
            <w:pPr>
              <w:widowControl/>
              <w:spacing w:line="276" w:lineRule="auto"/>
              <w:jc w:val="center"/>
              <w:textAlignment w:val="baseline"/>
              <w:rPr>
                <w:rFonts w:hint="default" w:ascii="宋体" w:hAnsi="宋体" w:cs="宋体"/>
                <w:color w:val="auto"/>
                <w:w w:val="90"/>
                <w:kern w:val="0"/>
                <w:sz w:val="22"/>
                <w:szCs w:val="22"/>
                <w:highlight w:val="none"/>
              </w:rPr>
            </w:pPr>
          </w:p>
        </w:tc>
        <w:tc>
          <w:tcPr>
            <w:tcW w:w="3261" w:type="dxa"/>
            <w:shd w:val="clear" w:color="auto" w:fill="FFFFFF"/>
            <w:tcMar>
              <w:top w:w="0" w:type="dxa"/>
              <w:left w:w="108" w:type="dxa"/>
              <w:bottom w:w="0" w:type="dxa"/>
              <w:right w:w="108" w:type="dxa"/>
            </w:tcMar>
            <w:vAlign w:val="center"/>
          </w:tcPr>
          <w:p w14:paraId="4DE25570">
            <w:pPr>
              <w:widowControl/>
              <w:spacing w:line="276" w:lineRule="auto"/>
              <w:jc w:val="left"/>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中国质量认证中心</w:t>
            </w:r>
          </w:p>
          <w:p w14:paraId="644C137C">
            <w:pPr>
              <w:widowControl/>
              <w:spacing w:line="276" w:lineRule="auto"/>
              <w:jc w:val="left"/>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深圳市计量质量检测研究院</w:t>
            </w:r>
          </w:p>
          <w:p w14:paraId="07A6D036">
            <w:pPr>
              <w:widowControl/>
              <w:spacing w:line="276" w:lineRule="auto"/>
              <w:jc w:val="left"/>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中标合信（北京）认证有限公司</w:t>
            </w:r>
          </w:p>
        </w:tc>
      </w:tr>
      <w:tr w14:paraId="6F539426">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27" w:type="dxa"/>
            <w:left w:w="27" w:type="dxa"/>
            <w:bottom w:w="27" w:type="dxa"/>
            <w:right w:w="27" w:type="dxa"/>
          </w:tblCellMar>
        </w:tblPrEx>
        <w:trPr>
          <w:trHeight w:val="454" w:hRule="atLeast"/>
          <w:jc w:val="center"/>
        </w:trPr>
        <w:tc>
          <w:tcPr>
            <w:tcW w:w="568" w:type="dxa"/>
            <w:shd w:val="clear" w:color="auto" w:fill="FFFFFF"/>
            <w:tcMar>
              <w:top w:w="0" w:type="dxa"/>
              <w:left w:w="108" w:type="dxa"/>
              <w:bottom w:w="0" w:type="dxa"/>
              <w:right w:w="108" w:type="dxa"/>
            </w:tcMar>
            <w:vAlign w:val="center"/>
          </w:tcPr>
          <w:p w14:paraId="4993D213">
            <w:pPr>
              <w:widowControl/>
              <w:spacing w:line="276" w:lineRule="auto"/>
              <w:jc w:val="center"/>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12</w:t>
            </w:r>
          </w:p>
        </w:tc>
        <w:tc>
          <w:tcPr>
            <w:tcW w:w="1134" w:type="dxa"/>
            <w:shd w:val="clear" w:color="auto" w:fill="FFFFFF"/>
            <w:tcMar>
              <w:top w:w="0" w:type="dxa"/>
              <w:left w:w="108" w:type="dxa"/>
              <w:bottom w:w="0" w:type="dxa"/>
              <w:right w:w="108" w:type="dxa"/>
            </w:tcMar>
            <w:vAlign w:val="center"/>
          </w:tcPr>
          <w:p w14:paraId="7416C09F">
            <w:pPr>
              <w:widowControl/>
              <w:spacing w:line="276" w:lineRule="auto"/>
              <w:jc w:val="center"/>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A020910</w:t>
            </w:r>
          </w:p>
        </w:tc>
        <w:tc>
          <w:tcPr>
            <w:tcW w:w="1347" w:type="dxa"/>
            <w:shd w:val="clear" w:color="auto" w:fill="FFFFFF"/>
            <w:tcMar>
              <w:top w:w="0" w:type="dxa"/>
              <w:left w:w="108" w:type="dxa"/>
              <w:bottom w:w="0" w:type="dxa"/>
              <w:right w:w="108" w:type="dxa"/>
            </w:tcMar>
            <w:vAlign w:val="center"/>
          </w:tcPr>
          <w:p w14:paraId="0E89F485">
            <w:pPr>
              <w:widowControl/>
              <w:spacing w:line="276" w:lineRule="auto"/>
              <w:jc w:val="center"/>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电视设备</w:t>
            </w:r>
          </w:p>
        </w:tc>
        <w:tc>
          <w:tcPr>
            <w:tcW w:w="1402" w:type="dxa"/>
            <w:shd w:val="clear" w:color="auto" w:fill="FFFFFF"/>
            <w:tcMar>
              <w:top w:w="0" w:type="dxa"/>
              <w:left w:w="108" w:type="dxa"/>
              <w:bottom w:w="0" w:type="dxa"/>
              <w:right w:w="108" w:type="dxa"/>
            </w:tcMar>
            <w:vAlign w:val="center"/>
          </w:tcPr>
          <w:p w14:paraId="235DB79E">
            <w:pPr>
              <w:widowControl/>
              <w:spacing w:line="276" w:lineRule="auto"/>
              <w:jc w:val="center"/>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A02091001</w:t>
            </w:r>
          </w:p>
        </w:tc>
        <w:tc>
          <w:tcPr>
            <w:tcW w:w="2070" w:type="dxa"/>
            <w:shd w:val="clear" w:color="auto" w:fill="FFFFFF"/>
            <w:tcMar>
              <w:top w:w="0" w:type="dxa"/>
              <w:left w:w="108" w:type="dxa"/>
              <w:bottom w:w="0" w:type="dxa"/>
              <w:right w:w="108" w:type="dxa"/>
            </w:tcMar>
            <w:vAlign w:val="center"/>
          </w:tcPr>
          <w:p w14:paraId="3A987A2A">
            <w:pPr>
              <w:widowControl/>
              <w:spacing w:line="276" w:lineRule="auto"/>
              <w:jc w:val="center"/>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普通电视设备（电视机）</w:t>
            </w:r>
          </w:p>
        </w:tc>
        <w:tc>
          <w:tcPr>
            <w:tcW w:w="3261" w:type="dxa"/>
            <w:vMerge w:val="restart"/>
            <w:shd w:val="clear" w:color="auto" w:fill="FFFFFF"/>
            <w:tcMar>
              <w:top w:w="0" w:type="dxa"/>
              <w:left w:w="108" w:type="dxa"/>
              <w:bottom w:w="0" w:type="dxa"/>
              <w:right w:w="108" w:type="dxa"/>
            </w:tcMar>
            <w:vAlign w:val="center"/>
          </w:tcPr>
          <w:p w14:paraId="4E2D7DB0">
            <w:pPr>
              <w:widowControl/>
              <w:spacing w:line="276" w:lineRule="auto"/>
              <w:jc w:val="left"/>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中国质量认证中心</w:t>
            </w:r>
          </w:p>
          <w:p w14:paraId="59085335">
            <w:pPr>
              <w:widowControl/>
              <w:spacing w:line="276" w:lineRule="auto"/>
              <w:jc w:val="left"/>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北京泰瑞特认证有限责任公司</w:t>
            </w:r>
          </w:p>
          <w:p w14:paraId="486CF7AE">
            <w:pPr>
              <w:widowControl/>
              <w:spacing w:line="276" w:lineRule="auto"/>
              <w:jc w:val="left"/>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广州赛宝认证中心服务有限公司</w:t>
            </w:r>
          </w:p>
        </w:tc>
      </w:tr>
      <w:tr w14:paraId="7854B504">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27" w:type="dxa"/>
            <w:left w:w="27" w:type="dxa"/>
            <w:bottom w:w="27" w:type="dxa"/>
            <w:right w:w="27" w:type="dxa"/>
          </w:tblCellMar>
        </w:tblPrEx>
        <w:trPr>
          <w:trHeight w:val="454" w:hRule="atLeast"/>
          <w:jc w:val="center"/>
        </w:trPr>
        <w:tc>
          <w:tcPr>
            <w:tcW w:w="568" w:type="dxa"/>
            <w:shd w:val="clear" w:color="auto" w:fill="FFFFFF"/>
            <w:tcMar>
              <w:top w:w="0" w:type="dxa"/>
              <w:left w:w="108" w:type="dxa"/>
              <w:bottom w:w="0" w:type="dxa"/>
              <w:right w:w="108" w:type="dxa"/>
            </w:tcMar>
            <w:vAlign w:val="center"/>
          </w:tcPr>
          <w:p w14:paraId="529C4AF6">
            <w:pPr>
              <w:widowControl/>
              <w:spacing w:line="276" w:lineRule="auto"/>
              <w:jc w:val="center"/>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13</w:t>
            </w:r>
          </w:p>
        </w:tc>
        <w:tc>
          <w:tcPr>
            <w:tcW w:w="1134" w:type="dxa"/>
            <w:shd w:val="clear" w:color="auto" w:fill="FFFFFF"/>
            <w:tcMar>
              <w:top w:w="0" w:type="dxa"/>
              <w:left w:w="108" w:type="dxa"/>
              <w:bottom w:w="0" w:type="dxa"/>
              <w:right w:w="108" w:type="dxa"/>
            </w:tcMar>
            <w:vAlign w:val="center"/>
          </w:tcPr>
          <w:p w14:paraId="3FD2816E">
            <w:pPr>
              <w:widowControl/>
              <w:spacing w:line="276" w:lineRule="auto"/>
              <w:jc w:val="center"/>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A020911</w:t>
            </w:r>
          </w:p>
        </w:tc>
        <w:tc>
          <w:tcPr>
            <w:tcW w:w="1347" w:type="dxa"/>
            <w:shd w:val="clear" w:color="auto" w:fill="FFFFFF"/>
            <w:tcMar>
              <w:top w:w="0" w:type="dxa"/>
              <w:left w:w="108" w:type="dxa"/>
              <w:bottom w:w="0" w:type="dxa"/>
              <w:right w:w="108" w:type="dxa"/>
            </w:tcMar>
            <w:vAlign w:val="center"/>
          </w:tcPr>
          <w:p w14:paraId="6EF8DF5F">
            <w:pPr>
              <w:widowControl/>
              <w:spacing w:line="276" w:lineRule="auto"/>
              <w:jc w:val="center"/>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视频设备</w:t>
            </w:r>
          </w:p>
        </w:tc>
        <w:tc>
          <w:tcPr>
            <w:tcW w:w="1402" w:type="dxa"/>
            <w:shd w:val="clear" w:color="auto" w:fill="FFFFFF"/>
            <w:tcMar>
              <w:top w:w="0" w:type="dxa"/>
              <w:left w:w="108" w:type="dxa"/>
              <w:bottom w:w="0" w:type="dxa"/>
              <w:right w:w="108" w:type="dxa"/>
            </w:tcMar>
            <w:vAlign w:val="center"/>
          </w:tcPr>
          <w:p w14:paraId="131037D6">
            <w:pPr>
              <w:widowControl/>
              <w:spacing w:line="276" w:lineRule="auto"/>
              <w:jc w:val="center"/>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A02091107</w:t>
            </w:r>
          </w:p>
        </w:tc>
        <w:tc>
          <w:tcPr>
            <w:tcW w:w="2070" w:type="dxa"/>
            <w:shd w:val="clear" w:color="auto" w:fill="FFFFFF"/>
            <w:tcMar>
              <w:top w:w="0" w:type="dxa"/>
              <w:left w:w="108" w:type="dxa"/>
              <w:bottom w:w="0" w:type="dxa"/>
              <w:right w:w="108" w:type="dxa"/>
            </w:tcMar>
            <w:vAlign w:val="center"/>
          </w:tcPr>
          <w:p w14:paraId="261D656A">
            <w:pPr>
              <w:widowControl/>
              <w:spacing w:line="276" w:lineRule="auto"/>
              <w:jc w:val="center"/>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视频监控设备</w:t>
            </w:r>
          </w:p>
        </w:tc>
        <w:tc>
          <w:tcPr>
            <w:tcW w:w="3261" w:type="dxa"/>
            <w:vMerge w:val="continue"/>
            <w:shd w:val="clear" w:color="auto" w:fill="FFFFFF"/>
            <w:tcMar>
              <w:top w:w="0" w:type="dxa"/>
              <w:left w:w="0" w:type="dxa"/>
              <w:bottom w:w="0" w:type="dxa"/>
              <w:right w:w="0" w:type="dxa"/>
            </w:tcMar>
            <w:vAlign w:val="center"/>
          </w:tcPr>
          <w:p w14:paraId="4B412862">
            <w:pPr>
              <w:widowControl/>
              <w:spacing w:line="276" w:lineRule="auto"/>
              <w:jc w:val="left"/>
              <w:rPr>
                <w:rFonts w:hint="default" w:ascii="宋体" w:hAnsi="宋体" w:cs="宋体"/>
                <w:color w:val="auto"/>
                <w:w w:val="90"/>
                <w:kern w:val="0"/>
                <w:sz w:val="22"/>
                <w:szCs w:val="22"/>
                <w:highlight w:val="none"/>
              </w:rPr>
            </w:pPr>
          </w:p>
        </w:tc>
      </w:tr>
      <w:tr w14:paraId="72336F9F">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27" w:type="dxa"/>
            <w:left w:w="27" w:type="dxa"/>
            <w:bottom w:w="27" w:type="dxa"/>
            <w:right w:w="27" w:type="dxa"/>
          </w:tblCellMar>
        </w:tblPrEx>
        <w:trPr>
          <w:trHeight w:val="454" w:hRule="atLeast"/>
          <w:jc w:val="center"/>
        </w:trPr>
        <w:tc>
          <w:tcPr>
            <w:tcW w:w="568" w:type="dxa"/>
            <w:shd w:val="clear" w:color="auto" w:fill="FFFFFF"/>
            <w:tcMar>
              <w:top w:w="0" w:type="dxa"/>
              <w:left w:w="108" w:type="dxa"/>
              <w:bottom w:w="0" w:type="dxa"/>
              <w:right w:w="108" w:type="dxa"/>
            </w:tcMar>
            <w:vAlign w:val="center"/>
          </w:tcPr>
          <w:p w14:paraId="56907855">
            <w:pPr>
              <w:widowControl/>
              <w:spacing w:line="276" w:lineRule="auto"/>
              <w:jc w:val="center"/>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14</w:t>
            </w:r>
          </w:p>
        </w:tc>
        <w:tc>
          <w:tcPr>
            <w:tcW w:w="1134" w:type="dxa"/>
            <w:shd w:val="clear" w:color="auto" w:fill="FFFFFF"/>
            <w:tcMar>
              <w:top w:w="0" w:type="dxa"/>
              <w:left w:w="108" w:type="dxa"/>
              <w:bottom w:w="0" w:type="dxa"/>
              <w:right w:w="108" w:type="dxa"/>
            </w:tcMar>
            <w:vAlign w:val="center"/>
          </w:tcPr>
          <w:p w14:paraId="797492F5">
            <w:pPr>
              <w:widowControl/>
              <w:spacing w:line="276" w:lineRule="auto"/>
              <w:jc w:val="center"/>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A031210</w:t>
            </w:r>
          </w:p>
        </w:tc>
        <w:tc>
          <w:tcPr>
            <w:tcW w:w="1347" w:type="dxa"/>
            <w:shd w:val="clear" w:color="auto" w:fill="FFFFFF"/>
            <w:tcMar>
              <w:top w:w="0" w:type="dxa"/>
              <w:left w:w="108" w:type="dxa"/>
              <w:bottom w:w="0" w:type="dxa"/>
              <w:right w:w="108" w:type="dxa"/>
            </w:tcMar>
            <w:vAlign w:val="center"/>
          </w:tcPr>
          <w:p w14:paraId="764C0968">
            <w:pPr>
              <w:widowControl/>
              <w:spacing w:line="276" w:lineRule="auto"/>
              <w:jc w:val="center"/>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饮食炊事机械</w:t>
            </w:r>
          </w:p>
        </w:tc>
        <w:tc>
          <w:tcPr>
            <w:tcW w:w="1402" w:type="dxa"/>
            <w:shd w:val="clear" w:color="auto" w:fill="FFFFFF"/>
            <w:tcMar>
              <w:top w:w="0" w:type="dxa"/>
              <w:left w:w="108" w:type="dxa"/>
              <w:bottom w:w="0" w:type="dxa"/>
              <w:right w:w="108" w:type="dxa"/>
            </w:tcMar>
            <w:vAlign w:val="center"/>
          </w:tcPr>
          <w:p w14:paraId="7F83EDBD">
            <w:pPr>
              <w:widowControl/>
              <w:spacing w:line="276" w:lineRule="auto"/>
              <w:jc w:val="center"/>
              <w:textAlignment w:val="baseline"/>
              <w:rPr>
                <w:rFonts w:hint="default" w:ascii="宋体" w:hAnsi="宋体" w:cs="宋体"/>
                <w:color w:val="auto"/>
                <w:w w:val="90"/>
                <w:kern w:val="0"/>
                <w:sz w:val="22"/>
                <w:szCs w:val="22"/>
                <w:highlight w:val="none"/>
              </w:rPr>
            </w:pPr>
          </w:p>
        </w:tc>
        <w:tc>
          <w:tcPr>
            <w:tcW w:w="2070" w:type="dxa"/>
            <w:shd w:val="clear" w:color="auto" w:fill="FFFFFF"/>
            <w:tcMar>
              <w:top w:w="0" w:type="dxa"/>
              <w:left w:w="108" w:type="dxa"/>
              <w:bottom w:w="0" w:type="dxa"/>
              <w:right w:w="108" w:type="dxa"/>
            </w:tcMar>
            <w:vAlign w:val="center"/>
          </w:tcPr>
          <w:p w14:paraId="44B03DE1">
            <w:pPr>
              <w:widowControl/>
              <w:spacing w:line="276" w:lineRule="auto"/>
              <w:jc w:val="center"/>
              <w:textAlignment w:val="baseline"/>
              <w:rPr>
                <w:rFonts w:hint="default" w:ascii="宋体" w:hAnsi="宋体" w:cs="宋体"/>
                <w:color w:val="auto"/>
                <w:w w:val="90"/>
                <w:kern w:val="0"/>
                <w:sz w:val="22"/>
                <w:szCs w:val="22"/>
                <w:highlight w:val="none"/>
              </w:rPr>
            </w:pPr>
          </w:p>
        </w:tc>
        <w:tc>
          <w:tcPr>
            <w:tcW w:w="3261" w:type="dxa"/>
            <w:shd w:val="clear" w:color="auto" w:fill="FFFFFF"/>
            <w:tcMar>
              <w:top w:w="0" w:type="dxa"/>
              <w:left w:w="108" w:type="dxa"/>
              <w:bottom w:w="0" w:type="dxa"/>
              <w:right w:w="108" w:type="dxa"/>
            </w:tcMar>
            <w:vAlign w:val="center"/>
          </w:tcPr>
          <w:p w14:paraId="6CC2020F">
            <w:pPr>
              <w:widowControl/>
              <w:spacing w:line="276" w:lineRule="auto"/>
              <w:jc w:val="left"/>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中国质量认证中心</w:t>
            </w:r>
          </w:p>
          <w:p w14:paraId="20DCAD4B">
            <w:pPr>
              <w:widowControl/>
              <w:spacing w:line="276" w:lineRule="auto"/>
              <w:jc w:val="left"/>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北京鉴衡认证中心</w:t>
            </w:r>
          </w:p>
          <w:p w14:paraId="25DDDFF7">
            <w:pPr>
              <w:widowControl/>
              <w:spacing w:line="276" w:lineRule="auto"/>
              <w:jc w:val="left"/>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中国市政工程华北设计研究总院有限公司</w:t>
            </w:r>
          </w:p>
        </w:tc>
      </w:tr>
      <w:tr w14:paraId="2843B895">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27" w:type="dxa"/>
            <w:left w:w="27" w:type="dxa"/>
            <w:bottom w:w="27" w:type="dxa"/>
            <w:right w:w="27" w:type="dxa"/>
          </w:tblCellMar>
        </w:tblPrEx>
        <w:trPr>
          <w:trHeight w:val="454" w:hRule="atLeast"/>
          <w:jc w:val="center"/>
        </w:trPr>
        <w:tc>
          <w:tcPr>
            <w:tcW w:w="568" w:type="dxa"/>
            <w:shd w:val="clear" w:color="auto" w:fill="FFFFFF"/>
            <w:tcMar>
              <w:top w:w="0" w:type="dxa"/>
              <w:left w:w="108" w:type="dxa"/>
              <w:bottom w:w="0" w:type="dxa"/>
              <w:right w:w="108" w:type="dxa"/>
            </w:tcMar>
            <w:vAlign w:val="center"/>
          </w:tcPr>
          <w:p w14:paraId="703EE8A4">
            <w:pPr>
              <w:widowControl/>
              <w:spacing w:line="276" w:lineRule="auto"/>
              <w:jc w:val="center"/>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15</w:t>
            </w:r>
          </w:p>
        </w:tc>
        <w:tc>
          <w:tcPr>
            <w:tcW w:w="1134" w:type="dxa"/>
            <w:shd w:val="clear" w:color="auto" w:fill="FFFFFF"/>
            <w:tcMar>
              <w:top w:w="0" w:type="dxa"/>
              <w:left w:w="108" w:type="dxa"/>
              <w:bottom w:w="0" w:type="dxa"/>
              <w:right w:w="108" w:type="dxa"/>
            </w:tcMar>
            <w:vAlign w:val="center"/>
          </w:tcPr>
          <w:p w14:paraId="19C474F1">
            <w:pPr>
              <w:widowControl/>
              <w:spacing w:line="276" w:lineRule="auto"/>
              <w:jc w:val="center"/>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A060805</w:t>
            </w:r>
          </w:p>
        </w:tc>
        <w:tc>
          <w:tcPr>
            <w:tcW w:w="1347" w:type="dxa"/>
            <w:shd w:val="clear" w:color="auto" w:fill="FFFFFF"/>
            <w:tcMar>
              <w:top w:w="0" w:type="dxa"/>
              <w:left w:w="108" w:type="dxa"/>
              <w:bottom w:w="0" w:type="dxa"/>
              <w:right w:w="108" w:type="dxa"/>
            </w:tcMar>
            <w:vAlign w:val="center"/>
          </w:tcPr>
          <w:p w14:paraId="52C1A2D8">
            <w:pPr>
              <w:widowControl/>
              <w:spacing w:line="276" w:lineRule="auto"/>
              <w:jc w:val="center"/>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便器</w:t>
            </w:r>
          </w:p>
        </w:tc>
        <w:tc>
          <w:tcPr>
            <w:tcW w:w="1402" w:type="dxa"/>
            <w:shd w:val="clear" w:color="auto" w:fill="FFFFFF"/>
            <w:tcMar>
              <w:top w:w="0" w:type="dxa"/>
              <w:left w:w="108" w:type="dxa"/>
              <w:bottom w:w="0" w:type="dxa"/>
              <w:right w:w="108" w:type="dxa"/>
            </w:tcMar>
            <w:vAlign w:val="center"/>
          </w:tcPr>
          <w:p w14:paraId="58C37604">
            <w:pPr>
              <w:widowControl/>
              <w:spacing w:line="276" w:lineRule="auto"/>
              <w:jc w:val="center"/>
              <w:textAlignment w:val="baseline"/>
              <w:rPr>
                <w:rFonts w:hint="default" w:ascii="宋体" w:hAnsi="宋体" w:cs="宋体"/>
                <w:color w:val="auto"/>
                <w:w w:val="90"/>
                <w:kern w:val="0"/>
                <w:sz w:val="22"/>
                <w:szCs w:val="22"/>
                <w:highlight w:val="none"/>
              </w:rPr>
            </w:pPr>
          </w:p>
        </w:tc>
        <w:tc>
          <w:tcPr>
            <w:tcW w:w="2070" w:type="dxa"/>
            <w:shd w:val="clear" w:color="auto" w:fill="FFFFFF"/>
            <w:tcMar>
              <w:top w:w="0" w:type="dxa"/>
              <w:left w:w="108" w:type="dxa"/>
              <w:bottom w:w="0" w:type="dxa"/>
              <w:right w:w="108" w:type="dxa"/>
            </w:tcMar>
            <w:vAlign w:val="center"/>
          </w:tcPr>
          <w:p w14:paraId="08153041">
            <w:pPr>
              <w:widowControl/>
              <w:spacing w:line="276" w:lineRule="auto"/>
              <w:jc w:val="center"/>
              <w:textAlignment w:val="baseline"/>
              <w:rPr>
                <w:rFonts w:hint="default" w:ascii="宋体" w:hAnsi="宋体" w:cs="宋体"/>
                <w:color w:val="auto"/>
                <w:w w:val="90"/>
                <w:kern w:val="0"/>
                <w:sz w:val="22"/>
                <w:szCs w:val="22"/>
                <w:highlight w:val="none"/>
              </w:rPr>
            </w:pPr>
          </w:p>
        </w:tc>
        <w:tc>
          <w:tcPr>
            <w:tcW w:w="3261" w:type="dxa"/>
            <w:vMerge w:val="restart"/>
            <w:shd w:val="clear" w:color="auto" w:fill="FFFFFF"/>
            <w:tcMar>
              <w:top w:w="0" w:type="dxa"/>
              <w:left w:w="108" w:type="dxa"/>
              <w:bottom w:w="0" w:type="dxa"/>
              <w:right w:w="108" w:type="dxa"/>
            </w:tcMar>
            <w:vAlign w:val="center"/>
          </w:tcPr>
          <w:p w14:paraId="53C34E3E">
            <w:pPr>
              <w:widowControl/>
              <w:spacing w:line="276" w:lineRule="auto"/>
              <w:jc w:val="left"/>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中国质量认证中心</w:t>
            </w:r>
          </w:p>
          <w:p w14:paraId="7BBD25F8">
            <w:pPr>
              <w:widowControl/>
              <w:spacing w:line="276" w:lineRule="auto"/>
              <w:jc w:val="left"/>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北京新华节水产品认证有限公司</w:t>
            </w:r>
          </w:p>
          <w:p w14:paraId="2A75C0F5">
            <w:pPr>
              <w:widowControl/>
              <w:spacing w:line="276" w:lineRule="auto"/>
              <w:jc w:val="left"/>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方圆标志认证集团有限公司</w:t>
            </w:r>
          </w:p>
        </w:tc>
      </w:tr>
      <w:tr w14:paraId="525BF4BD">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27" w:type="dxa"/>
            <w:left w:w="27" w:type="dxa"/>
            <w:bottom w:w="27" w:type="dxa"/>
            <w:right w:w="27" w:type="dxa"/>
          </w:tblCellMar>
        </w:tblPrEx>
        <w:trPr>
          <w:trHeight w:val="454" w:hRule="atLeast"/>
          <w:jc w:val="center"/>
        </w:trPr>
        <w:tc>
          <w:tcPr>
            <w:tcW w:w="568" w:type="dxa"/>
            <w:shd w:val="clear" w:color="auto" w:fill="FFFFFF"/>
            <w:tcMar>
              <w:top w:w="0" w:type="dxa"/>
              <w:left w:w="108" w:type="dxa"/>
              <w:bottom w:w="0" w:type="dxa"/>
              <w:right w:w="108" w:type="dxa"/>
            </w:tcMar>
            <w:vAlign w:val="center"/>
          </w:tcPr>
          <w:p w14:paraId="37F07AAA">
            <w:pPr>
              <w:widowControl/>
              <w:spacing w:line="276" w:lineRule="auto"/>
              <w:jc w:val="center"/>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16</w:t>
            </w:r>
          </w:p>
        </w:tc>
        <w:tc>
          <w:tcPr>
            <w:tcW w:w="1134" w:type="dxa"/>
            <w:shd w:val="clear" w:color="auto" w:fill="FFFFFF"/>
            <w:tcMar>
              <w:top w:w="0" w:type="dxa"/>
              <w:left w:w="108" w:type="dxa"/>
              <w:bottom w:w="0" w:type="dxa"/>
              <w:right w:w="108" w:type="dxa"/>
            </w:tcMar>
            <w:vAlign w:val="center"/>
          </w:tcPr>
          <w:p w14:paraId="69E7B0D6">
            <w:pPr>
              <w:widowControl/>
              <w:spacing w:line="276" w:lineRule="auto"/>
              <w:jc w:val="center"/>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A060806</w:t>
            </w:r>
          </w:p>
        </w:tc>
        <w:tc>
          <w:tcPr>
            <w:tcW w:w="1347" w:type="dxa"/>
            <w:shd w:val="clear" w:color="auto" w:fill="FFFFFF"/>
            <w:tcMar>
              <w:top w:w="0" w:type="dxa"/>
              <w:left w:w="108" w:type="dxa"/>
              <w:bottom w:w="0" w:type="dxa"/>
              <w:right w:w="108" w:type="dxa"/>
            </w:tcMar>
            <w:vAlign w:val="center"/>
          </w:tcPr>
          <w:p w14:paraId="4DDF1A84">
            <w:pPr>
              <w:widowControl/>
              <w:spacing w:line="276" w:lineRule="auto"/>
              <w:jc w:val="center"/>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水嘴</w:t>
            </w:r>
          </w:p>
        </w:tc>
        <w:tc>
          <w:tcPr>
            <w:tcW w:w="1402" w:type="dxa"/>
            <w:shd w:val="clear" w:color="auto" w:fill="FFFFFF"/>
            <w:tcMar>
              <w:top w:w="0" w:type="dxa"/>
              <w:left w:w="108" w:type="dxa"/>
              <w:bottom w:w="0" w:type="dxa"/>
              <w:right w:w="108" w:type="dxa"/>
            </w:tcMar>
            <w:vAlign w:val="center"/>
          </w:tcPr>
          <w:p w14:paraId="1011992F">
            <w:pPr>
              <w:widowControl/>
              <w:spacing w:line="276" w:lineRule="auto"/>
              <w:jc w:val="center"/>
              <w:textAlignment w:val="baseline"/>
              <w:rPr>
                <w:rFonts w:hint="default" w:ascii="宋体" w:hAnsi="宋体" w:cs="宋体"/>
                <w:color w:val="auto"/>
                <w:w w:val="90"/>
                <w:kern w:val="0"/>
                <w:sz w:val="22"/>
                <w:szCs w:val="22"/>
                <w:highlight w:val="none"/>
              </w:rPr>
            </w:pPr>
          </w:p>
        </w:tc>
        <w:tc>
          <w:tcPr>
            <w:tcW w:w="2070" w:type="dxa"/>
            <w:shd w:val="clear" w:color="auto" w:fill="FFFFFF"/>
            <w:tcMar>
              <w:top w:w="0" w:type="dxa"/>
              <w:left w:w="108" w:type="dxa"/>
              <w:bottom w:w="0" w:type="dxa"/>
              <w:right w:w="108" w:type="dxa"/>
            </w:tcMar>
            <w:vAlign w:val="center"/>
          </w:tcPr>
          <w:p w14:paraId="57EDC456">
            <w:pPr>
              <w:widowControl/>
              <w:spacing w:line="276" w:lineRule="auto"/>
              <w:jc w:val="center"/>
              <w:textAlignment w:val="baseline"/>
              <w:rPr>
                <w:rFonts w:hint="default" w:ascii="宋体" w:hAnsi="宋体" w:cs="宋体"/>
                <w:color w:val="auto"/>
                <w:w w:val="90"/>
                <w:kern w:val="0"/>
                <w:sz w:val="22"/>
                <w:szCs w:val="22"/>
                <w:highlight w:val="none"/>
              </w:rPr>
            </w:pPr>
          </w:p>
        </w:tc>
        <w:tc>
          <w:tcPr>
            <w:tcW w:w="3261" w:type="dxa"/>
            <w:vMerge w:val="continue"/>
            <w:shd w:val="clear" w:color="auto" w:fill="FFFFFF"/>
            <w:tcMar>
              <w:top w:w="0" w:type="dxa"/>
              <w:left w:w="0" w:type="dxa"/>
              <w:bottom w:w="0" w:type="dxa"/>
              <w:right w:w="0" w:type="dxa"/>
            </w:tcMar>
            <w:vAlign w:val="center"/>
          </w:tcPr>
          <w:p w14:paraId="2018FDFE">
            <w:pPr>
              <w:widowControl/>
              <w:spacing w:line="276" w:lineRule="auto"/>
              <w:jc w:val="left"/>
              <w:rPr>
                <w:rFonts w:hint="default" w:ascii="宋体" w:hAnsi="宋体" w:cs="宋体"/>
                <w:color w:val="auto"/>
                <w:w w:val="90"/>
                <w:kern w:val="0"/>
                <w:sz w:val="22"/>
                <w:szCs w:val="22"/>
                <w:highlight w:val="none"/>
              </w:rPr>
            </w:pPr>
          </w:p>
        </w:tc>
      </w:tr>
      <w:tr w14:paraId="123BAA1A">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27" w:type="dxa"/>
            <w:left w:w="27" w:type="dxa"/>
            <w:bottom w:w="27" w:type="dxa"/>
            <w:right w:w="27" w:type="dxa"/>
          </w:tblCellMar>
        </w:tblPrEx>
        <w:trPr>
          <w:trHeight w:val="454" w:hRule="atLeast"/>
          <w:jc w:val="center"/>
        </w:trPr>
        <w:tc>
          <w:tcPr>
            <w:tcW w:w="568" w:type="dxa"/>
            <w:shd w:val="clear" w:color="auto" w:fill="FFFFFF"/>
            <w:tcMar>
              <w:top w:w="0" w:type="dxa"/>
              <w:left w:w="108" w:type="dxa"/>
              <w:bottom w:w="0" w:type="dxa"/>
              <w:right w:w="108" w:type="dxa"/>
            </w:tcMar>
            <w:vAlign w:val="center"/>
          </w:tcPr>
          <w:p w14:paraId="315D14C9">
            <w:pPr>
              <w:widowControl/>
              <w:spacing w:line="276" w:lineRule="auto"/>
              <w:jc w:val="center"/>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17</w:t>
            </w:r>
          </w:p>
        </w:tc>
        <w:tc>
          <w:tcPr>
            <w:tcW w:w="1134" w:type="dxa"/>
            <w:shd w:val="clear" w:color="auto" w:fill="FFFFFF"/>
            <w:tcMar>
              <w:top w:w="0" w:type="dxa"/>
              <w:left w:w="108" w:type="dxa"/>
              <w:bottom w:w="0" w:type="dxa"/>
              <w:right w:w="108" w:type="dxa"/>
            </w:tcMar>
            <w:vAlign w:val="center"/>
          </w:tcPr>
          <w:p w14:paraId="72A0F7F1">
            <w:pPr>
              <w:widowControl/>
              <w:spacing w:line="276" w:lineRule="auto"/>
              <w:jc w:val="center"/>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A060807</w:t>
            </w:r>
          </w:p>
        </w:tc>
        <w:tc>
          <w:tcPr>
            <w:tcW w:w="1347" w:type="dxa"/>
            <w:shd w:val="clear" w:color="auto" w:fill="FFFFFF"/>
            <w:tcMar>
              <w:top w:w="0" w:type="dxa"/>
              <w:left w:w="108" w:type="dxa"/>
              <w:bottom w:w="0" w:type="dxa"/>
              <w:right w:w="108" w:type="dxa"/>
            </w:tcMar>
            <w:vAlign w:val="center"/>
          </w:tcPr>
          <w:p w14:paraId="2C60271E">
            <w:pPr>
              <w:widowControl/>
              <w:spacing w:line="276" w:lineRule="auto"/>
              <w:jc w:val="center"/>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便器冲洗阀</w:t>
            </w:r>
          </w:p>
        </w:tc>
        <w:tc>
          <w:tcPr>
            <w:tcW w:w="1402" w:type="dxa"/>
            <w:shd w:val="clear" w:color="auto" w:fill="FFFFFF"/>
            <w:tcMar>
              <w:top w:w="0" w:type="dxa"/>
              <w:left w:w="108" w:type="dxa"/>
              <w:bottom w:w="0" w:type="dxa"/>
              <w:right w:w="108" w:type="dxa"/>
            </w:tcMar>
            <w:vAlign w:val="center"/>
          </w:tcPr>
          <w:p w14:paraId="325BBFDC">
            <w:pPr>
              <w:widowControl/>
              <w:spacing w:line="276" w:lineRule="auto"/>
              <w:jc w:val="center"/>
              <w:textAlignment w:val="baseline"/>
              <w:rPr>
                <w:rFonts w:hint="default" w:ascii="宋体" w:hAnsi="宋体" w:cs="宋体"/>
                <w:color w:val="auto"/>
                <w:w w:val="90"/>
                <w:kern w:val="0"/>
                <w:sz w:val="22"/>
                <w:szCs w:val="22"/>
                <w:highlight w:val="none"/>
              </w:rPr>
            </w:pPr>
          </w:p>
        </w:tc>
        <w:tc>
          <w:tcPr>
            <w:tcW w:w="2070" w:type="dxa"/>
            <w:shd w:val="clear" w:color="auto" w:fill="FFFFFF"/>
            <w:tcMar>
              <w:top w:w="0" w:type="dxa"/>
              <w:left w:w="108" w:type="dxa"/>
              <w:bottom w:w="0" w:type="dxa"/>
              <w:right w:w="108" w:type="dxa"/>
            </w:tcMar>
            <w:vAlign w:val="center"/>
          </w:tcPr>
          <w:p w14:paraId="2B89C2C0">
            <w:pPr>
              <w:widowControl/>
              <w:spacing w:line="276" w:lineRule="auto"/>
              <w:jc w:val="center"/>
              <w:textAlignment w:val="baseline"/>
              <w:rPr>
                <w:rFonts w:hint="default" w:ascii="宋体" w:hAnsi="宋体" w:cs="宋体"/>
                <w:color w:val="auto"/>
                <w:w w:val="90"/>
                <w:kern w:val="0"/>
                <w:sz w:val="22"/>
                <w:szCs w:val="22"/>
                <w:highlight w:val="none"/>
              </w:rPr>
            </w:pPr>
          </w:p>
        </w:tc>
        <w:tc>
          <w:tcPr>
            <w:tcW w:w="3261" w:type="dxa"/>
            <w:vMerge w:val="continue"/>
            <w:shd w:val="clear" w:color="auto" w:fill="FFFFFF"/>
            <w:tcMar>
              <w:top w:w="0" w:type="dxa"/>
              <w:left w:w="0" w:type="dxa"/>
              <w:bottom w:w="0" w:type="dxa"/>
              <w:right w:w="0" w:type="dxa"/>
            </w:tcMar>
            <w:vAlign w:val="center"/>
          </w:tcPr>
          <w:p w14:paraId="7801EADE">
            <w:pPr>
              <w:widowControl/>
              <w:spacing w:line="276" w:lineRule="auto"/>
              <w:jc w:val="left"/>
              <w:rPr>
                <w:rFonts w:hint="default" w:ascii="宋体" w:hAnsi="宋体" w:cs="宋体"/>
                <w:color w:val="auto"/>
                <w:w w:val="90"/>
                <w:kern w:val="0"/>
                <w:sz w:val="22"/>
                <w:szCs w:val="22"/>
                <w:highlight w:val="none"/>
              </w:rPr>
            </w:pPr>
          </w:p>
        </w:tc>
      </w:tr>
      <w:tr w14:paraId="4C232B51">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27" w:type="dxa"/>
            <w:left w:w="27" w:type="dxa"/>
            <w:bottom w:w="27" w:type="dxa"/>
            <w:right w:w="27" w:type="dxa"/>
          </w:tblCellMar>
        </w:tblPrEx>
        <w:trPr>
          <w:trHeight w:val="454" w:hRule="atLeast"/>
          <w:jc w:val="center"/>
        </w:trPr>
        <w:tc>
          <w:tcPr>
            <w:tcW w:w="568" w:type="dxa"/>
            <w:shd w:val="clear" w:color="auto" w:fill="FFFFFF"/>
            <w:tcMar>
              <w:top w:w="0" w:type="dxa"/>
              <w:left w:w="108" w:type="dxa"/>
              <w:bottom w:w="0" w:type="dxa"/>
              <w:right w:w="108" w:type="dxa"/>
            </w:tcMar>
            <w:vAlign w:val="center"/>
          </w:tcPr>
          <w:p w14:paraId="7D55B539">
            <w:pPr>
              <w:widowControl/>
              <w:spacing w:line="276" w:lineRule="auto"/>
              <w:jc w:val="center"/>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18</w:t>
            </w:r>
          </w:p>
        </w:tc>
        <w:tc>
          <w:tcPr>
            <w:tcW w:w="1134" w:type="dxa"/>
            <w:shd w:val="clear" w:color="auto" w:fill="FFFFFF"/>
            <w:tcMar>
              <w:top w:w="0" w:type="dxa"/>
              <w:left w:w="108" w:type="dxa"/>
              <w:bottom w:w="0" w:type="dxa"/>
              <w:right w:w="108" w:type="dxa"/>
            </w:tcMar>
            <w:vAlign w:val="center"/>
          </w:tcPr>
          <w:p w14:paraId="41C3DA27">
            <w:pPr>
              <w:widowControl/>
              <w:spacing w:line="276" w:lineRule="auto"/>
              <w:jc w:val="center"/>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A060810</w:t>
            </w:r>
          </w:p>
        </w:tc>
        <w:tc>
          <w:tcPr>
            <w:tcW w:w="1347" w:type="dxa"/>
            <w:shd w:val="clear" w:color="auto" w:fill="FFFFFF"/>
            <w:tcMar>
              <w:top w:w="0" w:type="dxa"/>
              <w:left w:w="108" w:type="dxa"/>
              <w:bottom w:w="0" w:type="dxa"/>
              <w:right w:w="108" w:type="dxa"/>
            </w:tcMar>
            <w:vAlign w:val="center"/>
          </w:tcPr>
          <w:p w14:paraId="44144E7E">
            <w:pPr>
              <w:widowControl/>
              <w:spacing w:line="276" w:lineRule="auto"/>
              <w:jc w:val="center"/>
              <w:textAlignment w:val="baseline"/>
              <w:rPr>
                <w:rFonts w:hint="default" w:ascii="宋体" w:hAnsi="宋体" w:cs="宋体"/>
                <w:color w:val="auto"/>
                <w:w w:val="90"/>
                <w:kern w:val="0"/>
                <w:sz w:val="22"/>
                <w:szCs w:val="22"/>
                <w:highlight w:val="none"/>
              </w:rPr>
            </w:pPr>
            <w:r>
              <w:rPr>
                <w:rFonts w:ascii="宋体" w:hAnsi="宋体" w:cs="宋体"/>
                <w:color w:val="auto"/>
                <w:w w:val="90"/>
                <w:kern w:val="0"/>
                <w:sz w:val="22"/>
                <w:szCs w:val="22"/>
                <w:highlight w:val="none"/>
              </w:rPr>
              <w:t>淋浴器</w:t>
            </w:r>
          </w:p>
        </w:tc>
        <w:tc>
          <w:tcPr>
            <w:tcW w:w="1402" w:type="dxa"/>
            <w:shd w:val="clear" w:color="auto" w:fill="FFFFFF"/>
            <w:tcMar>
              <w:top w:w="0" w:type="dxa"/>
              <w:left w:w="108" w:type="dxa"/>
              <w:bottom w:w="0" w:type="dxa"/>
              <w:right w:w="108" w:type="dxa"/>
            </w:tcMar>
            <w:vAlign w:val="center"/>
          </w:tcPr>
          <w:p w14:paraId="1FC90AAD">
            <w:pPr>
              <w:widowControl/>
              <w:spacing w:line="276" w:lineRule="auto"/>
              <w:jc w:val="center"/>
              <w:textAlignment w:val="baseline"/>
              <w:rPr>
                <w:rFonts w:hint="default" w:ascii="宋体" w:hAnsi="宋体" w:cs="宋体"/>
                <w:color w:val="auto"/>
                <w:w w:val="90"/>
                <w:kern w:val="0"/>
                <w:sz w:val="22"/>
                <w:szCs w:val="22"/>
                <w:highlight w:val="none"/>
              </w:rPr>
            </w:pPr>
          </w:p>
        </w:tc>
        <w:tc>
          <w:tcPr>
            <w:tcW w:w="2070" w:type="dxa"/>
            <w:shd w:val="clear" w:color="auto" w:fill="FFFFFF"/>
            <w:tcMar>
              <w:top w:w="0" w:type="dxa"/>
              <w:left w:w="108" w:type="dxa"/>
              <w:bottom w:w="0" w:type="dxa"/>
              <w:right w:w="108" w:type="dxa"/>
            </w:tcMar>
            <w:vAlign w:val="center"/>
          </w:tcPr>
          <w:p w14:paraId="4543A4FF">
            <w:pPr>
              <w:widowControl/>
              <w:spacing w:line="276" w:lineRule="auto"/>
              <w:jc w:val="center"/>
              <w:textAlignment w:val="baseline"/>
              <w:rPr>
                <w:rFonts w:hint="default" w:ascii="宋体" w:hAnsi="宋体" w:cs="宋体"/>
                <w:color w:val="auto"/>
                <w:w w:val="90"/>
                <w:kern w:val="0"/>
                <w:sz w:val="22"/>
                <w:szCs w:val="22"/>
                <w:highlight w:val="none"/>
              </w:rPr>
            </w:pPr>
          </w:p>
        </w:tc>
        <w:tc>
          <w:tcPr>
            <w:tcW w:w="3261" w:type="dxa"/>
            <w:vMerge w:val="continue"/>
            <w:shd w:val="clear" w:color="auto" w:fill="FFFFFF"/>
            <w:tcMar>
              <w:top w:w="0" w:type="dxa"/>
              <w:left w:w="0" w:type="dxa"/>
              <w:bottom w:w="0" w:type="dxa"/>
              <w:right w:w="0" w:type="dxa"/>
            </w:tcMar>
            <w:vAlign w:val="center"/>
          </w:tcPr>
          <w:p w14:paraId="39AD813C">
            <w:pPr>
              <w:widowControl/>
              <w:spacing w:line="276" w:lineRule="auto"/>
              <w:jc w:val="left"/>
              <w:rPr>
                <w:rFonts w:hint="default" w:ascii="宋体" w:hAnsi="宋体" w:cs="宋体"/>
                <w:color w:val="auto"/>
                <w:w w:val="90"/>
                <w:kern w:val="0"/>
                <w:sz w:val="22"/>
                <w:szCs w:val="22"/>
                <w:highlight w:val="none"/>
              </w:rPr>
            </w:pPr>
          </w:p>
        </w:tc>
      </w:tr>
    </w:tbl>
    <w:p w14:paraId="7960E076">
      <w:pPr>
        <w:keepNext/>
        <w:widowControl/>
        <w:rPr>
          <w:rFonts w:hint="default" w:ascii="宋体" w:hAnsi="宋体" w:cs="宋体"/>
          <w:color w:val="auto"/>
          <w:highlight w:val="none"/>
        </w:rPr>
      </w:pPr>
      <w:r>
        <w:rPr>
          <w:rFonts w:ascii="宋体" w:hAnsi="宋体" w:cs="宋体"/>
          <w:color w:val="auto"/>
          <w:highlight w:val="none"/>
        </w:rPr>
        <w:t>附2：参与实施政府采购环境标志产品认证机构名录</w:t>
      </w:r>
    </w:p>
    <w:tbl>
      <w:tblPr>
        <w:tblStyle w:val="41"/>
        <w:tblW w:w="9782" w:type="dxa"/>
        <w:jc w:val="center"/>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shd w:val="clear" w:color="auto" w:fill="FFFFFF"/>
        <w:tblLayout w:type="fixed"/>
        <w:tblCellMar>
          <w:top w:w="27" w:type="dxa"/>
          <w:left w:w="27" w:type="dxa"/>
          <w:bottom w:w="27" w:type="dxa"/>
          <w:right w:w="27" w:type="dxa"/>
        </w:tblCellMar>
      </w:tblPr>
      <w:tblGrid>
        <w:gridCol w:w="851"/>
        <w:gridCol w:w="2288"/>
        <w:gridCol w:w="6643"/>
      </w:tblGrid>
      <w:tr w14:paraId="6C8D32DF">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27" w:type="dxa"/>
            <w:left w:w="27" w:type="dxa"/>
            <w:bottom w:w="27" w:type="dxa"/>
            <w:right w:w="27" w:type="dxa"/>
          </w:tblCellMar>
        </w:tblPrEx>
        <w:trPr>
          <w:trHeight w:val="454" w:hRule="atLeast"/>
          <w:tblHeader/>
          <w:jc w:val="center"/>
        </w:trPr>
        <w:tc>
          <w:tcPr>
            <w:tcW w:w="851" w:type="dxa"/>
            <w:shd w:val="clear" w:color="auto" w:fill="FDE9D9"/>
            <w:tcMar>
              <w:top w:w="0" w:type="dxa"/>
              <w:left w:w="108" w:type="dxa"/>
              <w:bottom w:w="0" w:type="dxa"/>
              <w:right w:w="108" w:type="dxa"/>
            </w:tcMar>
            <w:vAlign w:val="center"/>
          </w:tcPr>
          <w:p w14:paraId="14D7D4BF">
            <w:pPr>
              <w:widowControl/>
              <w:spacing w:line="276" w:lineRule="auto"/>
              <w:jc w:val="center"/>
              <w:textAlignment w:val="baseline"/>
              <w:rPr>
                <w:rFonts w:hint="default" w:ascii="宋体" w:hAnsi="宋体" w:cs="宋体"/>
                <w:b/>
                <w:color w:val="auto"/>
                <w:kern w:val="0"/>
                <w:sz w:val="22"/>
                <w:szCs w:val="22"/>
                <w:highlight w:val="none"/>
              </w:rPr>
            </w:pPr>
            <w:r>
              <w:rPr>
                <w:rFonts w:ascii="宋体" w:hAnsi="宋体" w:cs="宋体"/>
                <w:b/>
                <w:color w:val="auto"/>
                <w:kern w:val="0"/>
                <w:sz w:val="22"/>
                <w:szCs w:val="22"/>
                <w:highlight w:val="none"/>
              </w:rPr>
              <w:t>序号</w:t>
            </w:r>
          </w:p>
        </w:tc>
        <w:tc>
          <w:tcPr>
            <w:tcW w:w="2288" w:type="dxa"/>
            <w:shd w:val="clear" w:color="auto" w:fill="FDE9D9"/>
            <w:tcMar>
              <w:top w:w="0" w:type="dxa"/>
              <w:left w:w="108" w:type="dxa"/>
              <w:bottom w:w="0" w:type="dxa"/>
              <w:right w:w="108" w:type="dxa"/>
            </w:tcMar>
            <w:vAlign w:val="center"/>
          </w:tcPr>
          <w:p w14:paraId="3028CCF8">
            <w:pPr>
              <w:widowControl/>
              <w:spacing w:line="276" w:lineRule="auto"/>
              <w:jc w:val="center"/>
              <w:textAlignment w:val="baseline"/>
              <w:rPr>
                <w:rFonts w:hint="default" w:ascii="宋体" w:hAnsi="宋体" w:cs="宋体"/>
                <w:b/>
                <w:color w:val="auto"/>
                <w:kern w:val="0"/>
                <w:sz w:val="22"/>
                <w:szCs w:val="22"/>
                <w:highlight w:val="none"/>
              </w:rPr>
            </w:pPr>
            <w:r>
              <w:rPr>
                <w:rFonts w:ascii="宋体" w:hAnsi="宋体" w:cs="宋体"/>
                <w:b/>
                <w:color w:val="auto"/>
                <w:kern w:val="0"/>
                <w:sz w:val="22"/>
                <w:szCs w:val="22"/>
                <w:highlight w:val="none"/>
              </w:rPr>
              <w:t>目录</w:t>
            </w:r>
          </w:p>
        </w:tc>
        <w:tc>
          <w:tcPr>
            <w:tcW w:w="6643" w:type="dxa"/>
            <w:shd w:val="clear" w:color="auto" w:fill="FDE9D9"/>
            <w:tcMar>
              <w:top w:w="0" w:type="dxa"/>
              <w:left w:w="108" w:type="dxa"/>
              <w:bottom w:w="0" w:type="dxa"/>
              <w:right w:w="108" w:type="dxa"/>
            </w:tcMar>
            <w:vAlign w:val="center"/>
          </w:tcPr>
          <w:p w14:paraId="0367926F">
            <w:pPr>
              <w:widowControl/>
              <w:spacing w:line="276" w:lineRule="auto"/>
              <w:jc w:val="center"/>
              <w:textAlignment w:val="baseline"/>
              <w:rPr>
                <w:rFonts w:hint="default" w:ascii="宋体" w:hAnsi="宋体" w:cs="宋体"/>
                <w:b/>
                <w:color w:val="auto"/>
                <w:kern w:val="0"/>
                <w:sz w:val="22"/>
                <w:szCs w:val="22"/>
                <w:highlight w:val="none"/>
              </w:rPr>
            </w:pPr>
            <w:r>
              <w:rPr>
                <w:rFonts w:ascii="宋体" w:hAnsi="宋体" w:cs="宋体"/>
                <w:b/>
                <w:color w:val="auto"/>
                <w:kern w:val="0"/>
                <w:sz w:val="22"/>
                <w:szCs w:val="22"/>
                <w:highlight w:val="none"/>
              </w:rPr>
              <w:t>认证机构名录</w:t>
            </w:r>
          </w:p>
        </w:tc>
      </w:tr>
      <w:tr w14:paraId="28C73F3F">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shd w:val="clear" w:color="auto" w:fill="FFFFFF"/>
          <w:tblCellMar>
            <w:top w:w="27" w:type="dxa"/>
            <w:left w:w="27" w:type="dxa"/>
            <w:bottom w:w="27" w:type="dxa"/>
            <w:right w:w="27" w:type="dxa"/>
          </w:tblCellMar>
        </w:tblPrEx>
        <w:trPr>
          <w:trHeight w:val="454" w:hRule="atLeast"/>
          <w:jc w:val="center"/>
        </w:trPr>
        <w:tc>
          <w:tcPr>
            <w:tcW w:w="851" w:type="dxa"/>
            <w:shd w:val="clear" w:color="auto" w:fill="FFFFFF"/>
            <w:tcMar>
              <w:top w:w="0" w:type="dxa"/>
              <w:left w:w="108" w:type="dxa"/>
              <w:bottom w:w="0" w:type="dxa"/>
              <w:right w:w="108" w:type="dxa"/>
            </w:tcMar>
            <w:vAlign w:val="center"/>
          </w:tcPr>
          <w:p w14:paraId="2D802C8E">
            <w:pPr>
              <w:widowControl/>
              <w:spacing w:line="276" w:lineRule="auto"/>
              <w:jc w:val="center"/>
              <w:textAlignment w:val="baseline"/>
              <w:rPr>
                <w:rFonts w:hint="default" w:ascii="宋体" w:hAnsi="宋体" w:cs="宋体"/>
                <w:color w:val="auto"/>
                <w:kern w:val="0"/>
                <w:sz w:val="22"/>
                <w:szCs w:val="22"/>
                <w:highlight w:val="none"/>
              </w:rPr>
            </w:pPr>
            <w:r>
              <w:rPr>
                <w:rFonts w:ascii="宋体" w:hAnsi="宋体" w:cs="宋体"/>
                <w:color w:val="auto"/>
                <w:kern w:val="0"/>
                <w:sz w:val="22"/>
                <w:szCs w:val="22"/>
                <w:highlight w:val="none"/>
              </w:rPr>
              <w:t>1</w:t>
            </w:r>
          </w:p>
        </w:tc>
        <w:tc>
          <w:tcPr>
            <w:tcW w:w="2288" w:type="dxa"/>
            <w:shd w:val="clear" w:color="auto" w:fill="FFFFFF"/>
            <w:tcMar>
              <w:top w:w="0" w:type="dxa"/>
              <w:left w:w="108" w:type="dxa"/>
              <w:bottom w:w="0" w:type="dxa"/>
              <w:right w:w="108" w:type="dxa"/>
            </w:tcMar>
            <w:vAlign w:val="center"/>
          </w:tcPr>
          <w:p w14:paraId="3C005407">
            <w:pPr>
              <w:widowControl/>
              <w:spacing w:line="276" w:lineRule="auto"/>
              <w:jc w:val="center"/>
              <w:textAlignment w:val="baseline"/>
              <w:rPr>
                <w:rFonts w:hint="default" w:ascii="宋体" w:hAnsi="宋体" w:cs="宋体"/>
                <w:color w:val="auto"/>
                <w:kern w:val="0"/>
                <w:sz w:val="22"/>
                <w:szCs w:val="22"/>
                <w:highlight w:val="none"/>
              </w:rPr>
            </w:pPr>
            <w:r>
              <w:rPr>
                <w:rFonts w:ascii="宋体" w:hAnsi="宋体" w:cs="宋体"/>
                <w:color w:val="auto"/>
                <w:kern w:val="0"/>
                <w:sz w:val="22"/>
                <w:szCs w:val="22"/>
                <w:highlight w:val="none"/>
              </w:rPr>
              <w:t>环境标志产品</w:t>
            </w:r>
          </w:p>
        </w:tc>
        <w:tc>
          <w:tcPr>
            <w:tcW w:w="6643" w:type="dxa"/>
            <w:shd w:val="clear" w:color="auto" w:fill="FFFFFF"/>
            <w:tcMar>
              <w:top w:w="0" w:type="dxa"/>
              <w:left w:w="108" w:type="dxa"/>
              <w:bottom w:w="0" w:type="dxa"/>
              <w:right w:w="108" w:type="dxa"/>
            </w:tcMar>
            <w:vAlign w:val="center"/>
          </w:tcPr>
          <w:p w14:paraId="7B5C508A">
            <w:pPr>
              <w:widowControl/>
              <w:spacing w:line="276" w:lineRule="auto"/>
              <w:jc w:val="left"/>
              <w:textAlignment w:val="baseline"/>
              <w:rPr>
                <w:rFonts w:hint="default" w:ascii="宋体" w:hAnsi="宋体" w:cs="宋体"/>
                <w:color w:val="auto"/>
                <w:kern w:val="0"/>
                <w:sz w:val="22"/>
                <w:szCs w:val="22"/>
                <w:highlight w:val="none"/>
              </w:rPr>
            </w:pPr>
            <w:r>
              <w:rPr>
                <w:rFonts w:ascii="宋体" w:hAnsi="宋体" w:cs="宋体"/>
                <w:color w:val="auto"/>
                <w:kern w:val="0"/>
                <w:sz w:val="22"/>
                <w:szCs w:val="22"/>
                <w:highlight w:val="none"/>
              </w:rPr>
              <w:t>中环联合（北京）认证中心有限公司</w:t>
            </w:r>
          </w:p>
          <w:p w14:paraId="5575BEA3">
            <w:pPr>
              <w:widowControl/>
              <w:spacing w:line="276" w:lineRule="auto"/>
              <w:jc w:val="left"/>
              <w:textAlignment w:val="baseline"/>
              <w:rPr>
                <w:rFonts w:hint="default" w:ascii="宋体" w:hAnsi="宋体" w:cs="宋体"/>
                <w:color w:val="auto"/>
                <w:kern w:val="0"/>
                <w:sz w:val="22"/>
                <w:szCs w:val="22"/>
                <w:highlight w:val="none"/>
              </w:rPr>
            </w:pPr>
            <w:r>
              <w:rPr>
                <w:rFonts w:ascii="宋体" w:hAnsi="宋体" w:cs="宋体"/>
                <w:color w:val="auto"/>
                <w:kern w:val="0"/>
                <w:sz w:val="22"/>
                <w:szCs w:val="22"/>
                <w:highlight w:val="none"/>
              </w:rPr>
              <w:t>中标合信（北京）认证有限公司</w:t>
            </w:r>
          </w:p>
          <w:p w14:paraId="05CEE4E0">
            <w:pPr>
              <w:widowControl/>
              <w:spacing w:line="276" w:lineRule="auto"/>
              <w:jc w:val="left"/>
              <w:textAlignment w:val="baseline"/>
              <w:rPr>
                <w:rFonts w:hint="default" w:ascii="宋体" w:hAnsi="宋体" w:cs="宋体"/>
                <w:color w:val="auto"/>
                <w:kern w:val="0"/>
                <w:sz w:val="22"/>
                <w:szCs w:val="22"/>
                <w:highlight w:val="none"/>
              </w:rPr>
            </w:pPr>
            <w:r>
              <w:rPr>
                <w:rFonts w:ascii="宋体" w:hAnsi="宋体" w:cs="宋体"/>
                <w:color w:val="auto"/>
                <w:kern w:val="0"/>
                <w:sz w:val="22"/>
                <w:szCs w:val="22"/>
                <w:highlight w:val="none"/>
              </w:rPr>
              <w:t>中环协（北京）认证有限公司</w:t>
            </w:r>
          </w:p>
          <w:p w14:paraId="28C875ED">
            <w:pPr>
              <w:widowControl/>
              <w:spacing w:line="276" w:lineRule="auto"/>
              <w:jc w:val="left"/>
              <w:textAlignment w:val="baseline"/>
              <w:rPr>
                <w:rFonts w:hint="default" w:ascii="宋体" w:hAnsi="宋体" w:cs="宋体"/>
                <w:color w:val="auto"/>
                <w:kern w:val="0"/>
                <w:sz w:val="22"/>
                <w:szCs w:val="22"/>
                <w:highlight w:val="none"/>
              </w:rPr>
            </w:pPr>
            <w:r>
              <w:rPr>
                <w:rFonts w:ascii="宋体" w:hAnsi="宋体" w:cs="宋体"/>
                <w:color w:val="auto"/>
                <w:kern w:val="0"/>
                <w:sz w:val="22"/>
                <w:szCs w:val="22"/>
                <w:highlight w:val="none"/>
              </w:rPr>
              <w:t>天津华诚认证有限公司</w:t>
            </w:r>
          </w:p>
        </w:tc>
      </w:tr>
    </w:tbl>
    <w:p w14:paraId="6E2804F9">
      <w:pPr>
        <w:tabs>
          <w:tab w:val="left" w:pos="720"/>
        </w:tabs>
        <w:autoSpaceDE w:val="0"/>
        <w:autoSpaceDN w:val="0"/>
        <w:snapToGrid w:val="0"/>
        <w:spacing w:line="360" w:lineRule="auto"/>
        <w:rPr>
          <w:rFonts w:hint="default" w:ascii="宋体" w:hAnsi="宋体" w:cs="宋体"/>
          <w:color w:val="auto"/>
          <w:szCs w:val="21"/>
          <w:highlight w:val="none"/>
          <w:lang w:val="zh-CN"/>
        </w:rPr>
      </w:pPr>
    </w:p>
    <w:p w14:paraId="4562BF02">
      <w:pPr>
        <w:widowControl/>
        <w:spacing w:line="360" w:lineRule="auto"/>
        <w:ind w:firstLine="420" w:firstLineChars="200"/>
        <w:jc w:val="left"/>
        <w:rPr>
          <w:rFonts w:hint="default" w:ascii="宋体" w:hAnsi="宋体" w:cs="宋体"/>
          <w:color w:val="auto"/>
          <w:kern w:val="0"/>
          <w:szCs w:val="21"/>
          <w:highlight w:val="none"/>
          <w:lang w:val="zh-CN"/>
        </w:rPr>
      </w:pPr>
    </w:p>
    <w:p w14:paraId="171A58A0">
      <w:pPr>
        <w:pStyle w:val="17"/>
        <w:ind w:firstLine="0"/>
        <w:rPr>
          <w:rFonts w:hint="default" w:hAnsi="宋体" w:cs="宋体"/>
          <w:color w:val="auto"/>
          <w:highlight w:val="none"/>
          <w:lang w:val="zh-CN"/>
        </w:rPr>
      </w:pPr>
    </w:p>
    <w:sectPr>
      <w:headerReference r:id="rId18" w:type="default"/>
      <w:footerReference r:id="rId19" w:type="default"/>
      <w:pgSz w:w="11906" w:h="16838"/>
      <w:pgMar w:top="1417" w:right="1417" w:bottom="1417" w:left="1417" w:header="850" w:footer="992" w:gutter="0"/>
      <w:cols w:space="0" w:num="1"/>
      <w:titlePg/>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华文楷体">
    <w:panose1 w:val="02010600040101010101"/>
    <w:charset w:val="86"/>
    <w:family w:val="auto"/>
    <w:pitch w:val="default"/>
    <w:sig w:usb0="00000287" w:usb1="080F0000" w:usb2="00000000" w:usb3="00000000" w:csb0="0004009F" w:csb1="DFD70000"/>
  </w:font>
  <w:font w:name="Microsoft YaHei UI">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ì.">
    <w:altName w:val="宋体"/>
    <w:panose1 w:val="00000000000000000000"/>
    <w:charset w:val="00"/>
    <w:family w:val="roman"/>
    <w:pitch w:val="default"/>
    <w:sig w:usb0="00000000" w:usb1="00000000" w:usb2="00000000" w:usb3="00000000" w:csb0="00040001" w:csb1="00000000"/>
  </w:font>
  <w:font w:name="Helvetica">
    <w:altName w:val="Arial"/>
    <w:panose1 w:val="020B0604020202020204"/>
    <w:charset w:val="00"/>
    <w:family w:val="swiss"/>
    <w:pitch w:val="default"/>
    <w:sig w:usb0="00000000" w:usb1="00000000" w:usb2="00000000" w:usb3="00000000" w:csb0="00000001" w:csb1="00000000"/>
  </w:font>
  <w:font w:name="??">
    <w:altName w:val="Cambria"/>
    <w:panose1 w:val="00000000000000000000"/>
    <w:charset w:val="00"/>
    <w:family w:val="roman"/>
    <w:pitch w:val="default"/>
    <w:sig w:usb0="00000000" w:usb1="00000000" w:usb2="00000000" w:usb3="00000000" w:csb0="00000001" w:csb1="00000000"/>
  </w:font>
  <w:font w:name="Arial Unicode MS">
    <w:altName w:val="宋体"/>
    <w:panose1 w:val="020B0604020202020204"/>
    <w:charset w:val="86"/>
    <w:family w:val="swiss"/>
    <w:pitch w:val="default"/>
    <w:sig w:usb0="00000000" w:usb1="00000000" w:usb2="0000003F" w:usb3="00000000" w:csb0="603F01FF" w:csb1="FFFF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长城仿宋">
    <w:altName w:val="宋体"/>
    <w:panose1 w:val="00000000000000000000"/>
    <w:charset w:val="00"/>
    <w:family w:val="auto"/>
    <w:pitch w:val="default"/>
    <w:sig w:usb0="00000000" w:usb1="00000000" w:usb2="00000000" w:usb3="00000000" w:csb0="00040001" w:csb1="00000000"/>
  </w:font>
  <w:font w:name="华文仿宋">
    <w:panose1 w:val="02010600040101010101"/>
    <w:charset w:val="86"/>
    <w:family w:val="auto"/>
    <w:pitch w:val="default"/>
    <w:sig w:usb0="00000287" w:usb1="080F0000" w:usb2="00000000" w:usb3="00000000" w:csb0="0004009F" w:csb1="DFD70000"/>
  </w:font>
  <w:font w:name="MS Gothic">
    <w:panose1 w:val="020B0609070205080204"/>
    <w:charset w:val="80"/>
    <w:family w:val="auto"/>
    <w:pitch w:val="default"/>
    <w:sig w:usb0="E00002FF" w:usb1="6AC7FDFB" w:usb2="08000012" w:usb3="00000000" w:csb0="4002009F" w:csb1="DFD7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D18AE6">
    <w:pPr>
      <w:pStyle w:val="25"/>
      <w:ind w:right="360" w:firstLine="360"/>
      <w:rPr>
        <w:rFonts w:hint="default"/>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7694F9">
    <w:pPr>
      <w:pStyle w:val="25"/>
      <w:ind w:right="360" w:firstLine="360"/>
      <w:rPr>
        <w:rFonts w:hint="default"/>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7D08843">
                          <w:pPr>
                            <w:pStyle w:val="25"/>
                            <w:rPr>
                              <w:rFonts w:hint="default"/>
                            </w:rPr>
                          </w:pPr>
                          <w:r>
                            <w:fldChar w:fldCharType="begin"/>
                          </w:r>
                          <w:r>
                            <w:instrText xml:space="preserve"> PAGE  \* MERGEFORMAT </w:instrText>
                          </w:r>
                          <w:r>
                            <w:fldChar w:fldCharType="separate"/>
                          </w:r>
                          <w:r>
                            <w:rPr>
                              <w:rFonts w:hint="default"/>
                            </w:rPr>
                            <w:t>55</w:t>
                          </w:r>
                          <w:r>
                            <w:fldChar w:fldCharType="end"/>
                          </w:r>
                        </w:p>
                      </w:txbxContent>
                    </wps:txbx>
                    <wps:bodyPr wrap="none" lIns="0" tIns="0" rIns="0" bIns="0">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LOOGvcEBAACNAwAADgAAAAAAAAABACAAAAAeAQAAZHJzL2Uyb0RvYy54bWxQSwUG&#10;AAAAAAYABgBZAQAAUQUAAAAA&#10;">
              <v:fill on="f" focussize="0,0"/>
              <v:stroke on="f"/>
              <v:imagedata o:title=""/>
              <o:lock v:ext="edit" aspectratio="f"/>
              <v:textbox inset="0mm,0mm,0mm,0mm" style="mso-fit-shape-to-text:t;">
                <w:txbxContent>
                  <w:p w14:paraId="67D08843">
                    <w:pPr>
                      <w:pStyle w:val="25"/>
                      <w:rPr>
                        <w:rFonts w:hint="default"/>
                      </w:rPr>
                    </w:pPr>
                    <w:r>
                      <w:fldChar w:fldCharType="begin"/>
                    </w:r>
                    <w:r>
                      <w:instrText xml:space="preserve"> PAGE  \* MERGEFORMAT </w:instrText>
                    </w:r>
                    <w:r>
                      <w:fldChar w:fldCharType="separate"/>
                    </w:r>
                    <w:r>
                      <w:rPr>
                        <w:rFonts w:hint="default"/>
                      </w:rPr>
                      <w:t>55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1F16F6">
    <w:pPr>
      <w:pStyle w:val="25"/>
      <w:framePr w:wrap="around" w:vAnchor="text" w:hAnchor="margin" w:xAlign="outside" w:y="1"/>
      <w:rPr>
        <w:rStyle w:val="45"/>
        <w:rFonts w:hint="default"/>
      </w:rPr>
    </w:pPr>
    <w:r>
      <w:fldChar w:fldCharType="begin"/>
    </w:r>
    <w:r>
      <w:rPr>
        <w:rStyle w:val="45"/>
      </w:rPr>
      <w:instrText xml:space="preserve">PAGE  </w:instrText>
    </w:r>
    <w:r>
      <w:fldChar w:fldCharType="end"/>
    </w:r>
  </w:p>
  <w:p w14:paraId="7678AD6B">
    <w:pPr>
      <w:pStyle w:val="25"/>
      <w:ind w:right="360" w:firstLine="360"/>
      <w:rPr>
        <w:rFonts w:hint="default"/>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098FA3">
    <w:pPr>
      <w:pStyle w:val="25"/>
      <w:rPr>
        <w:rFonts w:hint="default"/>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D1D984">
                          <w:pPr>
                            <w:pStyle w:val="25"/>
                            <w:rPr>
                              <w:rFonts w:hint="default" w:ascii="宋体" w:hAnsi="宋体" w:eastAsia="宋体" w:cs="宋体"/>
                            </w:rPr>
                          </w:pPr>
                          <w:r>
                            <w:rPr>
                              <w:rFonts w:ascii="宋体" w:hAnsi="宋体" w:eastAsia="宋体" w:cs="宋体"/>
                            </w:rPr>
                            <w:fldChar w:fldCharType="begin"/>
                          </w:r>
                          <w:r>
                            <w:rPr>
                              <w:rFonts w:ascii="宋体" w:hAnsi="宋体" w:eastAsia="宋体" w:cs="宋体"/>
                            </w:rPr>
                            <w:instrText xml:space="preserve"> PAGE  \* MERGEFORMAT </w:instrText>
                          </w:r>
                          <w:r>
                            <w:rPr>
                              <w:rFonts w:ascii="宋体" w:hAnsi="宋体" w:eastAsia="宋体" w:cs="宋体"/>
                            </w:rPr>
                            <w:fldChar w:fldCharType="separate"/>
                          </w:r>
                          <w:r>
                            <w:rPr>
                              <w:rFonts w:ascii="宋体" w:hAnsi="宋体" w:eastAsia="宋体" w:cs="宋体"/>
                            </w:rPr>
                            <w:t>1</w:t>
                          </w:r>
                          <w:r>
                            <w:rPr>
                              <w:rFonts w:ascii="宋体" w:hAnsi="宋体" w:eastAsia="宋体" w:cs="宋体"/>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14D1D984">
                    <w:pPr>
                      <w:pStyle w:val="25"/>
                      <w:rPr>
                        <w:rFonts w:hint="default" w:ascii="宋体" w:hAnsi="宋体" w:eastAsia="宋体" w:cs="宋体"/>
                      </w:rPr>
                    </w:pPr>
                    <w:r>
                      <w:rPr>
                        <w:rFonts w:ascii="宋体" w:hAnsi="宋体" w:eastAsia="宋体" w:cs="宋体"/>
                      </w:rPr>
                      <w:fldChar w:fldCharType="begin"/>
                    </w:r>
                    <w:r>
                      <w:rPr>
                        <w:rFonts w:ascii="宋体" w:hAnsi="宋体" w:eastAsia="宋体" w:cs="宋体"/>
                      </w:rPr>
                      <w:instrText xml:space="preserve"> PAGE  \* MERGEFORMAT </w:instrText>
                    </w:r>
                    <w:r>
                      <w:rPr>
                        <w:rFonts w:ascii="宋体" w:hAnsi="宋体" w:eastAsia="宋体" w:cs="宋体"/>
                      </w:rPr>
                      <w:fldChar w:fldCharType="separate"/>
                    </w:r>
                    <w:r>
                      <w:rPr>
                        <w:rFonts w:ascii="宋体" w:hAnsi="宋体" w:eastAsia="宋体" w:cs="宋体"/>
                      </w:rPr>
                      <w:t>1</w:t>
                    </w:r>
                    <w:r>
                      <w:rPr>
                        <w:rFonts w:ascii="宋体" w:hAnsi="宋体" w:eastAsia="宋体" w:cs="宋体"/>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49590D">
    <w:pPr>
      <w:pStyle w:val="25"/>
      <w:jc w:val="center"/>
      <w:rPr>
        <w:rFonts w:ascii="仿宋_GB2312" w:eastAsia="仿宋_GB2312"/>
      </w:rPr>
    </w:pP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38C070">
    <w:pPr>
      <w:pStyle w:val="25"/>
      <w:framePr w:wrap="around" w:vAnchor="text" w:hAnchor="margin" w:xAlign="right" w:y="1"/>
      <w:rPr>
        <w:rStyle w:val="45"/>
      </w:rPr>
    </w:pPr>
    <w:r>
      <w:fldChar w:fldCharType="begin"/>
    </w:r>
    <w:r>
      <w:rPr>
        <w:rStyle w:val="45"/>
      </w:rPr>
      <w:instrText xml:space="preserve">PAGE  </w:instrText>
    </w:r>
    <w:r>
      <w:fldChar w:fldCharType="end"/>
    </w:r>
  </w:p>
  <w:p w14:paraId="16E1E1C8">
    <w:pPr>
      <w:pStyle w:val="25"/>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1CA74B">
    <w:pPr>
      <w:pStyle w:val="25"/>
      <w:jc w:val="center"/>
      <w:rPr>
        <w:rFonts w:ascii="仿宋_GB2312" w:eastAsia="仿宋_GB2312"/>
      </w:rPr>
    </w:pP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D76FA3">
    <w:pPr>
      <w:pStyle w:val="25"/>
      <w:rPr>
        <w:rFonts w:hint="default"/>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7FC257F">
                          <w:pPr>
                            <w:pStyle w:val="25"/>
                            <w:rPr>
                              <w:rFonts w:hint="default"/>
                            </w:rPr>
                          </w:pPr>
                          <w:r>
                            <w:fldChar w:fldCharType="begin"/>
                          </w:r>
                          <w:r>
                            <w:instrText xml:space="preserve"> PAGE  \* MERGEFORMAT </w:instrText>
                          </w:r>
                          <w:r>
                            <w:fldChar w:fldCharType="separate"/>
                          </w:r>
                          <w:r>
                            <w:t>2</w:t>
                          </w:r>
                          <w:r>
                            <w:fldChar w:fldCharType="end"/>
                          </w:r>
                        </w:p>
                      </w:txbxContent>
                    </wps:txbx>
                    <wps:bodyPr wrap="none" lIns="0" tIns="0" rIns="0" bIns="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JUqLMIBAACOAwAADgAAAGRycy9lMm9Eb2MueG1srVPNjtMwEL4j8Q6W&#10;79Rph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tKHLc48Mv3b5cfvy4/v5Ll&#10;KuvTB6gx7SFgYhru/IBbM/sBnZn2oKLNXyREMI7qnq/qyiERkR+tV+t1hSGBsfmC+OzxeYiQ3kpv&#10;STYaGnF8RVV+eg9pTJ1TcjXn77UxZYTG/eVAzOxhufexx2ylYT9MhPa+PSOfHiffUIeLTol551DY&#10;vCSzEWdjPxm5BoTbY8LCpZ+MOkJNxXBMhdG0UnkP/ryXrM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MSVKizCAQAAjgMAAA4AAAAAAAAAAQAgAAAAHgEAAGRycy9lMm9Eb2MueG1sUEsF&#10;BgAAAAAGAAYAWQEAAFIFAAAAAA==&#10;">
              <v:fill on="f" focussize="0,0"/>
              <v:stroke on="f"/>
              <v:imagedata o:title=""/>
              <o:lock v:ext="edit" aspectratio="f"/>
              <v:textbox inset="0mm,0mm,0mm,0mm" style="mso-fit-shape-to-text:t;">
                <w:txbxContent>
                  <w:p w14:paraId="77FC257F">
                    <w:pPr>
                      <w:pStyle w:val="25"/>
                      <w:rPr>
                        <w:rFonts w:hint="default"/>
                      </w:rPr>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89B9BA">
    <w:pPr>
      <w:pStyle w:val="25"/>
      <w:jc w:val="center"/>
      <w:rPr>
        <w:rFonts w:ascii="仿宋_GB2312" w:eastAsia="仿宋_GB2312"/>
      </w:rPr>
    </w:pP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50</w:t>
    </w:r>
    <w:r>
      <w:rPr>
        <w:rFonts w:hint="eastAsia" w:ascii="仿宋_GB2312" w:eastAsia="仿宋_GB2312"/>
        <w:kern w:val="0"/>
      </w:rPr>
      <w:fldChar w:fldCharType="end"/>
    </w:r>
    <w:r>
      <w:rPr>
        <w:rFonts w:hint="eastAsia" w:ascii="仿宋_GB2312" w:eastAsia="仿宋_GB2312"/>
        <w:kern w:val="0"/>
      </w:rPr>
      <w:t xml:space="preserve"> </w:t>
    </w:r>
  </w:p>
  <w:p w14:paraId="7D858426">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DBD9F7">
    <w:pPr>
      <w:pStyle w:val="25"/>
      <w:jc w:val="center"/>
      <w:rPr>
        <w:rFonts w:ascii="仿宋_GB2312" w:eastAsia="仿宋_GB2312"/>
      </w:rPr>
    </w:pPr>
    <w:r>
      <w:rPr>
        <w:rFonts w:hint="eastAsia" w:ascii="仿宋_GB2312" w:eastAsia="仿宋_GB2312"/>
        <w:kern w:val="0"/>
      </w:rPr>
      <w:t xml:space="preserve">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32</w:t>
    </w:r>
    <w:r>
      <w:rPr>
        <w:rFonts w:hint="eastAsia" w:ascii="仿宋_GB2312" w:eastAsia="仿宋_GB2312"/>
        <w:kern w:val="0"/>
      </w:rPr>
      <w:fldChar w:fldCharType="end"/>
    </w:r>
  </w:p>
  <w:p w14:paraId="38F0A990">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C0A6AC">
    <w:pPr>
      <w:pStyle w:val="26"/>
      <w:pBdr>
        <w:bottom w:val="none" w:color="auto" w:sz="0" w:space="0"/>
      </w:pBdr>
      <w:rPr>
        <w:rFonts w:hint="default" w:eastAsia="宋体"/>
        <w:szCs w:val="18"/>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82CD6C">
    <w:pPr>
      <w:pStyle w:val="26"/>
      <w:pBdr>
        <w:top w:val="none" w:color="auto" w:sz="0" w:space="0"/>
        <w:left w:val="none" w:color="auto" w:sz="0" w:space="0"/>
        <w:bottom w:val="none" w:color="auto" w:sz="0" w:space="0"/>
        <w:right w:val="none" w:color="auto" w:sz="0" w:space="0"/>
        <w:between w:val="none" w:color="auto" w:sz="0" w:space="0"/>
      </w:pBdr>
      <w:jc w:val="right"/>
      <w:rPr>
        <w:rFonts w:ascii="仿宋_GB2312" w:eastAsia="仿宋_GB2312"/>
        <w:b w:val="0"/>
        <w:i/>
        <w:sz w:val="18"/>
        <w:u w:val="single"/>
        <w:lang w:val="en-US"/>
      </w:rPr>
    </w:pPr>
    <w:r>
      <w:t></w:t>
    </w:r>
    <w:r>
      <w:rPr>
        <w:rFonts w:hint="eastAsia"/>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80ABF1">
    <w:pPr>
      <w:pStyle w:val="26"/>
      <w:pBdr>
        <w:top w:val="none" w:color="auto" w:sz="0" w:space="0"/>
        <w:left w:val="none" w:color="auto" w:sz="0" w:space="0"/>
        <w:bottom w:val="none" w:color="auto" w:sz="0" w:space="0"/>
        <w:right w:val="none" w:color="auto" w:sz="0" w:space="0"/>
        <w:between w:val="none" w:color="auto" w:sz="0" w:space="0"/>
      </w:pBdr>
      <w:tabs>
        <w:tab w:val="center" w:pos="4535"/>
        <w:tab w:val="right" w:pos="9070"/>
        <w:tab w:val="clear" w:pos="4153"/>
        <w:tab w:val="clear" w:pos="8306"/>
      </w:tabs>
      <w:jc w:val="right"/>
    </w:pPr>
    <w:r>
      <w:rPr>
        <w:lang w:val="zh-CN"/>
      </w:rPr>
      <w:t></w:t>
    </w:r>
    <w:r>
      <w:tab/>
    </w:r>
    <w:r>
      <w:rPr>
        <w:lang w:val="zh-CN"/>
      </w:rPr>
      <w:t></w:t>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F3E8B3">
    <w:pPr>
      <w:pStyle w:val="26"/>
      <w:pBdr>
        <w:bottom w:val="none" w:color="auto" w:sz="0" w:space="0"/>
      </w:pBdr>
      <w:rPr>
        <w:rFonts w:hint="default" w:eastAsia="宋体"/>
        <w:szCs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3208C0">
    <w:pPr>
      <w:pStyle w:val="26"/>
      <w:pBdr>
        <w:top w:val="none" w:color="auto" w:sz="0" w:space="0"/>
        <w:left w:val="none" w:color="auto" w:sz="0" w:space="0"/>
        <w:bottom w:val="none" w:color="auto" w:sz="0" w:space="1"/>
        <w:right w:val="none" w:color="auto" w:sz="0" w:space="0"/>
        <w:between w:val="none" w:color="auto" w:sz="0" w:space="0"/>
      </w:pBdr>
      <w:jc w:val="both"/>
      <w:rPr>
        <w:rFonts w:ascii="仿宋_GB2312" w:eastAsia="仿宋_GB2312"/>
        <w:b/>
        <w:i/>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F27153">
    <w:pPr>
      <w:pStyle w:val="26"/>
      <w:pBdr>
        <w:top w:val="none" w:color="auto" w:sz="0" w:space="0"/>
        <w:left w:val="none" w:color="auto" w:sz="0" w:space="0"/>
        <w:bottom w:val="none" w:color="auto" w:sz="0" w:space="1"/>
        <w:right w:val="none" w:color="auto" w:sz="0" w:space="0"/>
        <w:between w:val="none" w:color="auto" w:sz="0" w:space="0"/>
      </w:pBdr>
    </w:pPr>
    <w:r>
      <w:t></w:t>
    </w: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A6AEF1">
    <w:pPr>
      <w:pStyle w:val="26"/>
      <w:pBdr>
        <w:bottom w:val="none" w:color="auto" w:sz="0" w:space="0"/>
      </w:pBdr>
      <w:rPr>
        <w:rFonts w:hint="default"/>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1836D0"/>
    <w:multiLevelType w:val="singleLevel"/>
    <w:tmpl w:val="841836D0"/>
    <w:lvl w:ilvl="0" w:tentative="0">
      <w:start w:val="1"/>
      <w:numFmt w:val="decimal"/>
      <w:suff w:val="nothing"/>
      <w:lvlText w:val="%1）"/>
      <w:lvlJc w:val="left"/>
    </w:lvl>
  </w:abstractNum>
  <w:abstractNum w:abstractNumId="1">
    <w:nsid w:val="FFFFFF7E"/>
    <w:multiLevelType w:val="singleLevel"/>
    <w:tmpl w:val="FFFFFF7E"/>
    <w:lvl w:ilvl="0" w:tentative="0">
      <w:start w:val="1"/>
      <w:numFmt w:val="decimal"/>
      <w:pStyle w:val="18"/>
      <w:lvlText w:val="%1."/>
      <w:lvlJc w:val="left"/>
      <w:pPr>
        <w:tabs>
          <w:tab w:val="left" w:pos="1200"/>
        </w:tabs>
        <w:ind w:left="1200" w:hanging="360"/>
      </w:pPr>
    </w:lvl>
  </w:abstractNum>
  <w:abstractNum w:abstractNumId="2">
    <w:nsid w:val="09890BCC"/>
    <w:multiLevelType w:val="multilevel"/>
    <w:tmpl w:val="09890BCC"/>
    <w:lvl w:ilvl="0" w:tentative="0">
      <w:start w:val="1"/>
      <w:numFmt w:val="decimal"/>
      <w:pStyle w:val="11"/>
      <w:lvlText w:val="%1．"/>
      <w:lvlJc w:val="left"/>
      <w:pPr>
        <w:tabs>
          <w:tab w:val="left" w:pos="900"/>
        </w:tabs>
        <w:ind w:left="900" w:hanging="720"/>
      </w:pPr>
      <w:rPr>
        <w:rFonts w:hint="eastAsia"/>
      </w:rPr>
    </w:lvl>
    <w:lvl w:ilvl="1" w:tentative="0">
      <w:start w:val="1"/>
      <w:numFmt w:val="lowerLetter"/>
      <w:lvlText w:val="%2)"/>
      <w:lvlJc w:val="left"/>
      <w:pPr>
        <w:tabs>
          <w:tab w:val="left" w:pos="1020"/>
        </w:tabs>
        <w:ind w:left="1020" w:hanging="420"/>
      </w:pPr>
    </w:lvl>
    <w:lvl w:ilvl="2" w:tentative="0">
      <w:start w:val="1"/>
      <w:numFmt w:val="lowerRoman"/>
      <w:lvlText w:val="%3."/>
      <w:lvlJc w:val="right"/>
      <w:pPr>
        <w:tabs>
          <w:tab w:val="left" w:pos="1440"/>
        </w:tabs>
        <w:ind w:left="1440" w:hanging="420"/>
      </w:pPr>
    </w:lvl>
    <w:lvl w:ilvl="3" w:tentative="0">
      <w:start w:val="1"/>
      <w:numFmt w:val="decimal"/>
      <w:lvlText w:val="%4."/>
      <w:lvlJc w:val="left"/>
      <w:pPr>
        <w:tabs>
          <w:tab w:val="left" w:pos="1860"/>
        </w:tabs>
        <w:ind w:left="1860" w:hanging="420"/>
      </w:pPr>
    </w:lvl>
    <w:lvl w:ilvl="4" w:tentative="0">
      <w:start w:val="1"/>
      <w:numFmt w:val="lowerLetter"/>
      <w:lvlText w:val="%5)"/>
      <w:lvlJc w:val="left"/>
      <w:pPr>
        <w:tabs>
          <w:tab w:val="left" w:pos="2280"/>
        </w:tabs>
        <w:ind w:left="2280" w:hanging="420"/>
      </w:pPr>
    </w:lvl>
    <w:lvl w:ilvl="5" w:tentative="0">
      <w:start w:val="1"/>
      <w:numFmt w:val="lowerRoman"/>
      <w:lvlText w:val="%6."/>
      <w:lvlJc w:val="right"/>
      <w:pPr>
        <w:tabs>
          <w:tab w:val="left" w:pos="2700"/>
        </w:tabs>
        <w:ind w:left="2700" w:hanging="420"/>
      </w:pPr>
    </w:lvl>
    <w:lvl w:ilvl="6" w:tentative="0">
      <w:start w:val="1"/>
      <w:numFmt w:val="decimal"/>
      <w:lvlText w:val="%7."/>
      <w:lvlJc w:val="left"/>
      <w:pPr>
        <w:tabs>
          <w:tab w:val="left" w:pos="3120"/>
        </w:tabs>
        <w:ind w:left="3120" w:hanging="420"/>
      </w:pPr>
    </w:lvl>
    <w:lvl w:ilvl="7" w:tentative="0">
      <w:start w:val="1"/>
      <w:numFmt w:val="lowerLetter"/>
      <w:lvlText w:val="%8)"/>
      <w:lvlJc w:val="left"/>
      <w:pPr>
        <w:tabs>
          <w:tab w:val="left" w:pos="3540"/>
        </w:tabs>
        <w:ind w:left="3540" w:hanging="420"/>
      </w:pPr>
    </w:lvl>
    <w:lvl w:ilvl="8" w:tentative="0">
      <w:start w:val="1"/>
      <w:numFmt w:val="lowerRoman"/>
      <w:lvlText w:val="%9."/>
      <w:lvlJc w:val="right"/>
      <w:pPr>
        <w:tabs>
          <w:tab w:val="left" w:pos="3960"/>
        </w:tabs>
        <w:ind w:left="3960" w:hanging="420"/>
      </w:pPr>
    </w:lvl>
  </w:abstractNum>
  <w:abstractNum w:abstractNumId="3">
    <w:nsid w:val="47BA2CA3"/>
    <w:multiLevelType w:val="singleLevel"/>
    <w:tmpl w:val="47BA2CA3"/>
    <w:lvl w:ilvl="0" w:tentative="0">
      <w:start w:val="4"/>
      <w:numFmt w:val="decimal"/>
      <w:lvlText w:val="%1."/>
      <w:lvlJc w:val="left"/>
      <w:pPr>
        <w:tabs>
          <w:tab w:val="left" w:pos="312"/>
        </w:tabs>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21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EwMDhlYWUyY2FiNWNmOGQxMTlkYzM3ZGM5ZGVkMTQifQ=="/>
  </w:docVars>
  <w:rsids>
    <w:rsidRoot w:val="00172A27"/>
    <w:rsid w:val="00017B35"/>
    <w:rsid w:val="00060DEA"/>
    <w:rsid w:val="000B62B3"/>
    <w:rsid w:val="000E2A4A"/>
    <w:rsid w:val="00142B6A"/>
    <w:rsid w:val="00172A27"/>
    <w:rsid w:val="002137DB"/>
    <w:rsid w:val="00233276"/>
    <w:rsid w:val="00256141"/>
    <w:rsid w:val="002701B3"/>
    <w:rsid w:val="0028063C"/>
    <w:rsid w:val="002A6FE6"/>
    <w:rsid w:val="00335DB5"/>
    <w:rsid w:val="0033648A"/>
    <w:rsid w:val="00375761"/>
    <w:rsid w:val="003A4888"/>
    <w:rsid w:val="003C468C"/>
    <w:rsid w:val="003D21B2"/>
    <w:rsid w:val="003F2538"/>
    <w:rsid w:val="003F4D38"/>
    <w:rsid w:val="004D049E"/>
    <w:rsid w:val="004E2F8D"/>
    <w:rsid w:val="00524E02"/>
    <w:rsid w:val="00594EEB"/>
    <w:rsid w:val="00610597"/>
    <w:rsid w:val="006C492B"/>
    <w:rsid w:val="0070332F"/>
    <w:rsid w:val="00707DDD"/>
    <w:rsid w:val="007361C1"/>
    <w:rsid w:val="00740A15"/>
    <w:rsid w:val="00750439"/>
    <w:rsid w:val="00760AB6"/>
    <w:rsid w:val="00773916"/>
    <w:rsid w:val="00884FFA"/>
    <w:rsid w:val="0089648D"/>
    <w:rsid w:val="009607C9"/>
    <w:rsid w:val="00962569"/>
    <w:rsid w:val="00962C95"/>
    <w:rsid w:val="00976D5A"/>
    <w:rsid w:val="00994C5D"/>
    <w:rsid w:val="009B3F30"/>
    <w:rsid w:val="009C3162"/>
    <w:rsid w:val="00A06847"/>
    <w:rsid w:val="00A32031"/>
    <w:rsid w:val="00C30909"/>
    <w:rsid w:val="00CA601A"/>
    <w:rsid w:val="00CB7244"/>
    <w:rsid w:val="00CC0337"/>
    <w:rsid w:val="00CE769E"/>
    <w:rsid w:val="00CF0661"/>
    <w:rsid w:val="00D27E64"/>
    <w:rsid w:val="00D34D64"/>
    <w:rsid w:val="00D54AB5"/>
    <w:rsid w:val="00D743B5"/>
    <w:rsid w:val="00D9637F"/>
    <w:rsid w:val="00DD0CA4"/>
    <w:rsid w:val="00E1659E"/>
    <w:rsid w:val="00E618D1"/>
    <w:rsid w:val="00E8339F"/>
    <w:rsid w:val="00F52A8D"/>
    <w:rsid w:val="00F536FD"/>
    <w:rsid w:val="010A29DC"/>
    <w:rsid w:val="011C44BE"/>
    <w:rsid w:val="01402D08"/>
    <w:rsid w:val="0141732B"/>
    <w:rsid w:val="014B4373"/>
    <w:rsid w:val="01633E9B"/>
    <w:rsid w:val="01695955"/>
    <w:rsid w:val="017A1732"/>
    <w:rsid w:val="01837CD8"/>
    <w:rsid w:val="0187402D"/>
    <w:rsid w:val="018F4C90"/>
    <w:rsid w:val="01901FC8"/>
    <w:rsid w:val="01A050EF"/>
    <w:rsid w:val="01B12E58"/>
    <w:rsid w:val="01B82438"/>
    <w:rsid w:val="01BF64E7"/>
    <w:rsid w:val="01C60DBD"/>
    <w:rsid w:val="01CA07D3"/>
    <w:rsid w:val="01D51CCD"/>
    <w:rsid w:val="01EB45BC"/>
    <w:rsid w:val="02117D9A"/>
    <w:rsid w:val="021B4775"/>
    <w:rsid w:val="02385327"/>
    <w:rsid w:val="023D5146"/>
    <w:rsid w:val="026D5DF0"/>
    <w:rsid w:val="027768E1"/>
    <w:rsid w:val="02777BFD"/>
    <w:rsid w:val="028247F4"/>
    <w:rsid w:val="02A91D81"/>
    <w:rsid w:val="02A93B2F"/>
    <w:rsid w:val="02B20C36"/>
    <w:rsid w:val="02B26E88"/>
    <w:rsid w:val="02B53D64"/>
    <w:rsid w:val="02C62933"/>
    <w:rsid w:val="02CE17E8"/>
    <w:rsid w:val="02D0684A"/>
    <w:rsid w:val="02D908B8"/>
    <w:rsid w:val="02DC2156"/>
    <w:rsid w:val="02DF39F5"/>
    <w:rsid w:val="02E451BA"/>
    <w:rsid w:val="03047D0A"/>
    <w:rsid w:val="03062D2F"/>
    <w:rsid w:val="03064E9C"/>
    <w:rsid w:val="03072F6F"/>
    <w:rsid w:val="030B47EA"/>
    <w:rsid w:val="03103BAE"/>
    <w:rsid w:val="03600692"/>
    <w:rsid w:val="0363562F"/>
    <w:rsid w:val="0369757F"/>
    <w:rsid w:val="036A549B"/>
    <w:rsid w:val="03767EB5"/>
    <w:rsid w:val="03773FAE"/>
    <w:rsid w:val="037833CA"/>
    <w:rsid w:val="038D51FF"/>
    <w:rsid w:val="038F4A4C"/>
    <w:rsid w:val="0394323A"/>
    <w:rsid w:val="039D6F65"/>
    <w:rsid w:val="03B60BF9"/>
    <w:rsid w:val="03B77AAE"/>
    <w:rsid w:val="03CE5F43"/>
    <w:rsid w:val="03D25B2B"/>
    <w:rsid w:val="03D472D2"/>
    <w:rsid w:val="03FE4564"/>
    <w:rsid w:val="04056117"/>
    <w:rsid w:val="040A4AA1"/>
    <w:rsid w:val="046046C1"/>
    <w:rsid w:val="04673CA2"/>
    <w:rsid w:val="04814D63"/>
    <w:rsid w:val="04852E26"/>
    <w:rsid w:val="049E4E62"/>
    <w:rsid w:val="04D550AF"/>
    <w:rsid w:val="04D8694E"/>
    <w:rsid w:val="04E83035"/>
    <w:rsid w:val="04ED52FF"/>
    <w:rsid w:val="04F66779"/>
    <w:rsid w:val="04F842DA"/>
    <w:rsid w:val="04FC007E"/>
    <w:rsid w:val="051931EE"/>
    <w:rsid w:val="05252C5E"/>
    <w:rsid w:val="05355B4E"/>
    <w:rsid w:val="053C512E"/>
    <w:rsid w:val="054729F3"/>
    <w:rsid w:val="054951E7"/>
    <w:rsid w:val="0550096B"/>
    <w:rsid w:val="05526CCF"/>
    <w:rsid w:val="055A2B96"/>
    <w:rsid w:val="056703FD"/>
    <w:rsid w:val="056C03BA"/>
    <w:rsid w:val="05704DD8"/>
    <w:rsid w:val="057448C8"/>
    <w:rsid w:val="058D756E"/>
    <w:rsid w:val="05946D18"/>
    <w:rsid w:val="059E6F68"/>
    <w:rsid w:val="05B64EE1"/>
    <w:rsid w:val="05C018BB"/>
    <w:rsid w:val="05D84E57"/>
    <w:rsid w:val="05E36CEA"/>
    <w:rsid w:val="06314A49"/>
    <w:rsid w:val="063A78C0"/>
    <w:rsid w:val="063B53E6"/>
    <w:rsid w:val="06451DC1"/>
    <w:rsid w:val="064A5629"/>
    <w:rsid w:val="0653329D"/>
    <w:rsid w:val="06741DE4"/>
    <w:rsid w:val="06826D92"/>
    <w:rsid w:val="068E3768"/>
    <w:rsid w:val="06986394"/>
    <w:rsid w:val="06B26EBB"/>
    <w:rsid w:val="06BA630B"/>
    <w:rsid w:val="07041D4E"/>
    <w:rsid w:val="070677A2"/>
    <w:rsid w:val="070D0B30"/>
    <w:rsid w:val="0717488F"/>
    <w:rsid w:val="071A5B9D"/>
    <w:rsid w:val="071C5B60"/>
    <w:rsid w:val="071F1AD0"/>
    <w:rsid w:val="07222102"/>
    <w:rsid w:val="0725607B"/>
    <w:rsid w:val="07283BBC"/>
    <w:rsid w:val="075872B3"/>
    <w:rsid w:val="077B7A4A"/>
    <w:rsid w:val="0781507A"/>
    <w:rsid w:val="078828AD"/>
    <w:rsid w:val="078E47E2"/>
    <w:rsid w:val="07907298"/>
    <w:rsid w:val="079923C4"/>
    <w:rsid w:val="07C1191B"/>
    <w:rsid w:val="07CE6DF9"/>
    <w:rsid w:val="07D17DB0"/>
    <w:rsid w:val="07E15B19"/>
    <w:rsid w:val="07E92CA1"/>
    <w:rsid w:val="07F724AE"/>
    <w:rsid w:val="07FB4C26"/>
    <w:rsid w:val="080E595D"/>
    <w:rsid w:val="082365DD"/>
    <w:rsid w:val="08273E74"/>
    <w:rsid w:val="082A1FB5"/>
    <w:rsid w:val="082C4FE6"/>
    <w:rsid w:val="084550F1"/>
    <w:rsid w:val="085B3B1D"/>
    <w:rsid w:val="08617538"/>
    <w:rsid w:val="086C1887"/>
    <w:rsid w:val="087150EF"/>
    <w:rsid w:val="08843C56"/>
    <w:rsid w:val="089F7EAE"/>
    <w:rsid w:val="08B576D2"/>
    <w:rsid w:val="08C9485C"/>
    <w:rsid w:val="08DB1294"/>
    <w:rsid w:val="08E954CF"/>
    <w:rsid w:val="08F73242"/>
    <w:rsid w:val="091F4B4B"/>
    <w:rsid w:val="095347F5"/>
    <w:rsid w:val="09622C8A"/>
    <w:rsid w:val="0969226A"/>
    <w:rsid w:val="096D3B08"/>
    <w:rsid w:val="097A4477"/>
    <w:rsid w:val="098B21E0"/>
    <w:rsid w:val="09B434E5"/>
    <w:rsid w:val="09EC7AAD"/>
    <w:rsid w:val="0A053D41"/>
    <w:rsid w:val="0A095CC8"/>
    <w:rsid w:val="0A0B49FE"/>
    <w:rsid w:val="0A0E549B"/>
    <w:rsid w:val="0A1C108A"/>
    <w:rsid w:val="0A2148F3"/>
    <w:rsid w:val="0A372641"/>
    <w:rsid w:val="0A430D0D"/>
    <w:rsid w:val="0A544D92"/>
    <w:rsid w:val="0A56459C"/>
    <w:rsid w:val="0A5847B8"/>
    <w:rsid w:val="0A592D6E"/>
    <w:rsid w:val="0A876E4C"/>
    <w:rsid w:val="0AAE316A"/>
    <w:rsid w:val="0AD55126"/>
    <w:rsid w:val="0AE778EA"/>
    <w:rsid w:val="0AFB2E82"/>
    <w:rsid w:val="0B003DFB"/>
    <w:rsid w:val="0B006553"/>
    <w:rsid w:val="0B073AE9"/>
    <w:rsid w:val="0B0C7351"/>
    <w:rsid w:val="0B1C57E6"/>
    <w:rsid w:val="0B1D5874"/>
    <w:rsid w:val="0B340293"/>
    <w:rsid w:val="0B3B3636"/>
    <w:rsid w:val="0B3D77B2"/>
    <w:rsid w:val="0B603053"/>
    <w:rsid w:val="0B654648"/>
    <w:rsid w:val="0B726B07"/>
    <w:rsid w:val="0B7373D0"/>
    <w:rsid w:val="0B8B471A"/>
    <w:rsid w:val="0BAF665A"/>
    <w:rsid w:val="0BB73761"/>
    <w:rsid w:val="0BD4669D"/>
    <w:rsid w:val="0BDA2FAB"/>
    <w:rsid w:val="0BDF05C2"/>
    <w:rsid w:val="0C032BA2"/>
    <w:rsid w:val="0C040028"/>
    <w:rsid w:val="0C1069CD"/>
    <w:rsid w:val="0C3B6140"/>
    <w:rsid w:val="0C3C77C2"/>
    <w:rsid w:val="0C45067E"/>
    <w:rsid w:val="0C4B33B4"/>
    <w:rsid w:val="0C57284E"/>
    <w:rsid w:val="0C7B27F2"/>
    <w:rsid w:val="0C7C29CF"/>
    <w:rsid w:val="0CA710DF"/>
    <w:rsid w:val="0CA81D50"/>
    <w:rsid w:val="0CB04707"/>
    <w:rsid w:val="0CDE03B5"/>
    <w:rsid w:val="0CE802C6"/>
    <w:rsid w:val="0CEC568C"/>
    <w:rsid w:val="0D3A4EA3"/>
    <w:rsid w:val="0D6E60A1"/>
    <w:rsid w:val="0D7A67F4"/>
    <w:rsid w:val="0D7B5914"/>
    <w:rsid w:val="0D841421"/>
    <w:rsid w:val="0D8824D9"/>
    <w:rsid w:val="0D8C1EA0"/>
    <w:rsid w:val="0D8F3BB6"/>
    <w:rsid w:val="0D951880"/>
    <w:rsid w:val="0D9B0DE1"/>
    <w:rsid w:val="0DA25D4B"/>
    <w:rsid w:val="0DB37F58"/>
    <w:rsid w:val="0DCB52A1"/>
    <w:rsid w:val="0E056A05"/>
    <w:rsid w:val="0E15476E"/>
    <w:rsid w:val="0E1F26BA"/>
    <w:rsid w:val="0E2C4499"/>
    <w:rsid w:val="0E2F1A03"/>
    <w:rsid w:val="0E517949"/>
    <w:rsid w:val="0E5D4B3D"/>
    <w:rsid w:val="0E8F4521"/>
    <w:rsid w:val="0EA24248"/>
    <w:rsid w:val="0EA62201"/>
    <w:rsid w:val="0EBD5B29"/>
    <w:rsid w:val="0EEE317A"/>
    <w:rsid w:val="0EF00B77"/>
    <w:rsid w:val="0F0A1DF9"/>
    <w:rsid w:val="0F1F3AF7"/>
    <w:rsid w:val="0F2C1D70"/>
    <w:rsid w:val="0F694D72"/>
    <w:rsid w:val="0F735BF1"/>
    <w:rsid w:val="0F737149"/>
    <w:rsid w:val="0F7C6E4E"/>
    <w:rsid w:val="0F7F287D"/>
    <w:rsid w:val="0F8256FA"/>
    <w:rsid w:val="0F9811B3"/>
    <w:rsid w:val="0FA111A8"/>
    <w:rsid w:val="0FA606B8"/>
    <w:rsid w:val="0FBA1C6F"/>
    <w:rsid w:val="0FD91EF8"/>
    <w:rsid w:val="0FE60171"/>
    <w:rsid w:val="0FED1786"/>
    <w:rsid w:val="10294501"/>
    <w:rsid w:val="1030763E"/>
    <w:rsid w:val="10321608"/>
    <w:rsid w:val="1052010F"/>
    <w:rsid w:val="106E22E2"/>
    <w:rsid w:val="10886C36"/>
    <w:rsid w:val="10945E1E"/>
    <w:rsid w:val="10A02A15"/>
    <w:rsid w:val="10AC13BA"/>
    <w:rsid w:val="10B85FB1"/>
    <w:rsid w:val="10BD35C7"/>
    <w:rsid w:val="10DB1C9F"/>
    <w:rsid w:val="10DD5A17"/>
    <w:rsid w:val="10DF6F7B"/>
    <w:rsid w:val="10E24DDC"/>
    <w:rsid w:val="10EC5C5A"/>
    <w:rsid w:val="10FD1C16"/>
    <w:rsid w:val="110805BA"/>
    <w:rsid w:val="111B209C"/>
    <w:rsid w:val="11250D18"/>
    <w:rsid w:val="113118BF"/>
    <w:rsid w:val="11345FF6"/>
    <w:rsid w:val="1154735C"/>
    <w:rsid w:val="115701E6"/>
    <w:rsid w:val="115E652A"/>
    <w:rsid w:val="117B75CD"/>
    <w:rsid w:val="118E0AC0"/>
    <w:rsid w:val="118F5EFA"/>
    <w:rsid w:val="1195221F"/>
    <w:rsid w:val="11B5429E"/>
    <w:rsid w:val="11C849EC"/>
    <w:rsid w:val="11CD7E8E"/>
    <w:rsid w:val="11DF131B"/>
    <w:rsid w:val="11EC3A38"/>
    <w:rsid w:val="12030A9F"/>
    <w:rsid w:val="120B0A06"/>
    <w:rsid w:val="121E62E8"/>
    <w:rsid w:val="123C676E"/>
    <w:rsid w:val="125E66E4"/>
    <w:rsid w:val="12627082"/>
    <w:rsid w:val="126E0DF3"/>
    <w:rsid w:val="12850115"/>
    <w:rsid w:val="1289304B"/>
    <w:rsid w:val="129B16E6"/>
    <w:rsid w:val="129C545E"/>
    <w:rsid w:val="12AD31C8"/>
    <w:rsid w:val="12C02EFB"/>
    <w:rsid w:val="12C4776A"/>
    <w:rsid w:val="12D30A20"/>
    <w:rsid w:val="12E110C3"/>
    <w:rsid w:val="12F26E2C"/>
    <w:rsid w:val="12F40DF6"/>
    <w:rsid w:val="130D0747"/>
    <w:rsid w:val="130D3C66"/>
    <w:rsid w:val="131E5E73"/>
    <w:rsid w:val="132D6C5C"/>
    <w:rsid w:val="13312989"/>
    <w:rsid w:val="13345697"/>
    <w:rsid w:val="134578A4"/>
    <w:rsid w:val="134A6C68"/>
    <w:rsid w:val="13566C00"/>
    <w:rsid w:val="13636633"/>
    <w:rsid w:val="139A5D14"/>
    <w:rsid w:val="13AC4EFE"/>
    <w:rsid w:val="13BC25A6"/>
    <w:rsid w:val="13C25D37"/>
    <w:rsid w:val="13D21C0B"/>
    <w:rsid w:val="13DB3D64"/>
    <w:rsid w:val="13DF1AA7"/>
    <w:rsid w:val="14004427"/>
    <w:rsid w:val="140B63F8"/>
    <w:rsid w:val="140E7C96"/>
    <w:rsid w:val="141379A2"/>
    <w:rsid w:val="141F6347"/>
    <w:rsid w:val="142D4720"/>
    <w:rsid w:val="143F60A1"/>
    <w:rsid w:val="146167AA"/>
    <w:rsid w:val="14643D5A"/>
    <w:rsid w:val="146855F8"/>
    <w:rsid w:val="147E12BF"/>
    <w:rsid w:val="147E4E1C"/>
    <w:rsid w:val="14826894"/>
    <w:rsid w:val="14891A12"/>
    <w:rsid w:val="149C2403"/>
    <w:rsid w:val="14A64372"/>
    <w:rsid w:val="14A979BF"/>
    <w:rsid w:val="14BF5434"/>
    <w:rsid w:val="14D9299B"/>
    <w:rsid w:val="14DB226E"/>
    <w:rsid w:val="14E76CC4"/>
    <w:rsid w:val="14EF7AC7"/>
    <w:rsid w:val="150115A9"/>
    <w:rsid w:val="150E796B"/>
    <w:rsid w:val="150F3CC6"/>
    <w:rsid w:val="1519603C"/>
    <w:rsid w:val="152754B3"/>
    <w:rsid w:val="152A0AFF"/>
    <w:rsid w:val="1546345F"/>
    <w:rsid w:val="155362A8"/>
    <w:rsid w:val="15543DCE"/>
    <w:rsid w:val="155768E9"/>
    <w:rsid w:val="15601CC5"/>
    <w:rsid w:val="156404B5"/>
    <w:rsid w:val="15784C1B"/>
    <w:rsid w:val="15853F88"/>
    <w:rsid w:val="159D60C5"/>
    <w:rsid w:val="15BB5BFB"/>
    <w:rsid w:val="15C4574E"/>
    <w:rsid w:val="15DB5153"/>
    <w:rsid w:val="15DE2DF5"/>
    <w:rsid w:val="15EC6D0A"/>
    <w:rsid w:val="15FF1F8C"/>
    <w:rsid w:val="160532E6"/>
    <w:rsid w:val="162714E3"/>
    <w:rsid w:val="163A2FC4"/>
    <w:rsid w:val="163D2AB4"/>
    <w:rsid w:val="163D5BBE"/>
    <w:rsid w:val="1641430D"/>
    <w:rsid w:val="16AD3796"/>
    <w:rsid w:val="16AF6C42"/>
    <w:rsid w:val="16C64858"/>
    <w:rsid w:val="16DC051F"/>
    <w:rsid w:val="16E4658B"/>
    <w:rsid w:val="16EE7104"/>
    <w:rsid w:val="16FE3FF2"/>
    <w:rsid w:val="173E4D36"/>
    <w:rsid w:val="17400AAE"/>
    <w:rsid w:val="17602EFE"/>
    <w:rsid w:val="17604578"/>
    <w:rsid w:val="1776627E"/>
    <w:rsid w:val="179E7583"/>
    <w:rsid w:val="17A04BDE"/>
    <w:rsid w:val="17A0779F"/>
    <w:rsid w:val="17A27073"/>
    <w:rsid w:val="17B27416"/>
    <w:rsid w:val="17B91C41"/>
    <w:rsid w:val="17BB6C04"/>
    <w:rsid w:val="17D17958"/>
    <w:rsid w:val="17D631C0"/>
    <w:rsid w:val="17D66D1D"/>
    <w:rsid w:val="17F83137"/>
    <w:rsid w:val="18115297"/>
    <w:rsid w:val="1821268E"/>
    <w:rsid w:val="18280199"/>
    <w:rsid w:val="184243B2"/>
    <w:rsid w:val="185D743E"/>
    <w:rsid w:val="18626802"/>
    <w:rsid w:val="18891FE1"/>
    <w:rsid w:val="18B84674"/>
    <w:rsid w:val="18CA357C"/>
    <w:rsid w:val="18D30DBF"/>
    <w:rsid w:val="190A3122"/>
    <w:rsid w:val="190C006F"/>
    <w:rsid w:val="19126797"/>
    <w:rsid w:val="19291979"/>
    <w:rsid w:val="193C65EA"/>
    <w:rsid w:val="19483C4A"/>
    <w:rsid w:val="196D36B1"/>
    <w:rsid w:val="19744A3F"/>
    <w:rsid w:val="1981715C"/>
    <w:rsid w:val="199E1ABC"/>
    <w:rsid w:val="19BD63E6"/>
    <w:rsid w:val="19C3097F"/>
    <w:rsid w:val="19E020D4"/>
    <w:rsid w:val="19F81307"/>
    <w:rsid w:val="19FB4FF9"/>
    <w:rsid w:val="19FC0EA3"/>
    <w:rsid w:val="1A044015"/>
    <w:rsid w:val="1A0538E9"/>
    <w:rsid w:val="1A363BA1"/>
    <w:rsid w:val="1A4434A4"/>
    <w:rsid w:val="1A526FE4"/>
    <w:rsid w:val="1A554870"/>
    <w:rsid w:val="1A600746"/>
    <w:rsid w:val="1A7212E2"/>
    <w:rsid w:val="1A7E3F2C"/>
    <w:rsid w:val="1A8F7DC3"/>
    <w:rsid w:val="1A933BF8"/>
    <w:rsid w:val="1AFD4F2D"/>
    <w:rsid w:val="1B000A4D"/>
    <w:rsid w:val="1B0D514B"/>
    <w:rsid w:val="1B330C0C"/>
    <w:rsid w:val="1B3C333B"/>
    <w:rsid w:val="1B486183"/>
    <w:rsid w:val="1B5E7A18"/>
    <w:rsid w:val="1B601107"/>
    <w:rsid w:val="1B886580"/>
    <w:rsid w:val="1BA3785E"/>
    <w:rsid w:val="1BB15657"/>
    <w:rsid w:val="1BBB515F"/>
    <w:rsid w:val="1BBE6445"/>
    <w:rsid w:val="1BC11A92"/>
    <w:rsid w:val="1BC81072"/>
    <w:rsid w:val="1BD417C5"/>
    <w:rsid w:val="1BD712B5"/>
    <w:rsid w:val="1C0025BA"/>
    <w:rsid w:val="1C05309F"/>
    <w:rsid w:val="1C112A19"/>
    <w:rsid w:val="1C21061D"/>
    <w:rsid w:val="1C352AF7"/>
    <w:rsid w:val="1C56667E"/>
    <w:rsid w:val="1C6E25C5"/>
    <w:rsid w:val="1C766D20"/>
    <w:rsid w:val="1C9365B5"/>
    <w:rsid w:val="1C980A44"/>
    <w:rsid w:val="1CA6062E"/>
    <w:rsid w:val="1CB77386"/>
    <w:rsid w:val="1CC21F65"/>
    <w:rsid w:val="1CD37CCF"/>
    <w:rsid w:val="1CD53A47"/>
    <w:rsid w:val="1CDD28FB"/>
    <w:rsid w:val="1CE43C8A"/>
    <w:rsid w:val="1CF86BD6"/>
    <w:rsid w:val="1D225E65"/>
    <w:rsid w:val="1D392227"/>
    <w:rsid w:val="1D5E41C9"/>
    <w:rsid w:val="1D5F1562"/>
    <w:rsid w:val="1D6E79F7"/>
    <w:rsid w:val="1D7E7C3A"/>
    <w:rsid w:val="1DFE18A8"/>
    <w:rsid w:val="1E01086B"/>
    <w:rsid w:val="1E0A7BA4"/>
    <w:rsid w:val="1E107C7E"/>
    <w:rsid w:val="1E220F0E"/>
    <w:rsid w:val="1E2747E7"/>
    <w:rsid w:val="1E2C7696"/>
    <w:rsid w:val="1E2F7187"/>
    <w:rsid w:val="1E85149C"/>
    <w:rsid w:val="1E8829F7"/>
    <w:rsid w:val="1E9E60BA"/>
    <w:rsid w:val="1ECC70CB"/>
    <w:rsid w:val="1EDD4E34"/>
    <w:rsid w:val="1EE2069D"/>
    <w:rsid w:val="1EE35722"/>
    <w:rsid w:val="1EEC1EBD"/>
    <w:rsid w:val="1F031241"/>
    <w:rsid w:val="1F4653BC"/>
    <w:rsid w:val="1F4C5B16"/>
    <w:rsid w:val="1F5307B6"/>
    <w:rsid w:val="1F530CDA"/>
    <w:rsid w:val="1F5E41C7"/>
    <w:rsid w:val="1F7237CF"/>
    <w:rsid w:val="1F7C289F"/>
    <w:rsid w:val="1F9D6372"/>
    <w:rsid w:val="1FCD6C57"/>
    <w:rsid w:val="1FF70178"/>
    <w:rsid w:val="20085EE1"/>
    <w:rsid w:val="201137B3"/>
    <w:rsid w:val="201326D4"/>
    <w:rsid w:val="201A79C2"/>
    <w:rsid w:val="20232EA6"/>
    <w:rsid w:val="2027280B"/>
    <w:rsid w:val="204F1D62"/>
    <w:rsid w:val="206A26F8"/>
    <w:rsid w:val="206A6B9C"/>
    <w:rsid w:val="206C2914"/>
    <w:rsid w:val="20AC2D10"/>
    <w:rsid w:val="20B857F4"/>
    <w:rsid w:val="20C22534"/>
    <w:rsid w:val="20D54C81"/>
    <w:rsid w:val="20DA787E"/>
    <w:rsid w:val="20E424AA"/>
    <w:rsid w:val="20F12E19"/>
    <w:rsid w:val="21127DD7"/>
    <w:rsid w:val="213347C0"/>
    <w:rsid w:val="213A5DCC"/>
    <w:rsid w:val="213D0D46"/>
    <w:rsid w:val="215C0A16"/>
    <w:rsid w:val="21604622"/>
    <w:rsid w:val="21657114"/>
    <w:rsid w:val="217D1886"/>
    <w:rsid w:val="21B52AD4"/>
    <w:rsid w:val="21BA6626"/>
    <w:rsid w:val="21DD6DE7"/>
    <w:rsid w:val="21E40288"/>
    <w:rsid w:val="21EB1616"/>
    <w:rsid w:val="21F26E49"/>
    <w:rsid w:val="22015A34"/>
    <w:rsid w:val="22196184"/>
    <w:rsid w:val="22456F79"/>
    <w:rsid w:val="22541CC2"/>
    <w:rsid w:val="22612CC2"/>
    <w:rsid w:val="226E6D6F"/>
    <w:rsid w:val="226F3FF6"/>
    <w:rsid w:val="227C6FEA"/>
    <w:rsid w:val="229677D4"/>
    <w:rsid w:val="22A31395"/>
    <w:rsid w:val="22BB548D"/>
    <w:rsid w:val="22C72083"/>
    <w:rsid w:val="22E04EF3"/>
    <w:rsid w:val="230307BE"/>
    <w:rsid w:val="23103C9C"/>
    <w:rsid w:val="2315436D"/>
    <w:rsid w:val="23272B22"/>
    <w:rsid w:val="232B0864"/>
    <w:rsid w:val="23333763"/>
    <w:rsid w:val="23377209"/>
    <w:rsid w:val="2338088B"/>
    <w:rsid w:val="234731C4"/>
    <w:rsid w:val="236553F8"/>
    <w:rsid w:val="23664F4F"/>
    <w:rsid w:val="23742F66"/>
    <w:rsid w:val="23750B7B"/>
    <w:rsid w:val="23775858"/>
    <w:rsid w:val="238B30B1"/>
    <w:rsid w:val="238E2BA1"/>
    <w:rsid w:val="23A423C5"/>
    <w:rsid w:val="23AB5501"/>
    <w:rsid w:val="23C358BC"/>
    <w:rsid w:val="23CE11F0"/>
    <w:rsid w:val="23CE7442"/>
    <w:rsid w:val="23D32BF0"/>
    <w:rsid w:val="24060D92"/>
    <w:rsid w:val="24156E1F"/>
    <w:rsid w:val="242A1B68"/>
    <w:rsid w:val="243C436C"/>
    <w:rsid w:val="244C7BF3"/>
    <w:rsid w:val="245B0CD5"/>
    <w:rsid w:val="246A0F18"/>
    <w:rsid w:val="24771B3B"/>
    <w:rsid w:val="247F0237"/>
    <w:rsid w:val="24E30CCB"/>
    <w:rsid w:val="2512195F"/>
    <w:rsid w:val="25325BEA"/>
    <w:rsid w:val="25506360"/>
    <w:rsid w:val="255B6AB3"/>
    <w:rsid w:val="25654652"/>
    <w:rsid w:val="25711883"/>
    <w:rsid w:val="25714529"/>
    <w:rsid w:val="257C0AB4"/>
    <w:rsid w:val="257D00DA"/>
    <w:rsid w:val="258E61E7"/>
    <w:rsid w:val="259459A7"/>
    <w:rsid w:val="259D531E"/>
    <w:rsid w:val="25A33D1C"/>
    <w:rsid w:val="25A85FDB"/>
    <w:rsid w:val="25AC730F"/>
    <w:rsid w:val="25B55084"/>
    <w:rsid w:val="25D24FC7"/>
    <w:rsid w:val="25DE062A"/>
    <w:rsid w:val="25FC764B"/>
    <w:rsid w:val="25FF2BAC"/>
    <w:rsid w:val="261A7A69"/>
    <w:rsid w:val="2624173D"/>
    <w:rsid w:val="2632248D"/>
    <w:rsid w:val="26394FB6"/>
    <w:rsid w:val="26413EFB"/>
    <w:rsid w:val="265C2D5E"/>
    <w:rsid w:val="267111C5"/>
    <w:rsid w:val="267F74F6"/>
    <w:rsid w:val="26AB7615"/>
    <w:rsid w:val="26AC17FC"/>
    <w:rsid w:val="26D87BBC"/>
    <w:rsid w:val="26D97E39"/>
    <w:rsid w:val="26DD00C8"/>
    <w:rsid w:val="27197B4D"/>
    <w:rsid w:val="271D04C4"/>
    <w:rsid w:val="27335F39"/>
    <w:rsid w:val="27436541"/>
    <w:rsid w:val="27441EF5"/>
    <w:rsid w:val="275163C0"/>
    <w:rsid w:val="276318B8"/>
    <w:rsid w:val="276F74CA"/>
    <w:rsid w:val="27733676"/>
    <w:rsid w:val="277771ED"/>
    <w:rsid w:val="279938C3"/>
    <w:rsid w:val="27A916CA"/>
    <w:rsid w:val="27AD3F9C"/>
    <w:rsid w:val="27B626C7"/>
    <w:rsid w:val="27C06CFE"/>
    <w:rsid w:val="27C2753A"/>
    <w:rsid w:val="27CC3C98"/>
    <w:rsid w:val="27E2526A"/>
    <w:rsid w:val="27E72880"/>
    <w:rsid w:val="27EC7E96"/>
    <w:rsid w:val="27F82CDF"/>
    <w:rsid w:val="27FD02F5"/>
    <w:rsid w:val="28041684"/>
    <w:rsid w:val="28096C9A"/>
    <w:rsid w:val="280D678A"/>
    <w:rsid w:val="281E2746"/>
    <w:rsid w:val="282B08CE"/>
    <w:rsid w:val="2864332B"/>
    <w:rsid w:val="286C3BF6"/>
    <w:rsid w:val="288A4CA2"/>
    <w:rsid w:val="28967235"/>
    <w:rsid w:val="28A54C15"/>
    <w:rsid w:val="28BD07B9"/>
    <w:rsid w:val="28C055AB"/>
    <w:rsid w:val="28CD611F"/>
    <w:rsid w:val="28DB1694"/>
    <w:rsid w:val="28E82D54"/>
    <w:rsid w:val="28EA13DF"/>
    <w:rsid w:val="292D0389"/>
    <w:rsid w:val="294A57BC"/>
    <w:rsid w:val="296B1A60"/>
    <w:rsid w:val="296F5223"/>
    <w:rsid w:val="299459B1"/>
    <w:rsid w:val="29A46C7B"/>
    <w:rsid w:val="29B27E73"/>
    <w:rsid w:val="29E34E82"/>
    <w:rsid w:val="29ED5768"/>
    <w:rsid w:val="2A1A2140"/>
    <w:rsid w:val="2A1C3834"/>
    <w:rsid w:val="2A6015BE"/>
    <w:rsid w:val="2A7C2A0C"/>
    <w:rsid w:val="2A834AE2"/>
    <w:rsid w:val="2AA81143"/>
    <w:rsid w:val="2ABA14D8"/>
    <w:rsid w:val="2ABB200C"/>
    <w:rsid w:val="2ABB2B02"/>
    <w:rsid w:val="2AC60E73"/>
    <w:rsid w:val="2AC84BEB"/>
    <w:rsid w:val="2ACC14D5"/>
    <w:rsid w:val="2AE01F34"/>
    <w:rsid w:val="2AEC60AB"/>
    <w:rsid w:val="2AEE24AC"/>
    <w:rsid w:val="2AF7488D"/>
    <w:rsid w:val="2B115975"/>
    <w:rsid w:val="2B471BF1"/>
    <w:rsid w:val="2B4F6426"/>
    <w:rsid w:val="2B4F7378"/>
    <w:rsid w:val="2B7D59D5"/>
    <w:rsid w:val="2B800109"/>
    <w:rsid w:val="2B8562FE"/>
    <w:rsid w:val="2B88437A"/>
    <w:rsid w:val="2B8A6344"/>
    <w:rsid w:val="2B9A6B7B"/>
    <w:rsid w:val="2BA93F88"/>
    <w:rsid w:val="2BAD603D"/>
    <w:rsid w:val="2BB138D1"/>
    <w:rsid w:val="2BBD2276"/>
    <w:rsid w:val="2BBE1B4A"/>
    <w:rsid w:val="2BC52DC6"/>
    <w:rsid w:val="2BD8582F"/>
    <w:rsid w:val="2BDB6BA0"/>
    <w:rsid w:val="2BE55328"/>
    <w:rsid w:val="2BFC0FF0"/>
    <w:rsid w:val="2BFF463C"/>
    <w:rsid w:val="2C110D10"/>
    <w:rsid w:val="2C1711F7"/>
    <w:rsid w:val="2C1F083A"/>
    <w:rsid w:val="2C2E6CCF"/>
    <w:rsid w:val="2C332538"/>
    <w:rsid w:val="2C3A1B18"/>
    <w:rsid w:val="2C4118B1"/>
    <w:rsid w:val="2C463402"/>
    <w:rsid w:val="2C5524AE"/>
    <w:rsid w:val="2C6426F1"/>
    <w:rsid w:val="2C6646BB"/>
    <w:rsid w:val="2C6D5A4A"/>
    <w:rsid w:val="2C720C5C"/>
    <w:rsid w:val="2C731985"/>
    <w:rsid w:val="2CA62D0A"/>
    <w:rsid w:val="2CAB47C4"/>
    <w:rsid w:val="2CAF6062"/>
    <w:rsid w:val="2CB23118"/>
    <w:rsid w:val="2CC413E2"/>
    <w:rsid w:val="2CC651A3"/>
    <w:rsid w:val="2CCB451E"/>
    <w:rsid w:val="2CF717B7"/>
    <w:rsid w:val="2D045C82"/>
    <w:rsid w:val="2D0D1EDF"/>
    <w:rsid w:val="2D12039F"/>
    <w:rsid w:val="2D156581"/>
    <w:rsid w:val="2D216834"/>
    <w:rsid w:val="2D237B5F"/>
    <w:rsid w:val="2D442A76"/>
    <w:rsid w:val="2D49642B"/>
    <w:rsid w:val="2D5C5F0A"/>
    <w:rsid w:val="2D6266C8"/>
    <w:rsid w:val="2D8079FF"/>
    <w:rsid w:val="2D9D235F"/>
    <w:rsid w:val="2DD13DB6"/>
    <w:rsid w:val="2DDB6BB2"/>
    <w:rsid w:val="2DEF7290"/>
    <w:rsid w:val="2DF80343"/>
    <w:rsid w:val="2DFE4282"/>
    <w:rsid w:val="2E062593"/>
    <w:rsid w:val="2E19750B"/>
    <w:rsid w:val="2E232138"/>
    <w:rsid w:val="2E3D58F0"/>
    <w:rsid w:val="2E410027"/>
    <w:rsid w:val="2E42563F"/>
    <w:rsid w:val="2E515D29"/>
    <w:rsid w:val="2E573752"/>
    <w:rsid w:val="2E804559"/>
    <w:rsid w:val="2EF44200"/>
    <w:rsid w:val="2F063B68"/>
    <w:rsid w:val="2F3E36CD"/>
    <w:rsid w:val="2F6C023B"/>
    <w:rsid w:val="2F7F65C3"/>
    <w:rsid w:val="2FAA362C"/>
    <w:rsid w:val="2FB4043D"/>
    <w:rsid w:val="2FBE036A"/>
    <w:rsid w:val="2FD2606B"/>
    <w:rsid w:val="2FE853E7"/>
    <w:rsid w:val="300809E8"/>
    <w:rsid w:val="30085277"/>
    <w:rsid w:val="30176A6B"/>
    <w:rsid w:val="301B3A0F"/>
    <w:rsid w:val="30240B15"/>
    <w:rsid w:val="302F373C"/>
    <w:rsid w:val="30662EDC"/>
    <w:rsid w:val="306742E8"/>
    <w:rsid w:val="30731155"/>
    <w:rsid w:val="30A718B6"/>
    <w:rsid w:val="30BC0D4E"/>
    <w:rsid w:val="30BC4939"/>
    <w:rsid w:val="30C220DC"/>
    <w:rsid w:val="30C9346B"/>
    <w:rsid w:val="30CF6B01"/>
    <w:rsid w:val="30EB68FA"/>
    <w:rsid w:val="30F32296"/>
    <w:rsid w:val="30F6609D"/>
    <w:rsid w:val="310E0E7D"/>
    <w:rsid w:val="311238C8"/>
    <w:rsid w:val="31140B8A"/>
    <w:rsid w:val="312A63D2"/>
    <w:rsid w:val="312D57A8"/>
    <w:rsid w:val="313C773B"/>
    <w:rsid w:val="31440D43"/>
    <w:rsid w:val="31513D86"/>
    <w:rsid w:val="31556AAC"/>
    <w:rsid w:val="31886E82"/>
    <w:rsid w:val="318E15B0"/>
    <w:rsid w:val="319822FC"/>
    <w:rsid w:val="31A55C86"/>
    <w:rsid w:val="31B83C01"/>
    <w:rsid w:val="31C61758"/>
    <w:rsid w:val="31E247B3"/>
    <w:rsid w:val="31FD161E"/>
    <w:rsid w:val="3212499D"/>
    <w:rsid w:val="32131DF5"/>
    <w:rsid w:val="321A3377"/>
    <w:rsid w:val="3225455D"/>
    <w:rsid w:val="322F44D8"/>
    <w:rsid w:val="323E5C15"/>
    <w:rsid w:val="32616EAD"/>
    <w:rsid w:val="32621481"/>
    <w:rsid w:val="327F1504"/>
    <w:rsid w:val="32987598"/>
    <w:rsid w:val="329A6E6D"/>
    <w:rsid w:val="329D4C03"/>
    <w:rsid w:val="32A01FA9"/>
    <w:rsid w:val="32AD08DB"/>
    <w:rsid w:val="32BA306B"/>
    <w:rsid w:val="32C23C80"/>
    <w:rsid w:val="32DD4FAB"/>
    <w:rsid w:val="32FC50E2"/>
    <w:rsid w:val="32FE40E3"/>
    <w:rsid w:val="33070A96"/>
    <w:rsid w:val="330B7D6A"/>
    <w:rsid w:val="33543E57"/>
    <w:rsid w:val="337B62D2"/>
    <w:rsid w:val="33813B89"/>
    <w:rsid w:val="33833DA5"/>
    <w:rsid w:val="339A10EE"/>
    <w:rsid w:val="33A02904"/>
    <w:rsid w:val="33AD7074"/>
    <w:rsid w:val="33DB598F"/>
    <w:rsid w:val="33E94F54"/>
    <w:rsid w:val="33F16F60"/>
    <w:rsid w:val="33F97BC3"/>
    <w:rsid w:val="34073F4A"/>
    <w:rsid w:val="340C5B48"/>
    <w:rsid w:val="34291F84"/>
    <w:rsid w:val="342D5594"/>
    <w:rsid w:val="34346E4D"/>
    <w:rsid w:val="343E7CCC"/>
    <w:rsid w:val="34425A0E"/>
    <w:rsid w:val="34451A66"/>
    <w:rsid w:val="34546A3D"/>
    <w:rsid w:val="3457480D"/>
    <w:rsid w:val="34925AD5"/>
    <w:rsid w:val="34943D90"/>
    <w:rsid w:val="34A86268"/>
    <w:rsid w:val="34AE5530"/>
    <w:rsid w:val="34B241A1"/>
    <w:rsid w:val="34B47F8E"/>
    <w:rsid w:val="34B54432"/>
    <w:rsid w:val="34B8182C"/>
    <w:rsid w:val="34DC2104"/>
    <w:rsid w:val="34E416BB"/>
    <w:rsid w:val="34F0546A"/>
    <w:rsid w:val="35016C06"/>
    <w:rsid w:val="350B22A4"/>
    <w:rsid w:val="35222D72"/>
    <w:rsid w:val="352277AB"/>
    <w:rsid w:val="353D1718"/>
    <w:rsid w:val="3546508A"/>
    <w:rsid w:val="354B6B44"/>
    <w:rsid w:val="355D23D3"/>
    <w:rsid w:val="35733F51"/>
    <w:rsid w:val="357716E7"/>
    <w:rsid w:val="35956011"/>
    <w:rsid w:val="35AB56F6"/>
    <w:rsid w:val="35AD5109"/>
    <w:rsid w:val="35AE03E3"/>
    <w:rsid w:val="35B53625"/>
    <w:rsid w:val="35BC359E"/>
    <w:rsid w:val="35CA5CBB"/>
    <w:rsid w:val="35CD1307"/>
    <w:rsid w:val="35D94150"/>
    <w:rsid w:val="36080591"/>
    <w:rsid w:val="36211653"/>
    <w:rsid w:val="36401AD9"/>
    <w:rsid w:val="36547995"/>
    <w:rsid w:val="3656754F"/>
    <w:rsid w:val="36615FE2"/>
    <w:rsid w:val="366C4FC4"/>
    <w:rsid w:val="366C6D72"/>
    <w:rsid w:val="368466C6"/>
    <w:rsid w:val="368816D2"/>
    <w:rsid w:val="368F480F"/>
    <w:rsid w:val="36A75343"/>
    <w:rsid w:val="36A75FFC"/>
    <w:rsid w:val="36B67162"/>
    <w:rsid w:val="36CC7811"/>
    <w:rsid w:val="36EC3A0F"/>
    <w:rsid w:val="370A6B06"/>
    <w:rsid w:val="370F0F1F"/>
    <w:rsid w:val="37224DEA"/>
    <w:rsid w:val="372E16F2"/>
    <w:rsid w:val="373044DC"/>
    <w:rsid w:val="373B6744"/>
    <w:rsid w:val="373E2446"/>
    <w:rsid w:val="37407D7B"/>
    <w:rsid w:val="37424C44"/>
    <w:rsid w:val="374D013B"/>
    <w:rsid w:val="37623CD1"/>
    <w:rsid w:val="37645C9B"/>
    <w:rsid w:val="37661A13"/>
    <w:rsid w:val="376E2676"/>
    <w:rsid w:val="377203B8"/>
    <w:rsid w:val="378A652E"/>
    <w:rsid w:val="37A52596"/>
    <w:rsid w:val="37AF3366"/>
    <w:rsid w:val="37BA1509"/>
    <w:rsid w:val="37C60704"/>
    <w:rsid w:val="37C97B8C"/>
    <w:rsid w:val="37D20E57"/>
    <w:rsid w:val="37D90437"/>
    <w:rsid w:val="37E34E12"/>
    <w:rsid w:val="37F60442"/>
    <w:rsid w:val="37FA2165"/>
    <w:rsid w:val="38254583"/>
    <w:rsid w:val="3828316D"/>
    <w:rsid w:val="382C4A0B"/>
    <w:rsid w:val="382E38EF"/>
    <w:rsid w:val="383218F5"/>
    <w:rsid w:val="383C2774"/>
    <w:rsid w:val="38534266"/>
    <w:rsid w:val="386F2B4A"/>
    <w:rsid w:val="387D5266"/>
    <w:rsid w:val="38855EC9"/>
    <w:rsid w:val="388A1731"/>
    <w:rsid w:val="38A24CCD"/>
    <w:rsid w:val="38A4483B"/>
    <w:rsid w:val="38A556B4"/>
    <w:rsid w:val="38C42814"/>
    <w:rsid w:val="38CA5FD2"/>
    <w:rsid w:val="38E64AC2"/>
    <w:rsid w:val="39251FE6"/>
    <w:rsid w:val="395E56E7"/>
    <w:rsid w:val="395F671A"/>
    <w:rsid w:val="396F22EF"/>
    <w:rsid w:val="39863D18"/>
    <w:rsid w:val="398643DF"/>
    <w:rsid w:val="399860D0"/>
    <w:rsid w:val="399C4FAD"/>
    <w:rsid w:val="39A20CFD"/>
    <w:rsid w:val="39A607ED"/>
    <w:rsid w:val="39AC2784"/>
    <w:rsid w:val="39F94DC1"/>
    <w:rsid w:val="39FE3B90"/>
    <w:rsid w:val="3A06128C"/>
    <w:rsid w:val="3A273C34"/>
    <w:rsid w:val="3A43114E"/>
    <w:rsid w:val="3A4D6EBA"/>
    <w:rsid w:val="3A63561E"/>
    <w:rsid w:val="3A685AA2"/>
    <w:rsid w:val="3A887EF3"/>
    <w:rsid w:val="3A9B19D4"/>
    <w:rsid w:val="3AB74334"/>
    <w:rsid w:val="3ABC7B9C"/>
    <w:rsid w:val="3ABF3A64"/>
    <w:rsid w:val="3AC84702"/>
    <w:rsid w:val="3AEF1127"/>
    <w:rsid w:val="3AF74E62"/>
    <w:rsid w:val="3AFE47B5"/>
    <w:rsid w:val="3B023801"/>
    <w:rsid w:val="3B0726A2"/>
    <w:rsid w:val="3B0D21A6"/>
    <w:rsid w:val="3B225662"/>
    <w:rsid w:val="3B2E0A9A"/>
    <w:rsid w:val="3B4E3123"/>
    <w:rsid w:val="3B5418C9"/>
    <w:rsid w:val="3B6C3AB4"/>
    <w:rsid w:val="3B912DD7"/>
    <w:rsid w:val="3BB14E02"/>
    <w:rsid w:val="3BB54D17"/>
    <w:rsid w:val="3BC34F00"/>
    <w:rsid w:val="3BCE7B87"/>
    <w:rsid w:val="3BE839DA"/>
    <w:rsid w:val="3BF21AC7"/>
    <w:rsid w:val="3BFA6BCE"/>
    <w:rsid w:val="3C1E0A9B"/>
    <w:rsid w:val="3C1F03E3"/>
    <w:rsid w:val="3C2A6EA9"/>
    <w:rsid w:val="3C4542ED"/>
    <w:rsid w:val="3C465947"/>
    <w:rsid w:val="3C553E04"/>
    <w:rsid w:val="3C7249B6"/>
    <w:rsid w:val="3CA628B2"/>
    <w:rsid w:val="3CB1315A"/>
    <w:rsid w:val="3CD15B81"/>
    <w:rsid w:val="3CD25455"/>
    <w:rsid w:val="3CDE029E"/>
    <w:rsid w:val="3CE138EA"/>
    <w:rsid w:val="3CE75864"/>
    <w:rsid w:val="3D0C4E0B"/>
    <w:rsid w:val="3D0C6BB9"/>
    <w:rsid w:val="3D1617E6"/>
    <w:rsid w:val="3D2F02CC"/>
    <w:rsid w:val="3D2F52C6"/>
    <w:rsid w:val="3D332398"/>
    <w:rsid w:val="3D3A1978"/>
    <w:rsid w:val="3D424D79"/>
    <w:rsid w:val="3D581605"/>
    <w:rsid w:val="3D5A3DC8"/>
    <w:rsid w:val="3D65451B"/>
    <w:rsid w:val="3D66645D"/>
    <w:rsid w:val="3D6E1622"/>
    <w:rsid w:val="3DA16A36"/>
    <w:rsid w:val="3DA768E2"/>
    <w:rsid w:val="3DC254CA"/>
    <w:rsid w:val="3DCB3191"/>
    <w:rsid w:val="3DCC6348"/>
    <w:rsid w:val="3DCE530E"/>
    <w:rsid w:val="3DD47DFE"/>
    <w:rsid w:val="3DFD4754"/>
    <w:rsid w:val="3E0808AB"/>
    <w:rsid w:val="3E0A2D77"/>
    <w:rsid w:val="3E0B6E71"/>
    <w:rsid w:val="3E0F40CF"/>
    <w:rsid w:val="3E1432FE"/>
    <w:rsid w:val="3E263CAA"/>
    <w:rsid w:val="3E27133C"/>
    <w:rsid w:val="3E38578C"/>
    <w:rsid w:val="3E467EA9"/>
    <w:rsid w:val="3E4B652F"/>
    <w:rsid w:val="3E6026BE"/>
    <w:rsid w:val="3E925F20"/>
    <w:rsid w:val="3E935C3B"/>
    <w:rsid w:val="3E9C1AC2"/>
    <w:rsid w:val="3E9E5F37"/>
    <w:rsid w:val="3EAB41B0"/>
    <w:rsid w:val="3EAE391C"/>
    <w:rsid w:val="3ECB7146"/>
    <w:rsid w:val="3ECD2378"/>
    <w:rsid w:val="3ED52C04"/>
    <w:rsid w:val="3ED57CDA"/>
    <w:rsid w:val="3ED656D0"/>
    <w:rsid w:val="3EDD5CEC"/>
    <w:rsid w:val="3EEE6411"/>
    <w:rsid w:val="3EF67B21"/>
    <w:rsid w:val="3F053C62"/>
    <w:rsid w:val="3F0B2EA0"/>
    <w:rsid w:val="3F147FA7"/>
    <w:rsid w:val="3F23643C"/>
    <w:rsid w:val="3F3D07F5"/>
    <w:rsid w:val="3F446ADE"/>
    <w:rsid w:val="3F5465F5"/>
    <w:rsid w:val="3F65130D"/>
    <w:rsid w:val="3F9966FE"/>
    <w:rsid w:val="3F9B2F92"/>
    <w:rsid w:val="3FAE5D48"/>
    <w:rsid w:val="3FBA6DA0"/>
    <w:rsid w:val="3FDA11F0"/>
    <w:rsid w:val="3FDA4D4C"/>
    <w:rsid w:val="3FE156B2"/>
    <w:rsid w:val="3FE21E53"/>
    <w:rsid w:val="3FFF47B3"/>
    <w:rsid w:val="400E49F6"/>
    <w:rsid w:val="401D10DD"/>
    <w:rsid w:val="402E6E46"/>
    <w:rsid w:val="40536250"/>
    <w:rsid w:val="406D5BC1"/>
    <w:rsid w:val="407D1B7C"/>
    <w:rsid w:val="40970E8F"/>
    <w:rsid w:val="40972C3D"/>
    <w:rsid w:val="40B7508E"/>
    <w:rsid w:val="40CD3353"/>
    <w:rsid w:val="40D32C22"/>
    <w:rsid w:val="40EB11DB"/>
    <w:rsid w:val="40F17706"/>
    <w:rsid w:val="40F2256A"/>
    <w:rsid w:val="40F4221B"/>
    <w:rsid w:val="40F7192E"/>
    <w:rsid w:val="40F938F8"/>
    <w:rsid w:val="411029F0"/>
    <w:rsid w:val="413D1A37"/>
    <w:rsid w:val="413E755D"/>
    <w:rsid w:val="41627F5C"/>
    <w:rsid w:val="41854E04"/>
    <w:rsid w:val="4194717D"/>
    <w:rsid w:val="419A57EC"/>
    <w:rsid w:val="419B4C0C"/>
    <w:rsid w:val="41A2189A"/>
    <w:rsid w:val="41B827AF"/>
    <w:rsid w:val="41C703B3"/>
    <w:rsid w:val="41D072D4"/>
    <w:rsid w:val="41DB2FFE"/>
    <w:rsid w:val="41EC2EEF"/>
    <w:rsid w:val="42073DF3"/>
    <w:rsid w:val="420C610C"/>
    <w:rsid w:val="42126564"/>
    <w:rsid w:val="42170F9D"/>
    <w:rsid w:val="421F2EEA"/>
    <w:rsid w:val="42227AF1"/>
    <w:rsid w:val="42234756"/>
    <w:rsid w:val="42587653"/>
    <w:rsid w:val="425A6F73"/>
    <w:rsid w:val="426E79CE"/>
    <w:rsid w:val="4278084D"/>
    <w:rsid w:val="427C658F"/>
    <w:rsid w:val="429513FF"/>
    <w:rsid w:val="42982C9D"/>
    <w:rsid w:val="42A81132"/>
    <w:rsid w:val="42B17F68"/>
    <w:rsid w:val="42BD4FAE"/>
    <w:rsid w:val="42ED2FE9"/>
    <w:rsid w:val="42F32B33"/>
    <w:rsid w:val="42FE73AB"/>
    <w:rsid w:val="43144B7B"/>
    <w:rsid w:val="431765E0"/>
    <w:rsid w:val="431C38CE"/>
    <w:rsid w:val="432927CA"/>
    <w:rsid w:val="432A1CC2"/>
    <w:rsid w:val="434114E5"/>
    <w:rsid w:val="434A21E9"/>
    <w:rsid w:val="43607C5E"/>
    <w:rsid w:val="436E1237"/>
    <w:rsid w:val="437159C8"/>
    <w:rsid w:val="438C2802"/>
    <w:rsid w:val="43AC05A5"/>
    <w:rsid w:val="43B104BA"/>
    <w:rsid w:val="43B74E39"/>
    <w:rsid w:val="43B908D7"/>
    <w:rsid w:val="43B9736F"/>
    <w:rsid w:val="43D9356D"/>
    <w:rsid w:val="43E33FD1"/>
    <w:rsid w:val="43E3619A"/>
    <w:rsid w:val="43FE181E"/>
    <w:rsid w:val="44024872"/>
    <w:rsid w:val="440D24E8"/>
    <w:rsid w:val="441B1DD7"/>
    <w:rsid w:val="443D58AA"/>
    <w:rsid w:val="4458062F"/>
    <w:rsid w:val="445B0B70"/>
    <w:rsid w:val="44624D59"/>
    <w:rsid w:val="4469003D"/>
    <w:rsid w:val="446B68BB"/>
    <w:rsid w:val="447D039C"/>
    <w:rsid w:val="44920A22"/>
    <w:rsid w:val="44C9538F"/>
    <w:rsid w:val="44E73A68"/>
    <w:rsid w:val="44EE129A"/>
    <w:rsid w:val="44F1657C"/>
    <w:rsid w:val="44F3065E"/>
    <w:rsid w:val="45116B80"/>
    <w:rsid w:val="451F2D8F"/>
    <w:rsid w:val="452E56DC"/>
    <w:rsid w:val="453873E8"/>
    <w:rsid w:val="4538740E"/>
    <w:rsid w:val="4540521A"/>
    <w:rsid w:val="454D5FC1"/>
    <w:rsid w:val="455410FD"/>
    <w:rsid w:val="456953A7"/>
    <w:rsid w:val="45723C79"/>
    <w:rsid w:val="457F1EF2"/>
    <w:rsid w:val="45941E41"/>
    <w:rsid w:val="459C3262"/>
    <w:rsid w:val="459E4A6E"/>
    <w:rsid w:val="45B80AAF"/>
    <w:rsid w:val="45EA380F"/>
    <w:rsid w:val="46102858"/>
    <w:rsid w:val="461E795D"/>
    <w:rsid w:val="46380A1F"/>
    <w:rsid w:val="4649452A"/>
    <w:rsid w:val="46517D32"/>
    <w:rsid w:val="46560EA5"/>
    <w:rsid w:val="465810C1"/>
    <w:rsid w:val="46633E5E"/>
    <w:rsid w:val="46674E60"/>
    <w:rsid w:val="46690BD8"/>
    <w:rsid w:val="46753A21"/>
    <w:rsid w:val="46827EEC"/>
    <w:rsid w:val="468A6DA0"/>
    <w:rsid w:val="46A61E2C"/>
    <w:rsid w:val="46B1432D"/>
    <w:rsid w:val="46BD7176"/>
    <w:rsid w:val="46BF2EEE"/>
    <w:rsid w:val="46C329DE"/>
    <w:rsid w:val="46C73B51"/>
    <w:rsid w:val="46D60513"/>
    <w:rsid w:val="46D70E43"/>
    <w:rsid w:val="46D71FE6"/>
    <w:rsid w:val="46E66846"/>
    <w:rsid w:val="4714323A"/>
    <w:rsid w:val="471F65D8"/>
    <w:rsid w:val="476870E2"/>
    <w:rsid w:val="47743CD8"/>
    <w:rsid w:val="477D7930"/>
    <w:rsid w:val="4780267D"/>
    <w:rsid w:val="479354E3"/>
    <w:rsid w:val="47AB5220"/>
    <w:rsid w:val="47B16CDB"/>
    <w:rsid w:val="47EE05EF"/>
    <w:rsid w:val="47F170D7"/>
    <w:rsid w:val="47FF070F"/>
    <w:rsid w:val="48027536"/>
    <w:rsid w:val="48111527"/>
    <w:rsid w:val="4819383E"/>
    <w:rsid w:val="48215AFD"/>
    <w:rsid w:val="482F5E51"/>
    <w:rsid w:val="484A2C8B"/>
    <w:rsid w:val="48912EFC"/>
    <w:rsid w:val="48947CAB"/>
    <w:rsid w:val="48A44149"/>
    <w:rsid w:val="48B33EF7"/>
    <w:rsid w:val="48BC2899"/>
    <w:rsid w:val="48D662CD"/>
    <w:rsid w:val="48F0738F"/>
    <w:rsid w:val="490E5A67"/>
    <w:rsid w:val="491D5CAA"/>
    <w:rsid w:val="491F5EC6"/>
    <w:rsid w:val="49296D45"/>
    <w:rsid w:val="492C413F"/>
    <w:rsid w:val="49477565"/>
    <w:rsid w:val="494B3DAD"/>
    <w:rsid w:val="49574F2D"/>
    <w:rsid w:val="495A5150"/>
    <w:rsid w:val="49663AF5"/>
    <w:rsid w:val="496C3759"/>
    <w:rsid w:val="497F27A4"/>
    <w:rsid w:val="498827B6"/>
    <w:rsid w:val="4990049A"/>
    <w:rsid w:val="49B91DA4"/>
    <w:rsid w:val="49E05655"/>
    <w:rsid w:val="49E8275C"/>
    <w:rsid w:val="49E95816"/>
    <w:rsid w:val="4A0661CA"/>
    <w:rsid w:val="4A0A4F84"/>
    <w:rsid w:val="4A1016DA"/>
    <w:rsid w:val="4A17094B"/>
    <w:rsid w:val="4A3D31A8"/>
    <w:rsid w:val="4A484FA8"/>
    <w:rsid w:val="4A734ACF"/>
    <w:rsid w:val="4A741A54"/>
    <w:rsid w:val="4A7D10F6"/>
    <w:rsid w:val="4A851D59"/>
    <w:rsid w:val="4A8561FD"/>
    <w:rsid w:val="4A8F0E29"/>
    <w:rsid w:val="4A954692"/>
    <w:rsid w:val="4A995804"/>
    <w:rsid w:val="4A9F106C"/>
    <w:rsid w:val="4AA93C99"/>
    <w:rsid w:val="4ABA0F61"/>
    <w:rsid w:val="4ABA7398"/>
    <w:rsid w:val="4AC960E9"/>
    <w:rsid w:val="4AD41CA3"/>
    <w:rsid w:val="4AE253FD"/>
    <w:rsid w:val="4AE66D0E"/>
    <w:rsid w:val="4AE72C38"/>
    <w:rsid w:val="4AE835E8"/>
    <w:rsid w:val="4AF07B1A"/>
    <w:rsid w:val="4AF465C1"/>
    <w:rsid w:val="4B3C4B0D"/>
    <w:rsid w:val="4B5005B9"/>
    <w:rsid w:val="4B517E8D"/>
    <w:rsid w:val="4B58121B"/>
    <w:rsid w:val="4B616322"/>
    <w:rsid w:val="4B645E12"/>
    <w:rsid w:val="4B693428"/>
    <w:rsid w:val="4B951B65"/>
    <w:rsid w:val="4B9B5087"/>
    <w:rsid w:val="4B9C2307"/>
    <w:rsid w:val="4BAA2EFE"/>
    <w:rsid w:val="4BCB5E91"/>
    <w:rsid w:val="4BD04548"/>
    <w:rsid w:val="4BD54E32"/>
    <w:rsid w:val="4BDA4326"/>
    <w:rsid w:val="4BED5E07"/>
    <w:rsid w:val="4C017B05"/>
    <w:rsid w:val="4C177113"/>
    <w:rsid w:val="4C2F4672"/>
    <w:rsid w:val="4C3357B7"/>
    <w:rsid w:val="4C4D2D4A"/>
    <w:rsid w:val="4C511CB1"/>
    <w:rsid w:val="4C6F2CC0"/>
    <w:rsid w:val="4C7D0675"/>
    <w:rsid w:val="4C83051A"/>
    <w:rsid w:val="4C983498"/>
    <w:rsid w:val="4C9D15DC"/>
    <w:rsid w:val="4CB2430A"/>
    <w:rsid w:val="4CB6269D"/>
    <w:rsid w:val="4CB9218D"/>
    <w:rsid w:val="4CC72AFC"/>
    <w:rsid w:val="4CCE3E8B"/>
    <w:rsid w:val="4CCE79E7"/>
    <w:rsid w:val="4CD810E9"/>
    <w:rsid w:val="4CEA0599"/>
    <w:rsid w:val="4CEC4311"/>
    <w:rsid w:val="4CEE1E91"/>
    <w:rsid w:val="4D0553D3"/>
    <w:rsid w:val="4D07739D"/>
    <w:rsid w:val="4D13140C"/>
    <w:rsid w:val="4D2649DC"/>
    <w:rsid w:val="4D2717ED"/>
    <w:rsid w:val="4D2A6BE7"/>
    <w:rsid w:val="4D4203D5"/>
    <w:rsid w:val="4D441F51"/>
    <w:rsid w:val="4D5320B4"/>
    <w:rsid w:val="4D616AAD"/>
    <w:rsid w:val="4D8D3D2C"/>
    <w:rsid w:val="4D9228D2"/>
    <w:rsid w:val="4D97427D"/>
    <w:rsid w:val="4DBA440F"/>
    <w:rsid w:val="4DDE195C"/>
    <w:rsid w:val="4E402B66"/>
    <w:rsid w:val="4E4106B4"/>
    <w:rsid w:val="4E4A7541"/>
    <w:rsid w:val="4E612ADD"/>
    <w:rsid w:val="4E656E52"/>
    <w:rsid w:val="4E712D20"/>
    <w:rsid w:val="4E9702AC"/>
    <w:rsid w:val="4E9C365E"/>
    <w:rsid w:val="4EDB463D"/>
    <w:rsid w:val="4EEC23A6"/>
    <w:rsid w:val="4F041DE6"/>
    <w:rsid w:val="4F1202A0"/>
    <w:rsid w:val="4F2032FB"/>
    <w:rsid w:val="4F251D5C"/>
    <w:rsid w:val="4F27241A"/>
    <w:rsid w:val="4F282E73"/>
    <w:rsid w:val="4F2C30EB"/>
    <w:rsid w:val="4F5733FF"/>
    <w:rsid w:val="4F5F0DCA"/>
    <w:rsid w:val="4F674123"/>
    <w:rsid w:val="4F6F4D85"/>
    <w:rsid w:val="4F76401E"/>
    <w:rsid w:val="4F7B372A"/>
    <w:rsid w:val="4FBA28EB"/>
    <w:rsid w:val="4FDD6193"/>
    <w:rsid w:val="4FDF63AF"/>
    <w:rsid w:val="4FE87012"/>
    <w:rsid w:val="4FEE3AC1"/>
    <w:rsid w:val="4FF97471"/>
    <w:rsid w:val="4FFF63AB"/>
    <w:rsid w:val="50016325"/>
    <w:rsid w:val="50120532"/>
    <w:rsid w:val="50301221"/>
    <w:rsid w:val="50336F03"/>
    <w:rsid w:val="503404A9"/>
    <w:rsid w:val="506A5C79"/>
    <w:rsid w:val="508036EE"/>
    <w:rsid w:val="50811214"/>
    <w:rsid w:val="508A631B"/>
    <w:rsid w:val="50AC6291"/>
    <w:rsid w:val="50AF18DD"/>
    <w:rsid w:val="50B27E82"/>
    <w:rsid w:val="50C25AB5"/>
    <w:rsid w:val="50CF49E8"/>
    <w:rsid w:val="50DB5D73"/>
    <w:rsid w:val="50DC644B"/>
    <w:rsid w:val="50E772C9"/>
    <w:rsid w:val="50E917F7"/>
    <w:rsid w:val="510818AF"/>
    <w:rsid w:val="51167BAE"/>
    <w:rsid w:val="51234079"/>
    <w:rsid w:val="512F2BF6"/>
    <w:rsid w:val="513242BC"/>
    <w:rsid w:val="51361FFF"/>
    <w:rsid w:val="514B1B1C"/>
    <w:rsid w:val="514C35D0"/>
    <w:rsid w:val="518064A7"/>
    <w:rsid w:val="518C6838"/>
    <w:rsid w:val="51997C3D"/>
    <w:rsid w:val="51B51175"/>
    <w:rsid w:val="51C92E73"/>
    <w:rsid w:val="51CA0718"/>
    <w:rsid w:val="51D27F79"/>
    <w:rsid w:val="51D82FF4"/>
    <w:rsid w:val="51DA018B"/>
    <w:rsid w:val="51E43809"/>
    <w:rsid w:val="51F15F26"/>
    <w:rsid w:val="52036385"/>
    <w:rsid w:val="52045C59"/>
    <w:rsid w:val="52181704"/>
    <w:rsid w:val="52190622"/>
    <w:rsid w:val="524D7600"/>
    <w:rsid w:val="52785224"/>
    <w:rsid w:val="529C40E3"/>
    <w:rsid w:val="529E42FF"/>
    <w:rsid w:val="52DD6B4C"/>
    <w:rsid w:val="52E43E80"/>
    <w:rsid w:val="52EA30A1"/>
    <w:rsid w:val="52EE68A0"/>
    <w:rsid w:val="52FE5BE9"/>
    <w:rsid w:val="533B1BB0"/>
    <w:rsid w:val="533D713F"/>
    <w:rsid w:val="53806ACF"/>
    <w:rsid w:val="538B13C1"/>
    <w:rsid w:val="538F59F6"/>
    <w:rsid w:val="53BB6A43"/>
    <w:rsid w:val="53F2715B"/>
    <w:rsid w:val="53FA5565"/>
    <w:rsid w:val="53FB308C"/>
    <w:rsid w:val="5402441A"/>
    <w:rsid w:val="54170908"/>
    <w:rsid w:val="54210D44"/>
    <w:rsid w:val="54352A41"/>
    <w:rsid w:val="543C792C"/>
    <w:rsid w:val="54413194"/>
    <w:rsid w:val="54442C85"/>
    <w:rsid w:val="544561BC"/>
    <w:rsid w:val="54492049"/>
    <w:rsid w:val="54513ED8"/>
    <w:rsid w:val="54534C76"/>
    <w:rsid w:val="545F1A35"/>
    <w:rsid w:val="54632CF1"/>
    <w:rsid w:val="54770964"/>
    <w:rsid w:val="54A26E00"/>
    <w:rsid w:val="54A84643"/>
    <w:rsid w:val="54AF6350"/>
    <w:rsid w:val="54CC3338"/>
    <w:rsid w:val="54CF69F2"/>
    <w:rsid w:val="54D538DD"/>
    <w:rsid w:val="54DA3B82"/>
    <w:rsid w:val="55083CB2"/>
    <w:rsid w:val="550A17D8"/>
    <w:rsid w:val="55164621"/>
    <w:rsid w:val="55320D2F"/>
    <w:rsid w:val="553966FB"/>
    <w:rsid w:val="553F1336"/>
    <w:rsid w:val="55482BB5"/>
    <w:rsid w:val="554E22CC"/>
    <w:rsid w:val="554E3824"/>
    <w:rsid w:val="557E5D22"/>
    <w:rsid w:val="55894DF3"/>
    <w:rsid w:val="55A467C8"/>
    <w:rsid w:val="55AE0621"/>
    <w:rsid w:val="55BB6F76"/>
    <w:rsid w:val="55C070A6"/>
    <w:rsid w:val="55CA71B9"/>
    <w:rsid w:val="55DD2158"/>
    <w:rsid w:val="55EE10FA"/>
    <w:rsid w:val="55F44040"/>
    <w:rsid w:val="55F942A7"/>
    <w:rsid w:val="56091A90"/>
    <w:rsid w:val="562B40FC"/>
    <w:rsid w:val="562C4278"/>
    <w:rsid w:val="56416A1C"/>
    <w:rsid w:val="56532257"/>
    <w:rsid w:val="565901FB"/>
    <w:rsid w:val="5661676B"/>
    <w:rsid w:val="56707D61"/>
    <w:rsid w:val="569A4DDE"/>
    <w:rsid w:val="569C6DA8"/>
    <w:rsid w:val="56B063AF"/>
    <w:rsid w:val="56CA0B30"/>
    <w:rsid w:val="56D55286"/>
    <w:rsid w:val="56E83D9B"/>
    <w:rsid w:val="56EE1B8C"/>
    <w:rsid w:val="573318B8"/>
    <w:rsid w:val="573E39BB"/>
    <w:rsid w:val="57467F7B"/>
    <w:rsid w:val="574865E8"/>
    <w:rsid w:val="574B2104"/>
    <w:rsid w:val="5753390A"/>
    <w:rsid w:val="577F67BE"/>
    <w:rsid w:val="57911D3D"/>
    <w:rsid w:val="5797131D"/>
    <w:rsid w:val="57B86A55"/>
    <w:rsid w:val="57BD5228"/>
    <w:rsid w:val="57C540DC"/>
    <w:rsid w:val="57CE3012"/>
    <w:rsid w:val="57E04A72"/>
    <w:rsid w:val="57E75E01"/>
    <w:rsid w:val="581110D0"/>
    <w:rsid w:val="58214533"/>
    <w:rsid w:val="58331046"/>
    <w:rsid w:val="58450D79"/>
    <w:rsid w:val="58525DD9"/>
    <w:rsid w:val="58580AAD"/>
    <w:rsid w:val="58726012"/>
    <w:rsid w:val="587F24DD"/>
    <w:rsid w:val="58847AF3"/>
    <w:rsid w:val="5889510A"/>
    <w:rsid w:val="58953AAF"/>
    <w:rsid w:val="589651AD"/>
    <w:rsid w:val="589C4E3D"/>
    <w:rsid w:val="58A15938"/>
    <w:rsid w:val="58A272E0"/>
    <w:rsid w:val="58C44394"/>
    <w:rsid w:val="58CF53CB"/>
    <w:rsid w:val="58D24809"/>
    <w:rsid w:val="58DF11CE"/>
    <w:rsid w:val="58E81E30"/>
    <w:rsid w:val="58EB36CF"/>
    <w:rsid w:val="58F00457"/>
    <w:rsid w:val="59155BDF"/>
    <w:rsid w:val="59284166"/>
    <w:rsid w:val="592D3CE7"/>
    <w:rsid w:val="59481D9C"/>
    <w:rsid w:val="59505C28"/>
    <w:rsid w:val="59614CA3"/>
    <w:rsid w:val="5967369D"/>
    <w:rsid w:val="59875AED"/>
    <w:rsid w:val="598A2EE8"/>
    <w:rsid w:val="598C2BE0"/>
    <w:rsid w:val="599B50F5"/>
    <w:rsid w:val="59A85A64"/>
    <w:rsid w:val="59BD150F"/>
    <w:rsid w:val="59EA2050"/>
    <w:rsid w:val="5A074538"/>
    <w:rsid w:val="5A56726E"/>
    <w:rsid w:val="5A897643"/>
    <w:rsid w:val="5A8B0A6A"/>
    <w:rsid w:val="5A8C2C8F"/>
    <w:rsid w:val="5A967340"/>
    <w:rsid w:val="5AA20705"/>
    <w:rsid w:val="5ABD0110"/>
    <w:rsid w:val="5AC95C92"/>
    <w:rsid w:val="5ACA5103"/>
    <w:rsid w:val="5AE825BC"/>
    <w:rsid w:val="5AEC0AAD"/>
    <w:rsid w:val="5AFE34FD"/>
    <w:rsid w:val="5B092532"/>
    <w:rsid w:val="5B0E18F6"/>
    <w:rsid w:val="5B174FD8"/>
    <w:rsid w:val="5B3A6B8F"/>
    <w:rsid w:val="5B3E6680"/>
    <w:rsid w:val="5B4F263B"/>
    <w:rsid w:val="5B75322C"/>
    <w:rsid w:val="5B8E46C8"/>
    <w:rsid w:val="5B914A01"/>
    <w:rsid w:val="5BAB1666"/>
    <w:rsid w:val="5BCD51C4"/>
    <w:rsid w:val="5BE23E61"/>
    <w:rsid w:val="5BE904E1"/>
    <w:rsid w:val="5BFB54CD"/>
    <w:rsid w:val="5C001B87"/>
    <w:rsid w:val="5C1C46DE"/>
    <w:rsid w:val="5C2C472A"/>
    <w:rsid w:val="5C2E04A2"/>
    <w:rsid w:val="5C427AAA"/>
    <w:rsid w:val="5C533A65"/>
    <w:rsid w:val="5C676FEC"/>
    <w:rsid w:val="5C7B189C"/>
    <w:rsid w:val="5C7F2AAC"/>
    <w:rsid w:val="5C900EBC"/>
    <w:rsid w:val="5CB0535B"/>
    <w:rsid w:val="5CB36BF9"/>
    <w:rsid w:val="5CB84B6A"/>
    <w:rsid w:val="5CC42BB4"/>
    <w:rsid w:val="5CCB429F"/>
    <w:rsid w:val="5CDE4EE7"/>
    <w:rsid w:val="5CE2303B"/>
    <w:rsid w:val="5CFD1C22"/>
    <w:rsid w:val="5D1F428F"/>
    <w:rsid w:val="5D2B0EFE"/>
    <w:rsid w:val="5D3537DE"/>
    <w:rsid w:val="5D492BD0"/>
    <w:rsid w:val="5D526412"/>
    <w:rsid w:val="5D5A7075"/>
    <w:rsid w:val="5D5F6439"/>
    <w:rsid w:val="5D61749E"/>
    <w:rsid w:val="5D641CA2"/>
    <w:rsid w:val="5D665A1A"/>
    <w:rsid w:val="5D7A7717"/>
    <w:rsid w:val="5D845EA0"/>
    <w:rsid w:val="5D927755"/>
    <w:rsid w:val="5D954ADB"/>
    <w:rsid w:val="5DAA1DAA"/>
    <w:rsid w:val="5DC015CE"/>
    <w:rsid w:val="5DC3689E"/>
    <w:rsid w:val="5DED1C97"/>
    <w:rsid w:val="5E0314BA"/>
    <w:rsid w:val="5E121BA9"/>
    <w:rsid w:val="5E1C257C"/>
    <w:rsid w:val="5E2D7FB9"/>
    <w:rsid w:val="5E2E29DB"/>
    <w:rsid w:val="5E341674"/>
    <w:rsid w:val="5E3420C7"/>
    <w:rsid w:val="5E3873B6"/>
    <w:rsid w:val="5E526529"/>
    <w:rsid w:val="5E626A41"/>
    <w:rsid w:val="5E655CD1"/>
    <w:rsid w:val="5E767EDE"/>
    <w:rsid w:val="5EB61FFB"/>
    <w:rsid w:val="5ED54C05"/>
    <w:rsid w:val="5F087B79"/>
    <w:rsid w:val="5F0D1A37"/>
    <w:rsid w:val="5F1119B5"/>
    <w:rsid w:val="5F16000E"/>
    <w:rsid w:val="5F304531"/>
    <w:rsid w:val="5F4678B1"/>
    <w:rsid w:val="5F5244A8"/>
    <w:rsid w:val="5F681F1D"/>
    <w:rsid w:val="5F6D308F"/>
    <w:rsid w:val="5F7C75EE"/>
    <w:rsid w:val="5F881C77"/>
    <w:rsid w:val="5FA17A19"/>
    <w:rsid w:val="5FBE21D4"/>
    <w:rsid w:val="5FCF6910"/>
    <w:rsid w:val="5FD2383A"/>
    <w:rsid w:val="5FD56E87"/>
    <w:rsid w:val="5FDE21DF"/>
    <w:rsid w:val="5FE86BBA"/>
    <w:rsid w:val="5FEB0A27"/>
    <w:rsid w:val="600532C8"/>
    <w:rsid w:val="60065292"/>
    <w:rsid w:val="600D03CE"/>
    <w:rsid w:val="601349DC"/>
    <w:rsid w:val="60363DC9"/>
    <w:rsid w:val="603B57A9"/>
    <w:rsid w:val="6051475F"/>
    <w:rsid w:val="60667AC0"/>
    <w:rsid w:val="607E12CC"/>
    <w:rsid w:val="608033BA"/>
    <w:rsid w:val="608B5521"/>
    <w:rsid w:val="60943AD9"/>
    <w:rsid w:val="60AC7BE7"/>
    <w:rsid w:val="60E655D4"/>
    <w:rsid w:val="60E66958"/>
    <w:rsid w:val="60EE4F6D"/>
    <w:rsid w:val="60F05E4D"/>
    <w:rsid w:val="60FF15E0"/>
    <w:rsid w:val="61023CAB"/>
    <w:rsid w:val="613A1697"/>
    <w:rsid w:val="614222FA"/>
    <w:rsid w:val="616D55C9"/>
    <w:rsid w:val="61750E39"/>
    <w:rsid w:val="61764FE4"/>
    <w:rsid w:val="61897F44"/>
    <w:rsid w:val="618E046E"/>
    <w:rsid w:val="6192502F"/>
    <w:rsid w:val="61A540B6"/>
    <w:rsid w:val="61AC5FDE"/>
    <w:rsid w:val="61BC3E5A"/>
    <w:rsid w:val="61BF1B9C"/>
    <w:rsid w:val="61C264B7"/>
    <w:rsid w:val="61C86CA3"/>
    <w:rsid w:val="61DA69D6"/>
    <w:rsid w:val="61E90FFC"/>
    <w:rsid w:val="61F736C3"/>
    <w:rsid w:val="61F91330"/>
    <w:rsid w:val="620E6D99"/>
    <w:rsid w:val="621912AD"/>
    <w:rsid w:val="622044E7"/>
    <w:rsid w:val="6230783D"/>
    <w:rsid w:val="62366B60"/>
    <w:rsid w:val="625D3903"/>
    <w:rsid w:val="626F1C56"/>
    <w:rsid w:val="629B5C1E"/>
    <w:rsid w:val="629B6165"/>
    <w:rsid w:val="62B9483E"/>
    <w:rsid w:val="62D00F35"/>
    <w:rsid w:val="62D16876"/>
    <w:rsid w:val="62DD677E"/>
    <w:rsid w:val="62E23D94"/>
    <w:rsid w:val="62E418BB"/>
    <w:rsid w:val="62E95123"/>
    <w:rsid w:val="62F43E22"/>
    <w:rsid w:val="62FF08C8"/>
    <w:rsid w:val="630065ED"/>
    <w:rsid w:val="63046EA8"/>
    <w:rsid w:val="630C2BBF"/>
    <w:rsid w:val="633407C8"/>
    <w:rsid w:val="637D0255"/>
    <w:rsid w:val="63AD1207"/>
    <w:rsid w:val="63BE5C8F"/>
    <w:rsid w:val="63DA38A8"/>
    <w:rsid w:val="63E84A0F"/>
    <w:rsid w:val="64216B3E"/>
    <w:rsid w:val="642A77A1"/>
    <w:rsid w:val="643B2165"/>
    <w:rsid w:val="646F78AA"/>
    <w:rsid w:val="647454D5"/>
    <w:rsid w:val="648945E4"/>
    <w:rsid w:val="648E61F2"/>
    <w:rsid w:val="64984F89"/>
    <w:rsid w:val="649A4F9E"/>
    <w:rsid w:val="649E2A36"/>
    <w:rsid w:val="64A70DF2"/>
    <w:rsid w:val="64B61035"/>
    <w:rsid w:val="64C0654B"/>
    <w:rsid w:val="64D92F75"/>
    <w:rsid w:val="64EE7961"/>
    <w:rsid w:val="64EF4547"/>
    <w:rsid w:val="64FF0582"/>
    <w:rsid w:val="65013DCC"/>
    <w:rsid w:val="650202DD"/>
    <w:rsid w:val="650C334B"/>
    <w:rsid w:val="651346D9"/>
    <w:rsid w:val="65150451"/>
    <w:rsid w:val="6522491C"/>
    <w:rsid w:val="654474C8"/>
    <w:rsid w:val="654900FB"/>
    <w:rsid w:val="65566374"/>
    <w:rsid w:val="65682F90"/>
    <w:rsid w:val="656F5FE4"/>
    <w:rsid w:val="657B145C"/>
    <w:rsid w:val="65A96DEB"/>
    <w:rsid w:val="65BC49B6"/>
    <w:rsid w:val="65C20D04"/>
    <w:rsid w:val="65D025CA"/>
    <w:rsid w:val="65D07F6A"/>
    <w:rsid w:val="66041D37"/>
    <w:rsid w:val="660D0F10"/>
    <w:rsid w:val="662D7193"/>
    <w:rsid w:val="66482160"/>
    <w:rsid w:val="66707909"/>
    <w:rsid w:val="6675128B"/>
    <w:rsid w:val="667967BE"/>
    <w:rsid w:val="667B0CB0"/>
    <w:rsid w:val="669058B5"/>
    <w:rsid w:val="66974E96"/>
    <w:rsid w:val="669E7FD2"/>
    <w:rsid w:val="66AD290B"/>
    <w:rsid w:val="66AE484C"/>
    <w:rsid w:val="66CC0FE3"/>
    <w:rsid w:val="66DB2FD4"/>
    <w:rsid w:val="670065FE"/>
    <w:rsid w:val="671D76DA"/>
    <w:rsid w:val="671E1113"/>
    <w:rsid w:val="672C55DE"/>
    <w:rsid w:val="673E3563"/>
    <w:rsid w:val="67620BB0"/>
    <w:rsid w:val="67896ED4"/>
    <w:rsid w:val="67915D89"/>
    <w:rsid w:val="6793565D"/>
    <w:rsid w:val="67A27F96"/>
    <w:rsid w:val="67AF7FBD"/>
    <w:rsid w:val="67B13D35"/>
    <w:rsid w:val="67C92354"/>
    <w:rsid w:val="67D5211A"/>
    <w:rsid w:val="67F24A7A"/>
    <w:rsid w:val="67FD5DC4"/>
    <w:rsid w:val="68093B71"/>
    <w:rsid w:val="6828049B"/>
    <w:rsid w:val="682E35D8"/>
    <w:rsid w:val="6841636E"/>
    <w:rsid w:val="68442F3F"/>
    <w:rsid w:val="68686AEA"/>
    <w:rsid w:val="687F3E33"/>
    <w:rsid w:val="68817BAC"/>
    <w:rsid w:val="689618A9"/>
    <w:rsid w:val="68AA7102"/>
    <w:rsid w:val="68D75A1D"/>
    <w:rsid w:val="68F14D31"/>
    <w:rsid w:val="68FB2C33"/>
    <w:rsid w:val="68FB5D4B"/>
    <w:rsid w:val="68FE744E"/>
    <w:rsid w:val="69012A9A"/>
    <w:rsid w:val="690546F9"/>
    <w:rsid w:val="69242AFE"/>
    <w:rsid w:val="6939173B"/>
    <w:rsid w:val="694D5CE0"/>
    <w:rsid w:val="694D6594"/>
    <w:rsid w:val="694E4165"/>
    <w:rsid w:val="69554A42"/>
    <w:rsid w:val="695F2A22"/>
    <w:rsid w:val="69685B2D"/>
    <w:rsid w:val="69732A99"/>
    <w:rsid w:val="69796AD5"/>
    <w:rsid w:val="698C2CAC"/>
    <w:rsid w:val="69953284"/>
    <w:rsid w:val="699A7177"/>
    <w:rsid w:val="69AE49D0"/>
    <w:rsid w:val="69BD4C13"/>
    <w:rsid w:val="69C03673"/>
    <w:rsid w:val="69C77840"/>
    <w:rsid w:val="69CE5072"/>
    <w:rsid w:val="69DE0369"/>
    <w:rsid w:val="69F43B0C"/>
    <w:rsid w:val="6A010FA4"/>
    <w:rsid w:val="6A0A1637"/>
    <w:rsid w:val="6A2A6C1F"/>
    <w:rsid w:val="6A3273AF"/>
    <w:rsid w:val="6A334ED5"/>
    <w:rsid w:val="6A375412"/>
    <w:rsid w:val="6A5E63F6"/>
    <w:rsid w:val="6A754122"/>
    <w:rsid w:val="6A7A48B2"/>
    <w:rsid w:val="6A9040D6"/>
    <w:rsid w:val="6AA656A7"/>
    <w:rsid w:val="6AA84FD0"/>
    <w:rsid w:val="6AC16985"/>
    <w:rsid w:val="6AE461D0"/>
    <w:rsid w:val="6AF9602B"/>
    <w:rsid w:val="6AF96DE2"/>
    <w:rsid w:val="6B026CED"/>
    <w:rsid w:val="6B086621"/>
    <w:rsid w:val="6B146AB5"/>
    <w:rsid w:val="6B1677AA"/>
    <w:rsid w:val="6B2111D2"/>
    <w:rsid w:val="6B286A04"/>
    <w:rsid w:val="6B2A0087"/>
    <w:rsid w:val="6B2D401B"/>
    <w:rsid w:val="6B4906E9"/>
    <w:rsid w:val="6B4D1FC7"/>
    <w:rsid w:val="6B673089"/>
    <w:rsid w:val="6B6A4927"/>
    <w:rsid w:val="6B6C5609"/>
    <w:rsid w:val="6B7834E8"/>
    <w:rsid w:val="6B7B3CF2"/>
    <w:rsid w:val="6B7E6624"/>
    <w:rsid w:val="6B923E7E"/>
    <w:rsid w:val="6BA0659B"/>
    <w:rsid w:val="6BAD7577"/>
    <w:rsid w:val="6BB34520"/>
    <w:rsid w:val="6BC6646E"/>
    <w:rsid w:val="6BC71D79"/>
    <w:rsid w:val="6BD6020E"/>
    <w:rsid w:val="6BE50451"/>
    <w:rsid w:val="6BEF79EE"/>
    <w:rsid w:val="6BFF153E"/>
    <w:rsid w:val="6C276CBC"/>
    <w:rsid w:val="6C3D64DF"/>
    <w:rsid w:val="6C3F5DB4"/>
    <w:rsid w:val="6C53360D"/>
    <w:rsid w:val="6C553829"/>
    <w:rsid w:val="6C5775A1"/>
    <w:rsid w:val="6C5D26DE"/>
    <w:rsid w:val="6C79108D"/>
    <w:rsid w:val="6C845EBC"/>
    <w:rsid w:val="6C9205D9"/>
    <w:rsid w:val="6C991968"/>
    <w:rsid w:val="6CA200F0"/>
    <w:rsid w:val="6CA64CB9"/>
    <w:rsid w:val="6CA67BE1"/>
    <w:rsid w:val="6CAB169B"/>
    <w:rsid w:val="6CBA368C"/>
    <w:rsid w:val="6CCA0AEE"/>
    <w:rsid w:val="6CD97FB6"/>
    <w:rsid w:val="6CF52916"/>
    <w:rsid w:val="6D054ED9"/>
    <w:rsid w:val="6D180574"/>
    <w:rsid w:val="6D2673E0"/>
    <w:rsid w:val="6D4713C4"/>
    <w:rsid w:val="6D531D64"/>
    <w:rsid w:val="6D5629C7"/>
    <w:rsid w:val="6DA5211F"/>
    <w:rsid w:val="6DAA381D"/>
    <w:rsid w:val="6DBE53FE"/>
    <w:rsid w:val="6DC742B3"/>
    <w:rsid w:val="6DE067C1"/>
    <w:rsid w:val="6DE85FD7"/>
    <w:rsid w:val="6DF04CD1"/>
    <w:rsid w:val="6DF8446C"/>
    <w:rsid w:val="6E0C6169"/>
    <w:rsid w:val="6E14005B"/>
    <w:rsid w:val="6E2A4841"/>
    <w:rsid w:val="6E435A5B"/>
    <w:rsid w:val="6E511DCE"/>
    <w:rsid w:val="6E711EDB"/>
    <w:rsid w:val="6E7D2BC3"/>
    <w:rsid w:val="6E957F0D"/>
    <w:rsid w:val="6E9D3265"/>
    <w:rsid w:val="6EA90670"/>
    <w:rsid w:val="6EB32A89"/>
    <w:rsid w:val="6EB73ECF"/>
    <w:rsid w:val="6EE67DB6"/>
    <w:rsid w:val="6EF56BFD"/>
    <w:rsid w:val="6F0D3F47"/>
    <w:rsid w:val="6F183265"/>
    <w:rsid w:val="6F241291"/>
    <w:rsid w:val="6F6214F1"/>
    <w:rsid w:val="6F631DB9"/>
    <w:rsid w:val="6F6B5112"/>
    <w:rsid w:val="6F6D442E"/>
    <w:rsid w:val="6F7A74E5"/>
    <w:rsid w:val="6F8C57B4"/>
    <w:rsid w:val="6F977CB5"/>
    <w:rsid w:val="6FA36659"/>
    <w:rsid w:val="6FA50B40"/>
    <w:rsid w:val="6FCB3E2E"/>
    <w:rsid w:val="6FED1F44"/>
    <w:rsid w:val="6FEF189F"/>
    <w:rsid w:val="6FF60E7F"/>
    <w:rsid w:val="6FFE1AE2"/>
    <w:rsid w:val="70025A76"/>
    <w:rsid w:val="70082960"/>
    <w:rsid w:val="700E61C9"/>
    <w:rsid w:val="701E263C"/>
    <w:rsid w:val="701F5AB8"/>
    <w:rsid w:val="70412632"/>
    <w:rsid w:val="7048237C"/>
    <w:rsid w:val="70566516"/>
    <w:rsid w:val="70713BD1"/>
    <w:rsid w:val="70A318C2"/>
    <w:rsid w:val="70B04EBD"/>
    <w:rsid w:val="70C77D2B"/>
    <w:rsid w:val="70EB650A"/>
    <w:rsid w:val="70FA1D5A"/>
    <w:rsid w:val="710A4BA0"/>
    <w:rsid w:val="71145A61"/>
    <w:rsid w:val="71263A53"/>
    <w:rsid w:val="712B2DAA"/>
    <w:rsid w:val="71357785"/>
    <w:rsid w:val="71381CA7"/>
    <w:rsid w:val="71397275"/>
    <w:rsid w:val="713D34D4"/>
    <w:rsid w:val="7141612A"/>
    <w:rsid w:val="71473C79"/>
    <w:rsid w:val="7147688E"/>
    <w:rsid w:val="71705CD4"/>
    <w:rsid w:val="717C7162"/>
    <w:rsid w:val="71B0505E"/>
    <w:rsid w:val="71C54519"/>
    <w:rsid w:val="71CB2566"/>
    <w:rsid w:val="71DB20DB"/>
    <w:rsid w:val="72007D93"/>
    <w:rsid w:val="720535FB"/>
    <w:rsid w:val="72086C48"/>
    <w:rsid w:val="72180B78"/>
    <w:rsid w:val="72491CB9"/>
    <w:rsid w:val="72B666A4"/>
    <w:rsid w:val="72BD5C84"/>
    <w:rsid w:val="72C07522"/>
    <w:rsid w:val="72C46090"/>
    <w:rsid w:val="72CB65F3"/>
    <w:rsid w:val="72CE60E3"/>
    <w:rsid w:val="72D056C9"/>
    <w:rsid w:val="72E66F89"/>
    <w:rsid w:val="72F02FB8"/>
    <w:rsid w:val="72F21DD2"/>
    <w:rsid w:val="73016CE4"/>
    <w:rsid w:val="73061D27"/>
    <w:rsid w:val="731004AA"/>
    <w:rsid w:val="73165394"/>
    <w:rsid w:val="73225FFC"/>
    <w:rsid w:val="732E26DE"/>
    <w:rsid w:val="73A82490"/>
    <w:rsid w:val="73B250BD"/>
    <w:rsid w:val="73C854B8"/>
    <w:rsid w:val="73D43285"/>
    <w:rsid w:val="73D74B24"/>
    <w:rsid w:val="73F23BF9"/>
    <w:rsid w:val="73FD2F24"/>
    <w:rsid w:val="73FD6AC3"/>
    <w:rsid w:val="7400051E"/>
    <w:rsid w:val="74100036"/>
    <w:rsid w:val="742F621F"/>
    <w:rsid w:val="7440441F"/>
    <w:rsid w:val="74466AEE"/>
    <w:rsid w:val="7449509F"/>
    <w:rsid w:val="7467234B"/>
    <w:rsid w:val="746A5998"/>
    <w:rsid w:val="746D7236"/>
    <w:rsid w:val="747E02D4"/>
    <w:rsid w:val="74836A59"/>
    <w:rsid w:val="74883CC4"/>
    <w:rsid w:val="748F32C8"/>
    <w:rsid w:val="748F53FE"/>
    <w:rsid w:val="74A82EA8"/>
    <w:rsid w:val="74A87AD3"/>
    <w:rsid w:val="74B66E2F"/>
    <w:rsid w:val="74C57D5F"/>
    <w:rsid w:val="74C72DEA"/>
    <w:rsid w:val="74C755EA"/>
    <w:rsid w:val="74D36DD2"/>
    <w:rsid w:val="74E05C5A"/>
    <w:rsid w:val="74E47DAA"/>
    <w:rsid w:val="75051D1C"/>
    <w:rsid w:val="751C3136"/>
    <w:rsid w:val="75322959"/>
    <w:rsid w:val="75480753"/>
    <w:rsid w:val="75483F2B"/>
    <w:rsid w:val="75491A51"/>
    <w:rsid w:val="754B57C9"/>
    <w:rsid w:val="75664C4E"/>
    <w:rsid w:val="756D450E"/>
    <w:rsid w:val="75706FDE"/>
    <w:rsid w:val="757A4300"/>
    <w:rsid w:val="757E5B9F"/>
    <w:rsid w:val="7581749B"/>
    <w:rsid w:val="758E56B6"/>
    <w:rsid w:val="75A35605"/>
    <w:rsid w:val="75A82C1C"/>
    <w:rsid w:val="75F145C2"/>
    <w:rsid w:val="75FB0851"/>
    <w:rsid w:val="760C0463"/>
    <w:rsid w:val="76120095"/>
    <w:rsid w:val="76204D8E"/>
    <w:rsid w:val="762655D6"/>
    <w:rsid w:val="76397D18"/>
    <w:rsid w:val="76485553"/>
    <w:rsid w:val="765406AD"/>
    <w:rsid w:val="76650C10"/>
    <w:rsid w:val="76654669"/>
    <w:rsid w:val="766C59F7"/>
    <w:rsid w:val="76764AC8"/>
    <w:rsid w:val="767F0F22"/>
    <w:rsid w:val="768B0E67"/>
    <w:rsid w:val="76A809F9"/>
    <w:rsid w:val="76AC673B"/>
    <w:rsid w:val="76AE21A6"/>
    <w:rsid w:val="76CC293A"/>
    <w:rsid w:val="76CF41D8"/>
    <w:rsid w:val="76EC2E3A"/>
    <w:rsid w:val="770420D4"/>
    <w:rsid w:val="771F28FF"/>
    <w:rsid w:val="77295AC0"/>
    <w:rsid w:val="772C4DFE"/>
    <w:rsid w:val="773A78A3"/>
    <w:rsid w:val="77470212"/>
    <w:rsid w:val="7760409C"/>
    <w:rsid w:val="776112D4"/>
    <w:rsid w:val="7765512B"/>
    <w:rsid w:val="77672662"/>
    <w:rsid w:val="776A6102"/>
    <w:rsid w:val="77707769"/>
    <w:rsid w:val="77784870"/>
    <w:rsid w:val="778925D9"/>
    <w:rsid w:val="77B238DE"/>
    <w:rsid w:val="77B5517C"/>
    <w:rsid w:val="77F9150C"/>
    <w:rsid w:val="7805321A"/>
    <w:rsid w:val="78153E6C"/>
    <w:rsid w:val="78397B5B"/>
    <w:rsid w:val="783C764B"/>
    <w:rsid w:val="784011AE"/>
    <w:rsid w:val="784A620C"/>
    <w:rsid w:val="78553A83"/>
    <w:rsid w:val="786A68F2"/>
    <w:rsid w:val="78746DE5"/>
    <w:rsid w:val="78843C75"/>
    <w:rsid w:val="78874D6A"/>
    <w:rsid w:val="78880AE2"/>
    <w:rsid w:val="789E3E62"/>
    <w:rsid w:val="78A51694"/>
    <w:rsid w:val="78AA6CAB"/>
    <w:rsid w:val="78C2428E"/>
    <w:rsid w:val="78D93B65"/>
    <w:rsid w:val="79206F6D"/>
    <w:rsid w:val="7948418D"/>
    <w:rsid w:val="794A5D98"/>
    <w:rsid w:val="79502CD7"/>
    <w:rsid w:val="79517126"/>
    <w:rsid w:val="795A0263"/>
    <w:rsid w:val="795A5FDB"/>
    <w:rsid w:val="79884CBA"/>
    <w:rsid w:val="798D3C7E"/>
    <w:rsid w:val="798E4C9F"/>
    <w:rsid w:val="79B41C03"/>
    <w:rsid w:val="79DB3703"/>
    <w:rsid w:val="79EF02B7"/>
    <w:rsid w:val="79F91C98"/>
    <w:rsid w:val="7A066163"/>
    <w:rsid w:val="7A124B07"/>
    <w:rsid w:val="7A1C5986"/>
    <w:rsid w:val="7A1F0087"/>
    <w:rsid w:val="7A2A00A3"/>
    <w:rsid w:val="7A460C55"/>
    <w:rsid w:val="7A6B07A6"/>
    <w:rsid w:val="7A786E84"/>
    <w:rsid w:val="7A84644A"/>
    <w:rsid w:val="7AA716F4"/>
    <w:rsid w:val="7AD7365B"/>
    <w:rsid w:val="7AD973D3"/>
    <w:rsid w:val="7AE04C06"/>
    <w:rsid w:val="7AE30252"/>
    <w:rsid w:val="7AF9027C"/>
    <w:rsid w:val="7AFD7566"/>
    <w:rsid w:val="7B0D52CF"/>
    <w:rsid w:val="7B14578D"/>
    <w:rsid w:val="7B2308E6"/>
    <w:rsid w:val="7B2C3348"/>
    <w:rsid w:val="7B3A7E20"/>
    <w:rsid w:val="7B533FE0"/>
    <w:rsid w:val="7B5829EE"/>
    <w:rsid w:val="7B7C2BC7"/>
    <w:rsid w:val="7B8B2650"/>
    <w:rsid w:val="7BB35E76"/>
    <w:rsid w:val="7BCF61F6"/>
    <w:rsid w:val="7BDF6C2E"/>
    <w:rsid w:val="7BED5248"/>
    <w:rsid w:val="7BF007D9"/>
    <w:rsid w:val="7C3C5E6C"/>
    <w:rsid w:val="7C3D19DA"/>
    <w:rsid w:val="7C46099E"/>
    <w:rsid w:val="7C4E24BC"/>
    <w:rsid w:val="7C8F0691"/>
    <w:rsid w:val="7C907F65"/>
    <w:rsid w:val="7CB00608"/>
    <w:rsid w:val="7CD95DB0"/>
    <w:rsid w:val="7CDF4FF4"/>
    <w:rsid w:val="7CEA1D6C"/>
    <w:rsid w:val="7CEF2EDE"/>
    <w:rsid w:val="7D0F732D"/>
    <w:rsid w:val="7D16490F"/>
    <w:rsid w:val="7D1B0177"/>
    <w:rsid w:val="7D276AC4"/>
    <w:rsid w:val="7D2B494F"/>
    <w:rsid w:val="7D55113B"/>
    <w:rsid w:val="7D6308BF"/>
    <w:rsid w:val="7D720B16"/>
    <w:rsid w:val="7D7A4E9D"/>
    <w:rsid w:val="7D8567EC"/>
    <w:rsid w:val="7D915E76"/>
    <w:rsid w:val="7DB87774"/>
    <w:rsid w:val="7DBA34EC"/>
    <w:rsid w:val="7DD236A1"/>
    <w:rsid w:val="7DDC7906"/>
    <w:rsid w:val="7DE93DD1"/>
    <w:rsid w:val="7DE95B7F"/>
    <w:rsid w:val="7DF05160"/>
    <w:rsid w:val="7E0D3F64"/>
    <w:rsid w:val="7E160B92"/>
    <w:rsid w:val="7E16471D"/>
    <w:rsid w:val="7E2C464B"/>
    <w:rsid w:val="7E4159BB"/>
    <w:rsid w:val="7E5A5F62"/>
    <w:rsid w:val="7E6163C9"/>
    <w:rsid w:val="7E675269"/>
    <w:rsid w:val="7EAE5B03"/>
    <w:rsid w:val="7EB42631"/>
    <w:rsid w:val="7EB51F05"/>
    <w:rsid w:val="7EBE7F49"/>
    <w:rsid w:val="7ED14F91"/>
    <w:rsid w:val="7ED27099"/>
    <w:rsid w:val="7EEF18BB"/>
    <w:rsid w:val="7EF742CC"/>
    <w:rsid w:val="7F25708B"/>
    <w:rsid w:val="7F3379FA"/>
    <w:rsid w:val="7F340FE7"/>
    <w:rsid w:val="7F380056"/>
    <w:rsid w:val="7F3E1EFB"/>
    <w:rsid w:val="7F78015B"/>
    <w:rsid w:val="7F7973D7"/>
    <w:rsid w:val="7F8578A0"/>
    <w:rsid w:val="7F91201F"/>
    <w:rsid w:val="7F947D6D"/>
    <w:rsid w:val="7FAE720E"/>
    <w:rsid w:val="7FB327FC"/>
    <w:rsid w:val="7FC11AEE"/>
    <w:rsid w:val="7FED36FF"/>
    <w:rsid w:val="7FFD5B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qFormat="1" w:unhideWhenUsed="0" w:uiPriority="0" w:semiHidden="0" w:name="toc 9"/>
    <w:lsdException w:qFormat="1" w:unhideWhenUsed="0" w:uiPriority="0" w:semiHidden="0" w:name="Normal Indent"/>
    <w:lsdException w:qFormat="1" w:uiPriority="99"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99"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qFormat="1" w:unhideWhenUsed="0" w:uiPriority="0" w:semiHidden="0" w:name="List 4"/>
    <w:lsdException w:qFormat="1"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iPriority="99"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hint="eastAsia" w:ascii="Times New Roman" w:hAnsi="Times New Roman" w:eastAsia="宋体" w:cs="Times New Roman"/>
      <w:kern w:val="2"/>
      <w:sz w:val="21"/>
      <w:lang w:val="en-US" w:eastAsia="zh-CN" w:bidi="ar-SA"/>
    </w:rPr>
  </w:style>
  <w:style w:type="paragraph" w:styleId="4">
    <w:name w:val="heading 1"/>
    <w:basedOn w:val="1"/>
    <w:next w:val="1"/>
    <w:link w:val="144"/>
    <w:autoRedefine/>
    <w:qFormat/>
    <w:uiPriority w:val="0"/>
    <w:pPr>
      <w:keepNext/>
      <w:jc w:val="center"/>
      <w:outlineLvl w:val="0"/>
    </w:pPr>
    <w:rPr>
      <w:b/>
      <w:bCs/>
      <w:sz w:val="24"/>
    </w:rPr>
  </w:style>
  <w:style w:type="paragraph" w:styleId="5">
    <w:name w:val="heading 2"/>
    <w:basedOn w:val="1"/>
    <w:next w:val="1"/>
    <w:link w:val="59"/>
    <w:qFormat/>
    <w:uiPriority w:val="0"/>
    <w:pPr>
      <w:keepNext/>
      <w:keepLines/>
      <w:spacing w:before="260" w:after="260" w:line="416" w:lineRule="auto"/>
      <w:outlineLvl w:val="1"/>
    </w:pPr>
    <w:rPr>
      <w:rFonts w:ascii="Arial" w:hAnsi="Arial" w:eastAsia="黑体"/>
      <w:b/>
      <w:bCs/>
      <w:sz w:val="32"/>
      <w:szCs w:val="32"/>
    </w:rPr>
  </w:style>
  <w:style w:type="paragraph" w:styleId="6">
    <w:name w:val="heading 3"/>
    <w:basedOn w:val="1"/>
    <w:next w:val="1"/>
    <w:link w:val="60"/>
    <w:autoRedefine/>
    <w:qFormat/>
    <w:uiPriority w:val="0"/>
    <w:pPr>
      <w:keepNext/>
      <w:keepLines/>
      <w:spacing w:before="260" w:after="260" w:line="416" w:lineRule="auto"/>
      <w:outlineLvl w:val="2"/>
    </w:pPr>
    <w:rPr>
      <w:b/>
      <w:bCs/>
      <w:sz w:val="32"/>
      <w:szCs w:val="32"/>
    </w:rPr>
  </w:style>
  <w:style w:type="paragraph" w:styleId="7">
    <w:name w:val="heading 4"/>
    <w:basedOn w:val="1"/>
    <w:next w:val="8"/>
    <w:qFormat/>
    <w:uiPriority w:val="0"/>
    <w:pPr>
      <w:keepNext/>
      <w:keepLines/>
      <w:spacing w:before="280" w:after="290" w:line="376" w:lineRule="auto"/>
      <w:outlineLvl w:val="3"/>
    </w:pPr>
    <w:rPr>
      <w:rFonts w:ascii="Arial" w:hAnsi="Arial" w:eastAsia="黑体"/>
      <w:b/>
      <w:bCs/>
      <w:sz w:val="28"/>
      <w:szCs w:val="28"/>
    </w:rPr>
  </w:style>
  <w:style w:type="paragraph" w:styleId="9">
    <w:name w:val="heading 5"/>
    <w:basedOn w:val="1"/>
    <w:next w:val="1"/>
    <w:link w:val="61"/>
    <w:qFormat/>
    <w:uiPriority w:val="0"/>
    <w:pPr>
      <w:keepNext/>
      <w:keepLines/>
      <w:spacing w:before="280" w:after="290" w:line="376" w:lineRule="auto"/>
      <w:outlineLvl w:val="4"/>
    </w:pPr>
    <w:rPr>
      <w:b/>
      <w:bCs/>
      <w:sz w:val="28"/>
      <w:szCs w:val="28"/>
    </w:rPr>
  </w:style>
  <w:style w:type="paragraph" w:styleId="10">
    <w:name w:val="heading 9"/>
    <w:basedOn w:val="1"/>
    <w:next w:val="1"/>
    <w:qFormat/>
    <w:uiPriority w:val="0"/>
    <w:pPr>
      <w:keepNext/>
      <w:keepLines/>
      <w:spacing w:before="240" w:after="64" w:line="317" w:lineRule="auto"/>
      <w:outlineLvl w:val="8"/>
    </w:pPr>
    <w:rPr>
      <w:rFonts w:ascii="Arial" w:hAnsi="Arial" w:eastAsia="黑体"/>
      <w:szCs w:val="22"/>
    </w:rPr>
  </w:style>
  <w:style w:type="character" w:default="1" w:styleId="43">
    <w:name w:val="Default Paragraph Font"/>
    <w:unhideWhenUsed/>
    <w:qFormat/>
    <w:uiPriority w:val="1"/>
  </w:style>
  <w:style w:type="table" w:default="1" w:styleId="41">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w:basedOn w:val="3"/>
    <w:next w:val="1"/>
    <w:qFormat/>
    <w:uiPriority w:val="0"/>
    <w:pPr>
      <w:autoSpaceDE w:val="0"/>
      <w:autoSpaceDN w:val="0"/>
      <w:adjustRightInd w:val="0"/>
      <w:spacing w:line="360" w:lineRule="auto"/>
      <w:ind w:firstLine="420"/>
    </w:pPr>
    <w:rPr>
      <w:rFonts w:ascii="宋体" w:hAnsi="Calibri"/>
      <w:lang w:val="zh-CN"/>
    </w:rPr>
  </w:style>
  <w:style w:type="paragraph" w:styleId="3">
    <w:name w:val="Body Text"/>
    <w:basedOn w:val="1"/>
    <w:next w:val="2"/>
    <w:link w:val="57"/>
    <w:qFormat/>
    <w:uiPriority w:val="0"/>
    <w:pPr>
      <w:spacing w:after="120"/>
    </w:pPr>
    <w:rPr>
      <w:sz w:val="28"/>
    </w:rPr>
  </w:style>
  <w:style w:type="paragraph" w:styleId="8">
    <w:name w:val="Plain Text"/>
    <w:basedOn w:val="1"/>
    <w:link w:val="63"/>
    <w:autoRedefine/>
    <w:qFormat/>
    <w:uiPriority w:val="0"/>
    <w:pPr>
      <w:spacing w:beforeLines="50" w:afterLines="50" w:line="400" w:lineRule="exact"/>
    </w:pPr>
    <w:rPr>
      <w:rFonts w:ascii="宋体" w:hAnsi="Courier New"/>
      <w:sz w:val="24"/>
    </w:rPr>
  </w:style>
  <w:style w:type="paragraph" w:styleId="11">
    <w:name w:val="List Number"/>
    <w:basedOn w:val="1"/>
    <w:qFormat/>
    <w:uiPriority w:val="0"/>
    <w:pPr>
      <w:widowControl/>
      <w:numPr>
        <w:ilvl w:val="0"/>
        <w:numId w:val="1"/>
      </w:numPr>
      <w:tabs>
        <w:tab w:val="left" w:pos="454"/>
        <w:tab w:val="left" w:pos="720"/>
        <w:tab w:val="clear" w:pos="900"/>
      </w:tabs>
      <w:spacing w:afterLines="50"/>
      <w:ind w:left="454" w:hanging="284"/>
      <w:jc w:val="left"/>
    </w:pPr>
    <w:rPr>
      <w:kern w:val="0"/>
      <w:sz w:val="24"/>
    </w:rPr>
  </w:style>
  <w:style w:type="paragraph" w:styleId="12">
    <w:name w:val="Normal Indent"/>
    <w:basedOn w:val="1"/>
    <w:link w:val="62"/>
    <w:qFormat/>
    <w:uiPriority w:val="0"/>
    <w:pPr>
      <w:ind w:firstLine="420"/>
    </w:pPr>
  </w:style>
  <w:style w:type="paragraph" w:styleId="13">
    <w:name w:val="caption"/>
    <w:basedOn w:val="1"/>
    <w:next w:val="1"/>
    <w:qFormat/>
    <w:uiPriority w:val="0"/>
    <w:pPr>
      <w:spacing w:before="152" w:after="160"/>
    </w:pPr>
    <w:rPr>
      <w:rFonts w:ascii="Arial" w:hAnsi="Arial" w:eastAsia="黑体" w:cs="Arial"/>
      <w:sz w:val="20"/>
    </w:rPr>
  </w:style>
  <w:style w:type="paragraph" w:styleId="14">
    <w:name w:val="annotation text"/>
    <w:basedOn w:val="1"/>
    <w:next w:val="15"/>
    <w:semiHidden/>
    <w:qFormat/>
    <w:uiPriority w:val="0"/>
    <w:pPr>
      <w:jc w:val="left"/>
    </w:pPr>
  </w:style>
  <w:style w:type="paragraph" w:styleId="15">
    <w:name w:val="toc 9"/>
    <w:next w:val="1"/>
    <w:autoRedefine/>
    <w:qFormat/>
    <w:uiPriority w:val="0"/>
    <w:pPr>
      <w:wordWrap w:val="0"/>
      <w:ind w:left="2975"/>
      <w:jc w:val="both"/>
    </w:pPr>
    <w:rPr>
      <w:rFonts w:ascii="Calibri" w:hAnsi="Calibri" w:eastAsia="宋体" w:cs="Times New Roman"/>
      <w:sz w:val="21"/>
      <w:lang w:val="en-US" w:eastAsia="zh-CN" w:bidi="ar-SA"/>
    </w:rPr>
  </w:style>
  <w:style w:type="paragraph" w:styleId="16">
    <w:name w:val="Body Text 3"/>
    <w:basedOn w:val="1"/>
    <w:qFormat/>
    <w:uiPriority w:val="0"/>
    <w:pPr>
      <w:snapToGrid w:val="0"/>
      <w:spacing w:before="50" w:after="50"/>
    </w:pPr>
    <w:rPr>
      <w:rFonts w:hAnsi="宋体" w:eastAsia="仿宋_GB2312"/>
      <w:b/>
      <w:bCs/>
      <w:sz w:val="24"/>
    </w:rPr>
  </w:style>
  <w:style w:type="paragraph" w:styleId="17">
    <w:name w:val="Body Text Indent"/>
    <w:basedOn w:val="1"/>
    <w:qFormat/>
    <w:uiPriority w:val="0"/>
    <w:pPr>
      <w:spacing w:line="200" w:lineRule="exact"/>
      <w:ind w:firstLine="301"/>
    </w:pPr>
    <w:rPr>
      <w:rFonts w:ascii="宋体" w:hAnsi="Courier New"/>
      <w:spacing w:val="-4"/>
      <w:sz w:val="18"/>
    </w:rPr>
  </w:style>
  <w:style w:type="paragraph" w:styleId="18">
    <w:name w:val="List Number 3"/>
    <w:basedOn w:val="1"/>
    <w:qFormat/>
    <w:uiPriority w:val="0"/>
    <w:pPr>
      <w:numPr>
        <w:ilvl w:val="0"/>
        <w:numId w:val="2"/>
      </w:numPr>
    </w:pPr>
  </w:style>
  <w:style w:type="paragraph" w:styleId="19">
    <w:name w:val="List 2"/>
    <w:basedOn w:val="1"/>
    <w:qFormat/>
    <w:uiPriority w:val="0"/>
    <w:pPr>
      <w:ind w:left="100" w:leftChars="200" w:hanging="200" w:hangingChars="200"/>
    </w:pPr>
    <w:rPr>
      <w:sz w:val="28"/>
    </w:rPr>
  </w:style>
  <w:style w:type="paragraph" w:styleId="20">
    <w:name w:val="Block Text"/>
    <w:basedOn w:val="1"/>
    <w:autoRedefine/>
    <w:unhideWhenUsed/>
    <w:qFormat/>
    <w:uiPriority w:val="99"/>
    <w:pPr>
      <w:spacing w:after="120"/>
      <w:ind w:left="1440" w:leftChars="700" w:right="1440" w:rightChars="700"/>
    </w:pPr>
  </w:style>
  <w:style w:type="paragraph" w:styleId="21">
    <w:name w:val="toc 3"/>
    <w:basedOn w:val="1"/>
    <w:next w:val="1"/>
    <w:qFormat/>
    <w:uiPriority w:val="0"/>
    <w:pPr>
      <w:ind w:left="840" w:leftChars="400"/>
    </w:pPr>
    <w:rPr>
      <w:rFonts w:ascii="Calibri" w:hAnsi="Calibri"/>
      <w:szCs w:val="22"/>
    </w:rPr>
  </w:style>
  <w:style w:type="paragraph" w:styleId="22">
    <w:name w:val="Date"/>
    <w:basedOn w:val="1"/>
    <w:next w:val="1"/>
    <w:qFormat/>
    <w:uiPriority w:val="0"/>
    <w:pPr>
      <w:ind w:left="2500" w:leftChars="2500"/>
    </w:pPr>
    <w:rPr>
      <w:rFonts w:eastAsia="楷体_GB2312"/>
      <w:sz w:val="32"/>
    </w:rPr>
  </w:style>
  <w:style w:type="paragraph" w:styleId="23">
    <w:name w:val="Body Text Indent 2"/>
    <w:basedOn w:val="1"/>
    <w:autoRedefine/>
    <w:qFormat/>
    <w:uiPriority w:val="0"/>
    <w:pPr>
      <w:snapToGrid w:val="0"/>
      <w:ind w:firstLine="542" w:firstLineChars="225"/>
    </w:pPr>
    <w:rPr>
      <w:rFonts w:ascii="仿宋_GB2312" w:hAnsi="宋体" w:cs="Arial"/>
      <w:b/>
      <w:bCs/>
      <w:color w:val="000000"/>
      <w:sz w:val="24"/>
    </w:rPr>
  </w:style>
  <w:style w:type="paragraph" w:styleId="24">
    <w:name w:val="Balloon Text"/>
    <w:basedOn w:val="1"/>
    <w:semiHidden/>
    <w:qFormat/>
    <w:uiPriority w:val="0"/>
    <w:rPr>
      <w:sz w:val="18"/>
      <w:szCs w:val="18"/>
    </w:rPr>
  </w:style>
  <w:style w:type="paragraph" w:styleId="25">
    <w:name w:val="footer"/>
    <w:basedOn w:val="1"/>
    <w:link w:val="64"/>
    <w:qFormat/>
    <w:uiPriority w:val="0"/>
    <w:pPr>
      <w:tabs>
        <w:tab w:val="center" w:pos="4153"/>
        <w:tab w:val="right" w:pos="8306"/>
      </w:tabs>
      <w:snapToGrid w:val="0"/>
      <w:jc w:val="left"/>
    </w:pPr>
    <w:rPr>
      <w:rFonts w:eastAsia="黑体"/>
      <w:snapToGrid w:val="0"/>
      <w:kern w:val="0"/>
      <w:sz w:val="18"/>
      <w:szCs w:val="18"/>
    </w:rPr>
  </w:style>
  <w:style w:type="paragraph" w:styleId="26">
    <w:name w:val="header"/>
    <w:basedOn w:val="1"/>
    <w:link w:val="65"/>
    <w:qFormat/>
    <w:uiPriority w:val="0"/>
    <w:pPr>
      <w:pBdr>
        <w:bottom w:val="single" w:color="auto" w:sz="6" w:space="1"/>
      </w:pBdr>
      <w:tabs>
        <w:tab w:val="center" w:pos="4153"/>
        <w:tab w:val="right" w:pos="8306"/>
      </w:tabs>
      <w:snapToGrid w:val="0"/>
      <w:jc w:val="center"/>
    </w:pPr>
    <w:rPr>
      <w:rFonts w:eastAsia="仿宋_GB2312"/>
      <w:sz w:val="18"/>
    </w:rPr>
  </w:style>
  <w:style w:type="paragraph" w:styleId="27">
    <w:name w:val="toc 1"/>
    <w:basedOn w:val="1"/>
    <w:next w:val="1"/>
    <w:semiHidden/>
    <w:qFormat/>
    <w:uiPriority w:val="0"/>
  </w:style>
  <w:style w:type="paragraph" w:styleId="28">
    <w:name w:val="List"/>
    <w:basedOn w:val="1"/>
    <w:qFormat/>
    <w:uiPriority w:val="0"/>
    <w:pPr>
      <w:ind w:left="200" w:hanging="200" w:hangingChars="200"/>
    </w:pPr>
    <w:rPr>
      <w:sz w:val="28"/>
    </w:rPr>
  </w:style>
  <w:style w:type="paragraph" w:styleId="29">
    <w:name w:val="footnote text"/>
    <w:basedOn w:val="1"/>
    <w:unhideWhenUsed/>
    <w:qFormat/>
    <w:uiPriority w:val="99"/>
    <w:pPr>
      <w:snapToGrid w:val="0"/>
      <w:jc w:val="left"/>
    </w:pPr>
    <w:rPr>
      <w:sz w:val="18"/>
    </w:rPr>
  </w:style>
  <w:style w:type="paragraph" w:styleId="30">
    <w:name w:val="toc 6"/>
    <w:basedOn w:val="1"/>
    <w:next w:val="1"/>
    <w:qFormat/>
    <w:uiPriority w:val="0"/>
    <w:pPr>
      <w:ind w:left="1050"/>
      <w:jc w:val="left"/>
    </w:pPr>
    <w:rPr>
      <w:rFonts w:ascii="仿宋_GB2312" w:eastAsia="仿宋_GB2312"/>
      <w:sz w:val="18"/>
      <w:szCs w:val="18"/>
    </w:rPr>
  </w:style>
  <w:style w:type="paragraph" w:styleId="31">
    <w:name w:val="List 5"/>
    <w:basedOn w:val="1"/>
    <w:qFormat/>
    <w:uiPriority w:val="0"/>
    <w:pPr>
      <w:ind w:left="2100" w:hanging="420"/>
    </w:pPr>
    <w:rPr>
      <w:rFonts w:ascii="Calibri" w:hAnsi="Calibri" w:eastAsia="楷体_GB2312"/>
      <w:sz w:val="32"/>
      <w:szCs w:val="22"/>
    </w:rPr>
  </w:style>
  <w:style w:type="paragraph" w:styleId="32">
    <w:name w:val="Body Text Indent 3"/>
    <w:basedOn w:val="1"/>
    <w:qFormat/>
    <w:uiPriority w:val="0"/>
    <w:pPr>
      <w:snapToGrid w:val="0"/>
      <w:ind w:firstLine="480" w:firstLineChars="200"/>
      <w:jc w:val="left"/>
    </w:pPr>
    <w:rPr>
      <w:rFonts w:ascii="仿宋_GB2312" w:hAnsi="宋体" w:eastAsia="仿宋_GB2312"/>
      <w:color w:val="000000"/>
      <w:sz w:val="24"/>
    </w:rPr>
  </w:style>
  <w:style w:type="paragraph" w:styleId="33">
    <w:name w:val="toc 2"/>
    <w:basedOn w:val="1"/>
    <w:next w:val="1"/>
    <w:qFormat/>
    <w:uiPriority w:val="0"/>
    <w:pPr>
      <w:ind w:left="420" w:leftChars="200"/>
    </w:pPr>
    <w:rPr>
      <w:rFonts w:ascii="Calibri" w:hAnsi="Calibri"/>
      <w:szCs w:val="22"/>
    </w:rPr>
  </w:style>
  <w:style w:type="paragraph" w:styleId="34">
    <w:name w:val="Body Text 2"/>
    <w:basedOn w:val="1"/>
    <w:qFormat/>
    <w:uiPriority w:val="0"/>
    <w:pPr>
      <w:widowControl/>
      <w:snapToGrid w:val="0"/>
      <w:spacing w:before="50" w:afterLines="50" w:line="400" w:lineRule="exact"/>
      <w:jc w:val="left"/>
    </w:pPr>
    <w:rPr>
      <w:rFonts w:ascii="宋体" w:hAnsi="宋体"/>
      <w:color w:val="000000"/>
      <w:sz w:val="24"/>
    </w:rPr>
  </w:style>
  <w:style w:type="paragraph" w:styleId="35">
    <w:name w:val="List 4"/>
    <w:basedOn w:val="1"/>
    <w:qFormat/>
    <w:uiPriority w:val="0"/>
    <w:pPr>
      <w:ind w:left="1680" w:hanging="420"/>
    </w:pPr>
    <w:rPr>
      <w:rFonts w:ascii="Calibri" w:hAnsi="Calibri" w:eastAsia="楷体_GB2312"/>
      <w:sz w:val="32"/>
      <w:szCs w:val="22"/>
    </w:rPr>
  </w:style>
  <w:style w:type="paragraph" w:styleId="36">
    <w:name w:val="HTML Preformatted"/>
    <w:basedOn w:val="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37">
    <w:name w:val="Normal (Web)"/>
    <w:basedOn w:val="1"/>
    <w:qFormat/>
    <w:uiPriority w:val="0"/>
    <w:pPr>
      <w:widowControl/>
      <w:spacing w:before="100" w:beforeAutospacing="1" w:after="100" w:afterAutospacing="1"/>
      <w:jc w:val="left"/>
    </w:pPr>
    <w:rPr>
      <w:rFonts w:ascii="宋体" w:hAnsi="宋体"/>
      <w:color w:val="000000"/>
      <w:kern w:val="0"/>
      <w:sz w:val="24"/>
    </w:rPr>
  </w:style>
  <w:style w:type="paragraph" w:styleId="38">
    <w:name w:val="Title"/>
    <w:basedOn w:val="1"/>
    <w:qFormat/>
    <w:uiPriority w:val="0"/>
    <w:pPr>
      <w:spacing w:line="520" w:lineRule="exact"/>
      <w:jc w:val="center"/>
      <w:outlineLvl w:val="3"/>
    </w:pPr>
    <w:rPr>
      <w:rFonts w:ascii="Cambria" w:hAnsi="Cambria"/>
      <w:b/>
      <w:bCs/>
      <w:sz w:val="28"/>
      <w:szCs w:val="32"/>
    </w:rPr>
  </w:style>
  <w:style w:type="paragraph" w:styleId="39">
    <w:name w:val="annotation subject"/>
    <w:basedOn w:val="14"/>
    <w:next w:val="14"/>
    <w:autoRedefine/>
    <w:qFormat/>
    <w:uiPriority w:val="0"/>
    <w:rPr>
      <w:b/>
      <w:bCs/>
    </w:rPr>
  </w:style>
  <w:style w:type="paragraph" w:styleId="40">
    <w:name w:val="Body Text First Indent 2"/>
    <w:basedOn w:val="17"/>
    <w:qFormat/>
    <w:uiPriority w:val="0"/>
    <w:pPr>
      <w:spacing w:after="120" w:line="240" w:lineRule="auto"/>
      <w:ind w:left="420" w:leftChars="200" w:firstLine="420" w:firstLineChars="200"/>
    </w:pPr>
    <w:rPr>
      <w:rFonts w:ascii="Times New Roman" w:hAnsi="Times New Roman"/>
      <w:spacing w:val="0"/>
      <w:sz w:val="21"/>
      <w:szCs w:val="24"/>
    </w:rPr>
  </w:style>
  <w:style w:type="table" w:styleId="42">
    <w:name w:val="Table Grid"/>
    <w:basedOn w:val="4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autoRedefine/>
    <w:qFormat/>
    <w:uiPriority w:val="0"/>
    <w:rPr>
      <w:rFonts w:eastAsia="宋体"/>
      <w:b/>
      <w:bCs/>
      <w:kern w:val="2"/>
      <w:sz w:val="24"/>
      <w:szCs w:val="24"/>
      <w:lang w:val="en-US" w:eastAsia="zh-CN" w:bidi="ar-SA"/>
    </w:rPr>
  </w:style>
  <w:style w:type="character" w:styleId="45">
    <w:name w:val="page number"/>
    <w:basedOn w:val="43"/>
    <w:autoRedefine/>
    <w:qFormat/>
    <w:uiPriority w:val="0"/>
  </w:style>
  <w:style w:type="character" w:styleId="46">
    <w:name w:val="FollowedHyperlink"/>
    <w:autoRedefine/>
    <w:qFormat/>
    <w:uiPriority w:val="0"/>
    <w:rPr>
      <w:rFonts w:eastAsia="宋体"/>
      <w:color w:val="800080"/>
      <w:kern w:val="2"/>
      <w:sz w:val="24"/>
      <w:szCs w:val="24"/>
      <w:u w:val="single"/>
      <w:lang w:val="en-US" w:eastAsia="zh-CN" w:bidi="ar-SA"/>
    </w:rPr>
  </w:style>
  <w:style w:type="character" w:styleId="47">
    <w:name w:val="Hyperlink"/>
    <w:autoRedefine/>
    <w:qFormat/>
    <w:uiPriority w:val="0"/>
    <w:rPr>
      <w:color w:val="0000FF"/>
      <w:u w:val="single"/>
    </w:rPr>
  </w:style>
  <w:style w:type="character" w:styleId="48">
    <w:name w:val="annotation reference"/>
    <w:qFormat/>
    <w:uiPriority w:val="0"/>
    <w:rPr>
      <w:rFonts w:eastAsia="宋体"/>
      <w:kern w:val="2"/>
      <w:sz w:val="21"/>
      <w:szCs w:val="21"/>
      <w:lang w:val="en-US" w:eastAsia="zh-CN" w:bidi="ar-SA"/>
    </w:rPr>
  </w:style>
  <w:style w:type="character" w:styleId="49">
    <w:name w:val="footnote reference"/>
    <w:unhideWhenUsed/>
    <w:qFormat/>
    <w:uiPriority w:val="99"/>
    <w:rPr>
      <w:rFonts w:hint="default" w:ascii="Times New Roman"/>
      <w:sz w:val="24"/>
      <w:vertAlign w:val="superscript"/>
    </w:rPr>
  </w:style>
  <w:style w:type="paragraph" w:customStyle="1" w:styleId="50">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51">
    <w:name w:val="正文空2字"/>
    <w:basedOn w:val="52"/>
    <w:autoRedefine/>
    <w:qFormat/>
    <w:uiPriority w:val="99"/>
    <w:pPr>
      <w:widowControl w:val="0"/>
      <w:snapToGrid w:val="0"/>
      <w:spacing w:line="560" w:lineRule="exact"/>
      <w:ind w:firstLine="640" w:firstLineChars="200"/>
    </w:pPr>
    <w:rPr>
      <w:rFonts w:ascii="仿宋_GB2312" w:hAnsi="仿宋_GB2312" w:cs="仿宋_GB2312"/>
      <w:lang w:val="zh-TW"/>
    </w:rPr>
  </w:style>
  <w:style w:type="paragraph" w:customStyle="1" w:styleId="52">
    <w:name w:val="左对齐正文"/>
    <w:autoRedefine/>
    <w:qFormat/>
    <w:uiPriority w:val="99"/>
    <w:rPr>
      <w:rFonts w:ascii="Calibri" w:hAnsi="Calibri" w:eastAsia="仿宋_GB2312" w:cs="Calibri"/>
      <w:kern w:val="2"/>
      <w:sz w:val="32"/>
      <w:szCs w:val="32"/>
      <w:lang w:val="en-US" w:eastAsia="zh-CN" w:bidi="ar-SA"/>
    </w:rPr>
  </w:style>
  <w:style w:type="paragraph" w:customStyle="1" w:styleId="53">
    <w:name w:val="首行缩进"/>
    <w:basedOn w:val="1"/>
    <w:autoRedefine/>
    <w:qFormat/>
    <w:uiPriority w:val="0"/>
    <w:pPr>
      <w:adjustRightInd w:val="0"/>
      <w:spacing w:line="360" w:lineRule="auto"/>
      <w:ind w:firstLine="480" w:firstLineChars="200"/>
    </w:pPr>
    <w:rPr>
      <w:rFonts w:ascii="宋体"/>
      <w:sz w:val="24"/>
    </w:rPr>
  </w:style>
  <w:style w:type="paragraph" w:customStyle="1" w:styleId="54">
    <w:name w:val="Body Text First Indent1"/>
    <w:basedOn w:val="3"/>
    <w:qFormat/>
    <w:uiPriority w:val="0"/>
    <w:pPr>
      <w:spacing w:line="312" w:lineRule="auto"/>
      <w:ind w:firstLine="420"/>
    </w:pPr>
    <w:rPr>
      <w:rFonts w:ascii="Calibri" w:hAnsi="Calibri"/>
      <w:sz w:val="32"/>
      <w:szCs w:val="24"/>
    </w:rPr>
  </w:style>
  <w:style w:type="paragraph" w:customStyle="1" w:styleId="55">
    <w:name w:val="_Style 1"/>
    <w:basedOn w:val="1"/>
    <w:autoRedefine/>
    <w:qFormat/>
    <w:uiPriority w:val="0"/>
    <w:pPr>
      <w:ind w:firstLine="420"/>
    </w:pPr>
    <w:rPr>
      <w:rFonts w:ascii="Calibri" w:hAnsi="Calibri"/>
      <w:szCs w:val="22"/>
    </w:rPr>
  </w:style>
  <w:style w:type="paragraph" w:customStyle="1" w:styleId="56">
    <w:name w:val="正文文本首行缩进 21"/>
    <w:basedOn w:val="17"/>
    <w:autoRedefine/>
    <w:qFormat/>
    <w:uiPriority w:val="99"/>
    <w:pPr>
      <w:spacing w:line="200" w:lineRule="atLeast"/>
      <w:ind w:firstLine="420"/>
    </w:pPr>
  </w:style>
  <w:style w:type="character" w:customStyle="1" w:styleId="57">
    <w:name w:val="正文文本 字符"/>
    <w:link w:val="3"/>
    <w:semiHidden/>
    <w:qFormat/>
    <w:locked/>
    <w:uiPriority w:val="0"/>
    <w:rPr>
      <w:rFonts w:eastAsia="宋体"/>
      <w:kern w:val="2"/>
      <w:sz w:val="28"/>
      <w:szCs w:val="24"/>
      <w:lang w:val="en-US" w:eastAsia="zh-CN" w:bidi="ar-SA"/>
    </w:rPr>
  </w:style>
  <w:style w:type="character" w:customStyle="1" w:styleId="58">
    <w:name w:val="标题 1 字符"/>
    <w:autoRedefine/>
    <w:qFormat/>
    <w:uiPriority w:val="0"/>
    <w:rPr>
      <w:rFonts w:eastAsia="宋体"/>
      <w:b/>
      <w:bCs/>
      <w:kern w:val="2"/>
      <w:sz w:val="24"/>
      <w:szCs w:val="24"/>
      <w:lang w:val="en-US" w:eastAsia="zh-CN" w:bidi="ar-SA"/>
    </w:rPr>
  </w:style>
  <w:style w:type="character" w:customStyle="1" w:styleId="59">
    <w:name w:val="标题 2 字符"/>
    <w:link w:val="5"/>
    <w:qFormat/>
    <w:uiPriority w:val="0"/>
    <w:rPr>
      <w:rFonts w:ascii="Arial" w:hAnsi="Arial" w:eastAsia="黑体"/>
      <w:b/>
      <w:bCs/>
      <w:kern w:val="2"/>
      <w:sz w:val="32"/>
      <w:szCs w:val="32"/>
      <w:lang w:val="en-US" w:eastAsia="zh-CN" w:bidi="ar-SA"/>
    </w:rPr>
  </w:style>
  <w:style w:type="character" w:customStyle="1" w:styleId="60">
    <w:name w:val="标题 3 字符"/>
    <w:link w:val="6"/>
    <w:autoRedefine/>
    <w:qFormat/>
    <w:uiPriority w:val="0"/>
    <w:rPr>
      <w:rFonts w:eastAsia="宋体"/>
      <w:b/>
      <w:bCs/>
      <w:kern w:val="2"/>
      <w:sz w:val="32"/>
      <w:szCs w:val="32"/>
      <w:lang w:val="en-US" w:eastAsia="zh-CN" w:bidi="ar-SA"/>
    </w:rPr>
  </w:style>
  <w:style w:type="character" w:customStyle="1" w:styleId="61">
    <w:name w:val="标题 5 字符"/>
    <w:link w:val="9"/>
    <w:autoRedefine/>
    <w:qFormat/>
    <w:uiPriority w:val="0"/>
    <w:rPr>
      <w:rFonts w:eastAsia="宋体"/>
      <w:b/>
      <w:bCs/>
      <w:kern w:val="2"/>
      <w:sz w:val="28"/>
      <w:szCs w:val="28"/>
      <w:lang w:val="en-US" w:eastAsia="zh-CN" w:bidi="ar-SA"/>
    </w:rPr>
  </w:style>
  <w:style w:type="character" w:customStyle="1" w:styleId="62">
    <w:name w:val="正文缩进 字符"/>
    <w:link w:val="12"/>
    <w:autoRedefine/>
    <w:qFormat/>
    <w:uiPriority w:val="0"/>
    <w:rPr>
      <w:rFonts w:eastAsia="宋体"/>
      <w:kern w:val="2"/>
      <w:sz w:val="21"/>
      <w:lang w:val="en-US" w:eastAsia="zh-CN" w:bidi="ar-SA"/>
    </w:rPr>
  </w:style>
  <w:style w:type="character" w:customStyle="1" w:styleId="63">
    <w:name w:val="纯文本 字符"/>
    <w:link w:val="8"/>
    <w:qFormat/>
    <w:uiPriority w:val="0"/>
    <w:rPr>
      <w:rFonts w:ascii="宋体" w:hAnsi="Courier New" w:eastAsia="宋体"/>
      <w:kern w:val="2"/>
      <w:sz w:val="24"/>
      <w:szCs w:val="24"/>
      <w:lang w:val="en-US" w:eastAsia="zh-CN" w:bidi="ar-SA"/>
    </w:rPr>
  </w:style>
  <w:style w:type="character" w:customStyle="1" w:styleId="64">
    <w:name w:val="页脚 字符"/>
    <w:link w:val="25"/>
    <w:qFormat/>
    <w:uiPriority w:val="0"/>
    <w:rPr>
      <w:rFonts w:eastAsia="黑体"/>
      <w:snapToGrid w:val="0"/>
      <w:sz w:val="18"/>
      <w:szCs w:val="18"/>
      <w:lang w:val="en-US" w:eastAsia="zh-CN" w:bidi="ar-SA"/>
    </w:rPr>
  </w:style>
  <w:style w:type="character" w:customStyle="1" w:styleId="65">
    <w:name w:val="页眉 字符"/>
    <w:link w:val="26"/>
    <w:autoRedefine/>
    <w:qFormat/>
    <w:uiPriority w:val="0"/>
    <w:rPr>
      <w:rFonts w:eastAsia="仿宋_GB2312"/>
      <w:kern w:val="2"/>
      <w:sz w:val="18"/>
      <w:lang w:val="en-US" w:eastAsia="zh-CN" w:bidi="ar-SA"/>
    </w:rPr>
  </w:style>
  <w:style w:type="character" w:customStyle="1" w:styleId="66">
    <w:name w:val="font41"/>
    <w:basedOn w:val="43"/>
    <w:qFormat/>
    <w:uiPriority w:val="0"/>
    <w:rPr>
      <w:rFonts w:hint="eastAsia" w:ascii="宋体" w:hAnsi="宋体" w:eastAsia="宋体" w:cs="宋体"/>
      <w:color w:val="000000"/>
      <w:sz w:val="20"/>
      <w:szCs w:val="20"/>
      <w:u w:val="none"/>
    </w:rPr>
  </w:style>
  <w:style w:type="character" w:customStyle="1" w:styleId="67">
    <w:name w:val="style41"/>
    <w:autoRedefine/>
    <w:qFormat/>
    <w:uiPriority w:val="0"/>
    <w:rPr>
      <w:sz w:val="18"/>
      <w:szCs w:val="18"/>
    </w:rPr>
  </w:style>
  <w:style w:type="character" w:customStyle="1" w:styleId="68">
    <w:name w:val="font01"/>
    <w:qFormat/>
    <w:uiPriority w:val="0"/>
    <w:rPr>
      <w:rFonts w:hint="eastAsia" w:ascii="宋体" w:hAnsi="宋体" w:eastAsia="宋体" w:cs="宋体"/>
      <w:color w:val="000000"/>
      <w:sz w:val="21"/>
      <w:szCs w:val="21"/>
      <w:u w:val="none"/>
    </w:rPr>
  </w:style>
  <w:style w:type="character" w:customStyle="1" w:styleId="69">
    <w:name w:val="hui121"/>
    <w:autoRedefine/>
    <w:qFormat/>
    <w:uiPriority w:val="0"/>
    <w:rPr>
      <w:rFonts w:eastAsia="宋体"/>
      <w:color w:val="333333"/>
      <w:kern w:val="2"/>
      <w:sz w:val="18"/>
      <w:szCs w:val="18"/>
      <w:lang w:val="en-US" w:eastAsia="zh-CN" w:bidi="ar-SA"/>
    </w:rPr>
  </w:style>
  <w:style w:type="character" w:customStyle="1" w:styleId="70">
    <w:name w:val="class3"/>
    <w:autoRedefine/>
    <w:qFormat/>
    <w:uiPriority w:val="0"/>
  </w:style>
  <w:style w:type="character" w:customStyle="1" w:styleId="71">
    <w:name w:val="font11"/>
    <w:basedOn w:val="43"/>
    <w:qFormat/>
    <w:uiPriority w:val="0"/>
    <w:rPr>
      <w:rFonts w:hint="eastAsia" w:ascii="宋体" w:hAnsi="宋体" w:eastAsia="宋体" w:cs="宋体"/>
      <w:color w:val="000000"/>
      <w:sz w:val="21"/>
      <w:szCs w:val="21"/>
      <w:u w:val="none"/>
    </w:rPr>
  </w:style>
  <w:style w:type="character" w:customStyle="1" w:styleId="72">
    <w:name w:val="普通文字 Char Char1"/>
    <w:qFormat/>
    <w:uiPriority w:val="0"/>
    <w:rPr>
      <w:rFonts w:ascii="宋体" w:hAnsi="Courier New"/>
      <w:kern w:val="2"/>
      <w:sz w:val="24"/>
      <w:szCs w:val="24"/>
    </w:rPr>
  </w:style>
  <w:style w:type="character" w:customStyle="1" w:styleId="73">
    <w:name w:val="普通文字 Char Char3"/>
    <w:autoRedefine/>
    <w:qFormat/>
    <w:uiPriority w:val="0"/>
    <w:rPr>
      <w:rFonts w:ascii="宋体" w:hAnsi="Courier New" w:eastAsia="宋体"/>
      <w:kern w:val="2"/>
      <w:sz w:val="24"/>
      <w:szCs w:val="24"/>
      <w:lang w:val="en-US" w:eastAsia="zh-CN" w:bidi="ar-SA"/>
    </w:rPr>
  </w:style>
  <w:style w:type="character" w:customStyle="1" w:styleId="74">
    <w:name w:val="class4"/>
    <w:autoRedefine/>
    <w:qFormat/>
    <w:uiPriority w:val="0"/>
  </w:style>
  <w:style w:type="character" w:customStyle="1" w:styleId="75">
    <w:name w:val="ca-3"/>
    <w:qFormat/>
    <w:uiPriority w:val="0"/>
    <w:rPr>
      <w:rFonts w:eastAsia="宋体"/>
      <w:kern w:val="2"/>
      <w:sz w:val="24"/>
      <w:szCs w:val="24"/>
      <w:lang w:val="en-US" w:eastAsia="zh-CN" w:bidi="ar-SA"/>
    </w:rPr>
  </w:style>
  <w:style w:type="character" w:customStyle="1" w:styleId="76">
    <w:name w:val="Plain Text Char"/>
    <w:semiHidden/>
    <w:qFormat/>
    <w:locked/>
    <w:uiPriority w:val="0"/>
    <w:rPr>
      <w:rFonts w:ascii="宋体" w:hAnsi="Courier New" w:eastAsia="宋体" w:cs="Times New Roman"/>
      <w:sz w:val="20"/>
      <w:szCs w:val="20"/>
    </w:rPr>
  </w:style>
  <w:style w:type="character" w:customStyle="1" w:styleId="77">
    <w:name w:val="List Paragraph Char"/>
    <w:link w:val="78"/>
    <w:autoRedefine/>
    <w:qFormat/>
    <w:locked/>
    <w:uiPriority w:val="0"/>
    <w:rPr>
      <w:rFonts w:eastAsia="宋体"/>
      <w:kern w:val="2"/>
      <w:sz w:val="21"/>
      <w:szCs w:val="24"/>
      <w:lang w:val="en-US" w:eastAsia="zh-CN" w:bidi="ar-SA"/>
    </w:rPr>
  </w:style>
  <w:style w:type="paragraph" w:customStyle="1" w:styleId="78">
    <w:name w:val="List Paragraph1"/>
    <w:basedOn w:val="1"/>
    <w:next w:val="1"/>
    <w:link w:val="77"/>
    <w:autoRedefine/>
    <w:qFormat/>
    <w:uiPriority w:val="0"/>
    <w:pPr>
      <w:ind w:firstLine="420" w:firstLineChars="200"/>
    </w:pPr>
  </w:style>
  <w:style w:type="character" w:customStyle="1" w:styleId="79">
    <w:name w:val="h Char Char"/>
    <w:autoRedefine/>
    <w:qFormat/>
    <w:uiPriority w:val="0"/>
    <w:rPr>
      <w:rFonts w:eastAsia="仿宋_GB2312"/>
      <w:kern w:val="2"/>
      <w:sz w:val="18"/>
      <w:lang w:val="en-US" w:eastAsia="zh-CN" w:bidi="ar-SA"/>
    </w:rPr>
  </w:style>
  <w:style w:type="character" w:customStyle="1" w:styleId="80">
    <w:name w:val="label_list1"/>
    <w:autoRedefine/>
    <w:qFormat/>
    <w:uiPriority w:val="0"/>
  </w:style>
  <w:style w:type="character" w:customStyle="1" w:styleId="81">
    <w:name w:val="普通文字 Char Char2"/>
    <w:autoRedefine/>
    <w:qFormat/>
    <w:uiPriority w:val="0"/>
    <w:rPr>
      <w:rFonts w:ascii="宋体" w:hAnsi="Courier New" w:eastAsia="宋体"/>
      <w:kern w:val="2"/>
      <w:sz w:val="21"/>
      <w:lang w:val="en-US" w:eastAsia="zh-CN" w:bidi="ar-SA"/>
    </w:rPr>
  </w:style>
  <w:style w:type="character" w:customStyle="1" w:styleId="82">
    <w:name w:val="Char Char18"/>
    <w:autoRedefine/>
    <w:qFormat/>
    <w:uiPriority w:val="0"/>
    <w:rPr>
      <w:rFonts w:ascii="宋体" w:eastAsia="宋体"/>
      <w:snapToGrid w:val="0"/>
      <w:color w:val="000000"/>
      <w:kern w:val="28"/>
      <w:sz w:val="28"/>
      <w:lang w:val="en-US" w:eastAsia="zh-CN" w:bidi="ar-SA"/>
    </w:rPr>
  </w:style>
  <w:style w:type="character" w:customStyle="1" w:styleId="83">
    <w:name w:val="font111"/>
    <w:autoRedefine/>
    <w:qFormat/>
    <w:uiPriority w:val="0"/>
    <w:rPr>
      <w:rFonts w:hint="default" w:ascii="Calibri" w:hAnsi="Calibri" w:cs="Calibri"/>
      <w:color w:val="000000"/>
      <w:sz w:val="22"/>
      <w:szCs w:val="22"/>
      <w:u w:val="none"/>
    </w:rPr>
  </w:style>
  <w:style w:type="character" w:customStyle="1" w:styleId="84">
    <w:name w:val="cf01"/>
    <w:autoRedefine/>
    <w:qFormat/>
    <w:uiPriority w:val="0"/>
    <w:rPr>
      <w:rFonts w:hint="eastAsia" w:ascii="Microsoft YaHei UI" w:hAnsi="Microsoft YaHei UI" w:eastAsia="Microsoft YaHei UI"/>
      <w:sz w:val="18"/>
      <w:szCs w:val="18"/>
    </w:rPr>
  </w:style>
  <w:style w:type="character" w:customStyle="1" w:styleId="85">
    <w:name w:val="cf11"/>
    <w:autoRedefine/>
    <w:qFormat/>
    <w:uiPriority w:val="0"/>
    <w:rPr>
      <w:rFonts w:hint="eastAsia" w:ascii="Microsoft YaHei UI" w:hAnsi="Microsoft YaHei UI" w:eastAsia="Microsoft YaHei UI"/>
      <w:sz w:val="18"/>
      <w:szCs w:val="18"/>
    </w:rPr>
  </w:style>
  <w:style w:type="character" w:customStyle="1" w:styleId="86">
    <w:name w:val="fontstyle01"/>
    <w:autoRedefine/>
    <w:qFormat/>
    <w:uiPriority w:val="0"/>
    <w:rPr>
      <w:rFonts w:hint="eastAsia" w:ascii="宋体" w:hAnsi="宋体" w:eastAsia="宋体"/>
      <w:color w:val="000000"/>
      <w:sz w:val="22"/>
      <w:szCs w:val="22"/>
    </w:rPr>
  </w:style>
  <w:style w:type="character" w:customStyle="1" w:styleId="87">
    <w:name w:val="font51"/>
    <w:basedOn w:val="43"/>
    <w:autoRedefine/>
    <w:qFormat/>
    <w:uiPriority w:val="0"/>
    <w:rPr>
      <w:rFonts w:hint="default" w:ascii="等线" w:hAnsi="等线" w:eastAsia="等线" w:cs="等线"/>
      <w:b/>
      <w:bCs/>
      <w:color w:val="000000"/>
      <w:sz w:val="22"/>
      <w:szCs w:val="22"/>
      <w:u w:val="none"/>
    </w:rPr>
  </w:style>
  <w:style w:type="paragraph" w:customStyle="1" w:styleId="88">
    <w:name w:val="WPSOffice手动目录 1"/>
    <w:qFormat/>
    <w:uiPriority w:val="0"/>
    <w:rPr>
      <w:rFonts w:ascii="Times New Roman" w:hAnsi="Times New Roman" w:eastAsia="宋体" w:cs="Times New Roman"/>
      <w:lang w:val="en-US" w:eastAsia="zh-CN" w:bidi="ar-SA"/>
    </w:rPr>
  </w:style>
  <w:style w:type="paragraph" w:customStyle="1" w:styleId="89">
    <w:name w:val="lp1"/>
    <w:basedOn w:val="1"/>
    <w:next w:val="78"/>
    <w:autoRedefine/>
    <w:qFormat/>
    <w:uiPriority w:val="34"/>
    <w:pPr>
      <w:widowControl/>
      <w:ind w:left="720"/>
      <w:contextualSpacing/>
      <w:jc w:val="left"/>
    </w:pPr>
    <w:rPr>
      <w:sz w:val="24"/>
      <w:szCs w:val="24"/>
    </w:rPr>
  </w:style>
  <w:style w:type="paragraph" w:customStyle="1" w:styleId="90">
    <w:name w:val="cjk"/>
    <w:basedOn w:val="1"/>
    <w:qFormat/>
    <w:uiPriority w:val="0"/>
    <w:pPr>
      <w:widowControl/>
      <w:spacing w:line="480" w:lineRule="auto"/>
      <w:jc w:val="left"/>
    </w:pPr>
    <w:rPr>
      <w:rFonts w:ascii="宋体" w:hAnsi="宋体" w:cs="宋体"/>
      <w:kern w:val="0"/>
      <w:sz w:val="24"/>
      <w:szCs w:val="22"/>
    </w:rPr>
  </w:style>
  <w:style w:type="paragraph" w:customStyle="1" w:styleId="91">
    <w:name w:val="表格"/>
    <w:basedOn w:val="1"/>
    <w:autoRedefine/>
    <w:qFormat/>
    <w:uiPriority w:val="0"/>
    <w:pPr>
      <w:snapToGrid w:val="0"/>
      <w:spacing w:line="360" w:lineRule="auto"/>
      <w:ind w:firstLine="42" w:firstLineChars="21"/>
    </w:pPr>
    <w:rPr>
      <w:rFonts w:ascii="宋体" w:hAnsi="宋体"/>
      <w:kern w:val="0"/>
      <w:sz w:val="20"/>
    </w:rPr>
  </w:style>
  <w:style w:type="paragraph" w:customStyle="1" w:styleId="92">
    <w:name w:val="CM14"/>
    <w:basedOn w:val="93"/>
    <w:next w:val="93"/>
    <w:autoRedefine/>
    <w:unhideWhenUsed/>
    <w:qFormat/>
    <w:uiPriority w:val="99"/>
    <w:pPr>
      <w:spacing w:line="546" w:lineRule="atLeast"/>
    </w:pPr>
    <w:rPr>
      <w:rFonts w:hint="eastAsia"/>
    </w:rPr>
  </w:style>
  <w:style w:type="paragraph" w:customStyle="1" w:styleId="93">
    <w:name w:val="Default"/>
    <w:next w:val="94"/>
    <w:autoRedefine/>
    <w:qFormat/>
    <w:uiPriority w:val="0"/>
    <w:pPr>
      <w:widowControl w:val="0"/>
      <w:autoSpaceDE w:val="0"/>
      <w:autoSpaceDN w:val="0"/>
      <w:adjustRightInd w:val="0"/>
    </w:pPr>
    <w:rPr>
      <w:rFonts w:ascii="..ì." w:hAnsi="Times New Roman" w:eastAsia="..ì." w:cs="..ì."/>
      <w:color w:val="000000"/>
      <w:sz w:val="24"/>
      <w:szCs w:val="24"/>
      <w:lang w:val="en-US" w:eastAsia="zh-CN" w:bidi="ar-SA"/>
    </w:rPr>
  </w:style>
  <w:style w:type="paragraph" w:customStyle="1" w:styleId="94">
    <w:name w:val="TOC 71"/>
    <w:next w:val="1"/>
    <w:autoRedefine/>
    <w:qFormat/>
    <w:uiPriority w:val="0"/>
    <w:pPr>
      <w:wordWrap w:val="0"/>
      <w:ind w:left="2550"/>
      <w:jc w:val="both"/>
    </w:pPr>
    <w:rPr>
      <w:rFonts w:ascii="Times New Roman" w:hAnsi="Times New Roman" w:eastAsia="宋体" w:cs="Times New Roman"/>
      <w:sz w:val="21"/>
      <w:szCs w:val="22"/>
      <w:lang w:val="en-US" w:eastAsia="zh-CN" w:bidi="ar-SA"/>
    </w:rPr>
  </w:style>
  <w:style w:type="paragraph" w:customStyle="1" w:styleId="95">
    <w:name w:val="目录 71"/>
    <w:next w:val="1"/>
    <w:autoRedefine/>
    <w:qFormat/>
    <w:uiPriority w:val="0"/>
    <w:pPr>
      <w:wordWrap w:val="0"/>
      <w:ind w:left="2550"/>
      <w:jc w:val="both"/>
    </w:pPr>
    <w:rPr>
      <w:rFonts w:ascii="Calibri" w:hAnsi="Calibri" w:eastAsia="宋体" w:cs="Times New Roman"/>
      <w:sz w:val="21"/>
      <w:szCs w:val="22"/>
      <w:lang w:val="en-US" w:eastAsia="zh-CN" w:bidi="ar-SA"/>
    </w:rPr>
  </w:style>
  <w:style w:type="paragraph" w:customStyle="1" w:styleId="96">
    <w:name w:val="_Style 88"/>
    <w:unhideWhenUsed/>
    <w:qFormat/>
    <w:uiPriority w:val="99"/>
    <w:rPr>
      <w:rFonts w:hint="eastAsia" w:ascii="Times New Roman" w:hAnsi="Times New Roman" w:eastAsia="宋体" w:cs="Times New Roman"/>
      <w:kern w:val="2"/>
      <w:sz w:val="21"/>
      <w:lang w:val="en-US" w:eastAsia="zh-CN" w:bidi="ar-SA"/>
    </w:rPr>
  </w:style>
  <w:style w:type="paragraph" w:customStyle="1" w:styleId="97">
    <w:name w:val="正文1"/>
    <w:autoRedefine/>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98">
    <w:name w:val="f1"/>
    <w:basedOn w:val="1"/>
    <w:autoRedefine/>
    <w:qFormat/>
    <w:uiPriority w:val="0"/>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99">
    <w:name w:val="Medium Grid 1 - Accent 21"/>
    <w:basedOn w:val="1"/>
    <w:autoRedefine/>
    <w:qFormat/>
    <w:uiPriority w:val="0"/>
    <w:pPr>
      <w:spacing w:line="500" w:lineRule="exact"/>
      <w:ind w:firstLine="420" w:firstLineChars="200"/>
    </w:pPr>
    <w:rPr>
      <w:kern w:val="0"/>
      <w:szCs w:val="24"/>
    </w:rPr>
  </w:style>
  <w:style w:type="paragraph" w:customStyle="1" w:styleId="100">
    <w:name w:val="列表段落1"/>
    <w:basedOn w:val="1"/>
    <w:qFormat/>
    <w:uiPriority w:val="0"/>
    <w:pPr>
      <w:widowControl/>
      <w:ind w:left="720" w:firstLine="360"/>
      <w:contextualSpacing/>
      <w:jc w:val="left"/>
    </w:pPr>
    <w:rPr>
      <w:rFonts w:ascii="Calibri" w:hAnsi="Calibri"/>
      <w:kern w:val="0"/>
      <w:sz w:val="22"/>
      <w:szCs w:val="22"/>
      <w:lang w:eastAsia="en-US" w:bidi="en-US"/>
    </w:rPr>
  </w:style>
  <w:style w:type="paragraph" w:customStyle="1" w:styleId="101">
    <w:name w:val="Table Paragraph"/>
    <w:basedOn w:val="1"/>
    <w:qFormat/>
    <w:uiPriority w:val="1"/>
    <w:rPr>
      <w:rFonts w:ascii="宋体" w:hAnsi="宋体" w:cs="宋体"/>
      <w:lang w:val="zh-CN" w:bidi="zh-CN"/>
    </w:rPr>
  </w:style>
  <w:style w:type="paragraph" w:customStyle="1" w:styleId="102">
    <w:name w:val="Normal1"/>
    <w:autoRedefine/>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103">
    <w:name w:val="纯文本1"/>
    <w:basedOn w:val="97"/>
    <w:qFormat/>
    <w:uiPriority w:val="0"/>
    <w:pPr>
      <w:widowControl/>
      <w:jc w:val="left"/>
    </w:pPr>
    <w:rPr>
      <w:rFonts w:ascii="宋体" w:hAnsi="Courier New"/>
    </w:rPr>
  </w:style>
  <w:style w:type="paragraph" w:customStyle="1" w:styleId="104">
    <w:name w:val="内文正文"/>
    <w:autoRedefine/>
    <w:qFormat/>
    <w:uiPriority w:val="0"/>
    <w:pPr>
      <w:autoSpaceDE w:val="0"/>
      <w:autoSpaceDN w:val="0"/>
      <w:spacing w:line="400" w:lineRule="exact"/>
      <w:ind w:firstLine="200" w:firstLineChars="200"/>
      <w:jc w:val="both"/>
      <w:textAlignment w:val="bottom"/>
    </w:pPr>
    <w:rPr>
      <w:rFonts w:ascii="??" w:hAnsi="??" w:eastAsia="??" w:cs="Times New Roman"/>
      <w:sz w:val="21"/>
      <w:szCs w:val="28"/>
      <w:lang w:val="en-US" w:eastAsia="zh-CN" w:bidi="ar-SA"/>
    </w:rPr>
  </w:style>
  <w:style w:type="paragraph" w:customStyle="1" w:styleId="105">
    <w:name w:val="表内文字"/>
    <w:basedOn w:val="1"/>
    <w:autoRedefine/>
    <w:qFormat/>
    <w:uiPriority w:val="0"/>
    <w:pPr>
      <w:tabs>
        <w:tab w:val="left" w:pos="1418"/>
      </w:tabs>
      <w:spacing w:line="360" w:lineRule="auto"/>
      <w:jc w:val="center"/>
    </w:pPr>
    <w:rPr>
      <w:rFonts w:ascii="仿宋_GB2312" w:eastAsia="仿宋_GB2312"/>
      <w:spacing w:val="-20"/>
      <w:kern w:val="0"/>
      <w:sz w:val="24"/>
    </w:rPr>
  </w:style>
  <w:style w:type="paragraph" w:customStyle="1" w:styleId="106">
    <w:name w:val="xl29"/>
    <w:basedOn w:val="1"/>
    <w:qFormat/>
    <w:uiPriority w:val="0"/>
    <w:pPr>
      <w:widowControl/>
      <w:pBdr>
        <w:bottom w:val="single" w:color="auto" w:sz="4" w:space="0"/>
        <w:right w:val="single" w:color="auto" w:sz="4" w:space="0"/>
      </w:pBdr>
      <w:adjustRightInd w:val="0"/>
      <w:spacing w:before="100" w:beforeAutospacing="1" w:after="100" w:afterAutospacing="1" w:line="312" w:lineRule="atLeast"/>
      <w:textAlignment w:val="baseline"/>
    </w:pPr>
    <w:rPr>
      <w:rFonts w:ascii="宋体" w:hAnsi="宋体"/>
      <w:kern w:val="0"/>
      <w:sz w:val="24"/>
    </w:rPr>
  </w:style>
  <w:style w:type="paragraph" w:customStyle="1" w:styleId="107">
    <w:name w:val="正文 A"/>
    <w:qFormat/>
    <w:uiPriority w:val="0"/>
    <w:pPr>
      <w:widowControl w:val="0"/>
      <w:pBdr>
        <w:top w:val="none" w:color="FFFFFF" w:sz="0" w:space="31"/>
        <w:left w:val="none" w:color="FFFFFF" w:sz="0" w:space="31"/>
        <w:bottom w:val="none" w:color="FFFFFF" w:sz="0" w:space="31"/>
        <w:right w:val="none" w:color="FFFFFF" w:sz="0" w:space="31"/>
      </w:pBdr>
      <w:jc w:val="both"/>
    </w:pPr>
    <w:rPr>
      <w:rFonts w:ascii="Times New Roman" w:hAnsi="Arial Unicode MS" w:eastAsia="Times New Roman" w:cs="Arial Unicode MS"/>
      <w:color w:val="000000"/>
      <w:kern w:val="2"/>
      <w:sz w:val="21"/>
      <w:szCs w:val="21"/>
      <w:u w:color="000000"/>
      <w:lang w:val="en-US" w:eastAsia="zh-CN" w:bidi="ar-SA"/>
    </w:rPr>
  </w:style>
  <w:style w:type="paragraph" w:customStyle="1" w:styleId="108">
    <w:name w:val="CM19"/>
    <w:basedOn w:val="93"/>
    <w:next w:val="93"/>
    <w:unhideWhenUsed/>
    <w:qFormat/>
    <w:uiPriority w:val="99"/>
    <w:rPr>
      <w:rFonts w:hint="eastAsia"/>
    </w:rPr>
  </w:style>
  <w:style w:type="paragraph" w:customStyle="1" w:styleId="109">
    <w:name w:val="列出段落1"/>
    <w:basedOn w:val="1"/>
    <w:qFormat/>
    <w:uiPriority w:val="0"/>
    <w:pPr>
      <w:ind w:firstLine="420" w:firstLineChars="200"/>
    </w:pPr>
    <w:rPr>
      <w:rFonts w:ascii="Calibri" w:hAnsi="Calibri"/>
      <w:szCs w:val="22"/>
    </w:rPr>
  </w:style>
  <w:style w:type="paragraph" w:customStyle="1" w:styleId="110">
    <w:name w:val="1 Char"/>
    <w:basedOn w:val="1"/>
    <w:qFormat/>
    <w:uiPriority w:val="0"/>
  </w:style>
  <w:style w:type="paragraph" w:customStyle="1" w:styleId="111">
    <w:name w:val="默认段落字体 Para Char Char Char Char"/>
    <w:basedOn w:val="1"/>
    <w:qFormat/>
    <w:uiPriority w:val="0"/>
    <w:rPr>
      <w:spacing w:val="20"/>
      <w:sz w:val="28"/>
      <w:szCs w:val="21"/>
    </w:rPr>
  </w:style>
  <w:style w:type="paragraph" w:customStyle="1" w:styleId="112">
    <w:name w:val="标题B"/>
    <w:basedOn w:val="5"/>
    <w:qFormat/>
    <w:uiPriority w:val="0"/>
    <w:pPr>
      <w:adjustRightInd w:val="0"/>
      <w:spacing w:before="100" w:beforeAutospacing="1" w:after="100" w:afterAutospacing="1" w:line="240" w:lineRule="auto"/>
      <w:jc w:val="center"/>
      <w:textAlignment w:val="baseline"/>
    </w:pPr>
    <w:rPr>
      <w:rFonts w:eastAsia="宋体"/>
      <w:kern w:val="0"/>
      <w:sz w:val="28"/>
      <w:szCs w:val="28"/>
    </w:rPr>
  </w:style>
  <w:style w:type="paragraph" w:customStyle="1" w:styleId="113">
    <w:name w:val="样式 正文文本"/>
    <w:basedOn w:val="1"/>
    <w:qFormat/>
    <w:uiPriority w:val="0"/>
    <w:pPr>
      <w:adjustRightInd w:val="0"/>
      <w:snapToGrid w:val="0"/>
      <w:spacing w:line="400" w:lineRule="exact"/>
      <w:ind w:firstLine="200" w:firstLineChars="200"/>
    </w:pPr>
    <w:rPr>
      <w:rFonts w:ascii="Arial" w:hAnsi="Arial"/>
      <w:color w:val="000000"/>
    </w:rPr>
  </w:style>
  <w:style w:type="paragraph" w:customStyle="1" w:styleId="114">
    <w:name w:val="Char Char Char"/>
    <w:basedOn w:val="1"/>
    <w:qFormat/>
    <w:uiPriority w:val="0"/>
    <w:rPr>
      <w:rFonts w:ascii="Calibri" w:hAnsi="Calibri"/>
      <w:szCs w:val="22"/>
    </w:rPr>
  </w:style>
  <w:style w:type="paragraph" w:customStyle="1" w:styleId="115">
    <w:name w:val="Char Char Char Char Char Char"/>
    <w:basedOn w:val="1"/>
    <w:qFormat/>
    <w:uiPriority w:val="0"/>
    <w:rPr>
      <w:rFonts w:ascii="仿宋_GB2312" w:eastAsia="仿宋_GB2312"/>
      <w:b/>
      <w:sz w:val="32"/>
      <w:szCs w:val="32"/>
    </w:rPr>
  </w:style>
  <w:style w:type="paragraph" w:customStyle="1" w:styleId="116">
    <w:name w:val="Blockquote"/>
    <w:basedOn w:val="1"/>
    <w:qFormat/>
    <w:uiPriority w:val="0"/>
    <w:pPr>
      <w:autoSpaceDE w:val="0"/>
      <w:autoSpaceDN w:val="0"/>
      <w:adjustRightInd w:val="0"/>
      <w:spacing w:before="100" w:after="100"/>
      <w:ind w:left="360" w:right="360"/>
      <w:jc w:val="left"/>
    </w:pPr>
    <w:rPr>
      <w:rFonts w:eastAsia="??"/>
      <w:kern w:val="0"/>
      <w:sz w:val="24"/>
      <w:szCs w:val="28"/>
    </w:rPr>
  </w:style>
  <w:style w:type="paragraph" w:customStyle="1" w:styleId="117">
    <w:name w:val="CM11"/>
    <w:basedOn w:val="93"/>
    <w:next w:val="93"/>
    <w:unhideWhenUsed/>
    <w:qFormat/>
    <w:uiPriority w:val="99"/>
    <w:pPr>
      <w:spacing w:line="520" w:lineRule="atLeast"/>
    </w:pPr>
    <w:rPr>
      <w:rFonts w:hint="eastAsia"/>
    </w:rPr>
  </w:style>
  <w:style w:type="paragraph" w:customStyle="1" w:styleId="118">
    <w:name w:val="xl24"/>
    <w:basedOn w:val="1"/>
    <w:qFormat/>
    <w:uiPriority w:val="0"/>
    <w:pPr>
      <w:widowControl/>
      <w:pBdr>
        <w:left w:val="single" w:color="auto" w:sz="4" w:space="0"/>
        <w:bottom w:val="single" w:color="auto" w:sz="4" w:space="0"/>
        <w:right w:val="single" w:color="auto" w:sz="4" w:space="0"/>
      </w:pBdr>
      <w:adjustRightInd w:val="0"/>
      <w:spacing w:before="100" w:beforeAutospacing="1" w:after="100" w:afterAutospacing="1" w:line="312" w:lineRule="atLeast"/>
      <w:jc w:val="center"/>
      <w:textAlignment w:val="top"/>
    </w:pPr>
    <w:rPr>
      <w:rFonts w:ascii="仿宋_GB2312" w:hAnsi="宋体" w:eastAsia="仿宋_GB2312"/>
      <w:kern w:val="0"/>
      <w:sz w:val="24"/>
    </w:rPr>
  </w:style>
  <w:style w:type="paragraph" w:customStyle="1" w:styleId="119">
    <w:name w:val="Char"/>
    <w:basedOn w:val="1"/>
    <w:qFormat/>
    <w:uiPriority w:val="0"/>
    <w:pPr>
      <w:tabs>
        <w:tab w:val="left" w:pos="1200"/>
      </w:tabs>
      <w:ind w:left="1200" w:hanging="360"/>
    </w:pPr>
    <w:rPr>
      <w:sz w:val="24"/>
    </w:rPr>
  </w:style>
  <w:style w:type="paragraph" w:customStyle="1" w:styleId="120">
    <w:name w:val="UserStyle_0"/>
    <w:next w:val="121"/>
    <w:qFormat/>
    <w:uiPriority w:val="0"/>
    <w:pPr>
      <w:textAlignment w:val="baseline"/>
    </w:pPr>
    <w:rPr>
      <w:rFonts w:ascii="Arial" w:hAnsi="Arial" w:eastAsia="宋体" w:cs="Times New Roman"/>
      <w:color w:val="000000"/>
      <w:sz w:val="24"/>
      <w:szCs w:val="24"/>
      <w:lang w:val="en-US" w:eastAsia="zh-CN" w:bidi="ar-SA"/>
    </w:rPr>
  </w:style>
  <w:style w:type="paragraph" w:customStyle="1" w:styleId="121">
    <w:name w:val="UserStyle_1"/>
    <w:next w:val="1"/>
    <w:qFormat/>
    <w:uiPriority w:val="0"/>
    <w:pPr>
      <w:ind w:left="2550"/>
      <w:jc w:val="both"/>
      <w:textAlignment w:val="baseline"/>
    </w:pPr>
    <w:rPr>
      <w:rFonts w:ascii="Times New Roman" w:hAnsi="Times New Roman" w:eastAsia="宋体" w:cs="Times New Roman"/>
      <w:sz w:val="21"/>
      <w:szCs w:val="22"/>
      <w:lang w:val="en-US" w:eastAsia="zh-CN" w:bidi="ar-SA"/>
    </w:rPr>
  </w:style>
  <w:style w:type="paragraph" w:customStyle="1" w:styleId="122">
    <w:name w:val="标题C"/>
    <w:basedOn w:val="6"/>
    <w:qFormat/>
    <w:uiPriority w:val="0"/>
    <w:pPr>
      <w:adjustRightInd w:val="0"/>
      <w:spacing w:before="100" w:beforeAutospacing="1" w:after="100" w:afterAutospacing="1" w:line="240" w:lineRule="auto"/>
      <w:jc w:val="center"/>
      <w:textAlignment w:val="baseline"/>
    </w:pPr>
    <w:rPr>
      <w:kern w:val="0"/>
      <w:sz w:val="24"/>
      <w:szCs w:val="24"/>
    </w:rPr>
  </w:style>
  <w:style w:type="paragraph" w:customStyle="1" w:styleId="123">
    <w:name w:val="正文2"/>
    <w:basedOn w:val="1"/>
    <w:qFormat/>
    <w:uiPriority w:val="0"/>
    <w:pPr>
      <w:spacing w:before="156" w:line="360" w:lineRule="auto"/>
      <w:ind w:firstLine="510" w:firstLineChars="200"/>
    </w:pPr>
    <w:rPr>
      <w:sz w:val="24"/>
    </w:rPr>
  </w:style>
  <w:style w:type="paragraph" w:customStyle="1" w:styleId="124">
    <w:name w:val="Proposals body"/>
    <w:basedOn w:val="1"/>
    <w:next w:val="1"/>
    <w:qFormat/>
    <w:uiPriority w:val="0"/>
    <w:pPr>
      <w:widowControl/>
      <w:spacing w:line="360" w:lineRule="auto"/>
      <w:jc w:val="left"/>
    </w:pPr>
    <w:rPr>
      <w:rFonts w:ascii="宋体"/>
      <w:snapToGrid w:val="0"/>
      <w:color w:val="000000"/>
      <w:kern w:val="0"/>
      <w:sz w:val="24"/>
    </w:rPr>
  </w:style>
  <w:style w:type="paragraph" w:customStyle="1" w:styleId="125">
    <w:name w:val="Plain Text1"/>
    <w:basedOn w:val="102"/>
    <w:qFormat/>
    <w:uiPriority w:val="0"/>
    <w:pPr>
      <w:widowControl/>
      <w:jc w:val="left"/>
    </w:pPr>
    <w:rPr>
      <w:rFonts w:ascii="宋体" w:hAnsi="Courier New"/>
    </w:rPr>
  </w:style>
  <w:style w:type="paragraph" w:customStyle="1" w:styleId="126">
    <w:name w:val="标题A"/>
    <w:basedOn w:val="4"/>
    <w:qFormat/>
    <w:uiPriority w:val="0"/>
    <w:pPr>
      <w:keepLines/>
      <w:adjustRightInd w:val="0"/>
      <w:spacing w:before="100" w:beforeAutospacing="1" w:after="60"/>
      <w:textAlignment w:val="baseline"/>
    </w:pPr>
    <w:rPr>
      <w:rFonts w:ascii="Arial" w:hAnsi="Arial"/>
      <w:kern w:val="44"/>
      <w:sz w:val="28"/>
      <w:szCs w:val="44"/>
    </w:rPr>
  </w:style>
  <w:style w:type="paragraph" w:customStyle="1" w:styleId="127">
    <w:name w:val="CM13"/>
    <w:basedOn w:val="93"/>
    <w:next w:val="93"/>
    <w:unhideWhenUsed/>
    <w:qFormat/>
    <w:uiPriority w:val="99"/>
    <w:pPr>
      <w:spacing w:line="520" w:lineRule="atLeast"/>
    </w:pPr>
    <w:rPr>
      <w:rFonts w:hint="eastAsia"/>
    </w:rPr>
  </w:style>
  <w:style w:type="paragraph" w:customStyle="1" w:styleId="128">
    <w:name w:val="Char1"/>
    <w:basedOn w:val="1"/>
    <w:qFormat/>
    <w:uiPriority w:val="0"/>
    <w:pPr>
      <w:widowControl/>
      <w:spacing w:after="160" w:line="240" w:lineRule="exact"/>
      <w:jc w:val="left"/>
    </w:pPr>
    <w:rPr>
      <w:rFonts w:ascii="Verdana" w:hAnsi="Verdana" w:eastAsia="仿宋_GB2312"/>
      <w:kern w:val="0"/>
      <w:sz w:val="24"/>
      <w:lang w:eastAsia="en-US"/>
    </w:rPr>
  </w:style>
  <w:style w:type="paragraph" w:customStyle="1" w:styleId="129">
    <w:name w:val="简单回函地址"/>
    <w:basedOn w:val="1"/>
    <w:qFormat/>
    <w:uiPriority w:val="0"/>
    <w:pPr>
      <w:adjustRightInd w:val="0"/>
      <w:spacing w:line="312" w:lineRule="atLeast"/>
      <w:textAlignment w:val="baseline"/>
    </w:pPr>
    <w:rPr>
      <w:kern w:val="0"/>
    </w:rPr>
  </w:style>
  <w:style w:type="paragraph" w:customStyle="1" w:styleId="130">
    <w:name w:val="xl35"/>
    <w:basedOn w:val="1"/>
    <w:qFormat/>
    <w:uiPriority w:val="0"/>
    <w:pPr>
      <w:widowControl/>
      <w:spacing w:before="100" w:beforeAutospacing="1" w:after="100" w:afterAutospacing="1"/>
      <w:jc w:val="right"/>
      <w:textAlignment w:val="center"/>
    </w:pPr>
    <w:rPr>
      <w:rFonts w:ascii="宋体" w:hAnsi="宋体"/>
      <w:kern w:val="0"/>
      <w:sz w:val="18"/>
      <w:szCs w:val="18"/>
    </w:rPr>
  </w:style>
  <w:style w:type="paragraph" w:customStyle="1" w:styleId="131">
    <w:name w:val="样式1"/>
    <w:basedOn w:val="1"/>
    <w:qFormat/>
    <w:uiPriority w:val="0"/>
    <w:pPr>
      <w:spacing w:line="360" w:lineRule="exact"/>
      <w:ind w:firstLine="200" w:firstLineChars="200"/>
    </w:pPr>
    <w:rPr>
      <w:rFonts w:ascii="Arial" w:hAnsi="Arial"/>
    </w:rPr>
  </w:style>
  <w:style w:type="paragraph" w:customStyle="1" w:styleId="132">
    <w:name w:val="正文_13"/>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3">
    <w:name w:val="Char Char Char Char Char Char Char Char Char Char Char Char Char Char Char Char Char Char Char Char Char Char Char Char Char Char Char Char Char1 Char Char Char Char Char Char Char Char Char Char Char Char"/>
    <w:basedOn w:val="1"/>
    <w:unhideWhenUsed/>
    <w:qFormat/>
    <w:uiPriority w:val="0"/>
    <w:rPr>
      <w:rFonts w:ascii="仿宋_GB2312" w:eastAsia="仿宋_GB2312"/>
      <w:b/>
      <w:sz w:val="32"/>
    </w:rPr>
  </w:style>
  <w:style w:type="paragraph" w:customStyle="1" w:styleId="134">
    <w:name w:val="Normal Indent1"/>
    <w:basedOn w:val="1"/>
    <w:qFormat/>
    <w:uiPriority w:val="0"/>
    <w:pPr>
      <w:ind w:firstLine="420"/>
    </w:pPr>
  </w:style>
  <w:style w:type="paragraph" w:customStyle="1" w:styleId="135">
    <w:name w:val="正文段"/>
    <w:basedOn w:val="1"/>
    <w:qFormat/>
    <w:uiPriority w:val="0"/>
    <w:pPr>
      <w:widowControl/>
      <w:snapToGrid w:val="0"/>
      <w:spacing w:afterLines="50"/>
      <w:ind w:firstLine="200" w:firstLineChars="200"/>
    </w:pPr>
    <w:rPr>
      <w:kern w:val="0"/>
      <w:sz w:val="24"/>
    </w:rPr>
  </w:style>
  <w:style w:type="paragraph" w:customStyle="1" w:styleId="136">
    <w:name w:val="默认段落字体 Para Char Char Char Char Char Char Char Char Char1 Char Char Char Char"/>
    <w:basedOn w:val="1"/>
    <w:qFormat/>
    <w:uiPriority w:val="0"/>
    <w:rPr>
      <w:rFonts w:ascii="Tahoma" w:hAnsi="Tahoma"/>
      <w:sz w:val="24"/>
    </w:rPr>
  </w:style>
  <w:style w:type="paragraph" w:customStyle="1" w:styleId="137">
    <w:name w:val="正文缩进1"/>
    <w:basedOn w:val="138"/>
    <w:next w:val="56"/>
    <w:qFormat/>
    <w:uiPriority w:val="0"/>
    <w:pPr>
      <w:spacing w:line="480" w:lineRule="exact"/>
    </w:pPr>
    <w:rPr>
      <w:rFonts w:ascii="宋体" w:hAnsi="宋体"/>
      <w:sz w:val="24"/>
    </w:rPr>
  </w:style>
  <w:style w:type="paragraph" w:customStyle="1" w:styleId="138">
    <w:name w:val="正文11"/>
    <w:next w:val="13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9">
    <w:name w:val="文档正文"/>
    <w:basedOn w:val="1"/>
    <w:qFormat/>
    <w:uiPriority w:val="0"/>
    <w:pPr>
      <w:adjustRightInd w:val="0"/>
      <w:spacing w:line="312" w:lineRule="atLeast"/>
      <w:ind w:firstLine="567"/>
      <w:textAlignment w:val="baseline"/>
    </w:pPr>
    <w:rPr>
      <w:rFonts w:ascii="长城仿宋" w:hAnsi="Calibri" w:eastAsia="长城仿宋"/>
      <w:sz w:val="28"/>
      <w:szCs w:val="22"/>
    </w:rPr>
  </w:style>
  <w:style w:type="paragraph" w:customStyle="1" w:styleId="140">
    <w:name w:val="font5"/>
    <w:basedOn w:val="1"/>
    <w:qFormat/>
    <w:uiPriority w:val="0"/>
    <w:pPr>
      <w:widowControl/>
      <w:spacing w:before="100" w:beforeAutospacing="1" w:after="100" w:afterAutospacing="1"/>
      <w:jc w:val="left"/>
    </w:pPr>
    <w:rPr>
      <w:rFonts w:ascii="宋体" w:hAnsi="宋体"/>
      <w:kern w:val="0"/>
      <w:sz w:val="18"/>
      <w:szCs w:val="18"/>
    </w:rPr>
  </w:style>
  <w:style w:type="paragraph" w:customStyle="1" w:styleId="141">
    <w:name w:val="p0"/>
    <w:basedOn w:val="1"/>
    <w:qFormat/>
    <w:uiPriority w:val="0"/>
    <w:pPr>
      <w:widowControl/>
    </w:pPr>
    <w:rPr>
      <w:kern w:val="0"/>
      <w:szCs w:val="21"/>
    </w:rPr>
  </w:style>
  <w:style w:type="character" w:customStyle="1" w:styleId="142">
    <w:name w:val="font21"/>
    <w:basedOn w:val="43"/>
    <w:qFormat/>
    <w:uiPriority w:val="0"/>
    <w:rPr>
      <w:rFonts w:hint="eastAsia" w:ascii="宋体" w:hAnsi="宋体" w:eastAsia="宋体" w:cs="宋体"/>
      <w:color w:val="000000"/>
      <w:sz w:val="24"/>
      <w:szCs w:val="24"/>
      <w:u w:val="none"/>
    </w:rPr>
  </w:style>
  <w:style w:type="character" w:customStyle="1" w:styleId="143">
    <w:name w:val="font31"/>
    <w:basedOn w:val="43"/>
    <w:qFormat/>
    <w:uiPriority w:val="0"/>
    <w:rPr>
      <w:rFonts w:hint="eastAsia" w:ascii="宋体" w:hAnsi="宋体" w:eastAsia="宋体" w:cs="宋体"/>
      <w:b/>
      <w:bCs/>
      <w:color w:val="000000"/>
      <w:sz w:val="24"/>
      <w:szCs w:val="24"/>
      <w:u w:val="none"/>
    </w:rPr>
  </w:style>
  <w:style w:type="character" w:customStyle="1" w:styleId="144">
    <w:name w:val="标题 1 字符1"/>
    <w:link w:val="4"/>
    <w:qFormat/>
    <w:uiPriority w:val="0"/>
    <w:rPr>
      <w:rFonts w:eastAsia="宋体"/>
      <w:b/>
      <w:bCs/>
      <w:kern w:val="2"/>
      <w:sz w:val="24"/>
      <w:szCs w:val="24"/>
      <w:lang w:val="en-US" w:eastAsia="zh-CN" w:bidi="ar-SA"/>
    </w:rPr>
  </w:style>
  <w:style w:type="paragraph" w:customStyle="1" w:styleId="145">
    <w:name w:val="无间隔1"/>
    <w:basedOn w:val="1"/>
    <w:qFormat/>
    <w:uiPriority w:val="0"/>
    <w:rPr>
      <w:rFonts w:ascii="Calibri" w:hAnsi="Calibri"/>
      <w:sz w:val="22"/>
      <w:szCs w:val="22"/>
      <w:lang w:eastAsia="en-US"/>
    </w:rPr>
  </w:style>
  <w:style w:type="character" w:customStyle="1" w:styleId="146">
    <w:name w:val="font101"/>
    <w:basedOn w:val="43"/>
    <w:qFormat/>
    <w:uiPriority w:val="0"/>
    <w:rPr>
      <w:rFonts w:hint="eastAsia" w:ascii="宋体" w:hAnsi="宋体" w:eastAsia="宋体" w:cs="宋体"/>
      <w:b/>
      <w:bCs/>
      <w:color w:val="000000"/>
      <w:sz w:val="20"/>
      <w:szCs w:val="20"/>
      <w:u w:val="none"/>
    </w:rPr>
  </w:style>
  <w:style w:type="character" w:customStyle="1" w:styleId="147">
    <w:name w:val="font81"/>
    <w:basedOn w:val="43"/>
    <w:qFormat/>
    <w:uiPriority w:val="0"/>
    <w:rPr>
      <w:rFonts w:hint="eastAsia" w:ascii="宋体" w:hAnsi="宋体" w:eastAsia="宋体" w:cs="宋体"/>
      <w:color w:val="000000"/>
      <w:sz w:val="20"/>
      <w:szCs w:val="20"/>
      <w:u w:val="none"/>
    </w:rPr>
  </w:style>
  <w:style w:type="character" w:customStyle="1" w:styleId="148">
    <w:name w:val="font112"/>
    <w:basedOn w:val="43"/>
    <w:qFormat/>
    <w:uiPriority w:val="0"/>
    <w:rPr>
      <w:rFonts w:hint="eastAsia" w:ascii="华文仿宋" w:hAnsi="华文仿宋" w:eastAsia="华文仿宋" w:cs="华文仿宋"/>
      <w:b/>
      <w:bCs/>
      <w:color w:val="000000"/>
      <w:sz w:val="20"/>
      <w:szCs w:val="20"/>
      <w:u w:val="none"/>
    </w:rPr>
  </w:style>
  <w:style w:type="paragraph" w:styleId="149">
    <w:name w:val="List Paragraph"/>
    <w:basedOn w:val="1"/>
    <w:unhideWhenUsed/>
    <w:qFormat/>
    <w:uiPriority w:val="99"/>
    <w:pPr>
      <w:ind w:firstLine="420" w:firstLineChars="200"/>
    </w:pPr>
  </w:style>
  <w:style w:type="paragraph" w:customStyle="1" w:styleId="150">
    <w:name w:val="正文首行缩进 21"/>
    <w:basedOn w:val="1"/>
    <w:qFormat/>
    <w:uiPriority w:val="0"/>
    <w:pPr>
      <w:spacing w:after="120"/>
      <w:ind w:left="420" w:leftChars="200" w:firstLine="420"/>
    </w:pPr>
    <w:rPr>
      <w:rFonts w:hint="default" w:ascii="Calibri" w:hAnsi="Calibri" w:cs="宋体"/>
      <w:color w:val="000000"/>
      <w:szCs w:val="21"/>
    </w:rPr>
  </w:style>
  <w:style w:type="paragraph" w:customStyle="1" w:styleId="151">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52">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53">
    <w:name w:val="纯文本_0_0"/>
    <w:basedOn w:val="154"/>
    <w:qFormat/>
    <w:uiPriority w:val="0"/>
    <w:rPr>
      <w:rFonts w:ascii="宋体" w:hAnsi="Courier New"/>
      <w:szCs w:val="21"/>
    </w:rPr>
  </w:style>
  <w:style w:type="paragraph" w:customStyle="1" w:styleId="154">
    <w:name w:val="正文_1_0"/>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13.png"/><Relationship Id="rId32" Type="http://schemas.openxmlformats.org/officeDocument/2006/relationships/image" Target="media/image12.png"/><Relationship Id="rId31" Type="http://schemas.openxmlformats.org/officeDocument/2006/relationships/image" Target="media/image11.png"/><Relationship Id="rId30" Type="http://schemas.openxmlformats.org/officeDocument/2006/relationships/image" Target="media/image10.png"/><Relationship Id="rId3" Type="http://schemas.openxmlformats.org/officeDocument/2006/relationships/footer" Target="footer1.xml"/><Relationship Id="rId29" Type="http://schemas.openxmlformats.org/officeDocument/2006/relationships/image" Target="media/image9.png"/><Relationship Id="rId28" Type="http://schemas.openxmlformats.org/officeDocument/2006/relationships/image" Target="media/image8.png"/><Relationship Id="rId27" Type="http://schemas.openxmlformats.org/officeDocument/2006/relationships/image" Target="media/image7.png"/><Relationship Id="rId26" Type="http://schemas.openxmlformats.org/officeDocument/2006/relationships/image" Target="media/image6.png"/><Relationship Id="rId25" Type="http://schemas.openxmlformats.org/officeDocument/2006/relationships/image" Target="media/image5.png"/><Relationship Id="rId24" Type="http://schemas.openxmlformats.org/officeDocument/2006/relationships/image" Target="media/image4.png"/><Relationship Id="rId23" Type="http://schemas.openxmlformats.org/officeDocument/2006/relationships/image" Target="media/image3.png"/><Relationship Id="rId22" Type="http://schemas.openxmlformats.org/officeDocument/2006/relationships/image" Target="media/image2.png"/><Relationship Id="rId21" Type="http://schemas.openxmlformats.org/officeDocument/2006/relationships/image" Target="media/image1.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header" Target="header7.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青鸟杭办</Company>
  <Pages>80</Pages>
  <Words>7258</Words>
  <Characters>8238</Characters>
  <Lines>359</Lines>
  <Paragraphs>101</Paragraphs>
  <TotalTime>33</TotalTime>
  <ScaleCrop>false</ScaleCrop>
  <LinksUpToDate>false</LinksUpToDate>
  <CharactersWithSpaces>8385</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2018-06-27T10:12:00Z</dcterms:created>
  <dc:creator>黄旭明</dc:creator>
  <cp:lastModifiedBy>豪圣</cp:lastModifiedBy>
  <cp:lastPrinted>2019-07-03T10:12:00Z</cp:lastPrinted>
  <dcterms:modified xsi:type="dcterms:W3CDTF">2025-06-30T10:53:47Z</dcterms:modified>
  <dc:title>                                                </dc:title>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7AF3F2B7B1FE4A2FBCE479E2E4F5734D_13</vt:lpwstr>
  </property>
  <property fmtid="{D5CDD505-2E9C-101B-9397-08002B2CF9AE}" pid="4" name="KSOTemplateDocerSaveRecord">
    <vt:lpwstr>eyJoZGlkIjoiMDdiYWVjYzNjM2Q3MDVlNWEzYWIwMjY4YzcyMTM0ZmUiLCJ1c2VySWQiOiI3OTI1NTY2MzkifQ==</vt:lpwstr>
  </property>
</Properties>
</file>