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衢州市中医医院</w:t>
      </w:r>
    </w:p>
    <w:p>
      <w:pPr>
        <w:spacing w:before="600" w:beforeLines="250" w:line="312" w:lineRule="auto"/>
        <w:jc w:val="center"/>
        <w:rPr>
          <w:rFonts w:hint="eastAsia" w:ascii="宋体" w:hAnsi="宋体" w:eastAsia="宋体" w:cs="宋体"/>
          <w:color w:val="auto"/>
          <w:sz w:val="52"/>
          <w:szCs w:val="52"/>
          <w:highlight w:val="none"/>
          <w:lang w:eastAsia="zh-CN"/>
        </w:rPr>
      </w:pPr>
      <w:bookmarkStart w:id="0" w:name="OLE_LINK1"/>
      <w:r>
        <w:rPr>
          <w:rFonts w:hint="eastAsia" w:ascii="宋体" w:hAnsi="宋体" w:cs="宋体"/>
          <w:color w:val="auto"/>
          <w:sz w:val="52"/>
          <w:szCs w:val="52"/>
          <w:highlight w:val="none"/>
          <w:lang w:eastAsia="zh-CN"/>
        </w:rPr>
        <w:t>2025-2026年度医疗责任保险服务采购项目</w:t>
      </w:r>
    </w:p>
    <w:bookmarkEnd w:id="0"/>
    <w:p>
      <w:pPr>
        <w:spacing w:before="600" w:beforeLines="250" w:line="312" w:lineRule="auto"/>
        <w:jc w:val="center"/>
        <w:rPr>
          <w:rFonts w:hint="eastAsia" w:ascii="宋体" w:hAnsi="宋体" w:cs="宋体"/>
          <w:bCs/>
          <w:color w:val="auto"/>
          <w:sz w:val="90"/>
          <w:szCs w:val="90"/>
          <w:highlight w:val="none"/>
        </w:rPr>
      </w:pPr>
      <w:r>
        <w:rPr>
          <w:rFonts w:hint="eastAsia" w:ascii="宋体" w:hAnsi="宋体" w:cs="宋体"/>
          <w:bCs/>
          <w:color w:val="auto"/>
          <w:sz w:val="96"/>
          <w:szCs w:val="96"/>
          <w:highlight w:val="none"/>
        </w:rPr>
        <w:t>招 标 文 件</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项目名称：</w:t>
      </w:r>
      <w:bookmarkStart w:id="1" w:name="OLE_LINK5"/>
      <w:r>
        <w:rPr>
          <w:rFonts w:hint="eastAsia" w:ascii="宋体" w:hAnsi="宋体" w:cs="宋体"/>
          <w:color w:val="auto"/>
          <w:sz w:val="32"/>
          <w:szCs w:val="32"/>
          <w:highlight w:val="none"/>
          <w:lang w:eastAsia="zh-CN"/>
        </w:rPr>
        <w:t>2025-2026年度医疗责任保险服务采购项目</w:t>
      </w:r>
      <w:bookmarkEnd w:id="1"/>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bookmarkStart w:id="2" w:name="OLE_LINK4"/>
      <w:r>
        <w:rPr>
          <w:rFonts w:hint="eastAsia" w:ascii="宋体" w:hAnsi="宋体" w:cs="宋体"/>
          <w:color w:val="auto"/>
          <w:sz w:val="32"/>
          <w:szCs w:val="32"/>
          <w:highlight w:val="none"/>
          <w:lang w:eastAsia="zh-CN"/>
        </w:rPr>
        <w:t>qzyzb2025-032</w:t>
      </w:r>
      <w:bookmarkEnd w:id="2"/>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采 购 人：衢州市中医医院</w:t>
      </w: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代理机构：浙江省成套工程有限公司</w:t>
      </w:r>
    </w:p>
    <w:p>
      <w:pPr>
        <w:spacing w:line="312" w:lineRule="auto"/>
        <w:jc w:val="center"/>
        <w:rPr>
          <w:rFonts w:hint="eastAsia" w:ascii="宋体" w:hAnsi="宋体" w:cs="宋体"/>
          <w:color w:val="auto"/>
          <w:sz w:val="32"/>
          <w:szCs w:val="32"/>
          <w:highlight w:val="none"/>
        </w:rPr>
      </w:pPr>
    </w:p>
    <w:p>
      <w:pPr>
        <w:pStyle w:val="12"/>
        <w:rPr>
          <w:rFonts w:hint="eastAsia" w:ascii="宋体" w:hAnsi="宋体" w:eastAsia="宋体" w:cs="宋体"/>
          <w:color w:val="auto"/>
          <w:sz w:val="32"/>
          <w:szCs w:val="32"/>
          <w:highlight w:val="none"/>
        </w:rPr>
      </w:pPr>
    </w:p>
    <w:p>
      <w:pPr>
        <w:spacing w:line="312" w:lineRule="auto"/>
        <w:jc w:val="center"/>
        <w:rPr>
          <w:rFonts w:hint="eastAsia" w:ascii="宋体" w:hAnsi="宋体" w:cs="宋体"/>
          <w:color w:val="auto"/>
          <w:sz w:val="32"/>
          <w:szCs w:val="32"/>
          <w:highlight w:val="none"/>
        </w:rPr>
        <w:sectPr>
          <w:headerReference r:id="rId3" w:type="default"/>
          <w:footerReference r:id="rId4" w:type="default"/>
          <w:pgSz w:w="11906" w:h="16838"/>
          <w:pgMar w:top="1389" w:right="1134" w:bottom="1389" w:left="1417" w:header="851" w:footer="992" w:gutter="283"/>
          <w:pgNumType w:start="1"/>
          <w:cols w:space="720" w:num="1"/>
          <w:docGrid w:linePitch="312" w:charSpace="0"/>
        </w:sectPr>
      </w:pPr>
      <w:r>
        <w:rPr>
          <w:rFonts w:hint="eastAsia" w:ascii="宋体" w:hAnsi="宋体" w:cs="宋体"/>
          <w:color w:val="auto"/>
          <w:sz w:val="32"/>
          <w:szCs w:val="32"/>
          <w:highlight w:val="none"/>
        </w:rPr>
        <w:t>2025年</w:t>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t>月</w:t>
      </w:r>
    </w:p>
    <w:p>
      <w:pPr>
        <w:snapToGrid w:val="0"/>
        <w:spacing w:line="312" w:lineRule="auto"/>
        <w:jc w:val="center"/>
        <w:rPr>
          <w:rFonts w:hint="eastAsia" w:ascii="宋体" w:hAnsi="宋体" w:cs="宋体"/>
          <w:bCs/>
          <w:color w:val="auto"/>
          <w:sz w:val="28"/>
          <w:szCs w:val="28"/>
          <w:highlight w:val="none"/>
        </w:rPr>
      </w:pPr>
    </w:p>
    <w:p>
      <w:pPr>
        <w:snapToGrid w:val="0"/>
        <w:spacing w:line="312"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目  录</w:t>
      </w:r>
    </w:p>
    <w:p>
      <w:pPr>
        <w:pStyle w:val="20"/>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"_Toc12727" </w:instrText>
      </w:r>
      <w:r>
        <w:rPr>
          <w:color w:val="auto"/>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"_Toc29796" </w:instrText>
      </w:r>
      <w:r>
        <w:rPr>
          <w:color w:val="auto"/>
          <w:highlight w:val="none"/>
        </w:rPr>
        <w:fldChar w:fldCharType="separate"/>
      </w:r>
      <w:r>
        <w:rPr>
          <w:rFonts w:hint="eastAsia" w:ascii="宋体" w:hAnsi="宋体" w:eastAsia="宋体" w:cs="宋体"/>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"_Toc17805" </w:instrText>
      </w:r>
      <w:r>
        <w:rPr>
          <w:color w:val="auto"/>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"_Toc28508" </w:instrText>
      </w:r>
      <w:r>
        <w:rPr>
          <w:color w:val="auto"/>
          <w:highlight w:val="none"/>
        </w:rPr>
        <w:fldChar w:fldCharType="separate"/>
      </w:r>
      <w:r>
        <w:rPr>
          <w:rFonts w:hint="eastAsia" w:ascii="宋体" w:hAnsi="宋体" w:eastAsia="宋体" w:cs="宋体"/>
          <w:color w:val="auto"/>
          <w:sz w:val="21"/>
          <w:szCs w:val="21"/>
          <w:highlight w:val="none"/>
        </w:rPr>
        <w:t>第四章  合同主要条款（样稿）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"_Toc12076" </w:instrText>
      </w:r>
      <w:r>
        <w:rPr>
          <w:color w:val="auto"/>
          <w:highlight w:val="none"/>
        </w:rPr>
        <w:fldChar w:fldCharType="separate"/>
      </w:r>
      <w:r>
        <w:rPr>
          <w:rFonts w:hint="eastAsia" w:ascii="宋体" w:hAnsi="宋体" w:eastAsia="宋体" w:cs="宋体"/>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"_Toc12236" </w:instrText>
      </w:r>
      <w:r>
        <w:rPr>
          <w:color w:val="auto"/>
          <w:highlight w:val="none"/>
        </w:rPr>
        <w:fldChar w:fldCharType="separate"/>
      </w:r>
      <w:r>
        <w:rPr>
          <w:rFonts w:hint="eastAsia" w:ascii="宋体" w:hAnsi="宋体" w:eastAsia="宋体" w:cs="宋体"/>
          <w:color w:val="auto"/>
          <w:sz w:val="21"/>
          <w:szCs w:val="21"/>
          <w:highlight w:val="none"/>
          <w:lang w:val="zh-CN"/>
        </w:rPr>
        <w:t>第六章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_Toc12236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"_Toc18528" </w:instrText>
      </w:r>
      <w:r>
        <w:rPr>
          <w:color w:val="auto"/>
          <w:highlight w:val="none"/>
        </w:rPr>
        <w:fldChar w:fldCharType="separate"/>
      </w:r>
      <w:r>
        <w:rPr>
          <w:rFonts w:hint="eastAsia" w:ascii="宋体" w:hAnsi="宋体" w:eastAsia="宋体" w:cs="宋体"/>
          <w:bCs/>
          <w:color w:val="auto"/>
          <w:sz w:val="21"/>
          <w:szCs w:val="21"/>
          <w:highlight w:val="none"/>
          <w:lang w:val="zh-CN"/>
        </w:rPr>
        <w:t xml:space="preserve">第七章 </w:t>
      </w:r>
      <w:r>
        <w:rPr>
          <w:rFonts w:hint="eastAsia" w:ascii="宋体" w:hAnsi="宋体" w:eastAsia="宋体" w:cs="宋体"/>
          <w:bCs/>
          <w:color w:val="auto"/>
          <w:sz w:val="21"/>
          <w:szCs w:val="21"/>
          <w:highlight w:val="none"/>
        </w:rPr>
        <w:t xml:space="preserve">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fldChar w:fldCharType="end"/>
      </w:r>
      <w:bookmarkStart w:id="3" w:name="_Toc354491895"/>
      <w:bookmarkStart w:id="4" w:name="_Toc356371429"/>
    </w:p>
    <w:p>
      <w:pPr>
        <w:snapToGrid w:val="0"/>
        <w:spacing w:line="312" w:lineRule="auto"/>
        <w:jc w:val="center"/>
        <w:outlineLvl w:val="0"/>
        <w:rPr>
          <w:rFonts w:hint="eastAsia" w:ascii="宋体" w:hAnsi="宋体" w:cs="宋体"/>
          <w:bCs/>
          <w:color w:val="auto"/>
          <w:szCs w:val="21"/>
          <w:highlight w:val="none"/>
        </w:rPr>
      </w:pPr>
      <w:r>
        <w:rPr>
          <w:rFonts w:hint="eastAsia" w:ascii="宋体" w:hAnsi="宋体" w:cs="宋体"/>
          <w:color w:val="auto"/>
          <w:szCs w:val="21"/>
          <w:highlight w:val="none"/>
        </w:rPr>
        <w:br w:type="page"/>
      </w:r>
      <w:bookmarkStart w:id="5" w:name="_Toc2041"/>
      <w:bookmarkStart w:id="6" w:name="_Toc12727"/>
      <w:r>
        <w:rPr>
          <w:rFonts w:hint="eastAsia" w:ascii="宋体" w:hAnsi="宋体" w:cs="宋体"/>
          <w:b/>
          <w:color w:val="auto"/>
          <w:szCs w:val="21"/>
          <w:highlight w:val="none"/>
        </w:rPr>
        <w:t xml:space="preserve">第一章  </w:t>
      </w:r>
      <w:bookmarkEnd w:id="3"/>
      <w:r>
        <w:rPr>
          <w:rFonts w:hint="eastAsia" w:ascii="宋体" w:hAnsi="宋体" w:cs="宋体"/>
          <w:b/>
          <w:color w:val="auto"/>
          <w:szCs w:val="21"/>
          <w:highlight w:val="none"/>
        </w:rPr>
        <w:t>招标公告</w:t>
      </w:r>
      <w:bookmarkEnd w:id="4"/>
      <w:bookmarkEnd w:id="5"/>
      <w:bookmarkEnd w:id="6"/>
    </w:p>
    <w:p>
      <w:pPr>
        <w:spacing w:line="312" w:lineRule="auto"/>
        <w:jc w:val="center"/>
        <w:rPr>
          <w:rFonts w:hint="eastAsia" w:ascii="宋体" w:hAnsi="宋体" w:cs="宋体"/>
          <w:b/>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2025-2026年度医疗责任保险服务采购项目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浙江政府采购网上</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2025年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7" w:name="_Toc28359012"/>
      <w:bookmarkStart w:id="8" w:name="_Toc28359089"/>
      <w:bookmarkStart w:id="9" w:name="_Toc35393798"/>
      <w:bookmarkStart w:id="10" w:name="_Toc29280"/>
      <w:bookmarkStart w:id="11" w:name="_Toc35393629"/>
      <w:bookmarkStart w:id="12" w:name="_Toc21193"/>
      <w:r>
        <w:rPr>
          <w:rFonts w:hint="eastAsia" w:ascii="宋体" w:hAnsi="宋体" w:eastAsia="宋体" w:cs="宋体"/>
          <w:color w:val="auto"/>
          <w:sz w:val="21"/>
          <w:szCs w:val="21"/>
          <w:highlight w:val="none"/>
        </w:rPr>
        <w:t>一、项目基本情况</w:t>
      </w:r>
      <w:bookmarkEnd w:id="7"/>
      <w:bookmarkEnd w:id="8"/>
      <w:bookmarkEnd w:id="9"/>
      <w:bookmarkEnd w:id="10"/>
      <w:bookmarkEnd w:id="11"/>
      <w:bookmarkEnd w:id="1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qzyzb2025-032</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lang w:eastAsia="zh-CN"/>
        </w:rPr>
        <w:t>2025-2026年度医疗责任保险服务采购项目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采购方式：公开招标</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650000.00</w:t>
      </w:r>
      <w:r>
        <w:rPr>
          <w:rFonts w:hint="eastAsia" w:ascii="宋体" w:hAnsi="宋体" w:cs="宋体"/>
          <w:color w:val="auto"/>
          <w:szCs w:val="21"/>
          <w:highlight w:val="none"/>
          <w:lang w:val="en-US" w:eastAsia="zh-CN"/>
        </w:rPr>
        <w:t>元</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10.00%</w:t>
      </w:r>
    </w:p>
    <w:p>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 xml:space="preserve">采购需求： </w:t>
      </w:r>
    </w:p>
    <w:p>
      <w:pPr>
        <w:pStyle w:val="16"/>
        <w:spacing w:line="360" w:lineRule="auto"/>
        <w:ind w:left="420" w:leftChars="200"/>
        <w:rPr>
          <w:rFonts w:hint="eastAsia" w:hAnsi="宋体" w:cs="宋体"/>
          <w:color w:val="auto"/>
          <w:szCs w:val="21"/>
          <w:highlight w:val="none"/>
        </w:rPr>
      </w:pPr>
      <w:r>
        <w:rPr>
          <w:rFonts w:hint="eastAsia" w:hAnsi="宋体" w:cs="宋体"/>
          <w:color w:val="auto"/>
          <w:szCs w:val="21"/>
          <w:highlight w:val="none"/>
        </w:rPr>
        <w:br w:type="textWrapping"/>
      </w:r>
      <w:r>
        <w:rPr>
          <w:rFonts w:hint="eastAsia" w:hAnsi="宋体" w:cs="宋体"/>
          <w:color w:val="auto"/>
          <w:szCs w:val="21"/>
          <w:highlight w:val="none"/>
        </w:rPr>
        <w:t xml:space="preserve">标项名称: </w:t>
      </w:r>
      <w:r>
        <w:rPr>
          <w:rFonts w:hint="eastAsia" w:ascii="宋体" w:hAnsi="宋体" w:cs="宋体"/>
          <w:bCs/>
          <w:color w:val="auto"/>
          <w:szCs w:val="21"/>
          <w:highlight w:val="none"/>
          <w:lang w:eastAsia="zh-CN"/>
        </w:rPr>
        <w:t>2025-2026年度医疗责任保险服务</w:t>
      </w:r>
    </w:p>
    <w:p>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数量:1</w:t>
      </w:r>
    </w:p>
    <w:p>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预算金额（元）:</w:t>
      </w:r>
      <w:r>
        <w:rPr>
          <w:rFonts w:hint="eastAsia" w:hAnsi="宋体" w:cs="宋体"/>
          <w:color w:val="auto"/>
          <w:szCs w:val="21"/>
          <w:highlight w:val="none"/>
          <w:lang w:eastAsia="zh-CN"/>
        </w:rPr>
        <w:t>650000.00</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bCs/>
          <w:color w:val="auto"/>
          <w:szCs w:val="21"/>
          <w:highlight w:val="none"/>
        </w:rPr>
        <w:t>详细采购需求见</w:t>
      </w:r>
      <w:r>
        <w:rPr>
          <w:rFonts w:hint="eastAsia" w:hAnsi="宋体" w:cs="宋体"/>
          <w:bCs/>
          <w:color w:val="auto"/>
          <w:szCs w:val="21"/>
          <w:highlight w:val="none"/>
        </w:rPr>
        <w:t>招标</w:t>
      </w:r>
      <w:r>
        <w:rPr>
          <w:rFonts w:hint="eastAsia" w:ascii="宋体" w:hAnsi="宋体" w:cs="宋体"/>
          <w:bCs/>
          <w:color w:val="auto"/>
          <w:szCs w:val="21"/>
          <w:highlight w:val="none"/>
        </w:rPr>
        <w:t>文件第三部分</w:t>
      </w:r>
    </w:p>
    <w:p>
      <w:pPr>
        <w:pStyle w:val="16"/>
        <w:spacing w:line="360" w:lineRule="auto"/>
        <w:ind w:firstLine="420" w:firstLineChars="200"/>
        <w:rPr>
          <w:rFonts w:hint="eastAsia" w:hAnsi="宋体" w:cs="宋体"/>
          <w:bCs/>
          <w:color w:val="auto"/>
          <w:szCs w:val="21"/>
          <w:highlight w:val="none"/>
        </w:rPr>
      </w:pPr>
      <w:r>
        <w:rPr>
          <w:rFonts w:hint="eastAsia" w:hAnsi="宋体" w:cs="宋体"/>
          <w:color w:val="auto"/>
          <w:szCs w:val="21"/>
          <w:highlight w:val="none"/>
        </w:rPr>
        <w:t>备注：/</w:t>
      </w:r>
    </w:p>
    <w:p>
      <w:pPr>
        <w:rPr>
          <w:color w:val="auto"/>
          <w:highlight w:val="none"/>
        </w:rPr>
      </w:pP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p>
    <w:p>
      <w:pPr>
        <w:spacing w:line="360" w:lineRule="auto"/>
        <w:ind w:firstLine="420" w:firstLineChars="200"/>
        <w:rPr>
          <w:rFonts w:hint="eastAsia" w:hAnsi="宋体" w:cs="宋体"/>
          <w:bCs/>
          <w:color w:val="auto"/>
          <w:szCs w:val="21"/>
          <w:highlight w:val="none"/>
        </w:rPr>
      </w:pPr>
      <w:bookmarkStart w:id="13" w:name="_Toc28359013"/>
      <w:bookmarkStart w:id="14" w:name="_Toc35393799"/>
      <w:bookmarkStart w:id="15" w:name="_Toc28359090"/>
      <w:bookmarkStart w:id="16" w:name="_Toc35393630"/>
      <w:r>
        <w:rPr>
          <w:rFonts w:hint="eastAsia" w:hAnsi="宋体" w:cs="宋体"/>
          <w:bCs/>
          <w:color w:val="auto"/>
          <w:szCs w:val="21"/>
          <w:highlight w:val="none"/>
        </w:rPr>
        <w:t>本项目接受联合体投标：</w:t>
      </w:r>
      <w:sdt>
        <w:sdtPr>
          <w:rPr>
            <w:rFonts w:hint="eastAsia" w:ascii="宋体" w:hAnsi="宋体" w:cs="宋体"/>
            <w:bCs/>
            <w:color w:val="auto"/>
            <w:kern w:val="0"/>
            <w:szCs w:val="21"/>
            <w:highlight w:val="none"/>
          </w:rPr>
          <w:id w:val="4648"/>
          <w14:checkbox>
            <w14:checked w14:val="1"/>
            <w14:checkedState w14:val="00FE" w14:font="Wingdings"/>
            <w14:uncheckedState w14:val="2610" w14:font="MS Gothic"/>
          </w14:checkbox>
        </w:sdtPr>
        <w:sdtEndPr>
          <w:rPr>
            <w:rFonts w:hint="eastAsia" w:ascii="宋体" w:hAnsi="宋体" w:cs="宋体"/>
            <w:bCs/>
            <w:color w:val="auto"/>
            <w:kern w:val="2"/>
            <w:szCs w:val="21"/>
            <w:highlight w:val="none"/>
          </w:rPr>
        </w:sdtEndPr>
        <w:sdtContent>
          <w:r>
            <w:rPr>
              <w:rFonts w:hint="eastAsia" w:ascii="Wingdings" w:hAnsi="Wingdings" w:cs="宋体"/>
              <w:bCs/>
              <w:color w:val="auto"/>
              <w:szCs w:val="21"/>
              <w:highlight w:val="none"/>
            </w:rPr>
            <w:t>þ</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是；</w:t>
      </w:r>
      <w:sdt>
        <w:sdtPr>
          <w:rPr>
            <w:rFonts w:hint="eastAsia" w:ascii="宋体" w:hAnsi="宋体" w:cs="宋体"/>
            <w:bCs/>
            <w:color w:val="auto"/>
            <w:szCs w:val="21"/>
            <w:highlight w:val="none"/>
          </w:rPr>
          <w:id w:val="4649"/>
          <w14:checkbox>
            <w14:checked w14:val="0"/>
            <w14:checkedState w14:val="00FE" w14:font="Wingdings"/>
            <w14:uncheckedState w14:val="2610" w14:font="MS Gothic"/>
          </w14:checkbox>
        </w:sdtPr>
        <w:sdtEndPr>
          <w:rPr>
            <w:rFonts w:hint="eastAsia" w:ascii="宋体" w:hAnsi="宋体" w:cs="宋体"/>
            <w:bCs/>
            <w:color w:val="auto"/>
            <w:szCs w:val="21"/>
            <w:highlight w:val="none"/>
          </w:rPr>
        </w:sdtEndPr>
        <w:sdtContent>
          <w:r>
            <w:rPr>
              <w:rFonts w:hint="eastAsia" w:ascii="MS Gothic" w:hAnsi="MS Gothic" w:cs="宋体"/>
              <w:bCs/>
              <w:color w:val="auto"/>
              <w:szCs w:val="21"/>
              <w:highlight w:val="none"/>
            </w:rPr>
            <w:t>☐</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否</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3"/>
      <w:bookmarkEnd w:id="14"/>
      <w:bookmarkEnd w:id="15"/>
      <w:bookmarkEnd w:id="16"/>
    </w:p>
    <w:p>
      <w:pPr>
        <w:spacing w:line="360" w:lineRule="auto"/>
        <w:ind w:firstLine="420" w:firstLineChars="200"/>
        <w:rPr>
          <w:rFonts w:hint="eastAsia" w:ascii="宋体" w:hAnsi="宋体" w:cs="宋体"/>
          <w:color w:val="auto"/>
          <w:szCs w:val="21"/>
          <w:highlight w:val="none"/>
        </w:rPr>
      </w:pPr>
      <w:bookmarkStart w:id="17" w:name="_Toc28359014"/>
      <w:bookmarkStart w:id="18" w:name="_Toc2835909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sdt>
        <w:sdtPr>
          <w:rPr>
            <w:rFonts w:hint="eastAsia" w:ascii="宋体" w:hAnsi="宋体" w:cs="宋体"/>
            <w:color w:val="auto"/>
            <w:kern w:val="0"/>
            <w:szCs w:val="21"/>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4745402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Cs w:val="21"/>
          <w:highlight w:val="none"/>
        </w:rPr>
        <w:t xml:space="preserve"> 专</w:t>
      </w:r>
      <w:r>
        <w:rPr>
          <w:rFonts w:hint="eastAsia" w:ascii="宋体" w:hAnsi="宋体" w:cs="宋体"/>
          <w:color w:val="auto"/>
          <w:szCs w:val="21"/>
          <w:highlight w:val="none"/>
        </w:rPr>
        <w:t>门面向中小企业</w:t>
      </w:r>
    </w:p>
    <w:p>
      <w:pPr>
        <w:spacing w:line="360" w:lineRule="auto"/>
        <w:ind w:firstLine="785" w:firstLineChars="374"/>
        <w:rPr>
          <w:rFonts w:hint="eastAsia" w:ascii="宋体" w:hAnsi="宋体" w:cs="宋体"/>
          <w:color w:val="auto"/>
          <w:szCs w:val="21"/>
          <w:highlight w:val="none"/>
          <w:u w:val="single"/>
        </w:rPr>
      </w:pPr>
      <w:sdt>
        <w:sdtPr>
          <w:rPr>
            <w:rFonts w:hint="eastAsia" w:ascii="宋体" w:hAnsi="宋体" w:cs="宋体"/>
            <w:color w:val="auto"/>
            <w:kern w:val="0"/>
            <w:szCs w:val="21"/>
            <w:highlight w:val="none"/>
          </w:rPr>
          <w:id w:val="147476416"/>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服务全部由符合政策要求的中小企业承接，提供中小企业声明函；</w:t>
      </w:r>
    </w:p>
    <w:p>
      <w:pPr>
        <w:spacing w:line="360"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1474730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服务全部由符合政策要求的小微企业承接，提供中小企业声明函；</w:t>
      </w:r>
    </w:p>
    <w:p>
      <w:pPr>
        <w:spacing w:line="360" w:lineRule="auto"/>
        <w:ind w:firstLine="420" w:firstLineChars="200"/>
        <w:rPr>
          <w:rFonts w:hint="eastAsia" w:ascii="宋体" w:hAnsi="宋体" w:cs="宋体"/>
          <w:i/>
          <w:iCs/>
          <w:color w:val="auto"/>
          <w:sz w:val="22"/>
          <w:szCs w:val="22"/>
          <w:highlight w:val="none"/>
          <w:u w:val="single"/>
        </w:rPr>
      </w:pPr>
      <w:r>
        <w:rPr>
          <w:rFonts w:hint="eastAsia" w:ascii="宋体" w:hAnsi="宋体" w:cs="宋体"/>
          <w:color w:val="auto"/>
          <w:szCs w:val="21"/>
          <w:highlight w:val="none"/>
        </w:rPr>
        <w:t>3.本项目的特定资格要求：无</w:t>
      </w:r>
      <w:r>
        <w:rPr>
          <w:rFonts w:hint="eastAsia" w:ascii="宋体" w:hAnsi="宋体" w:cs="宋体"/>
          <w:color w:val="auto"/>
          <w:sz w:val="22"/>
          <w:szCs w:val="22"/>
          <w:highlight w:val="none"/>
        </w:rPr>
        <w:t>。</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19" w:name="_Toc15190"/>
      <w:bookmarkStart w:id="20" w:name="_Toc35393800"/>
      <w:bookmarkStart w:id="21" w:name="_Toc35393631"/>
      <w:bookmarkStart w:id="22" w:name="_Toc17427"/>
      <w:r>
        <w:rPr>
          <w:rFonts w:hint="eastAsia" w:ascii="宋体" w:hAnsi="宋体" w:eastAsia="宋体" w:cs="宋体"/>
          <w:color w:val="auto"/>
          <w:sz w:val="21"/>
          <w:szCs w:val="21"/>
          <w:highlight w:val="none"/>
        </w:rPr>
        <w:t>三、获取采购文件</w:t>
      </w:r>
      <w:bookmarkEnd w:id="17"/>
      <w:bookmarkEnd w:id="18"/>
      <w:bookmarkEnd w:id="19"/>
      <w:bookmarkEnd w:id="20"/>
      <w:bookmarkEnd w:id="21"/>
      <w:bookmarkEnd w:id="2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 ，每天上午00:00至12:00 ，下午12:00至23:59（北京时间，线上获取法定节假日均可，线下获取文件法定节假日除外）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地点（网址）：浙江政府采购网（http://zfcg.czt.zj.gov.cn/）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售价（元）：0 </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23" w:name="_Toc35393632"/>
      <w:bookmarkStart w:id="24" w:name="_Toc28359015"/>
      <w:bookmarkStart w:id="25" w:name="_Toc28359092"/>
      <w:bookmarkStart w:id="26" w:name="_Toc18004"/>
      <w:bookmarkStart w:id="27" w:name="_Toc5844"/>
      <w:bookmarkStart w:id="28" w:name="_Toc35393801"/>
      <w:r>
        <w:rPr>
          <w:rFonts w:hint="eastAsia" w:ascii="宋体" w:hAnsi="宋体" w:eastAsia="宋体" w:cs="宋体"/>
          <w:color w:val="auto"/>
          <w:sz w:val="21"/>
          <w:szCs w:val="21"/>
          <w:highlight w:val="none"/>
        </w:rPr>
        <w:t>四、投标文件提交</w:t>
      </w:r>
      <w:bookmarkEnd w:id="23"/>
      <w:bookmarkEnd w:id="24"/>
      <w:bookmarkEnd w:id="25"/>
      <w:bookmarkEnd w:id="26"/>
      <w:bookmarkEnd w:id="27"/>
      <w:bookmarkEnd w:id="28"/>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地点：供应商应于投标文件提交截止时间前按照电子投标要求将电子加密标书上传到“政采云”平台，逾期或未上传成功的将被政府采购云平台拒收。</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29" w:name="_Toc7065"/>
      <w:bookmarkStart w:id="30" w:name="_Toc35393633"/>
      <w:bookmarkStart w:id="31" w:name="_Toc28359093"/>
      <w:bookmarkStart w:id="32" w:name="_Toc12084"/>
      <w:bookmarkStart w:id="33" w:name="_Toc28359016"/>
      <w:bookmarkStart w:id="34" w:name="_Toc35393802"/>
      <w:r>
        <w:rPr>
          <w:rFonts w:hint="eastAsia" w:ascii="宋体" w:hAnsi="宋体" w:eastAsia="宋体" w:cs="宋体"/>
          <w:color w:val="auto"/>
          <w:sz w:val="21"/>
          <w:szCs w:val="21"/>
          <w:highlight w:val="none"/>
        </w:rPr>
        <w:t>五、开启</w:t>
      </w:r>
      <w:bookmarkEnd w:id="29"/>
      <w:bookmarkEnd w:id="30"/>
      <w:bookmarkEnd w:id="31"/>
      <w:bookmarkEnd w:id="32"/>
      <w:bookmarkEnd w:id="33"/>
      <w:bookmarkEnd w:id="34"/>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 xml:space="preserve">地点：政采云平台（https://www.zcygov.cn/）。 </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35" w:name="_Toc28359094"/>
      <w:bookmarkStart w:id="36" w:name="_Toc25756"/>
      <w:bookmarkStart w:id="37" w:name="_Toc896"/>
      <w:bookmarkStart w:id="38" w:name="_Toc28359017"/>
      <w:bookmarkStart w:id="39" w:name="_Toc35393634"/>
      <w:bookmarkStart w:id="40" w:name="_Toc35393803"/>
      <w:r>
        <w:rPr>
          <w:rFonts w:hint="eastAsia" w:ascii="宋体" w:hAnsi="宋体" w:eastAsia="宋体" w:cs="宋体"/>
          <w:color w:val="auto"/>
          <w:sz w:val="21"/>
          <w:szCs w:val="21"/>
          <w:highlight w:val="none"/>
        </w:rPr>
        <w:t>六、公告期限</w:t>
      </w:r>
      <w:bookmarkEnd w:id="35"/>
      <w:bookmarkEnd w:id="36"/>
      <w:bookmarkEnd w:id="37"/>
      <w:bookmarkEnd w:id="38"/>
      <w:bookmarkEnd w:id="39"/>
      <w:bookmarkEnd w:id="40"/>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41" w:name="_Toc35393635"/>
      <w:bookmarkStart w:id="42" w:name="_Toc30042"/>
      <w:bookmarkStart w:id="43" w:name="_Toc30589"/>
      <w:bookmarkStart w:id="44" w:name="_Toc35393804"/>
      <w:r>
        <w:rPr>
          <w:rFonts w:hint="eastAsia" w:ascii="宋体" w:hAnsi="宋体" w:eastAsia="宋体" w:cs="宋体"/>
          <w:color w:val="auto"/>
          <w:sz w:val="21"/>
          <w:szCs w:val="21"/>
          <w:highlight w:val="none"/>
        </w:rPr>
        <w:t>七、其他补充事宜</w:t>
      </w:r>
      <w:bookmarkEnd w:id="41"/>
      <w:bookmarkEnd w:id="42"/>
      <w:bookmarkEnd w:id="43"/>
      <w:bookmarkEnd w:id="44"/>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1.</w:t>
      </w:r>
      <w:r>
        <w:rPr>
          <w:rFonts w:hint="eastAsia"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在线投标响应（电子投标）说明</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u w:val="single"/>
        </w:rPr>
        <w:t>本项目通过“政府采购云平台（</w:t>
      </w:r>
      <w:r>
        <w:rPr>
          <w:rFonts w:ascii="宋体" w:hAnsi="宋体" w:cs="宋体"/>
          <w:color w:val="auto"/>
          <w:szCs w:val="21"/>
          <w:highlight w:val="none"/>
          <w:u w:val="single"/>
        </w:rPr>
        <w:t>www.zcygov.cn</w:t>
      </w:r>
      <w:r>
        <w:rPr>
          <w:rFonts w:hint="eastAsia" w:ascii="宋体" w:hAnsi="宋体" w:cs="宋体"/>
          <w:color w:val="auto"/>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“政采云电子交易客户端”请自行前往“浙江政府采购网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电子交易客户端”进行下载；电子投标具体操作流程文档详见网址：</w:t>
      </w:r>
      <w:r>
        <w:rPr>
          <w:rFonts w:ascii="宋体" w:hAnsi="宋体" w:cs="宋体"/>
          <w:color w:val="auto"/>
          <w:szCs w:val="21"/>
          <w:highlight w:val="none"/>
        </w:rPr>
        <w:t>https://help.zcygov.cn/web/site_2/2018/12-28/2573.html</w:t>
      </w:r>
      <w:r>
        <w:rPr>
          <w:rFonts w:hint="eastAsia" w:ascii="宋体" w:hAnsi="宋体" w:cs="宋体"/>
          <w:color w:val="auto"/>
          <w:szCs w:val="21"/>
          <w:highlight w:val="none"/>
        </w:rPr>
        <w:t>；通过“政府采购云平台”参与在线投标时如遇平台技术问题详询</w:t>
      </w:r>
      <w:r>
        <w:rPr>
          <w:rFonts w:ascii="宋体" w:hAnsi="宋体" w:cs="宋体"/>
          <w:color w:val="auto"/>
          <w:szCs w:val="21"/>
          <w:highlight w:val="none"/>
        </w:rPr>
        <w:t>400-881-7190</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Cs w:val="21"/>
          <w:highlight w:val="none"/>
        </w:rPr>
        <w:t>。使用“政采云电子交易客户端”需要提前申领</w:t>
      </w:r>
      <w:r>
        <w:rPr>
          <w:rFonts w:ascii="宋体" w:hAnsi="宋体" w:cs="宋体"/>
          <w:color w:val="auto"/>
          <w:szCs w:val="21"/>
          <w:highlight w:val="none"/>
        </w:rPr>
        <w:t>CA</w:t>
      </w:r>
      <w:r>
        <w:rPr>
          <w:rFonts w:hint="eastAsia" w:ascii="宋体" w:hAnsi="宋体" w:cs="宋体"/>
          <w:color w:val="auto"/>
          <w:szCs w:val="21"/>
          <w:highlight w:val="none"/>
        </w:rPr>
        <w:t>数字证书，申领流程请自行前往“浙江政府采购网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ascii="宋体" w:hAnsi="宋体" w:cs="宋体"/>
          <w:color w:val="auto"/>
          <w:szCs w:val="21"/>
          <w:highlight w:val="none"/>
        </w:rPr>
        <w:t>CA</w:t>
      </w:r>
      <w:r>
        <w:rPr>
          <w:rFonts w:hint="eastAsia" w:ascii="宋体" w:hAnsi="宋体" w:cs="宋体"/>
          <w:color w:val="auto"/>
          <w:szCs w:val="21"/>
          <w:highlight w:val="none"/>
        </w:rPr>
        <w:t>驱动和申领流程</w:t>
      </w:r>
      <w:r>
        <w:rPr>
          <w:rFonts w:hint="eastAsia" w:ascii="宋体" w:hAnsi="宋体" w:cs="宋体"/>
          <w:color w:val="auto"/>
          <w:szCs w:val="21"/>
          <w:highlight w:val="none"/>
        </w:rPr>
        <w:fldChar w:fldCharType="end"/>
      </w:r>
      <w:r>
        <w:rPr>
          <w:rFonts w:hint="eastAsia" w:ascii="宋体" w:hAnsi="宋体" w:cs="宋体"/>
          <w:color w:val="auto"/>
          <w:szCs w:val="21"/>
          <w:highlight w:val="none"/>
        </w:rPr>
        <w:t>”进行查阅；</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投标供应商应当在投标文件递交截止时间前，将系统上生成的“电子加密投标文件（即后缀格式为</w:t>
      </w:r>
      <w:r>
        <w:rPr>
          <w:rFonts w:ascii="宋体" w:hAnsi="宋体" w:cs="宋体"/>
          <w:color w:val="auto"/>
          <w:szCs w:val="21"/>
          <w:highlight w:val="none"/>
        </w:rPr>
        <w:t>.jmbs</w:t>
      </w:r>
      <w:r>
        <w:rPr>
          <w:rFonts w:hint="eastAsia" w:ascii="宋体" w:hAnsi="宋体" w:cs="宋体"/>
          <w:color w:val="auto"/>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45" w:name="_Toc23548"/>
      <w:bookmarkStart w:id="46" w:name="_Toc28359095"/>
      <w:bookmarkStart w:id="47" w:name="_Toc35393636"/>
      <w:bookmarkStart w:id="48" w:name="_Toc16013"/>
      <w:bookmarkStart w:id="49" w:name="_Toc35393805"/>
      <w:bookmarkStart w:id="50" w:name="_Toc28359018"/>
      <w:r>
        <w:rPr>
          <w:rFonts w:hint="eastAsia" w:ascii="宋体" w:hAnsi="宋体" w:eastAsia="宋体" w:cs="宋体"/>
          <w:color w:val="auto"/>
          <w:sz w:val="21"/>
          <w:szCs w:val="21"/>
          <w:highlight w:val="none"/>
        </w:rPr>
        <w:t>八、凡对本次采购提出询问，请按以下方式联系。</w:t>
      </w:r>
      <w:bookmarkEnd w:id="45"/>
      <w:bookmarkEnd w:id="46"/>
      <w:bookmarkEnd w:id="47"/>
      <w:bookmarkEnd w:id="48"/>
      <w:bookmarkEnd w:id="49"/>
      <w:bookmarkEnd w:id="50"/>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采购人：衢州市中医医院</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联系人:</w:t>
      </w:r>
      <w:bookmarkStart w:id="51" w:name="OLE_LINK11"/>
      <w:r>
        <w:rPr>
          <w:rFonts w:hint="eastAsia" w:ascii="宋体" w:hAnsi="宋体" w:cs="宋体"/>
          <w:bCs/>
          <w:color w:val="auto"/>
          <w:sz w:val="22"/>
          <w:szCs w:val="22"/>
          <w:highlight w:val="none"/>
        </w:rPr>
        <w:t>金先生</w:t>
      </w:r>
      <w:bookmarkEnd w:id="51"/>
      <w:r>
        <w:rPr>
          <w:rFonts w:hint="eastAsia" w:ascii="宋体" w:hAnsi="宋体" w:cs="宋体"/>
          <w:bCs/>
          <w:color w:val="auto"/>
          <w:sz w:val="22"/>
          <w:szCs w:val="22"/>
          <w:highlight w:val="none"/>
        </w:rPr>
        <w:t>，联系电话:0570-3076098</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质疑受理人：</w:t>
      </w:r>
      <w:r>
        <w:rPr>
          <w:rFonts w:hint="eastAsia" w:ascii="宋体" w:hAnsi="宋体" w:cs="宋体"/>
          <w:bCs/>
          <w:color w:val="auto"/>
          <w:sz w:val="22"/>
          <w:szCs w:val="22"/>
          <w:highlight w:val="none"/>
          <w:lang w:val="en-US" w:eastAsia="zh-CN"/>
        </w:rPr>
        <w:t>祝女士</w:t>
      </w:r>
      <w:r>
        <w:rPr>
          <w:rFonts w:hint="eastAsia" w:ascii="宋体" w:hAnsi="宋体" w:cs="宋体"/>
          <w:bCs/>
          <w:color w:val="auto"/>
          <w:sz w:val="22"/>
          <w:szCs w:val="22"/>
          <w:highlight w:val="none"/>
        </w:rPr>
        <w:t>，联系电话：</w:t>
      </w:r>
      <w:bookmarkStart w:id="52" w:name="OLE_LINK3"/>
      <w:r>
        <w:rPr>
          <w:rFonts w:hint="eastAsia" w:ascii="宋体" w:hAnsi="宋体" w:cs="宋体"/>
          <w:bCs/>
          <w:color w:val="auto"/>
          <w:sz w:val="22"/>
          <w:szCs w:val="22"/>
          <w:highlight w:val="none"/>
        </w:rPr>
        <w:t>0570-3076098</w:t>
      </w:r>
      <w:bookmarkEnd w:id="52"/>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采购代理机构名称：浙江省成套工程有限公司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项目联系人：吴先生，联系电话：0570-8757587/18367054001</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质疑受理人：毛女士，联系电话：0570-8757589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传真：0570-8757585</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同级政府采购监督管理部门名称：衢州市财政局</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联系人：</w:t>
      </w:r>
      <w:bookmarkStart w:id="53" w:name="OLE_LINK15"/>
      <w:r>
        <w:rPr>
          <w:rFonts w:hint="eastAsia" w:ascii="宋体" w:hAnsi="宋体" w:cs="宋体"/>
          <w:bCs/>
          <w:color w:val="auto"/>
          <w:szCs w:val="21"/>
          <w:highlight w:val="none"/>
        </w:rPr>
        <w:t>黄女士</w:t>
      </w:r>
      <w:bookmarkEnd w:id="53"/>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监督投诉电话：</w:t>
      </w:r>
      <w:bookmarkStart w:id="54" w:name="OLE_LINK16"/>
      <w:r>
        <w:rPr>
          <w:rFonts w:hint="eastAsia" w:ascii="宋体" w:hAnsi="宋体" w:cs="宋体"/>
          <w:bCs/>
          <w:color w:val="auto"/>
          <w:szCs w:val="21"/>
          <w:highlight w:val="none"/>
        </w:rPr>
        <w:t>0570-3027726</w:t>
      </w:r>
      <w:bookmarkEnd w:id="54"/>
    </w:p>
    <w:p>
      <w:pPr>
        <w:spacing w:line="360" w:lineRule="auto"/>
        <w:ind w:firstLine="420" w:firstLineChars="200"/>
        <w:rPr>
          <w:rFonts w:hint="eastAsia" w:ascii="宋体" w:hAnsi="宋体" w:cs="宋体"/>
          <w:bCs/>
          <w:color w:val="auto"/>
          <w:szCs w:val="21"/>
          <w:highlight w:val="none"/>
        </w:rPr>
      </w:pPr>
      <w:bookmarkStart w:id="55" w:name="_Toc19792"/>
      <w:r>
        <w:rPr>
          <w:rFonts w:hint="eastAsia" w:ascii="宋体" w:hAnsi="宋体" w:cs="宋体"/>
          <w:bCs/>
          <w:color w:val="auto"/>
          <w:szCs w:val="21"/>
          <w:highlight w:val="none"/>
        </w:rPr>
        <w:t>地址：</w:t>
      </w:r>
      <w:bookmarkEnd w:id="55"/>
      <w:r>
        <w:rPr>
          <w:rFonts w:hint="eastAsia" w:ascii="宋体" w:hAnsi="宋体" w:cs="宋体"/>
          <w:bCs/>
          <w:color w:val="auto"/>
          <w:szCs w:val="21"/>
          <w:highlight w:val="none"/>
        </w:rPr>
        <w:t xml:space="preserve">衢州市三江东路28号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56" w:name="_Toc322352982"/>
      <w:bookmarkStart w:id="57" w:name="_Toc354491896"/>
      <w:bookmarkStart w:id="58" w:name="_Toc356371430"/>
      <w:bookmarkStart w:id="59" w:name="_Toc29796"/>
      <w:bookmarkStart w:id="60" w:name="_Toc31264"/>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Cs/>
          <w:color w:val="auto"/>
          <w:szCs w:val="21"/>
          <w:highlight w:val="none"/>
        </w:rPr>
      </w:pPr>
      <w:r>
        <w:rPr>
          <w:rFonts w:hint="eastAsia" w:ascii="宋体" w:hAnsi="宋体" w:cs="宋体"/>
          <w:b/>
          <w:color w:val="auto"/>
          <w:szCs w:val="21"/>
          <w:highlight w:val="none"/>
        </w:rPr>
        <w:t>第二章  投标</w:t>
      </w:r>
      <w:bookmarkEnd w:id="56"/>
      <w:bookmarkEnd w:id="57"/>
      <w:r>
        <w:rPr>
          <w:rFonts w:hint="eastAsia" w:ascii="宋体" w:hAnsi="宋体" w:cs="宋体"/>
          <w:b/>
          <w:color w:val="auto"/>
          <w:szCs w:val="21"/>
          <w:highlight w:val="none"/>
        </w:rPr>
        <w:t>须知前附表及投标须知</w:t>
      </w:r>
      <w:bookmarkEnd w:id="58"/>
      <w:bookmarkEnd w:id="59"/>
      <w:bookmarkEnd w:id="60"/>
    </w:p>
    <w:p>
      <w:pPr>
        <w:snapToGrid w:val="0"/>
        <w:spacing w:before="120" w:beforeLines="50" w:after="120" w:afterLines="50" w:line="312" w:lineRule="auto"/>
        <w:ind w:firstLine="422" w:firstLineChars="200"/>
        <w:outlineLvl w:val="1"/>
        <w:rPr>
          <w:rFonts w:hint="eastAsia" w:ascii="宋体" w:hAnsi="宋体" w:cs="宋体"/>
          <w:b/>
          <w:color w:val="auto"/>
          <w:szCs w:val="21"/>
          <w:highlight w:val="none"/>
        </w:rPr>
      </w:pPr>
      <w:bookmarkStart w:id="61" w:name="_Toc6759"/>
      <w:bookmarkStart w:id="62" w:name="_Toc356371431"/>
      <w:bookmarkStart w:id="63" w:name="_Toc5500"/>
      <w:r>
        <w:rPr>
          <w:rFonts w:hint="eastAsia" w:ascii="宋体" w:hAnsi="宋体" w:cs="宋体"/>
          <w:b/>
          <w:color w:val="auto"/>
          <w:szCs w:val="21"/>
          <w:highlight w:val="none"/>
        </w:rPr>
        <w:t>一、投标须知前附表</w:t>
      </w:r>
      <w:bookmarkEnd w:id="61"/>
      <w:bookmarkEnd w:id="62"/>
      <w:bookmarkEnd w:id="63"/>
    </w:p>
    <w:tbl>
      <w:tblPr>
        <w:tblStyle w:val="28"/>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57"/>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衢州市中医医院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2025-2026年度医疗责任保险服务采购项目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服务期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现场踏勘</w:t>
            </w:r>
          </w:p>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6"/>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（1）“电子加密投标文件”是指通过“政采云电子交易客户端”完成投标文件编制后生成并加密的数据电文形式的投标文件。</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（2）“备份投标文件”是指与“电子加密投标文件”同时生成的数据电文形式的电子文件（备份标书），其他方式编制的备份投标文件视为无效备份投标文件。</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（3）投标文件编制参照政采云平台供应商项目采购-电子招投标操作指南（网址：</w:t>
            </w:r>
            <w:r>
              <w:rPr>
                <w:rFonts w:hint="eastAsia" w:hAnsi="宋体" w:cs="宋体"/>
                <w:color w:val="auto"/>
                <w:spacing w:val="-20"/>
                <w:szCs w:val="21"/>
                <w:highlight w:val="none"/>
              </w:rPr>
              <w:t>https://</w:t>
            </w:r>
            <w:r>
              <w:rPr>
                <w:rFonts w:hint="eastAsia" w:hAnsi="宋体" w:cs="宋体"/>
                <w:color w:val="auto"/>
                <w:spacing w:val="-17"/>
                <w:szCs w:val="21"/>
                <w:highlight w:val="none"/>
              </w:rPr>
              <w:t>help.zcygov.cn/web/site_2/2018/12-28/2573.html</w:t>
            </w:r>
            <w:r>
              <w:rPr>
                <w:rFonts w:hint="eastAsia" w:hAnsi="宋体" w:cs="宋体"/>
                <w:color w:val="auto"/>
                <w:spacing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（1）“电子加密投标文件”的上传、递交：</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a.投标供应商应在投标截止时间前将“电子加密投标文件”成功上传递交至“政府采购云平台”，否则投标无效。</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b.“电子加密投标文件”成功上传递交后，供应商可自行打印投标文件接收回执。</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（2）“备份投标文件”的递交：</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a.投标供应商在“政府采购云平台”完成“电子加密投标文件”的上传递交后，还可以在投标截止时间前将“备份投标文件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存储至u盘中</w:t>
            </w:r>
            <w:r>
              <w:rPr>
                <w:rFonts w:hint="eastAsia" w:ascii="宋体" w:hAnsi="宋体" w:eastAsia="宋体" w:cs="宋体"/>
                <w:color w:val="auto"/>
                <w:szCs w:val="21"/>
                <w:highlight w:val="none"/>
              </w:rPr>
              <w:t>以邮政EMS快递形式在投标文件提交截止时间前递交给采购代理机构。邮寄地址及收件人：浙江省成套工程有限公司（衢州市柯城区花园中大道鑫港大厦709室）吴先生收，电话：0570-8757587，邮编：324000）。</w:t>
            </w:r>
            <w:bookmarkStart w:id="159" w:name="_GoBack"/>
            <w:bookmarkEnd w:id="159"/>
            <w:r>
              <w:rPr>
                <w:rFonts w:hint="eastAsia" w:hAnsi="宋体" w:cs="宋体"/>
                <w:color w:val="auto"/>
                <w:szCs w:val="21"/>
                <w:highlight w:val="none"/>
              </w:rPr>
              <w:t>逾期</w:t>
            </w:r>
            <w:r>
              <w:rPr>
                <w:rFonts w:hint="eastAsia" w:hAnsi="宋体" w:cs="宋体"/>
                <w:color w:val="auto"/>
                <w:szCs w:val="21"/>
                <w:highlight w:val="none"/>
                <w:lang w:val="en-US" w:eastAsia="zh-CN"/>
              </w:rPr>
              <w:t>送达</w:t>
            </w:r>
            <w:r>
              <w:rPr>
                <w:rFonts w:hint="eastAsia" w:hAnsi="宋体" w:cs="宋体"/>
                <w:color w:val="auto"/>
                <w:szCs w:val="21"/>
                <w:highlight w:val="none"/>
              </w:rPr>
              <w:t>的“备份投标文件”将不予接收；解密CA必须是上传并制作电子投标文件CA锁。</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投标文件递交</w:t>
            </w:r>
          </w:p>
          <w:p>
            <w:pPr>
              <w:pStyle w:val="16"/>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7</w:t>
            </w:r>
            <w:r>
              <w:rPr>
                <w:rFonts w:hint="eastAsia" w:hAnsi="宋体" w:cs="宋体"/>
                <w:color w:val="auto"/>
                <w:szCs w:val="21"/>
                <w:highlight w:val="none"/>
              </w:rPr>
              <w:t>月</w:t>
            </w:r>
            <w:r>
              <w:rPr>
                <w:rFonts w:hint="eastAsia" w:hAnsi="宋体" w:cs="宋体"/>
                <w:color w:val="auto"/>
                <w:szCs w:val="21"/>
                <w:highlight w:val="none"/>
                <w:lang w:val="en-US" w:eastAsia="zh-CN"/>
              </w:rPr>
              <w:t>28</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7</w:t>
            </w:r>
            <w:r>
              <w:rPr>
                <w:rFonts w:hint="eastAsia" w:hAnsi="宋体" w:cs="宋体"/>
                <w:color w:val="auto"/>
                <w:szCs w:val="21"/>
                <w:highlight w:val="none"/>
              </w:rPr>
              <w:t>月</w:t>
            </w:r>
            <w:r>
              <w:rPr>
                <w:rFonts w:hint="eastAsia" w:hAnsi="宋体" w:cs="宋体"/>
                <w:color w:val="auto"/>
                <w:szCs w:val="21"/>
                <w:highlight w:val="none"/>
                <w:lang w:val="en-US" w:eastAsia="zh-CN"/>
              </w:rPr>
              <w:t>28</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采购人：衢州市中医医院</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采购代理机构名称：浙江省成套工程有限公司</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项目联系人：吴先生</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联系电话：0570-8757587/18367054001</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传真：0570-8757585</w:t>
            </w:r>
          </w:p>
          <w:p>
            <w:pPr>
              <w:tabs>
                <w:tab w:val="left" w:pos="0"/>
              </w:tabs>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（1）采购人或采购代理机构将对本项目供应商的信用记录进行查询。查询渠道为信用中国网站（www.creditchina.gov.cn）、中国政府采购网（www.ccgp.gov.cn）。</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（2）截止时点：提交投标文件（响应文件）截止时间前3年内。</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（3）查询记录和证据的留存：信用信息查询记录和证据以网页截图等方式留存。</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left"/>
              <w:rPr>
                <w:rFonts w:hint="eastAsia" w:hAnsi="宋体" w:cs="宋体"/>
                <w:color w:val="auto"/>
                <w:szCs w:val="21"/>
                <w:highlight w:val="none"/>
              </w:rPr>
            </w:pPr>
            <w:r>
              <w:rPr>
                <w:rFonts w:hint="eastAsia" w:hAnsi="宋体" w:cs="宋体"/>
                <w:color w:val="auto"/>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Cs w:val="21"/>
                <w:highlight w:val="none"/>
              </w:rPr>
              <w:t>http://www.zjzfcg.gov.cn</w:t>
            </w:r>
            <w:r>
              <w:rPr>
                <w:rFonts w:hint="eastAsia" w:hAnsi="宋体" w:cs="宋体"/>
                <w:color w:val="auto"/>
                <w:szCs w:val="21"/>
                <w:highlight w:val="none"/>
              </w:rPr>
              <w:fldChar w:fldCharType="end"/>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rPr>
                <w:rFonts w:hint="eastAsia" w:hAnsi="宋体" w:cs="宋体"/>
                <w:color w:val="auto"/>
                <w:szCs w:val="21"/>
                <w:highlight w:val="none"/>
              </w:rPr>
            </w:pPr>
            <w:r>
              <w:rPr>
                <w:rFonts w:hint="eastAsia" w:hAnsi="宋体" w:cs="宋体"/>
                <w:color w:val="auto"/>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w:t>
            </w:r>
            <w:r>
              <w:rPr>
                <w:rFonts w:hint="eastAsia" w:hAnsi="宋体" w:cs="宋体"/>
                <w:b/>
                <w:bCs/>
                <w:color w:val="auto"/>
                <w:szCs w:val="21"/>
                <w:highlight w:val="none"/>
              </w:rPr>
              <w:t>本项目</w:t>
            </w:r>
            <w:r>
              <w:rPr>
                <w:rFonts w:hint="eastAsia" w:hAnsi="宋体" w:cs="宋体"/>
                <w:b/>
                <w:bCs/>
                <w:color w:val="auto"/>
                <w:szCs w:val="21"/>
                <w:highlight w:val="none"/>
                <w:lang w:val="en-US" w:eastAsia="zh-CN"/>
              </w:rPr>
              <w:t>非</w:t>
            </w:r>
            <w:r>
              <w:rPr>
                <w:rFonts w:hint="eastAsia" w:hAnsi="宋体" w:cs="宋体"/>
                <w:b/>
                <w:bCs/>
                <w:color w:val="auto"/>
                <w:szCs w:val="21"/>
                <w:highlight w:val="none"/>
              </w:rPr>
              <w:t>专门面向中小企业。</w:t>
            </w:r>
            <w:r>
              <w:rPr>
                <w:rFonts w:hint="eastAsia"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符合中小企业划分标准的个体工商户，在政府采购活动中视同中小企业。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2.在政府采购活动中，投标人提供的货物、工程或者服务符合下列情形的，享受中小企业扶持政策：</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2.1在货物采购项目中，货物由中小企业制造，即货物由中小企业生产且使用该中小企业商号或者注册商标；</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2.2在工程采购项目中，工程由中小企业承建，即工程施工单位为中小企业；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2.3在服务采购项目中，服务由中小企业承接，即提供服务的人员为中小企业依照《中华人民共和国劳动合同法》订立劳动合同的从业人员。</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在货物采购项目中，投标人提供的货物既有中小企业制造货物，也有大型企业制造货物的，不享受中小企业扶持政策。</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以联合体形式参加政府采购活动，联合体各方均为中小企业的，联合体视同中小企业。其中，联合体各方均为小微企业的，联合体视同小微企业。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4.符合《关于促进残疾人就业政府采购政策的通知》（财库〔2017〕141号）规定的条件并提供《残疾人福利性单位声明函》（附件）的残疾人福利性单位视同小型、微型企业；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6"/>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7.中小企业享受扶持政策获得政府采购合同的，小微企业不得将合同分包给大中型企业，中型企业不得将合同分包给大型企业。</w:t>
            </w:r>
          </w:p>
          <w:p>
            <w:pP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8.</w:t>
            </w:r>
            <w:r>
              <w:rPr>
                <w:rFonts w:hint="eastAsia" w:ascii="宋体" w:hAnsi="宋体" w:cs="宋体"/>
                <w:b/>
                <w:bCs/>
                <w:color w:val="auto"/>
                <w:szCs w:val="21"/>
                <w:highlight w:val="none"/>
                <w:lang w:val="zh-CN"/>
              </w:rPr>
              <w:t>标的名称：</w:t>
            </w:r>
            <w:r>
              <w:rPr>
                <w:rFonts w:hint="eastAsia" w:ascii="宋体" w:hAnsi="宋体" w:cs="宋体"/>
                <w:b/>
                <w:bCs/>
                <w:color w:val="auto"/>
                <w:szCs w:val="21"/>
                <w:highlight w:val="none"/>
                <w:lang w:val="zh-CN" w:eastAsia="zh-Hans"/>
              </w:rPr>
              <w:t>2025-2026年度医疗责任保险服务采购项目</w:t>
            </w:r>
            <w:r>
              <w:rPr>
                <w:rFonts w:hint="eastAsia" w:ascii="宋体" w:hAnsi="宋体" w:cs="宋体"/>
                <w:b/>
                <w:bCs/>
                <w:color w:val="auto"/>
                <w:szCs w:val="21"/>
                <w:highlight w:val="none"/>
                <w:lang w:val="zh-CN"/>
              </w:rPr>
              <w:t>，所属行业：金融业划分中的保险业行业。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6"/>
              <w:snapToGrid w:val="0"/>
              <w:spacing w:line="336" w:lineRule="auto"/>
              <w:jc w:val="center"/>
              <w:rPr>
                <w:rFonts w:hint="eastAsia" w:hAnsi="宋体" w:cs="宋体"/>
                <w:color w:val="auto"/>
                <w:szCs w:val="21"/>
                <w:highlight w:val="none"/>
              </w:rPr>
            </w:pPr>
            <w:bookmarkStart w:id="64" w:name="_Toc356371433"/>
            <w:bookmarkStart w:id="65" w:name="_Toc16402"/>
            <w:bookmarkStart w:id="66" w:name="_Toc356371435"/>
            <w:bookmarkStart w:id="67" w:name="_Toc17416"/>
            <w:r>
              <w:rPr>
                <w:rFonts w:hint="eastAsia" w:hAnsi="宋体" w:cs="宋体"/>
                <w:color w:val="auto"/>
                <w:szCs w:val="21"/>
                <w:highlight w:val="none"/>
              </w:rPr>
              <w:t>20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1名</w:t>
            </w:r>
          </w:p>
        </w:tc>
      </w:tr>
    </w:tbl>
    <w:p>
      <w:pPr>
        <w:snapToGrid w:val="0"/>
        <w:spacing w:before="48" w:beforeLines="20" w:after="48" w:afterLines="20"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二、投标须知</w:t>
      </w:r>
      <w:bookmarkEnd w:id="64"/>
      <w:bookmarkEnd w:id="65"/>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本招标文件仅适用于本次招标采购项目的招标、投标、评标、定标、验收、合同履约、付款等行为。</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2.4“监督单位”系指政府采购法定义监督管理部门。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2.7“电子交易平台”系指本项目政府采购活动所依托的政府采购云平台（https://www.zcygov.cn/）。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2.8“▲”系指实质性指标要求条款，如任意一条打“▲”的指标出现负偏离视为实质性不响应招标文件要求，作无效投标处理。“☑”系指适用本项目的要求，“☐”系指不适用本项目的要求。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招标方式</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投标委托</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投标人代表须具有身份证明文件。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联合体投标</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本项目接受联合体投标。</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转包与分包</w:t>
      </w:r>
    </w:p>
    <w:p>
      <w:pPr>
        <w:snapToGrid w:val="0"/>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本项目不允许转包与分包。</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w:t>
      </w:r>
    </w:p>
    <w:p>
      <w:pPr>
        <w:numPr>
          <w:ilvl w:val="2"/>
          <w:numId w:val="5"/>
        </w:numPr>
        <w:snapToGrid w:val="0"/>
        <w:spacing w:line="312" w:lineRule="auto"/>
        <w:ind w:firstLine="420" w:firstLineChars="200"/>
        <w:rPr>
          <w:rFonts w:hint="eastAsia" w:ascii="宋体" w:hAnsi="宋体" w:cs="宋体"/>
          <w:b/>
          <w:color w:val="auto"/>
          <w:szCs w:val="21"/>
          <w:highlight w:val="none"/>
        </w:rPr>
      </w:pPr>
      <w:bookmarkStart w:id="68" w:name="_Toc15235"/>
      <w:bookmarkStart w:id="69"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numPr>
          <w:ilvl w:val="2"/>
          <w:numId w:val="5"/>
        </w:numPr>
        <w:snapToGrid w:val="0"/>
        <w:spacing w:line="312"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三、招标文件说明</w:t>
      </w:r>
      <w:bookmarkEnd w:id="68"/>
      <w:bookmarkEnd w:id="69"/>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招标文件的组成</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招标公告；</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投标须知前附表及投标须知；</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采购内容及要求；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合同文本；</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应提交的有关格式范例；</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评标办法及开标程序。</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招标文件的澄清及修改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四、投标文件的编制</w:t>
      </w:r>
      <w:bookmarkEnd w:id="66"/>
      <w:bookmarkEnd w:id="67"/>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总体要求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投标文件及供应商与采购有关的来往通知，函件和文件均应使用中文。</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供应商应按本文件中提供的文件格式、内容和要求制作投标文件。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▲投标文件应分为【资格文件】、【商务技术文件】和【报价文件】。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（1）具有参与政府采购活动一般资格条件的声明函；</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（2）投标人有效的《企业法人营业执照》；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（3）联合协议（如果有)；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【商务技术文件】</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投标函；</w:t>
      </w:r>
    </w:p>
    <w:p>
      <w:pPr>
        <w:pStyle w:val="49"/>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（3）法定代表人授权书 ；</w:t>
      </w:r>
    </w:p>
    <w:p>
      <w:pPr>
        <w:pStyle w:val="49"/>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（4）法定代表人及其授权代表身份证复印件；</w:t>
      </w:r>
    </w:p>
    <w:p>
      <w:pPr>
        <w:pStyle w:val="49"/>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（5）法定代表人身份证明书；</w:t>
      </w:r>
    </w:p>
    <w:p>
      <w:pPr>
        <w:pStyle w:val="49"/>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（6）符合性审查资料；</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（7）商务技术偏离表；</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）业绩证明文件；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（9）供应商根据评分标准认为需要的其他技术商务资料。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（2）投标报价明细表（格式见第五章）；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（3）投标廉洁承诺书（格式见第五章）；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）落实政府采购政策相应资料；</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1）《中小企业声明函》；</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2）监狱和戒毒企业应提供由省级以上监狱管理局、戒毒管理局（含新疆生产建设兵团）出具的属于监狱企业的证明文件；（监狱和戒毒企业提供）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3）《产品适用监狱和戒毒企业政策情况表》；（监狱和戒毒企业提供）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4）残疾人福利性单位应提供残疾人福利性单位声明函；（残疾人福利单位提供）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5）《产品适用残疾人福利性单位政策情况表》；（残疾人福利单位提供）</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投标人认为需要提供的其他商务资料。</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投标文件内容填写说明 </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供应商必须保证投标文件所提供的全部资料真实可靠，并接受采购人对其中任何资料进一步审查的要求。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《开标一览表》为</w:t>
      </w:r>
      <w:r>
        <w:rPr>
          <w:rFonts w:hint="eastAsia" w:ascii="宋体" w:hAnsi="宋体" w:cs="宋体"/>
          <w:color w:val="auto"/>
          <w:spacing w:val="-6"/>
          <w:szCs w:val="21"/>
          <w:highlight w:val="none"/>
        </w:rPr>
        <w:t>在开标仪式上唱标的内容，要求按格式填写、统一规范，不得自行增减内容。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投标文件须对招标文件中的内容做出实质性的和完整的响应，否则其投标将被拒绝。如果投标</w:t>
      </w:r>
      <w:r>
        <w:rPr>
          <w:rFonts w:hint="eastAsia" w:ascii="宋体" w:hAnsi="宋体" w:cs="宋体"/>
          <w:color w:val="auto"/>
          <w:spacing w:val="-6"/>
          <w:szCs w:val="21"/>
          <w:highlight w:val="none"/>
        </w:rPr>
        <w:t>文件填报的内容资料不详，或没有提供招标文件中所要求的全部资料及数据，将会导致投标被拒绝。</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w:t>
      </w:r>
      <w:r>
        <w:rPr>
          <w:rFonts w:hint="eastAsia" w:ascii="宋体" w:hAnsi="宋体" w:cs="宋体"/>
          <w:color w:val="auto"/>
          <w:spacing w:val="-6"/>
          <w:szCs w:val="21"/>
          <w:highlight w:val="none"/>
        </w:rPr>
        <w:t>标文件不得涂改和增删，如有错漏必须修改，修改处须由法定代表人或授权委托人签字或盖章。</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由于字迹模糊或表达不清引起的后果由投标人负责。</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投标报价应按招标文件中相关附表格式填写。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投标人所报的报价在本项目合同执行过程中是固定的，不论其他任何原因，未经招标人认可，不得以任何理由予以变更。投标人在投标报价时应充分考虑上述原则。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投标文件只允许有一个报价，有选择的或有条件的报价将不予接受。</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投标有效期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▲投标文件从投标文件递交截止之日起，有效期为90天；</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0" w:name="_Toc14685"/>
      <w:r>
        <w:rPr>
          <w:rFonts w:hint="eastAsia" w:ascii="宋体" w:hAnsi="宋体" w:cs="宋体"/>
          <w:color w:val="auto"/>
          <w:szCs w:val="21"/>
          <w:highlight w:val="none"/>
        </w:rPr>
        <w:t>五、投标文件的签署及规定</w:t>
      </w:r>
      <w:bookmarkEnd w:id="70"/>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《投标文件》的签章：见《前附表》。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1" w:name="_Toc356371437"/>
      <w:bookmarkStart w:id="72" w:name="_Toc28256"/>
      <w:r>
        <w:rPr>
          <w:rFonts w:hint="eastAsia" w:ascii="宋体" w:hAnsi="宋体" w:cs="宋体"/>
          <w:color w:val="auto"/>
          <w:szCs w:val="21"/>
          <w:highlight w:val="none"/>
        </w:rPr>
        <w:t>六、投标文件的递交</w:t>
      </w:r>
      <w:bookmarkEnd w:id="71"/>
      <w:bookmarkEnd w:id="72"/>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投标供应商应在投标截止时间前将“电子加密投标文件”成功上传递交至“政府采购云平台”，否则投标无效。</w:t>
      </w:r>
    </w:p>
    <w:p>
      <w:pPr>
        <w:numPr>
          <w:ilvl w:val="2"/>
          <w:numId w:val="5"/>
        </w:numPr>
        <w:snapToGrid w:val="0"/>
        <w:spacing w:line="312"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“电子加密投标文件”成功上传递交后，供应商可自行打印投标文件接收回执。</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投标文件的修改和撤销</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在递交投标文件截止时间后，供应商不得对其投标文件做任何修改。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递交投标文件截止时间后，供应商不得撤回其投标文件。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3" w:name="_Toc356371438"/>
      <w:bookmarkStart w:id="74" w:name="_Toc2881"/>
      <w:r>
        <w:rPr>
          <w:rFonts w:hint="eastAsia" w:ascii="宋体" w:hAnsi="宋体" w:cs="宋体"/>
          <w:color w:val="auto"/>
          <w:szCs w:val="21"/>
          <w:highlight w:val="none"/>
        </w:rPr>
        <w:t>七、投标无效的情形</w:t>
      </w:r>
      <w:bookmarkEnd w:id="73"/>
      <w:bookmarkEnd w:id="74"/>
    </w:p>
    <w:p>
      <w:pPr>
        <w:numPr>
          <w:ilvl w:val="1"/>
          <w:numId w:val="5"/>
        </w:numPr>
        <w:snapToGrid w:val="0"/>
        <w:spacing w:line="312" w:lineRule="auto"/>
        <w:ind w:firstLine="420" w:firstLineChars="200"/>
        <w:rPr>
          <w:rFonts w:hint="eastAsia" w:ascii="宋体" w:hAnsi="宋体" w:cs="宋体"/>
          <w:color w:val="auto"/>
          <w:szCs w:val="21"/>
          <w:highlight w:val="none"/>
        </w:rPr>
      </w:pPr>
      <w:bookmarkStart w:id="75" w:name="_Toc356371439"/>
      <w:r>
        <w:rPr>
          <w:rFonts w:hint="eastAsia" w:ascii="宋体" w:hAnsi="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不具备招标文件规定资格要求；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投标文件未按招标文件要求签署、盖章的，未有效授权的；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招标文件中有▲处条款投标人未作实质性响应的；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资格文件或商务技术文件中包含报价的；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投标文件关键内容字迹模糊、无法辨认的；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投标文件含有采购人不能接受的附加条件的；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报价超出招标文件中规定的预算金额或者最高限价的；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提供虚假材料谋取中标的；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投标人串通投标的；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电子投标文件解密失败的，且未在规定时间内提交电子备份投标文件的；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仅提交“备份投标文件”的；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6" w:name="串通投标的情形"/>
      <w:r>
        <w:rPr>
          <w:rFonts w:hint="eastAsia" w:ascii="宋体" w:hAnsi="宋体" w:cs="宋体"/>
          <w:color w:val="auto"/>
          <w:szCs w:val="21"/>
          <w:highlight w:val="none"/>
        </w:rPr>
        <w:t>电子投标文件未按规定要求提供电子签章的；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电子备份投标文件启用后，未按规定要求提供电子签章的；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7" w:name="OLE_LINK18"/>
      <w:r>
        <w:rPr>
          <w:rFonts w:hint="eastAsia" w:ascii="宋体" w:hAnsi="宋体" w:cs="宋体"/>
          <w:color w:val="auto"/>
          <w:szCs w:val="21"/>
          <w:highlight w:val="none"/>
        </w:rPr>
        <w:t>不同投标人的上传的投标文件MAC地址相同、计算机硬盘序列号相同；</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不同投标人的上传的投标文件细节错误一致且无合理解释；</w:t>
      </w:r>
    </w:p>
    <w:bookmarkEnd w:id="77"/>
    <w:p>
      <w:pPr>
        <w:numPr>
          <w:ilvl w:val="2"/>
          <w:numId w:val="5"/>
        </w:numPr>
        <w:snapToGrid w:val="0"/>
        <w:spacing w:line="312" w:lineRule="auto"/>
        <w:ind w:firstLine="422" w:firstLineChars="200"/>
        <w:rPr>
          <w:rFonts w:hint="eastAsia" w:ascii="宋体" w:hAnsi="宋体" w:cs="宋体"/>
          <w:b/>
          <w:bCs/>
          <w:color w:val="auto"/>
          <w:szCs w:val="21"/>
          <w:highlight w:val="none"/>
        </w:rPr>
      </w:pPr>
      <w:bookmarkStart w:id="78" w:name="OLE_LINK17"/>
      <w:r>
        <w:rPr>
          <w:rFonts w:hint="eastAsia" w:ascii="宋体" w:hAnsi="宋体" w:cs="宋体"/>
          <w:b/>
          <w:bCs/>
          <w:color w:val="auto"/>
          <w:szCs w:val="21"/>
          <w:highlight w:val="none"/>
        </w:rPr>
        <w:t>商务技术得分低于商务技术总分60%的；</w:t>
      </w:r>
    </w:p>
    <w:bookmarkEnd w:id="78"/>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八、串通投标的情形</w:t>
      </w:r>
    </w:p>
    <w:bookmarkEnd w:id="76"/>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21.有下列情形之一的，视为供应商串通投标，其投标无效：</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21.1不同投标人的投标文件由同一单位或者个人编制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21.2不同投标人委托同一单位或者个人办理投标事宜；</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21.3不同投标人的投标文件载明的项目管理成员或者联系人员为同一人；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21.4不同投标人的投标文件异常一致或者投标报价呈规律性差异；</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21.5不同投标人的投标文件相互混装。</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9" w:name="_Toc20496"/>
      <w:bookmarkStart w:id="80" w:name="_Toc359592368"/>
      <w:r>
        <w:rPr>
          <w:rFonts w:hint="eastAsia" w:ascii="宋体" w:hAnsi="宋体" w:cs="宋体"/>
          <w:color w:val="auto"/>
          <w:szCs w:val="21"/>
          <w:highlight w:val="none"/>
        </w:rPr>
        <w:t>九、废标的情形</w:t>
      </w:r>
      <w:bookmarkEnd w:id="79"/>
      <w:bookmarkEnd w:id="80"/>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22.2出现影响采购公正的违法、违规行为的；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1" w:name="_Toc446"/>
      <w:r>
        <w:rPr>
          <w:rFonts w:hint="eastAsia" w:ascii="宋体" w:hAnsi="宋体" w:cs="宋体"/>
          <w:color w:val="auto"/>
          <w:szCs w:val="21"/>
          <w:highlight w:val="none"/>
        </w:rPr>
        <w:t>十、开标</w:t>
      </w:r>
      <w:bookmarkEnd w:id="75"/>
      <w:r>
        <w:rPr>
          <w:rFonts w:hint="eastAsia" w:ascii="宋体" w:hAnsi="宋体" w:cs="宋体"/>
          <w:color w:val="auto"/>
          <w:szCs w:val="21"/>
          <w:highlight w:val="none"/>
        </w:rPr>
        <w:t>和评标</w:t>
      </w:r>
      <w:bookmarkEnd w:id="81"/>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23.开标形式</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24.开标准备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25.开标流程（两阶段）</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25.1开标第一阶段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25.2开标第二阶段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cs="宋体"/>
          <w:color w:val="auto"/>
          <w:spacing w:val="-6"/>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（2）开启符合性审查、商务技术评审有效投标供应商的《报价文件》，通过政采云平台公布开标一览表有关内容，同时当场制作开标记录表，供应商通过发送邮件形式签字确认（不予确认的应</w:t>
      </w:r>
      <w:r>
        <w:rPr>
          <w:rFonts w:hint="eastAsia" w:ascii="宋体" w:hAnsi="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cs="宋体"/>
          <w:color w:val="auto"/>
          <w:szCs w:val="21"/>
          <w:highlight w:val="none"/>
        </w:rPr>
      </w:pPr>
      <w:bookmarkStart w:id="82" w:name="_Toc33194393"/>
      <w:bookmarkStart w:id="83" w:name="_Toc24550037"/>
      <w:r>
        <w:rPr>
          <w:rFonts w:hint="eastAsia" w:ascii="宋体" w:hAnsi="宋体" w:cs="宋体"/>
          <w:color w:val="auto"/>
          <w:szCs w:val="21"/>
          <w:highlight w:val="none"/>
        </w:rPr>
        <w:t>26.投标供应商资格审查</w:t>
      </w:r>
      <w:bookmarkEnd w:id="82"/>
      <w:bookmarkEnd w:id="83"/>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27.评标委员会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28.对投标文件的审查和响应性的确定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29.算术错误将按以下方法更正</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29.4总价金额与按单价汇总金额不一致的，以单价金额计算结果为准；同时出现两种以上不一致的，</w:t>
      </w:r>
      <w:r>
        <w:rPr>
          <w:rFonts w:hint="eastAsia" w:ascii="宋体" w:hAnsi="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30.评标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31.保密</w:t>
      </w:r>
    </w:p>
    <w:p>
      <w:pPr>
        <w:snapToGrid w:val="0"/>
        <w:spacing w:line="312" w:lineRule="auto"/>
        <w:ind w:firstLine="420" w:firstLineChars="200"/>
        <w:rPr>
          <w:rFonts w:hint="eastAsia" w:ascii="宋体" w:hAnsi="宋体" w:cs="宋体"/>
          <w:color w:val="auto"/>
          <w:szCs w:val="21"/>
          <w:highlight w:val="none"/>
        </w:rPr>
      </w:pPr>
      <w:bookmarkStart w:id="84" w:name="_Toc356371440"/>
      <w:r>
        <w:rPr>
          <w:rFonts w:hint="eastAsia" w:ascii="宋体" w:hAnsi="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31.2投标人对评标、比较</w:t>
      </w:r>
      <w:r>
        <w:rPr>
          <w:rFonts w:hint="eastAsia" w:ascii="宋体" w:hAnsi="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32.可中止电子交易活动的情形</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32.1电子交易平台发生故障而无法登录访问的；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32.4病毒发作导致不能进行正常操作的；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十一、定标</w:t>
      </w:r>
    </w:p>
    <w:bookmarkEnd w:id="84"/>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5" w:name="质疑与投诉"/>
      <w:bookmarkStart w:id="86" w:name="_Toc10212"/>
      <w:bookmarkStart w:id="87" w:name="_Toc356371441"/>
      <w:r>
        <w:rPr>
          <w:rFonts w:hint="eastAsia" w:ascii="宋体" w:hAnsi="宋体" w:cs="宋体"/>
          <w:color w:val="auto"/>
          <w:szCs w:val="21"/>
          <w:highlight w:val="none"/>
        </w:rPr>
        <w:t>十二、质疑与投诉</w:t>
      </w:r>
      <w:bookmarkEnd w:id="85"/>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zh-CN"/>
        </w:rPr>
        <w:t>根据《中华人民共和国政府采购法》、《中华人民共和国政府采购法实施条例》、</w:t>
      </w:r>
      <w:r>
        <w:rPr>
          <w:rFonts w:hint="eastAsia" w:ascii="宋体" w:hAnsi="宋体" w:cs="宋体"/>
          <w:color w:val="auto"/>
          <w:szCs w:val="21"/>
          <w:highlight w:val="none"/>
        </w:rPr>
        <w:t>《政府采购质疑和投诉办法》</w:t>
      </w:r>
      <w:r>
        <w:rPr>
          <w:rFonts w:hint="eastAsia" w:ascii="宋体" w:hAnsi="宋体" w:cs="宋体"/>
          <w:color w:val="auto"/>
          <w:szCs w:val="21"/>
          <w:highlight w:val="none"/>
          <w:lang w:val="zh-CN"/>
        </w:rPr>
        <w:t>(</w:t>
      </w:r>
      <w:r>
        <w:rPr>
          <w:rFonts w:hint="eastAsia" w:ascii="宋体" w:hAnsi="宋体" w:cs="宋体"/>
          <w:color w:val="auto"/>
          <w:szCs w:val="21"/>
          <w:highlight w:val="none"/>
        </w:rPr>
        <w:t>财政部令第94号</w:t>
      </w:r>
      <w:r>
        <w:rPr>
          <w:rFonts w:hint="eastAsia" w:ascii="宋体" w:hAnsi="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35.供应商询问</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36.供应商质疑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36.3对中标结果提出质疑的，为中标结果公告期限届满之日。</w:t>
      </w:r>
    </w:p>
    <w:p>
      <w:pPr>
        <w:snapToGrid w:val="0"/>
        <w:spacing w:line="312" w:lineRule="auto"/>
        <w:ind w:firstLine="420" w:firstLineChars="200"/>
        <w:rPr>
          <w:rFonts w:hint="eastAsia" w:ascii="宋体" w:hAnsi="宋体" w:cs="宋体"/>
          <w:color w:val="auto"/>
          <w:spacing w:val="-17"/>
          <w:szCs w:val="21"/>
          <w:highlight w:val="none"/>
        </w:rPr>
      </w:pPr>
      <w:r>
        <w:rPr>
          <w:rFonts w:hint="eastAsia" w:ascii="宋体" w:hAnsi="宋体" w:cs="宋体"/>
          <w:color w:val="auto"/>
          <w:szCs w:val="21"/>
          <w:highlight w:val="none"/>
        </w:rPr>
        <w:t>36.4供应商质疑应当有明确的请求和必要的证明材料。供应商提交的质疑书需一式三份，由法定代表人签字（或盖章）并加盖单位公章。质疑书格式范本详见附件。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37.供应商投诉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37.1质疑供应商对采购机构的答复不满意或者采购机构未在规定的时间内作出答复的，可以在答复期满后十五个工作日内向同级政府采购监督管理部门提出投诉。投诉书格式范本见附件。</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十三、法律责任</w:t>
      </w:r>
      <w:bookmarkEnd w:id="86"/>
      <w:bookmarkEnd w:id="87"/>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38.1提供虚假材料谋取中标的；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十四、代理服务费</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39.招标代理服务费、论证费由中标单位支付，由招标代理人在发中标通知书时按中标金额向中标单位一次性收取。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40.招标代理服务收费标准</w:t>
      </w:r>
      <w:bookmarkStart w:id="88" w:name="OLE_LINK2"/>
      <w:r>
        <w:rPr>
          <w:rFonts w:hint="eastAsia" w:ascii="宋体" w:hAnsi="宋体" w:cs="宋体"/>
          <w:color w:val="auto"/>
          <w:szCs w:val="21"/>
          <w:highlight w:val="none"/>
        </w:rPr>
        <w:t>按国家发展计划委员会计价格[2002]1980号文件的30%收取</w:t>
      </w:r>
      <w:bookmarkEnd w:id="88"/>
      <w:r>
        <w:rPr>
          <w:rFonts w:hint="eastAsia" w:ascii="宋体" w:hAnsi="宋体" w:cs="宋体"/>
          <w:color w:val="auto"/>
          <w:szCs w:val="21"/>
          <w:highlight w:val="none"/>
        </w:rPr>
        <w:t>，按差额定率累进法计算。</w:t>
      </w:r>
    </w:p>
    <w:p>
      <w:pPr>
        <w:snapToGrid w:val="0"/>
        <w:spacing w:line="312"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28"/>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cs="宋体"/>
                <w:color w:val="auto"/>
                <w:szCs w:val="21"/>
                <w:highlight w:val="none"/>
              </w:rPr>
            </w:pP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0.45%</w:t>
            </w:r>
          </w:p>
        </w:tc>
      </w:tr>
    </w:tbl>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41.服务费以人民币收取。</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9" w:name="_Toc356371442"/>
      <w:bookmarkStart w:id="90" w:name="_Toc14136"/>
      <w:r>
        <w:rPr>
          <w:rFonts w:hint="eastAsia" w:ascii="宋体" w:hAnsi="宋体" w:cs="宋体"/>
          <w:color w:val="auto"/>
          <w:szCs w:val="21"/>
          <w:highlight w:val="none"/>
        </w:rPr>
        <w:t>十五、其他</w:t>
      </w:r>
      <w:bookmarkEnd w:id="89"/>
      <w:bookmarkEnd w:id="90"/>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42.解释权：本招标文件是依据《政府采购法》及有关规定编制的，解释权属采购人。</w:t>
      </w:r>
    </w:p>
    <w:p>
      <w:pPr>
        <w:spacing w:line="312" w:lineRule="auto"/>
        <w:rPr>
          <w:rFonts w:hint="eastAsia" w:ascii="宋体" w:hAnsi="宋体" w:cs="宋体"/>
          <w:color w:val="auto"/>
          <w:szCs w:val="21"/>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p>
    <w:p>
      <w:pPr>
        <w:snapToGrid w:val="0"/>
        <w:spacing w:line="312" w:lineRule="auto"/>
        <w:jc w:val="center"/>
        <w:outlineLvl w:val="0"/>
        <w:rPr>
          <w:rFonts w:hint="eastAsia" w:ascii="宋体" w:hAnsi="宋体" w:cs="宋体"/>
          <w:b/>
          <w:color w:val="auto"/>
          <w:highlight w:val="none"/>
        </w:rPr>
      </w:pPr>
      <w:bookmarkStart w:id="91" w:name="_Toc17805"/>
      <w:bookmarkStart w:id="92" w:name="_Toc354401531"/>
      <w:bookmarkStart w:id="93" w:name="_Toc322352983"/>
      <w:bookmarkStart w:id="94" w:name="_Toc350256314"/>
      <w:bookmarkStart w:id="95" w:name="_Toc26454"/>
      <w:r>
        <w:rPr>
          <w:rFonts w:hint="eastAsia" w:ascii="宋体" w:hAnsi="宋体" w:cs="宋体"/>
          <w:b/>
          <w:color w:val="auto"/>
          <w:highlight w:val="none"/>
        </w:rPr>
        <w:t>第三章  采购内容及要求</w:t>
      </w:r>
      <w:bookmarkEnd w:id="91"/>
    </w:p>
    <w:bookmarkEnd w:id="92"/>
    <w:bookmarkEnd w:id="93"/>
    <w:bookmarkEnd w:id="94"/>
    <w:bookmarkEnd w:id="95"/>
    <w:p>
      <w:pPr>
        <w:rPr>
          <w:rFonts w:hint="eastAsia" w:ascii="宋体" w:hAnsi="宋体" w:cs="宋体"/>
          <w:b/>
          <w:color w:val="auto"/>
          <w:szCs w:val="21"/>
          <w:highlight w:val="none"/>
        </w:rPr>
      </w:pPr>
      <w:bookmarkStart w:id="96" w:name="_Toc28508"/>
      <w:bookmarkStart w:id="97" w:name="_Toc7538"/>
    </w:p>
    <w:p>
      <w:pPr>
        <w:pStyle w:val="25"/>
        <w:keepNext w:val="0"/>
        <w:keepLines w:val="0"/>
        <w:pageBreakBefore w:val="0"/>
        <w:kinsoku/>
        <w:wordWrap w:val="0"/>
        <w:overflowPunct/>
        <w:topLinePunct/>
        <w:autoSpaceDE/>
        <w:autoSpaceDN/>
        <w:bidi w:val="0"/>
        <w:snapToGrid/>
        <w:spacing w:before="0" w:beforeAutospacing="0" w:after="0" w:afterAutospacing="0"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一、项目概况</w:t>
      </w:r>
    </w:p>
    <w:p>
      <w:pPr>
        <w:keepNext w:val="0"/>
        <w:keepLines w:val="0"/>
        <w:pageBreakBefore w:val="0"/>
        <w:kinsoku/>
        <w:overflowPunct/>
        <w:autoSpaceDE/>
        <w:autoSpaceDN/>
        <w:bidi w:val="0"/>
        <w:snapToGrid/>
        <w:spacing w:line="360" w:lineRule="auto"/>
        <w:ind w:firstLine="420" w:firstLineChars="200"/>
        <w:rPr>
          <w:rFonts w:hint="eastAsia" w:ascii="宋体" w:hAnsi="宋体" w:eastAsia="宋体" w:cs="宋体"/>
          <w:color w:val="auto"/>
          <w:sz w:val="21"/>
          <w:szCs w:val="21"/>
          <w:highlight w:val="none"/>
          <w:u w:val="none"/>
          <w:shd w:val="clear" w:color="auto" w:fill="auto"/>
          <w:lang w:val="en-US" w:eastAsia="zh-CN"/>
        </w:rPr>
      </w:pPr>
      <w:bookmarkStart w:id="98" w:name="_Toc24977"/>
      <w:bookmarkStart w:id="99" w:name="_Toc13660"/>
      <w:r>
        <w:rPr>
          <w:rFonts w:hint="eastAsia" w:ascii="宋体" w:hAnsi="宋体" w:eastAsia="宋体" w:cs="宋体"/>
          <w:color w:val="auto"/>
          <w:sz w:val="21"/>
          <w:szCs w:val="21"/>
          <w:highlight w:val="none"/>
          <w:u w:val="none"/>
          <w:shd w:val="clear" w:color="auto" w:fill="auto"/>
          <w:lang w:val="en-US" w:eastAsia="zh-CN"/>
        </w:rPr>
        <w:t>医务人员在从事与其资格相符的诊疗护理工作中造成患者损害，患者或其近亲属首次向院方提出损害赔偿请求，依照中华人民共和国法律（不包括港、澳、台地区法律）应由院方承担经济赔偿责任的，保险公司依照约定在各项保险金额内赔偿。</w:t>
      </w:r>
      <w:bookmarkEnd w:id="98"/>
      <w:bookmarkEnd w:id="99"/>
    </w:p>
    <w:p>
      <w:pPr>
        <w:pStyle w:val="25"/>
        <w:keepNext w:val="0"/>
        <w:keepLines w:val="0"/>
        <w:pageBreakBefore w:val="0"/>
        <w:kinsoku/>
        <w:wordWrap w:val="0"/>
        <w:overflowPunct/>
        <w:topLinePunct/>
        <w:autoSpaceDE/>
        <w:autoSpaceDN/>
        <w:bidi w:val="0"/>
        <w:snapToGrid/>
        <w:spacing w:before="0" w:beforeAutospacing="0" w:after="0" w:afterAutospacing="0" w:line="360" w:lineRule="auto"/>
        <w:ind w:firstLine="422" w:firstLineChars="200"/>
        <w:jc w:val="both"/>
        <w:rPr>
          <w:rFonts w:hint="eastAsia" w:ascii="宋体" w:hAnsi="宋体" w:eastAsia="宋体" w:cs="宋体"/>
          <w:b/>
          <w:color w:val="auto"/>
          <w:kern w:val="0"/>
          <w:sz w:val="21"/>
          <w:szCs w:val="21"/>
          <w:highlight w:val="none"/>
          <w:lang w:eastAsia="zh-CN"/>
        </w:rPr>
      </w:pPr>
      <w:bookmarkStart w:id="100" w:name="_Toc28239"/>
      <w:bookmarkStart w:id="101" w:name="_Toc18023"/>
      <w:r>
        <w:rPr>
          <w:rFonts w:hint="eastAsia" w:ascii="宋体" w:hAnsi="宋体" w:eastAsia="宋体" w:cs="宋体"/>
          <w:b/>
          <w:color w:val="auto"/>
          <w:kern w:val="0"/>
          <w:sz w:val="21"/>
          <w:szCs w:val="21"/>
          <w:highlight w:val="none"/>
        </w:rPr>
        <w:t>二、项目</w:t>
      </w:r>
      <w:r>
        <w:rPr>
          <w:rFonts w:hint="eastAsia" w:ascii="宋体" w:hAnsi="宋体" w:eastAsia="宋体" w:cs="宋体"/>
          <w:b/>
          <w:color w:val="auto"/>
          <w:kern w:val="0"/>
          <w:sz w:val="21"/>
          <w:szCs w:val="21"/>
          <w:highlight w:val="none"/>
          <w:lang w:val="en-US" w:eastAsia="zh-CN"/>
        </w:rPr>
        <w:t>内容</w:t>
      </w:r>
      <w:bookmarkEnd w:id="100"/>
      <w:bookmarkEnd w:id="101"/>
    </w:p>
    <w:p>
      <w:pPr>
        <w:keepNext w:val="0"/>
        <w:keepLines w:val="0"/>
        <w:pageBreakBefore w:val="0"/>
        <w:kinsoku/>
        <w:overflowPunct/>
        <w:autoSpaceDE/>
        <w:autoSpaceDN/>
        <w:bidi w:val="0"/>
        <w:snapToGrid/>
        <w:spacing w:line="360" w:lineRule="auto"/>
        <w:ind w:firstLine="420" w:firstLineChars="200"/>
        <w:rPr>
          <w:rFonts w:hint="eastAsia" w:ascii="宋体" w:hAnsi="宋体" w:eastAsia="宋体" w:cs="宋体"/>
          <w:color w:val="auto"/>
          <w:sz w:val="21"/>
          <w:szCs w:val="21"/>
          <w:highlight w:val="none"/>
          <w:u w:val="none"/>
          <w:shd w:val="clear" w:color="auto" w:fill="auto"/>
          <w:lang w:val="en-US" w:eastAsia="zh-CN"/>
        </w:rPr>
      </w:pPr>
      <w:bookmarkStart w:id="102" w:name="_Toc18529"/>
      <w:bookmarkStart w:id="103" w:name="_Toc430"/>
      <w:r>
        <w:rPr>
          <w:rFonts w:hint="eastAsia" w:ascii="宋体" w:hAnsi="宋体" w:eastAsia="宋体" w:cs="宋体"/>
          <w:color w:val="auto"/>
          <w:sz w:val="21"/>
          <w:szCs w:val="21"/>
          <w:highlight w:val="none"/>
          <w:u w:val="none"/>
          <w:shd w:val="clear" w:color="auto" w:fill="auto"/>
          <w:lang w:val="en-US" w:eastAsia="zh-CN"/>
        </w:rPr>
        <w:t>医院2025-2026年度医疗责任保险服务采购，医疗责任保险范围：与医疗责任有关的医务人员。</w:t>
      </w:r>
    </w:p>
    <w:p>
      <w:pPr>
        <w:pStyle w:val="25"/>
        <w:keepNext w:val="0"/>
        <w:keepLines w:val="0"/>
        <w:pageBreakBefore w:val="0"/>
        <w:kinsoku/>
        <w:wordWrap w:val="0"/>
        <w:overflowPunct/>
        <w:topLinePunct/>
        <w:autoSpaceDE/>
        <w:autoSpaceDN/>
        <w:bidi w:val="0"/>
        <w:snapToGrid/>
        <w:spacing w:before="0" w:beforeAutospacing="0" w:after="0" w:afterAutospacing="0" w:line="360" w:lineRule="auto"/>
        <w:ind w:firstLine="422" w:firstLineChars="2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服务</w:t>
      </w:r>
      <w:r>
        <w:rPr>
          <w:rFonts w:hint="eastAsia" w:ascii="宋体" w:hAnsi="宋体" w:eastAsia="宋体" w:cs="宋体"/>
          <w:b/>
          <w:color w:val="auto"/>
          <w:kern w:val="0"/>
          <w:sz w:val="21"/>
          <w:szCs w:val="21"/>
          <w:highlight w:val="none"/>
        </w:rPr>
        <w:t>时间、地点</w:t>
      </w:r>
      <w:bookmarkEnd w:id="102"/>
      <w:bookmarkEnd w:id="103"/>
    </w:p>
    <w:p>
      <w:pPr>
        <w:keepNext w:val="0"/>
        <w:keepLines w:val="0"/>
        <w:pageBreakBefore w:val="0"/>
        <w:kinsoku/>
        <w:overflowPunct/>
        <w:autoSpaceDE/>
        <w:autoSpaceDN/>
        <w:bidi w:val="0"/>
        <w:snapToGrid/>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color w:val="auto"/>
          <w:spacing w:val="0"/>
          <w:kern w:val="2"/>
          <w:sz w:val="21"/>
          <w:szCs w:val="21"/>
          <w:highlight w:val="none"/>
          <w:lang w:val="en-US" w:eastAsia="zh-CN" w:bidi="ar-SA"/>
        </w:rPr>
        <w:t>1.</w:t>
      </w:r>
      <w:r>
        <w:rPr>
          <w:rFonts w:hint="eastAsia" w:ascii="宋体" w:hAnsi="宋体" w:eastAsia="宋体" w:cs="宋体"/>
          <w:b/>
          <w:color w:val="auto"/>
          <w:kern w:val="0"/>
          <w:sz w:val="21"/>
          <w:szCs w:val="21"/>
          <w:highlight w:val="none"/>
          <w:lang w:val="en-US" w:eastAsia="zh-CN"/>
        </w:rPr>
        <w:t>服务</w:t>
      </w:r>
      <w:r>
        <w:rPr>
          <w:rFonts w:hint="eastAsia" w:ascii="宋体" w:hAnsi="宋体" w:eastAsia="宋体" w:cs="宋体"/>
          <w:b/>
          <w:color w:val="auto"/>
          <w:kern w:val="0"/>
          <w:sz w:val="21"/>
          <w:szCs w:val="21"/>
          <w:highlight w:val="none"/>
        </w:rPr>
        <w:t>时间</w:t>
      </w:r>
    </w:p>
    <w:p>
      <w:pPr>
        <w:keepNext w:val="0"/>
        <w:keepLines w:val="0"/>
        <w:pageBreakBefore w:val="0"/>
        <w:kinsoku/>
        <w:overflowPunct/>
        <w:autoSpaceDE/>
        <w:autoSpaceDN/>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shd w:val="clear" w:color="auto" w:fill="auto"/>
          <w:lang w:eastAsia="zh"/>
        </w:rPr>
        <w:t>服务</w:t>
      </w:r>
      <w:r>
        <w:rPr>
          <w:rFonts w:hint="eastAsia" w:ascii="宋体" w:hAnsi="宋体" w:eastAsia="宋体" w:cs="宋体"/>
          <w:color w:val="auto"/>
          <w:sz w:val="21"/>
          <w:szCs w:val="21"/>
          <w:highlight w:val="none"/>
          <w:u w:val="none"/>
          <w:shd w:val="clear" w:color="auto" w:fill="auto"/>
        </w:rPr>
        <w:t>起止时间：1年，自2025年02月</w:t>
      </w:r>
      <w:r>
        <w:rPr>
          <w:rFonts w:hint="eastAsia" w:ascii="宋体" w:hAnsi="宋体" w:eastAsia="宋体" w:cs="宋体"/>
          <w:color w:val="auto"/>
          <w:sz w:val="21"/>
          <w:szCs w:val="21"/>
          <w:highlight w:val="none"/>
          <w:u w:val="none"/>
          <w:shd w:val="clear" w:color="auto" w:fill="auto"/>
          <w:lang w:val="en-US" w:eastAsia="zh-CN"/>
        </w:rPr>
        <w:t>10</w:t>
      </w:r>
      <w:r>
        <w:rPr>
          <w:rFonts w:hint="eastAsia" w:ascii="宋体" w:hAnsi="宋体" w:eastAsia="宋体" w:cs="宋体"/>
          <w:color w:val="auto"/>
          <w:sz w:val="21"/>
          <w:szCs w:val="21"/>
          <w:highlight w:val="none"/>
          <w:u w:val="none"/>
          <w:shd w:val="clear" w:color="auto" w:fill="auto"/>
        </w:rPr>
        <w:t>日零时起至2026年0</w:t>
      </w:r>
      <w:r>
        <w:rPr>
          <w:rFonts w:hint="eastAsia" w:ascii="宋体" w:hAnsi="宋体" w:eastAsia="宋体" w:cs="宋体"/>
          <w:color w:val="auto"/>
          <w:sz w:val="21"/>
          <w:szCs w:val="21"/>
          <w:highlight w:val="none"/>
          <w:u w:val="none"/>
          <w:shd w:val="clear" w:color="auto" w:fill="auto"/>
          <w:lang w:val="en-US" w:eastAsia="zh-CN"/>
        </w:rPr>
        <w:t>2</w:t>
      </w:r>
      <w:r>
        <w:rPr>
          <w:rFonts w:hint="eastAsia" w:ascii="宋体" w:hAnsi="宋体" w:eastAsia="宋体" w:cs="宋体"/>
          <w:color w:val="auto"/>
          <w:sz w:val="21"/>
          <w:szCs w:val="21"/>
          <w:highlight w:val="none"/>
          <w:u w:val="none"/>
          <w:shd w:val="clear" w:color="auto" w:fill="auto"/>
        </w:rPr>
        <w:t>月</w:t>
      </w:r>
      <w:r>
        <w:rPr>
          <w:rFonts w:hint="eastAsia" w:ascii="宋体" w:hAnsi="宋体" w:eastAsia="宋体" w:cs="宋体"/>
          <w:color w:val="auto"/>
          <w:sz w:val="21"/>
          <w:szCs w:val="21"/>
          <w:highlight w:val="none"/>
          <w:u w:val="none"/>
          <w:shd w:val="clear" w:color="auto" w:fill="auto"/>
          <w:lang w:val="en-US" w:eastAsia="zh-CN"/>
        </w:rPr>
        <w:t>09</w:t>
      </w:r>
      <w:r>
        <w:rPr>
          <w:rFonts w:hint="eastAsia" w:ascii="宋体" w:hAnsi="宋体" w:eastAsia="宋体" w:cs="宋体"/>
          <w:color w:val="auto"/>
          <w:sz w:val="21"/>
          <w:szCs w:val="21"/>
          <w:highlight w:val="none"/>
          <w:u w:val="none"/>
          <w:shd w:val="clear" w:color="auto" w:fill="auto"/>
        </w:rPr>
        <w:t>日二十四时止</w:t>
      </w:r>
      <w:r>
        <w:rPr>
          <w:rFonts w:hint="eastAsia" w:ascii="宋体" w:hAnsi="宋体" w:eastAsia="宋体" w:cs="宋体"/>
          <w:color w:val="auto"/>
          <w:sz w:val="21"/>
          <w:szCs w:val="21"/>
          <w:highlight w:val="none"/>
          <w:u w:val="none"/>
          <w:shd w:val="clear" w:color="auto" w:fill="auto"/>
          <w:lang w:val="en-US" w:eastAsia="zh-CN"/>
        </w:rPr>
        <w:t>。</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w:t>
      </w:r>
      <w:r>
        <w:rPr>
          <w:rFonts w:hint="eastAsia" w:ascii="宋体" w:hAnsi="宋体" w:eastAsia="宋体" w:cs="宋体"/>
          <w:b/>
          <w:color w:val="auto"/>
          <w:kern w:val="0"/>
          <w:sz w:val="21"/>
          <w:szCs w:val="21"/>
          <w:highlight w:val="none"/>
          <w:lang w:val="en-US" w:eastAsia="zh-CN"/>
        </w:rPr>
        <w:t>服务</w:t>
      </w:r>
      <w:r>
        <w:rPr>
          <w:rFonts w:hint="eastAsia" w:ascii="宋体" w:hAnsi="宋体" w:eastAsia="宋体" w:cs="宋体"/>
          <w:b/>
          <w:color w:val="auto"/>
          <w:kern w:val="0"/>
          <w:sz w:val="21"/>
          <w:szCs w:val="21"/>
          <w:highlight w:val="none"/>
        </w:rPr>
        <w:t>时间地点</w:t>
      </w:r>
      <w:r>
        <w:rPr>
          <w:rFonts w:hint="eastAsia" w:ascii="宋体" w:hAnsi="宋体" w:eastAsia="宋体" w:cs="宋体"/>
          <w:color w:val="auto"/>
          <w:spacing w:val="0"/>
          <w:kern w:val="2"/>
          <w:sz w:val="21"/>
          <w:szCs w:val="21"/>
          <w:highlight w:val="none"/>
          <w:lang w:val="en-US" w:eastAsia="zh-CN" w:bidi="ar-SA"/>
        </w:rPr>
        <w:t>：医院指定地点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w:t>
      </w:r>
      <w:r>
        <w:rPr>
          <w:rFonts w:hint="eastAsia" w:ascii="宋体" w:hAnsi="宋体" w:eastAsia="宋体" w:cs="宋体"/>
          <w:b/>
          <w:color w:val="auto"/>
          <w:sz w:val="21"/>
          <w:szCs w:val="21"/>
          <w:highlight w:val="none"/>
        </w:rPr>
        <w:t>服务要求</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运作方案：</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1.年实交保险费：￥</w:t>
      </w:r>
      <w:r>
        <w:rPr>
          <w:rFonts w:hint="eastAsia" w:ascii="宋体" w:hAnsi="宋体" w:eastAsia="宋体" w:cs="宋体"/>
          <w:color w:val="auto"/>
          <w:sz w:val="21"/>
          <w:szCs w:val="21"/>
          <w:highlight w:val="none"/>
          <w:lang w:val="en-US" w:eastAsia="zh-CN"/>
        </w:rPr>
        <w:t>650000</w:t>
      </w:r>
      <w:r>
        <w:rPr>
          <w:rFonts w:hint="eastAsia" w:ascii="宋体" w:hAnsi="宋体" w:eastAsia="宋体" w:cs="宋体"/>
          <w:color w:val="auto"/>
          <w:sz w:val="21"/>
          <w:szCs w:val="21"/>
          <w:highlight w:val="none"/>
        </w:rPr>
        <w:t>.00（大写：人民币</w:t>
      </w:r>
      <w:r>
        <w:rPr>
          <w:rFonts w:hint="eastAsia" w:ascii="宋体" w:hAnsi="宋体" w:eastAsia="宋体" w:cs="宋体"/>
          <w:color w:val="auto"/>
          <w:sz w:val="21"/>
          <w:szCs w:val="21"/>
          <w:highlight w:val="none"/>
          <w:lang w:val="en-US" w:eastAsia="zh-CN"/>
        </w:rPr>
        <w:t>陆拾伍</w:t>
      </w:r>
      <w:r>
        <w:rPr>
          <w:rFonts w:hint="eastAsia" w:ascii="宋体" w:hAnsi="宋体" w:eastAsia="宋体" w:cs="宋体"/>
          <w:color w:val="auto"/>
          <w:sz w:val="21"/>
          <w:szCs w:val="21"/>
          <w:highlight w:val="none"/>
        </w:rPr>
        <w:t>万元整），年度服务费=年实交保险费×服务费率。</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2.当保险年度内保险公司支付的赔款金额加上服务费超出年实交保险费时，超出部分赔款由医院和保险公司按7:3共同分担</w:t>
      </w:r>
      <w:r>
        <w:rPr>
          <w:rFonts w:hint="eastAsia" w:ascii="宋体" w:hAnsi="宋体" w:cs="宋体"/>
          <w:color w:val="auto"/>
          <w:highlight w:val="none"/>
          <w:lang w:val="en-US" w:eastAsia="zh-CN"/>
        </w:rPr>
        <w:t>，其中</w:t>
      </w:r>
      <w:r>
        <w:rPr>
          <w:rFonts w:hint="eastAsia" w:ascii="宋体" w:hAnsi="宋体" w:eastAsia="宋体" w:cs="宋体"/>
          <w:strike w:val="0"/>
          <w:dstrike w:val="0"/>
          <w:color w:val="auto"/>
          <w:highlight w:val="none"/>
        </w:rPr>
        <w:t>乙方承担的上限为年度实收保费的</w:t>
      </w:r>
      <w:r>
        <w:rPr>
          <w:rFonts w:hint="eastAsia" w:ascii="宋体" w:hAnsi="宋体" w:eastAsia="宋体" w:cs="宋体"/>
          <w:strike w:val="0"/>
          <w:dstrike w:val="0"/>
          <w:color w:val="auto"/>
          <w:highlight w:val="none"/>
          <w:u w:val="single"/>
        </w:rPr>
        <w:t>30</w:t>
      </w:r>
      <w:r>
        <w:rPr>
          <w:rFonts w:hint="eastAsia" w:ascii="宋体" w:hAnsi="宋体" w:eastAsia="宋体" w:cs="宋体"/>
          <w:strike w:val="0"/>
          <w:dstrike w:val="0"/>
          <w:color w:val="auto"/>
          <w:highlight w:val="none"/>
        </w:rPr>
        <w:t>%</w:t>
      </w:r>
      <w:r>
        <w:rPr>
          <w:rFonts w:hint="eastAsia" w:ascii="宋体" w:hAnsi="宋体" w:eastAsia="宋体" w:cs="宋体"/>
          <w:color w:val="auto"/>
          <w:sz w:val="21"/>
          <w:szCs w:val="21"/>
          <w:highlight w:val="none"/>
        </w:rPr>
        <w:t>。</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strike w:val="0"/>
          <w:dstrike w:val="0"/>
          <w:color w:val="auto"/>
          <w:sz w:val="21"/>
          <w:szCs w:val="21"/>
          <w:highlight w:val="none"/>
          <w:lang w:eastAsia="zh-CN"/>
        </w:rPr>
        <w:t>当保险年度内乙方支付的赔偿金额加上服务费低于年交保险费时，余额直接全额返还甲方。</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具体要求：</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为提高医疗责任险的理赔效率和服务质量。服务单位须成立医疗责任险理赔处理中心（以下简称“理赔中心”）并设立医疗纠纷调解专用场所，专门负责医疗纠纷处理和医疗责任险的理赔服务工作。理赔中心应当设置必要的监控和安全设施。理赔中心应当配备具有临床医学、药学或卫生法学等专业背景的人员以及保险、调解等专职人员，专职人员原则上不少于3人。应当聘任相关医学和法律专家组建专家库，为医疗纠纷的调查、评估和协商提供技术咨询服务。理赔中心可应医院要求指派1名专职人员常驻医院，协助医院处理医患矛盾及负责医疗责任险理赔服务工作。</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服务单位应当制定理赔中心人员考核办法，考核项目至少应包括到达现场及时率、案件调解成功率以及独立处理案件（理赔中心在案件处理中处于主导角色）占比等指标，医院根据评分结果实施考核。</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理赔中心的职责是在规定时间内到达现场协调处理医患矛盾；承担医疗纠纷的调查、评估、协商和赔付等具体事务；负责与医疗纠纷人民调解委员会对接，参与医疗纠纷调解；定期向医院及其主管机关通报医疗责任险阶段性赔付情况，理赔中心应根据医院要求于每月5日前向医院财务部门上报上月医疗责任险赔付数据。</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理赔中心应积极主动参与医疗纠纷的协商调解和处置工作。其中索赔金额在1万元（不含1万元）以下的案件，原则上由理赔中心与患方协商处理，也可由医患双方自行协商，服务单位以协商协议书为依据进行赔付。索赔金额在1万元至10万元（不含10万元）的案件，由理赔中心与患方协商处理，也可向医疗纠纷人民调解委员会申请调解处理，对理赔协商或医疗纠纷人民调解委员会调解不成功的可通过其他合法途径解决。双方意见一致时，可直接签署赔偿协议。疑难复杂案件可委托专家或专业机构鉴定后再行协商处理。服务单位以医疗纠纷人民调解委员会出具的调解书为依据进行赔付。索赔金额10万元以上的医疗纠纷，原则上应当先行共同委托医疗事故（损害）技术鉴定，责任明确后再通过调解或法院起诉等合法途径确定赔偿金额，由服务单位进行赔付。如遇到医院认为的特殊情况，索赔金额10万元以上但未通过医疗鉴定的，医院如提供衢州市医患纠纷人民调解委员会出具的调解书或人民法院的调解书的，服务单位必须根据医院提供的上述法律文书确定的赔赔金额据实赔付。</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理赔流程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受理。理赔中心接到甲方报案后，应在半小时内到达现场。了解相关情况后，理赔中心应向医患双方说明各自的权利和义务以及处理的程序和方法，同时约定协商时间及地点，双方同意后，理赔中心正式受理案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调查。理赔中心应在案件受理后的３个工作日内组织相关人员对医疗过程进行调查，如遇疑难问题或医患双方特别要求，理赔中心可以在医疗纠纷处置专家库中挑选专家，组织调查和讨论分析（相关费用由纠纷双方自理）。调查结束后（原则上在自正式受理并收齐有关材料后5个工作日内）理赔中心应出具书面调查报告，告知医患双方初步调查结果和赔偿意见，并做好相关解释工作。若双方对调查结果持有不同意见，建议双方按照规定</w:t>
      </w:r>
      <w:r>
        <w:rPr>
          <w:rFonts w:hint="eastAsia" w:ascii="宋体" w:hAnsi="宋体" w:cs="宋体"/>
          <w:color w:val="auto"/>
          <w:highlight w:val="none"/>
          <w:lang w:val="en-US" w:eastAsia="zh-CN"/>
        </w:rPr>
        <w:t>委托</w:t>
      </w:r>
      <w:r>
        <w:rPr>
          <w:rFonts w:hint="eastAsia" w:ascii="宋体" w:hAnsi="宋体" w:eastAsia="宋体" w:cs="宋体"/>
          <w:color w:val="auto"/>
          <w:highlight w:val="none"/>
          <w:lang w:val="en-US" w:eastAsia="zh-CN"/>
        </w:rPr>
        <w:t>鉴定。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协商。理赔中心根据调查结果制定案件赔偿方案，详细列出具体赔偿项目和赔偿标准，并约定时间及地点进行解答。医患双方认可调查结果和赔偿意见的，应当签署赔偿协议书；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对通过反复协商仍不能达成一致意见的（一般纠纷一个月后、疑难纠纷三个月后），可建议医患双方通过其他合法途径解决。</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赔偿。</w:t>
      </w:r>
      <w:r>
        <w:rPr>
          <w:rFonts w:hint="eastAsia" w:ascii="宋体" w:hAnsi="宋体" w:eastAsia="宋体" w:cs="宋体"/>
          <w:color w:val="auto"/>
          <w:sz w:val="21"/>
          <w:szCs w:val="21"/>
          <w:highlight w:val="none"/>
        </w:rPr>
        <w:t>理赔中心根据赔偿协议书缮制赔案并支付赔款。所有理赔案件在资料齐全后的30 个工作日内完成，超期未赔付则按法律规定标准支付滞纳金。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反馈及报告。医疗纠纷处理完毕后，理赔中心应当每月出具分析报告，向甲方及其主管机关反馈有关医疗纠纷处置和赔款支付情况。</w:t>
      </w:r>
      <w:r>
        <w:rPr>
          <w:rFonts w:hint="eastAsia" w:ascii="宋体" w:hAnsi="宋体" w:eastAsia="宋体" w:cs="宋体"/>
          <w:color w:val="auto"/>
          <w:highlight w:val="none"/>
        </w:rPr>
        <w:t>甲方及其主管机关反馈有关医疗纠纷处置和赔款支付情况。</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五、付款方式：</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2.款项结算</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每年度合同生效并具备实施条件后，自收到中标人开具的正式发票之日起，医院于保单生效前向中标人一次性交清年实交保险费即￥</w:t>
      </w:r>
      <w:r>
        <w:rPr>
          <w:rFonts w:hint="eastAsia" w:ascii="宋体" w:hAnsi="宋体" w:eastAsia="宋体" w:cs="宋体"/>
          <w:color w:val="auto"/>
          <w:sz w:val="21"/>
          <w:szCs w:val="21"/>
          <w:highlight w:val="none"/>
          <w:lang w:val="en-US" w:eastAsia="zh-CN"/>
        </w:rPr>
        <w:t>650000</w:t>
      </w:r>
      <w:r>
        <w:rPr>
          <w:rFonts w:hint="eastAsia" w:ascii="宋体" w:hAnsi="宋体" w:eastAsia="宋体" w:cs="宋体"/>
          <w:color w:val="auto"/>
          <w:sz w:val="21"/>
          <w:szCs w:val="21"/>
          <w:highlight w:val="none"/>
        </w:rPr>
        <w:t>.00。</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售</w:t>
      </w:r>
      <w:r>
        <w:rPr>
          <w:rFonts w:hint="eastAsia" w:ascii="宋体" w:hAnsi="宋体" w:eastAsia="宋体" w:cs="宋体"/>
          <w:b/>
          <w:color w:val="auto"/>
          <w:sz w:val="21"/>
          <w:szCs w:val="21"/>
          <w:highlight w:val="none"/>
          <w:lang w:val="en-US" w:eastAsia="zh-CN"/>
        </w:rPr>
        <w:t>后</w:t>
      </w:r>
      <w:r>
        <w:rPr>
          <w:rFonts w:hint="eastAsia" w:ascii="宋体" w:hAnsi="宋体" w:eastAsia="宋体" w:cs="宋体"/>
          <w:b/>
          <w:color w:val="auto"/>
          <w:sz w:val="21"/>
          <w:szCs w:val="21"/>
          <w:highlight w:val="none"/>
        </w:rPr>
        <w:t>服务要求</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乙方应按招标文件规定向甲方提供服务</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出具保单、发票后三十日内一次性支付。对于满足合同约定支付条件的，采购人应自收到发票后三十日内将资金支付到合同约定的供应商账户。</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u w:val="none"/>
          <w:lang w:val="en-US" w:eastAsia="zh-CN"/>
        </w:rPr>
        <w:t>注：在签订合同时，供应商明确表示无需预付款或者主动要求降低预付款比例的，采购单位可不适用前述规定。</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、转让和分包</w:t>
      </w:r>
    </w:p>
    <w:p>
      <w:pPr>
        <w:keepNext w:val="0"/>
        <w:keepLines w:val="0"/>
        <w:pageBreakBefore w:val="0"/>
        <w:kinsoku/>
        <w:overflowPunct/>
        <w:autoSpaceDE/>
        <w:autoSpaceDN/>
        <w:bidi w:val="0"/>
        <w:snapToGrid/>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本项目不得以任何形式进行转包及分包</w:t>
      </w:r>
      <w:r>
        <w:rPr>
          <w:rFonts w:hint="eastAsia" w:ascii="宋体" w:hAnsi="宋体" w:eastAsia="宋体" w:cs="宋体"/>
          <w:b/>
          <w:color w:val="auto"/>
          <w:sz w:val="21"/>
          <w:szCs w:val="21"/>
          <w:highlight w:val="none"/>
          <w:lang w:eastAsia="zh-CN"/>
        </w:rPr>
        <w:t>。</w:t>
      </w:r>
    </w:p>
    <w:p>
      <w:pPr>
        <w:keepNext w:val="0"/>
        <w:keepLines w:val="0"/>
        <w:pageBreakBefore w:val="0"/>
        <w:widowControl/>
        <w:numPr>
          <w:ilvl w:val="0"/>
          <w:numId w:val="0"/>
        </w:numPr>
        <w:shd w:val="clear" w:color="auto" w:fill="FFFFFF"/>
        <w:kinsoku/>
        <w:overflowPunct/>
        <w:autoSpaceDE/>
        <w:autoSpaceDN/>
        <w:bidi w:val="0"/>
        <w:snapToGrid/>
        <w:spacing w:line="360" w:lineRule="auto"/>
        <w:ind w:firstLine="422" w:firstLineChars="200"/>
        <w:jc w:val="left"/>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八、投标</w:t>
      </w:r>
      <w:r>
        <w:rPr>
          <w:rFonts w:hint="eastAsia" w:ascii="宋体" w:hAnsi="宋体" w:eastAsia="宋体" w:cs="宋体"/>
          <w:b/>
          <w:color w:val="auto"/>
          <w:sz w:val="21"/>
          <w:szCs w:val="21"/>
          <w:highlight w:val="none"/>
          <w:lang w:val="en-US" w:eastAsia="zh-CN"/>
        </w:rPr>
        <w:t>报价</w:t>
      </w:r>
    </w:p>
    <w:p>
      <w:pPr>
        <w:keepNext w:val="0"/>
        <w:keepLines w:val="0"/>
        <w:pageBreakBefore w:val="0"/>
        <w:widowControl/>
        <w:numPr>
          <w:ilvl w:val="0"/>
          <w:numId w:val="0"/>
        </w:numPr>
        <w:shd w:val="clear" w:color="auto" w:fill="FFFFFF"/>
        <w:kinsoku/>
        <w:overflowPunct/>
        <w:autoSpaceDE/>
        <w:autoSpaceDN/>
        <w:bidi w:val="0"/>
        <w:snapToGrid/>
        <w:spacing w:line="360" w:lineRule="auto"/>
        <w:ind w:firstLine="420" w:firstLineChars="200"/>
        <w:jc w:val="left"/>
        <w:outlineLvl w:val="2"/>
        <w:rPr>
          <w:rFonts w:ascii="宋体" w:hAnsi="宋体"/>
          <w:color w:val="auto"/>
          <w:highlight w:val="none"/>
        </w:rPr>
      </w:pPr>
      <w:r>
        <w:rPr>
          <w:rFonts w:hint="eastAsia" w:ascii="宋体" w:hAnsi="宋体"/>
          <w:color w:val="auto"/>
          <w:highlight w:val="none"/>
        </w:rPr>
        <w:t>本项目报价：服务费率（单位：%），即以年实交保险费为基数，每年度服务单位从年实交保险费中所提取的服务费占比。</w:t>
      </w:r>
    </w:p>
    <w:p>
      <w:pPr>
        <w:keepNext w:val="0"/>
        <w:keepLines w:val="0"/>
        <w:pageBreakBefore w:val="0"/>
        <w:widowControl/>
        <w:shd w:val="clear" w:color="auto" w:fill="FFFFFF"/>
        <w:kinsoku/>
        <w:overflowPunct/>
        <w:autoSpaceDE/>
        <w:autoSpaceDN/>
        <w:bidi w:val="0"/>
        <w:snapToGrid/>
        <w:spacing w:line="360" w:lineRule="auto"/>
        <w:ind w:firstLine="420" w:firstLineChars="200"/>
        <w:jc w:val="left"/>
        <w:outlineLvl w:val="2"/>
        <w:rPr>
          <w:rFonts w:ascii="宋体" w:hAnsi="宋体"/>
          <w:color w:val="auto"/>
          <w:highlight w:val="none"/>
        </w:rPr>
      </w:pPr>
      <w:r>
        <w:rPr>
          <w:rFonts w:hint="eastAsia" w:ascii="宋体" w:hAnsi="宋体"/>
          <w:color w:val="auto"/>
          <w:highlight w:val="none"/>
        </w:rPr>
        <w:t>最高限价：1</w:t>
      </w:r>
      <w:r>
        <w:rPr>
          <w:rFonts w:hint="eastAsia" w:ascii="宋体" w:hAnsi="宋体"/>
          <w:color w:val="auto"/>
          <w:highlight w:val="none"/>
          <w:lang w:val="en-US" w:eastAsia="zh-CN"/>
        </w:rPr>
        <w:t>0</w:t>
      </w:r>
      <w:r>
        <w:rPr>
          <w:rFonts w:ascii="宋体" w:hAnsi="宋体"/>
          <w:color w:val="auto"/>
          <w:highlight w:val="none"/>
        </w:rPr>
        <w:t>%</w:t>
      </w:r>
      <w:r>
        <w:rPr>
          <w:rFonts w:hint="eastAsia" w:ascii="宋体" w:hAnsi="宋体"/>
          <w:color w:val="auto"/>
          <w:highlight w:val="none"/>
        </w:rPr>
        <w:t>。</w:t>
      </w:r>
    </w:p>
    <w:p>
      <w:pPr>
        <w:keepNext w:val="0"/>
        <w:keepLines w:val="0"/>
        <w:pageBreakBefore w:val="0"/>
        <w:kinsoku/>
        <w:overflowPunct/>
        <w:autoSpaceDE/>
        <w:autoSpaceDN/>
        <w:bidi w:val="0"/>
        <w:snapToGrid/>
        <w:spacing w:line="360" w:lineRule="auto"/>
        <w:ind w:firstLine="422"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none"/>
          <w:shd w:val="clear" w:color="auto" w:fill="auto"/>
          <w:lang w:val="en-US" w:eastAsia="zh-CN"/>
        </w:rPr>
        <w:t>注：</w:t>
      </w:r>
      <w:r>
        <w:rPr>
          <w:rFonts w:hint="eastAsia" w:ascii="宋体" w:hAnsi="宋体" w:eastAsia="宋体" w:cs="宋体"/>
          <w:color w:val="auto"/>
          <w:sz w:val="21"/>
          <w:szCs w:val="21"/>
          <w:highlight w:val="none"/>
          <w:u w:val="none"/>
          <w:shd w:val="clear" w:color="auto" w:fill="auto"/>
          <w:lang w:val="en-US" w:eastAsia="zh-CN"/>
        </w:rPr>
        <w:t>报价包括服务、交通、人工、税费等所有费用。</w:t>
      </w:r>
    </w:p>
    <w:p>
      <w:pPr>
        <w:pStyle w:val="66"/>
        <w:keepNext w:val="0"/>
        <w:keepLines w:val="0"/>
        <w:pageBreakBefore w:val="0"/>
        <w:kinsoku/>
        <w:overflowPunct/>
        <w:autoSpaceDE/>
        <w:autoSpaceDN/>
        <w:bidi w:val="0"/>
        <w:snapToGrid/>
        <w:spacing w:line="360" w:lineRule="auto"/>
        <w:ind w:left="0" w:leftChars="0" w:firstLine="0" w:firstLineChars="0"/>
        <w:rPr>
          <w:rFonts w:hint="eastAsia"/>
          <w:b/>
          <w:color w:val="auto"/>
          <w:highlight w:val="none"/>
          <w:lang w:eastAsia="zh-CN"/>
        </w:rPr>
        <w:sectPr>
          <w:headerReference r:id="rId7" w:type="default"/>
          <w:footerReference r:id="rId8" w:type="default"/>
          <w:pgSz w:w="11906" w:h="16838"/>
          <w:pgMar w:top="1247" w:right="1418" w:bottom="1247" w:left="1588" w:header="851" w:footer="992" w:gutter="0"/>
          <w:cols w:space="720" w:num="1"/>
          <w:docGrid w:type="lines" w:linePitch="312" w:charSpace="0"/>
        </w:sectPr>
      </w:pPr>
    </w:p>
    <w:p>
      <w:pPr>
        <w:snapToGrid w:val="0"/>
        <w:spacing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第四章  合同主要条款</w:t>
      </w:r>
      <w:bookmarkEnd w:id="96"/>
      <w:bookmarkEnd w:id="97"/>
    </w:p>
    <w:p>
      <w:pPr>
        <w:pStyle w:val="46"/>
        <w:ind w:firstLine="0" w:firstLineChars="0"/>
        <w:jc w:val="center"/>
        <w:rPr>
          <w:rFonts w:hint="eastAsia" w:ascii="宋体" w:hAnsi="宋体" w:cs="宋体"/>
          <w:color w:val="auto"/>
          <w:sz w:val="21"/>
          <w:szCs w:val="21"/>
          <w:highlight w:val="none"/>
        </w:rPr>
      </w:pPr>
      <w:bookmarkStart w:id="104" w:name="_Toc354491899"/>
      <w:bookmarkStart w:id="105" w:name="_Toc15536"/>
      <w:bookmarkStart w:id="106" w:name="_Toc322352985"/>
      <w:bookmarkStart w:id="107" w:name="_Toc356371458"/>
      <w:bookmarkStart w:id="108" w:name="_Toc12076"/>
      <w:r>
        <w:rPr>
          <w:rFonts w:hint="eastAsia" w:ascii="宋体" w:hAnsi="宋体" w:cs="宋体"/>
          <w:color w:val="auto"/>
          <w:sz w:val="21"/>
          <w:szCs w:val="21"/>
          <w:highlight w:val="none"/>
        </w:rPr>
        <w:t>（最终合同以双方签订为准）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甲方</w:t>
      </w:r>
      <w:r>
        <w:rPr>
          <w:rFonts w:hint="eastAsia" w:ascii="宋体" w:hAnsi="宋体" w:eastAsia="宋体" w:cs="宋体"/>
          <w:color w:val="auto"/>
          <w:highlight w:val="none"/>
        </w:rPr>
        <w:t>：衢州市</w:t>
      </w:r>
      <w:r>
        <w:rPr>
          <w:rFonts w:hint="eastAsia" w:ascii="宋体" w:hAnsi="宋体" w:eastAsia="宋体" w:cs="宋体"/>
          <w:color w:val="auto"/>
          <w:highlight w:val="none"/>
          <w:lang w:val="en-US" w:eastAsia="zh-CN"/>
        </w:rPr>
        <w:t>中医</w:t>
      </w:r>
      <w:r>
        <w:rPr>
          <w:rFonts w:hint="eastAsia" w:ascii="宋体" w:hAnsi="宋体" w:eastAsia="宋体" w:cs="宋体"/>
          <w:color w:val="auto"/>
          <w:highlight w:val="none"/>
        </w:rPr>
        <w:t>医院（以下简称“甲方”或“医院”）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（以下简称“乙方”或“服务单位”）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为充分发挥医疗责任保险在化解医疗风险，保障医患双方合法权益，构建和谐医患关系 等方面的作用，按照《中华人民共和国民法典》、《中华人民共和国保险法》及《衢州市卫生局、衢州市司法局关于印发衢州市本级医疗责任保险制度（试行）的通知》（衢市卫发〔2014〕 106 号）等有关规定，根据2025年  月  日经浙江省成套</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rPr>
        <w:t>有限公司代理的衢州市</w:t>
      </w:r>
      <w:r>
        <w:rPr>
          <w:rFonts w:hint="eastAsia" w:ascii="宋体" w:hAnsi="宋体" w:eastAsia="宋体" w:cs="宋体"/>
          <w:color w:val="auto"/>
          <w:highlight w:val="none"/>
          <w:lang w:val="en-US" w:eastAsia="zh-CN"/>
        </w:rPr>
        <w:t>中医</w:t>
      </w:r>
      <w:r>
        <w:rPr>
          <w:rFonts w:hint="eastAsia" w:ascii="宋体" w:hAnsi="宋体" w:eastAsia="宋体" w:cs="宋体"/>
          <w:color w:val="auto"/>
          <w:highlight w:val="none"/>
        </w:rPr>
        <w:t>医院2025-202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年度医疗责任保险服务项目（代理项目编号：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）采购结果，经甲乙双方友好协商，就本项目订立2025年度服务合同。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第一条 投保险种及保险责任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本合同投保险种为医疗责任保险。保险责任详见保险条款。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第二条 医疗责任保险责任限额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每人责任限额80万元，累计责任限额200万元。每次事故免赔额（率）：无。本保单理赔超出每人责任限额或累计责任限额后乙方不再承担赔款。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第三条 医疗责任保险范围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与医疗有关的医务人员。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第四条 服务期限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服务起止时间：1年，自2025年02月1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日零时起至2026年0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日二十四时止</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本项目采购服务期限为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年；服务期内，如对乙方满意度考核不达标，或双方因政策变化、不可抗力等原因导致项目无法继续实施的，可根据实际情况调整合同期限或终止合同。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第五条 保险费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（一）年实交保险费：￥</w:t>
      </w:r>
      <w:r>
        <w:rPr>
          <w:rFonts w:hint="eastAsia" w:ascii="宋体" w:hAnsi="宋体" w:eastAsia="宋体" w:cs="宋体"/>
          <w:color w:val="auto"/>
          <w:highlight w:val="none"/>
          <w:u w:val="single"/>
          <w:lang w:val="en-US" w:eastAsia="zh-CN"/>
        </w:rPr>
        <w:t>65</w:t>
      </w:r>
      <w:r>
        <w:rPr>
          <w:rFonts w:hint="eastAsia" w:ascii="宋体" w:hAnsi="宋体" w:eastAsia="宋体" w:cs="宋体"/>
          <w:color w:val="auto"/>
          <w:highlight w:val="none"/>
          <w:u w:val="single"/>
        </w:rPr>
        <w:t>0000.00</w:t>
      </w:r>
      <w:r>
        <w:rPr>
          <w:rFonts w:hint="eastAsia" w:ascii="宋体" w:hAnsi="宋体" w:eastAsia="宋体" w:cs="宋体"/>
          <w:color w:val="auto"/>
          <w:highlight w:val="none"/>
        </w:rPr>
        <w:t>（大写：人民币陆拾伍万元整）。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（二）每年度合同生效并具备实施条件后，自收到乙方开具的正式发票之日起，甲方于保单生效前向乙方一次性交清年实交保险费即￥</w:t>
      </w:r>
      <w:r>
        <w:rPr>
          <w:rFonts w:hint="eastAsia" w:ascii="宋体" w:hAnsi="宋体" w:eastAsia="宋体" w:cs="宋体"/>
          <w:color w:val="auto"/>
          <w:highlight w:val="none"/>
          <w:u w:val="single"/>
          <w:lang w:val="en-US" w:eastAsia="zh-CN"/>
        </w:rPr>
        <w:t>65</w:t>
      </w:r>
      <w:r>
        <w:rPr>
          <w:rFonts w:hint="eastAsia" w:ascii="宋体" w:hAnsi="宋体" w:eastAsia="宋体" w:cs="宋体"/>
          <w:color w:val="auto"/>
          <w:highlight w:val="none"/>
          <w:u w:val="single"/>
        </w:rPr>
        <w:t>0000.00</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第六条 运作模式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（一）运作方案：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trike w:val="0"/>
          <w:color w:val="auto"/>
          <w:highlight w:val="none"/>
          <w:u w:val="single"/>
          <w:lang w:val="en-US" w:eastAsia="zh-CN"/>
        </w:rPr>
      </w:pPr>
      <w:r>
        <w:rPr>
          <w:rFonts w:hint="eastAsia" w:ascii="宋体" w:hAnsi="宋体" w:eastAsia="宋体" w:cs="宋体"/>
          <w:color w:val="auto"/>
          <w:highlight w:val="none"/>
        </w:rPr>
        <w:t>1.</w:t>
      </w:r>
      <w:r>
        <w:rPr>
          <w:rFonts w:hint="eastAsia" w:ascii="宋体" w:hAnsi="宋体" w:cs="宋体"/>
          <w:strike w:val="0"/>
          <w:dstrike w:val="0"/>
          <w:color w:val="auto"/>
          <w:highlight w:val="none"/>
          <w:lang w:eastAsia="zh-CN"/>
        </w:rPr>
        <w:t>服务费：</w:t>
      </w:r>
      <w:r>
        <w:rPr>
          <w:rFonts w:hint="eastAsia" w:ascii="宋体" w:hAnsi="宋体" w:cs="宋体"/>
          <w:strike w:val="0"/>
          <w:dstrike w:val="0"/>
          <w:color w:val="auto"/>
          <w:highlight w:val="none"/>
          <w:u w:val="single"/>
          <w:lang w:val="en-US" w:eastAsia="zh-CN"/>
        </w:rPr>
        <w:t xml:space="preserve">     %</w:t>
      </w:r>
      <w:r>
        <w:rPr>
          <w:rFonts w:hint="eastAsia" w:ascii="宋体" w:hAnsi="宋体" w:cs="宋体"/>
          <w:strike w:val="0"/>
          <w:dstrike w:val="0"/>
          <w:color w:val="auto"/>
          <w:highlight w:val="none"/>
          <w:u w:val="none"/>
          <w:lang w:val="en-US" w:eastAsia="zh-CN"/>
        </w:rPr>
        <w:t>，即年交保险费的</w:t>
      </w:r>
      <w:r>
        <w:rPr>
          <w:rFonts w:hint="eastAsia" w:ascii="宋体" w:hAnsi="宋体" w:cs="宋体"/>
          <w:strike w:val="0"/>
          <w:dstrike w:val="0"/>
          <w:color w:val="auto"/>
          <w:highlight w:val="none"/>
          <w:u w:val="single"/>
          <w:lang w:val="en-US" w:eastAsia="zh-CN"/>
        </w:rPr>
        <w:t xml:space="preserve">     %</w:t>
      </w:r>
      <w:r>
        <w:rPr>
          <w:rFonts w:hint="eastAsia" w:ascii="宋体" w:hAnsi="宋体" w:cs="宋体"/>
          <w:strike w:val="0"/>
          <w:dstrike w:val="0"/>
          <w:color w:val="auto"/>
          <w:highlight w:val="none"/>
          <w:u w:val="none"/>
          <w:lang w:val="en-US" w:eastAsia="zh-CN"/>
        </w:rPr>
        <w:t>作为乙方该年度的服务费。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strike w:val="0"/>
          <w:dstrike w:val="0"/>
          <w:color w:val="auto"/>
          <w:sz w:val="21"/>
          <w:szCs w:val="21"/>
          <w:highlight w:val="none"/>
          <w:lang w:eastAsia="zh-CN"/>
        </w:rPr>
        <w:t>当保险年度内乙方支付的赔偿金额加上服务费低于年交保险费时，余额直接全额返还甲方。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cs="宋体"/>
          <w:color w:val="auto"/>
          <w:highlight w:val="none"/>
          <w:lang w:eastAsia="zh-CN"/>
        </w:rPr>
        <w:t>当保险年度内乙方支付的赔偿金额加上服务费超出年交保险费时，超出部分赔偿由甲方和乙方按</w:t>
      </w:r>
      <w:r>
        <w:rPr>
          <w:rFonts w:hint="eastAsia" w:ascii="宋体" w:hAnsi="宋体" w:cs="宋体"/>
          <w:color w:val="auto"/>
          <w:highlight w:val="none"/>
          <w:lang w:val="en-US" w:eastAsia="zh-CN"/>
        </w:rPr>
        <w:t>7：3的比例共同分担，其中</w:t>
      </w:r>
      <w:r>
        <w:rPr>
          <w:rFonts w:hint="eastAsia" w:ascii="宋体" w:hAnsi="宋体" w:eastAsia="宋体" w:cs="宋体"/>
          <w:strike w:val="0"/>
          <w:dstrike w:val="0"/>
          <w:color w:val="auto"/>
          <w:highlight w:val="none"/>
        </w:rPr>
        <w:t>乙方承担的上限为年度实收保费的</w:t>
      </w:r>
      <w:r>
        <w:rPr>
          <w:rFonts w:hint="eastAsia" w:ascii="宋体" w:hAnsi="宋体" w:eastAsia="宋体" w:cs="宋体"/>
          <w:strike w:val="0"/>
          <w:dstrike w:val="0"/>
          <w:color w:val="auto"/>
          <w:highlight w:val="none"/>
          <w:u w:val="single"/>
        </w:rPr>
        <w:t>30</w:t>
      </w:r>
      <w:r>
        <w:rPr>
          <w:rFonts w:hint="eastAsia" w:ascii="宋体" w:hAnsi="宋体" w:eastAsia="宋体" w:cs="宋体"/>
          <w:strike w:val="0"/>
          <w:dstrike w:val="0"/>
          <w:color w:val="auto"/>
          <w:highlight w:val="none"/>
        </w:rPr>
        <w:t>%</w:t>
      </w:r>
      <w:r>
        <w:rPr>
          <w:rFonts w:hint="eastAsia" w:ascii="宋体" w:hAnsi="宋体" w:cs="宋体"/>
          <w:color w:val="auto"/>
          <w:highlight w:val="none"/>
          <w:lang w:val="en-US" w:eastAsia="zh-CN"/>
        </w:rPr>
        <w:t>。</w:t>
      </w:r>
      <w:r>
        <w:rPr>
          <w:color w:val="auto"/>
          <w:spacing w:val="5"/>
          <w:highlight w:val="none"/>
        </w:rPr>
        <w:t>当保险年度内乙方支付的赔款金额加上</w:t>
      </w:r>
      <w:r>
        <w:rPr>
          <w:rFonts w:hint="eastAsia"/>
          <w:color w:val="auto"/>
          <w:spacing w:val="5"/>
          <w:highlight w:val="none"/>
          <w:lang w:eastAsia="zh-CN"/>
        </w:rPr>
        <w:t>服务</w:t>
      </w:r>
      <w:r>
        <w:rPr>
          <w:color w:val="auto"/>
          <w:spacing w:val="5"/>
          <w:highlight w:val="none"/>
        </w:rPr>
        <w:t>费</w:t>
      </w:r>
      <w:r>
        <w:rPr>
          <w:rFonts w:hint="eastAsia"/>
          <w:color w:val="auto"/>
          <w:spacing w:val="5"/>
          <w:highlight w:val="none"/>
          <w:lang w:eastAsia="zh-CN"/>
        </w:rPr>
        <w:t>达到</w:t>
      </w:r>
      <w:r>
        <w:rPr>
          <w:color w:val="auto"/>
          <w:spacing w:val="5"/>
          <w:highlight w:val="none"/>
        </w:rPr>
        <w:t>乙方年度</w:t>
      </w:r>
      <w:r>
        <w:rPr>
          <w:rFonts w:hint="eastAsia"/>
          <w:color w:val="auto"/>
          <w:spacing w:val="5"/>
          <w:highlight w:val="none"/>
          <w:lang w:eastAsia="zh-CN"/>
        </w:rPr>
        <w:t>基准保费</w:t>
      </w:r>
      <w:r>
        <w:rPr>
          <w:color w:val="auto"/>
          <w:spacing w:val="5"/>
          <w:highlight w:val="none"/>
        </w:rPr>
        <w:t>的</w:t>
      </w:r>
      <w:r>
        <w:rPr>
          <w:color w:val="auto"/>
          <w:spacing w:val="7"/>
          <w:highlight w:val="none"/>
          <w:u w:val="single"/>
        </w:rPr>
        <w:t xml:space="preserve"> </w:t>
      </w:r>
      <w:r>
        <w:rPr>
          <w:color w:val="auto"/>
          <w:spacing w:val="-3"/>
          <w:highlight w:val="none"/>
          <w:u w:val="single"/>
        </w:rPr>
        <w:t>1</w:t>
      </w:r>
      <w:r>
        <w:rPr>
          <w:rFonts w:hint="eastAsia"/>
          <w:color w:val="auto"/>
          <w:spacing w:val="-3"/>
          <w:highlight w:val="none"/>
          <w:u w:val="single"/>
          <w:lang w:val="en-US" w:eastAsia="zh-CN"/>
        </w:rPr>
        <w:t>0</w:t>
      </w:r>
      <w:r>
        <w:rPr>
          <w:color w:val="auto"/>
          <w:spacing w:val="-3"/>
          <w:highlight w:val="none"/>
          <w:u w:val="single"/>
        </w:rPr>
        <w:t>0%</w:t>
      </w:r>
      <w:r>
        <w:rPr>
          <w:rFonts w:hint="eastAsia"/>
          <w:color w:val="auto"/>
          <w:spacing w:val="-3"/>
          <w:highlight w:val="none"/>
          <w:u w:val="single"/>
          <w:lang w:val="en-US" w:eastAsia="zh-CN"/>
        </w:rPr>
        <w:t xml:space="preserve"> </w:t>
      </w:r>
      <w:r>
        <w:rPr>
          <w:color w:val="auto"/>
          <w:spacing w:val="-3"/>
          <w:highlight w:val="none"/>
        </w:rPr>
        <w:t>时，</w:t>
      </w:r>
      <w:r>
        <w:rPr>
          <w:rFonts w:hint="eastAsia"/>
          <w:color w:val="auto"/>
          <w:spacing w:val="-3"/>
          <w:highlight w:val="none"/>
          <w:lang w:eastAsia="zh-CN"/>
        </w:rPr>
        <w:t>双方适时启动补缴保费结算</w:t>
      </w:r>
      <w:r>
        <w:rPr>
          <w:rFonts w:hint="eastAsia"/>
          <w:color w:val="auto"/>
          <w:spacing w:val="-3"/>
          <w:highlight w:val="none"/>
          <w:lang w:val="en-US" w:eastAsia="zh-CN"/>
        </w:rPr>
        <w:t>事宜，补缴金额经双方确认为准。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4.本保单追溯期为往前</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个月之前发生且在保险有效期内患者或其代理人首次向医院提出索赔案件属于本保单的责任范围，其它保单生效期之前发生的案件不属于本保单的责任范围。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赔款包含保险年度内已支付赔款、已签定赔付协议书待支付赔款以及保单责任范围内其它已报告未支付赔款的总和。如果双方在下一保险年度继续开展合作，双方同意仅将保险年度内已支付赔款、已签定赔付协议书待支付赔款以及双方认可的已报告未支付赔款计入运作方案结算，其它已报告未支付赔款计入下一年度结算；如果双方下一保险年度不继续开展合作，则保险年度内已支付赔款和保单责任范围内所有已报告未支付赔款全部计入运作方案结算,如有结余费用，则以保费批退的形式将余额退回甲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在甲方向乙方出据委托授权书的前提下。1.乙方可直接将赔款支付给甲方指定的第三方；2.乙方可代表甲方直接与患方协商纠纷处理事宜，或者代表甲方参与医疗纠纷人民调解委员会调解，甲方有义务协助、配合乙方处理相关事宜，并提供与案件相关的材料，对赔偿事宜，甲乙双方必须做好沟通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第七条 理赔事宜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（一）为提高医疗责任险的理赔效率和服务质量。乙方须成立医疗责任险理赔处理中心 （以下简称“理赔中心”）并设立医疗纠纷调解专用场所，专门负责医疗纠纷处理和医疗责任险的理赔服务工作。理赔中心应加强安全保障，尽全力保障参与调解纠纷人员的人身及财产安全。理赔中心应当配备具有临床医学、药学或卫生法学等专业背景的人员以及保险、调解等专职人员，专职人员原则上不少于3人。应当聘任相关医学和法律专家组建专家库，为医疗纠纷的调查、评估和协商提供技术咨询服务。理赔中心可应甲方要求指派1名专职人员常驻甲方，协助甲方处理医患矛盾及负责医疗责任险理赔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当制定理赔中心人员考核办法，将考核结果与其全年奖金挂钩（占比不得少于40%）。考核项目至少应包括到达现场及时率、案件调解成功率以及独立处理案件（理赔中心在案件处理中处于主导角色）占比等指标，乙方根据甲方的评分结果实施考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理赔中心的职责是在规定时间内到达现场协调处理医患矛盾；承担医疗纠纷的调查、评估、协商和赔付等具体事务；负责与医疗纠纷人民调解委员会对接，参与医疗纠纷调解；定期向甲方及其主管机关通报医疗责任险阶段性赔付情况，理赔中心应根据甲方要求于每月5日前向甲方财务部门上报上月医疗责任险赔付数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（二）为提高医疗责任险的理赔效率和服务质量，甲方需配合乙方做好理赔工作。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1.医患双方协商前或调解前或诉讼案件，医院方事先向乙方提供相关资料，以便乙方提前上报省公司理赔部审核，提高协商或调解或诉讼效率</w:t>
      </w:r>
      <w:r>
        <w:rPr>
          <w:rFonts w:hint="eastAsia" w:ascii="宋体" w:hAnsi="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医患双方协商后或调解后或诉讼裁定后、判决后，医院方应及时将理赔案件需要的相关依据，包括但不限于医疗损害鉴定报告（如有）、司法鉴定意见书（如有）、判决书/裁定书/调解协议书、医疗票据等提供给乙方，乙方按甲方的要求及时办理赔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（三）理赔中心应积极主动参与医疗纠纷的协商调解和处置工作。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其中索赔金额在1万元（不含1万元）以下的案件，原则上由理赔中心与患方协商处理，也可由医患双方自行协商，乙方以协商协议书为依据，根据协商协议书上确定的赔付金额据实赔付。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索赔金额在1万元至10万元（不含10万元）的案件，由理赔中心与患方协商处理，也可向医疗纠纷人民调解委员会申请调解处理，对理赔协商或医疗纠纷人民调解委员会调解不成功的可通过其他合法途径解决。双方意见一致时，可直接签署赔偿协议。疑难复杂案件可委托专家或专业机构鉴定后再行协商处理。乙方以医疗纠纷人民调解委员会出具的调解书为依据，根据协议书上确定的赔付金额据实赔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索赔金额10万元以上的医疗纠纷，原则上应当先行共同委托医疗事故（损害）技术鉴定，责任明确后再通过调解或法院起诉等合法途径确定赔偿金额，由乙方进行赔付。如遇到甲方认为的特殊情况，索赔金额10万元以上但未通过医疗鉴定的，甲方如提供了衢州市医患纠纷人民调解委员会出具的调解书或人民法院的调解书的，乙方必须根据甲方提供的上述法律文书确定的赔偿金额据实赔付。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（四）理赔流程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受理。理赔中心接到甲方报案后，应在半小时内到达现场。了解相关情况后，理赔中心应向医患双方说明各自的权利和义务以及处理的程序和方法，同时约定协商时间及地点，双方同意后，理赔中心正式受理案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调查。理赔中心应在案件受理后的３个工作日内组织相关人员对医疗过程进行调查，如遇疑难问题或医患双方特别要求，理赔中心可以在医疗纠纷处置专家库中挑选专家，组织调查和讨论分析（相关费用由纠纷双方自理）。调查结束后（原则上在自正式受理并收齐有关材料后5个工作日内）理赔中心应出具书面调查报告，告知医患双方初步调查结果和赔偿意见，并做好相关解释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若双方对调查结果持有不同意见，建议双方按照规定</w:t>
      </w:r>
      <w:r>
        <w:rPr>
          <w:rFonts w:hint="eastAsia" w:ascii="宋体" w:hAnsi="宋体" w:cs="宋体"/>
          <w:color w:val="auto"/>
          <w:highlight w:val="none"/>
          <w:lang w:val="en-US" w:eastAsia="zh-CN"/>
        </w:rPr>
        <w:t>委托</w:t>
      </w:r>
      <w:r>
        <w:rPr>
          <w:rFonts w:hint="eastAsia" w:ascii="宋体" w:hAnsi="宋体" w:eastAsia="宋体" w:cs="宋体"/>
          <w:color w:val="auto"/>
          <w:highlight w:val="none"/>
          <w:lang w:val="en-US" w:eastAsia="zh-CN"/>
        </w:rPr>
        <w:t>鉴定。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3.协商。理赔中心根据调查结果制定案件赔偿方案，详细列出具体赔偿项目和赔偿标准，并约定时间及地点进行解答。医患双方认可调查结果和赔偿意见的，应当签署赔偿协议书；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对通过反复协商仍不能达成一致意见的（一般纠纷一个月后、疑难纠纷三个月后），可建议医患双方通过其他合法途径解决。</w:t>
      </w:r>
    </w:p>
    <w:p>
      <w:pPr>
        <w:keepNext w:val="0"/>
        <w:keepLines w:val="0"/>
        <w:pageBreakBefore w:val="0"/>
        <w:widowControl/>
        <w:kinsoku/>
        <w:wordWrap w:val="0"/>
        <w:overflowPunct/>
        <w:topLinePunct/>
        <w:autoSpaceDE/>
        <w:autoSpaceDN/>
        <w:bidi w:val="0"/>
        <w:adjustRightInd w:val="0"/>
        <w:snapToGrid/>
        <w:spacing w:beforeAutospacing="0" w:afterAutospacing="0"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4.赔偿。</w:t>
      </w:r>
      <w:r>
        <w:rPr>
          <w:rFonts w:hint="eastAsia" w:ascii="宋体" w:hAnsi="宋体" w:eastAsia="宋体" w:cs="宋体"/>
          <w:color w:val="auto"/>
          <w:sz w:val="21"/>
          <w:szCs w:val="21"/>
          <w:highlight w:val="none"/>
        </w:rPr>
        <w:t>理赔中心根据赔偿协议书缮制赔案并支付赔款。所有理赔案件在资料齐全后的30 个工作日内完成，超期未赔付则按法律规定标准支付滞纳金。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5.反馈及报告。医疗纠纷处理完毕后，理赔中心应当每月出具分析报告，向甲方及其主管机关反馈有关医疗纠纷处置和赔款支付情况。</w:t>
      </w:r>
      <w:r>
        <w:rPr>
          <w:rFonts w:hint="eastAsia" w:ascii="宋体" w:hAnsi="宋体" w:eastAsia="宋体" w:cs="宋体"/>
          <w:color w:val="auto"/>
          <w:highlight w:val="none"/>
        </w:rPr>
        <w:t>甲方及其主管机关反馈有关医疗纠纷处置和赔款支付情况。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第八条 保密条款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合同生效之日起，甲、乙双方不得将本合同涉及的所有有形、无形的信息及资料（包括但不限于双方的往来书面文件、电子邮件及信息、软盘资料等）泄露给第三方。本合同一方因过错造成泄密而给另一方造成损失的，过错一方承担经济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第九条 反洗钱条款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应遵守《中华人民共和国反洗钱法》《金融机构客户尽职调查和客户身份资料及交易记录保存管理办法》《金融机构大额交易和可疑交易报告管理办法》《关于加强反洗钱客户身份识别有关工作的通知》《义务机构反洗钱交易监测标准建设工作指引》以及《保险业反洗钱工作管理办法》等法律法规及监管规定，有效落实相关反洗钱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第十条 清廉条款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秉持廉洁、诚信原则进行洽谈及签订相关合同，维护廉洁、诚信、共赢关系，双方同意就本项目开展廉洁监督，并郑重承诺：在项目采购、合同签订及履行等相关过程中，不会对经办人或相关业务负责人有赠送现金或实物等任何违反廉洁自律规定的行为，不会索要、收受合同约定外的任何利益并自觉接受对方监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第十一条 保险合同中应该针对保险人规定的权利和义务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（一）除非法律或合同中事先另有规定，保险人在保险期间不得擅自提出解除合同。投保人或被保险人违反保险合同中规定的义务，且合同中明确规定其违反这些义务，保险人有权解除合同。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（二）保险人根据法定或约定事由解除合同时，一般可不退还其已收取的保险费，并有权在其保险期间承担的保险责任，向投保人追偿保险。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（三）保险合同成立后，一旦发生保险事故，保险人则应根据保险合同规定，向被保险人支付保险金，保险金的支付主要包括：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1.损失赔偿金。这是根据保险财产的实际损失而定的，但最高以保险金额为限。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2.施救费用。这是指在发生保险责任范围内的灾害或事故时，被保险人为了抢救或保护保险财产而支出的合理费用。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3.诉讼费用。向第三者追偿保险人同意支付的费用。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4.其它</w:t>
      </w:r>
      <w:r>
        <w:rPr>
          <w:rFonts w:hint="eastAsia" w:ascii="宋体" w:hAnsi="宋体" w:eastAsia="宋体" w:cs="宋体"/>
          <w:color w:val="auto"/>
          <w:highlight w:val="none"/>
        </w:rPr>
        <w:t>有关费用。如为了认定损失是否属保险责任范围，所支付的受损财产的检验、估价、出售的合理费用等。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第十二条 保险合同中应该针对被保险人规定的权利和义务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（一）被保险人在财产保险合同规定的保险范围内，遭遇灾害时，有权要求保险方支付规定的保险费用。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（二）交纳保险费。被保险人(投保人)有义务按合同规定按期、如数交纳保险费用。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（三）尽力保护保险标的。被保险人在保险的财产受到侵害时，有义务采取一切有效措施保护其保险标的安全与完整，并接受保险人对保护措施的检查、监督及合理的建议。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（四）当保险事故发生后，被保险人有义务及时采取行之有效的措施、办法来抢救保险标的，尽可能避免损失的扩大。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（五）被保险人有义务如实申报保险标的危险状况，当保险标的所受危害程度增加时，应及时通知保险人，以便及时修订收费标准。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第十三条 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本合同一方当事人的过错，造成本合同不能履行或者不能完全履行的，由有过错的一方依法承担违约责任；如属双方当事人的过错，则根据双方当事人过错的实际情况，由双方当事人分别承担各自应负的违约责任；若发生违约情形，违约方依法依约承担其相应法律责任后，除非守约方同意终止本合同的，本合同仍须继续履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第十四条 解除情形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（一）因不可抗力致使不能实现合同目的；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（二）在履行期限届满之前，当事人一方明确表示或者以自己的行为表明不履行主要债务；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当事人一方迟延履行主要债务，经催告后在合理期限内仍未履行；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当事人一</w:t>
      </w:r>
      <w:r>
        <w:rPr>
          <w:rFonts w:hint="eastAsia" w:ascii="宋体" w:hAnsi="宋体" w:eastAsia="宋体" w:cs="宋体"/>
          <w:color w:val="auto"/>
          <w:highlight w:val="none"/>
        </w:rPr>
        <w:t>方迟延履行债务或者有其他违约行为致使不能实现合同目的；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（五）法律规定的其他情形。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第十五条 争议解决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甲、乙双方之间一切有关本合同的争议应通过友好协商解决。如果协商不成，甲乙双方均有权向合同履行地</w:t>
      </w:r>
      <w:r>
        <w:rPr>
          <w:rFonts w:hint="eastAsia" w:ascii="宋体" w:hAnsi="宋体" w:eastAsia="宋体" w:cs="宋体"/>
          <w:color w:val="auto"/>
          <w:highlight w:val="none"/>
          <w:u w:val="single"/>
        </w:rPr>
        <w:t>浙江省衢州市柯城区人民法院</w:t>
      </w:r>
      <w:r>
        <w:rPr>
          <w:rFonts w:hint="eastAsia" w:ascii="宋体" w:hAnsi="宋体" w:eastAsia="宋体" w:cs="宋体"/>
          <w:color w:val="auto"/>
          <w:highlight w:val="none"/>
        </w:rPr>
        <w:t>起诉。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第十六条 其它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1.采购活动中的采购文件、中标人投标文件、有关澄清文件和中标通知书，双方有关的洽商、变更等书面协议或文件，为本合同不可分割的组成部分，具有同等法律效力。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捌</w:t>
      </w:r>
      <w:r>
        <w:rPr>
          <w:rFonts w:hint="eastAsia" w:ascii="宋体" w:hAnsi="宋体" w:eastAsia="宋体" w:cs="宋体"/>
          <w:color w:val="auto"/>
          <w:highlight w:val="none"/>
        </w:rPr>
        <w:t>份，具有同等法律效力，甲方执</w:t>
      </w:r>
      <w:r>
        <w:rPr>
          <w:rFonts w:hint="eastAsia" w:ascii="宋体" w:hAnsi="宋体" w:eastAsia="宋体" w:cs="宋体"/>
          <w:color w:val="auto"/>
          <w:highlight w:val="none"/>
          <w:u w:val="single"/>
        </w:rPr>
        <w:t>肆</w:t>
      </w:r>
      <w:r>
        <w:rPr>
          <w:rFonts w:hint="eastAsia" w:ascii="宋体" w:hAnsi="宋体" w:eastAsia="宋体" w:cs="宋体"/>
          <w:color w:val="auto"/>
          <w:highlight w:val="none"/>
        </w:rPr>
        <w:t>份，乙方执</w:t>
      </w:r>
      <w:r>
        <w:rPr>
          <w:rFonts w:hint="eastAsia" w:ascii="宋体" w:hAnsi="宋体" w:eastAsia="宋体" w:cs="宋体"/>
          <w:color w:val="auto"/>
          <w:highlight w:val="none"/>
          <w:u w:val="single"/>
        </w:rPr>
        <w:t>肆</w:t>
      </w:r>
      <w:r>
        <w:rPr>
          <w:rFonts w:hint="eastAsia" w:ascii="宋体" w:hAnsi="宋体" w:eastAsia="宋体" w:cs="宋体"/>
          <w:color w:val="auto"/>
          <w:highlight w:val="none"/>
        </w:rPr>
        <w:t>份，经双方签名并盖章后，自合同约定的服务起始之日起生效。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（以下无正文，仅限合同双方签名盖章。）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（合同签名盖章页）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甲方（盖章）：衢州市</w:t>
      </w:r>
      <w:r>
        <w:rPr>
          <w:rFonts w:hint="eastAsia" w:ascii="宋体" w:hAnsi="宋体" w:eastAsia="宋体" w:cs="宋体"/>
          <w:color w:val="auto"/>
          <w:highlight w:val="none"/>
          <w:lang w:val="en-US" w:eastAsia="zh-CN"/>
        </w:rPr>
        <w:t>中医</w:t>
      </w:r>
      <w:r>
        <w:rPr>
          <w:rFonts w:hint="eastAsia" w:ascii="宋体" w:hAnsi="宋体" w:eastAsia="宋体" w:cs="宋体"/>
          <w:color w:val="auto"/>
          <w:highlight w:val="none"/>
        </w:rPr>
        <w:t>医院                 乙方（盖章）：（必填）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法定（授权）代表人（签名）：                 法定（授权）代表人（签名）：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传真：/                                     传真：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邮政编码：324000                            邮政编码：（必填）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地址：浙江省衢州市衢化路117号              地址：（必填）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开户银行： 建行衢州开发区支行               开户银行：（必填）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账号：33050168360000000056-1001             账号：（必填）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签订日期：2025年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pPr>
        <w:numPr>
          <w:ilvl w:val="0"/>
          <w:numId w:val="0"/>
        </w:numPr>
        <w:tabs>
          <w:tab w:val="left" w:pos="0"/>
        </w:tabs>
        <w:spacing w:line="500" w:lineRule="exact"/>
        <w:jc w:val="center"/>
        <w:rPr>
          <w:rFonts w:hint="eastAsia" w:asciiTheme="minorEastAsia" w:hAnsiTheme="minorEastAsia" w:eastAsiaTheme="minorEastAsia" w:cstheme="minorEastAsia"/>
          <w:color w:val="auto"/>
          <w:sz w:val="28"/>
          <w:szCs w:val="28"/>
          <w:highlight w:val="none"/>
        </w:rPr>
      </w:pPr>
      <w:r>
        <w:rPr>
          <w:rFonts w:hint="eastAsia" w:ascii="宋体" w:hAnsi="宋体" w:cs="宋体"/>
          <w:b/>
          <w:bCs/>
          <w:color w:val="auto"/>
          <w:sz w:val="24"/>
          <w:highlight w:val="none"/>
        </w:rPr>
        <w:br w:type="page"/>
      </w:r>
      <w:r>
        <w:rPr>
          <w:rFonts w:hint="eastAsia" w:asciiTheme="minorEastAsia" w:hAnsiTheme="minorEastAsia" w:eastAsiaTheme="minorEastAsia" w:cstheme="minorEastAsia"/>
          <w:color w:val="auto"/>
          <w:sz w:val="28"/>
          <w:szCs w:val="28"/>
          <w:highlight w:val="none"/>
        </w:rPr>
        <w:t>廉洁自律协议书</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甲方：</w:t>
      </w:r>
      <w:r>
        <w:rPr>
          <w:rFonts w:hint="eastAsia" w:asciiTheme="minorEastAsia" w:hAnsiTheme="minorEastAsia" w:eastAsiaTheme="minorEastAsia" w:cstheme="minorEastAsia"/>
          <w:b/>
          <w:bCs/>
          <w:color w:val="auto"/>
          <w:sz w:val="24"/>
          <w:highlight w:val="none"/>
          <w:lang w:eastAsia="zh-CN"/>
        </w:rPr>
        <w:t>衢州市中医医院</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sz w:val="24"/>
          <w:highlight w:val="none"/>
        </w:rPr>
        <w:t>乙方：</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根据国家卫生健康委员会《医疗机构工作人员廉洁从业九项准则》等精神，为加强双方在购销活动中的廉洁自律建设，有效防范商业贿赂行为，经甲、乙双方协商，同意签订本合同，并共同遵守。</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甲</w:t>
      </w:r>
      <w:r>
        <w:rPr>
          <w:rFonts w:hint="eastAsia" w:asciiTheme="minorEastAsia" w:hAnsiTheme="minorEastAsia" w:eastAsiaTheme="minorEastAsia" w:cstheme="minorEastAsia"/>
          <w:color w:val="auto"/>
          <w:sz w:val="21"/>
          <w:szCs w:val="21"/>
          <w:highlight w:val="none"/>
        </w:rPr>
        <w:t>方纪检举报电话：</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方纪检举报电话：</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4.乙方不得以各种理由向甲方及相关科室及工作人员赠送现金、有价证券和礼品，不得宴请甲方工作人员，也不得在学术活动中提供旅游、超标准支付食宿费用。</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5.乙方不得借故到甲方相关领导、部门负责人及相关工作人员家中拜访并提供任何好处费。</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6.乙方员工不得在验收过程中与食堂原材料配送商串通，出现弄虚作假的行为。</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甲乙双方如违反本</w:t>
      </w:r>
      <w:r>
        <w:rPr>
          <w:rFonts w:hint="eastAsia" w:asciiTheme="minorEastAsia" w:hAnsiTheme="minorEastAsia" w:eastAsiaTheme="minorEastAsia" w:cstheme="minorEastAsia"/>
          <w:color w:val="auto"/>
          <w:sz w:val="21"/>
          <w:szCs w:val="21"/>
          <w:highlight w:val="none"/>
          <w:lang w:eastAsia="zh-CN"/>
        </w:rPr>
        <w:t>协议</w:t>
      </w:r>
      <w:r>
        <w:rPr>
          <w:rFonts w:hint="eastAsia" w:asciiTheme="minorEastAsia" w:hAnsiTheme="minorEastAsia" w:eastAsiaTheme="minorEastAsia" w:cstheme="minorEastAsia"/>
          <w:color w:val="auto"/>
          <w:sz w:val="21"/>
          <w:szCs w:val="21"/>
          <w:highlight w:val="none"/>
        </w:rPr>
        <w:t>，由甲方纪检监察部门会同有关部门按党纪法规处理，情节严重涉及犯罪的移交司法机关处理。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乙方一旦被列入商业贿赂不良记录，则严格按照国家相关法规规定处理。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本合同作为2025-2026年度医疗责任保险服务项目合同的重要组成部分，与2025-2026年度医疗责任保险服务项目合同一并执行，具有同等法律效力。</w:t>
      </w:r>
    </w:p>
    <w:tbl>
      <w:tblPr>
        <w:tblStyle w:val="28"/>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5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w:t>
            </w:r>
            <w:r>
              <w:rPr>
                <w:rFonts w:hint="eastAsia" w:asciiTheme="minorEastAsia" w:hAnsiTheme="minorEastAsia" w:eastAsiaTheme="minorEastAsia" w:cstheme="minorEastAsia"/>
                <w:color w:val="auto"/>
                <w:sz w:val="21"/>
                <w:szCs w:val="21"/>
                <w:highlight w:val="none"/>
                <w:lang w:eastAsia="zh-CN"/>
              </w:rPr>
              <w:t>衢州市中医医院</w:t>
            </w:r>
            <w:r>
              <w:rPr>
                <w:rFonts w:hint="eastAsia" w:asciiTheme="minorEastAsia" w:hAnsiTheme="minorEastAsia" w:eastAsiaTheme="minorEastAsia" w:cstheme="minorEastAsia"/>
                <w:color w:val="auto"/>
                <w:sz w:val="21"/>
                <w:szCs w:val="21"/>
                <w:highlight w:val="none"/>
              </w:rPr>
              <w:t xml:space="preserve"> </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或授权代表（签字或盖章）：</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地址：</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邮政编码：</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电话：</w:t>
            </w:r>
          </w:p>
        </w:tc>
        <w:tc>
          <w:tcPr>
            <w:tcW w:w="5066" w:type="dxa"/>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签订时间：    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月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签约地点：</w:t>
            </w:r>
          </w:p>
        </w:tc>
      </w:tr>
    </w:tbl>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第五章  应提交的有关格式范例</w:t>
      </w:r>
      <w:bookmarkEnd w:id="104"/>
      <w:bookmarkEnd w:id="105"/>
      <w:bookmarkEnd w:id="106"/>
      <w:bookmarkEnd w:id="107"/>
      <w:bookmarkEnd w:id="108"/>
    </w:p>
    <w:p>
      <w:pPr>
        <w:snapToGrid w:val="0"/>
        <w:spacing w:line="432" w:lineRule="auto"/>
        <w:jc w:val="center"/>
        <w:outlineLvl w:val="1"/>
        <w:rPr>
          <w:rFonts w:hint="eastAsia" w:ascii="宋体" w:hAnsi="宋体" w:cs="宋体"/>
          <w:color w:val="auto"/>
          <w:sz w:val="28"/>
          <w:szCs w:val="28"/>
          <w:highlight w:val="none"/>
        </w:rPr>
      </w:pPr>
      <w:bookmarkStart w:id="109" w:name="_Toc9218"/>
      <w:bookmarkStart w:id="110" w:name="_Toc13045"/>
      <w:bookmarkStart w:id="111" w:name="_Toc13877"/>
      <w:r>
        <w:rPr>
          <w:rStyle w:val="35"/>
          <w:rFonts w:hint="eastAsia" w:ascii="宋体" w:hAnsi="宋体" w:eastAsia="宋体" w:cs="宋体"/>
          <w:color w:val="auto"/>
          <w:sz w:val="21"/>
          <w:szCs w:val="21"/>
          <w:highlight w:val="none"/>
        </w:rPr>
        <w:t>一、投标文件封面</w:t>
      </w:r>
      <w:bookmarkEnd w:id="109"/>
      <w:bookmarkEnd w:id="110"/>
      <w:bookmarkEnd w:id="111"/>
    </w:p>
    <w:p>
      <w:pPr>
        <w:spacing w:line="312" w:lineRule="auto"/>
        <w:ind w:left="1800" w:leftChars="857"/>
        <w:jc w:val="right"/>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312" w:lineRule="auto"/>
        <w:ind w:firstLine="280" w:firstLineChars="100"/>
        <w:rPr>
          <w:rFonts w:hint="eastAsia" w:ascii="宋体" w:hAnsi="宋体" w:cs="宋体"/>
          <w:color w:val="auto"/>
          <w:sz w:val="28"/>
          <w:szCs w:val="28"/>
          <w:highlight w:val="none"/>
        </w:rPr>
      </w:pPr>
    </w:p>
    <w:p>
      <w:pPr>
        <w:spacing w:line="312"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资 格 文 件</w:t>
      </w:r>
    </w:p>
    <w:p>
      <w:pPr>
        <w:snapToGrid w:val="0"/>
        <w:spacing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w:t>
      </w:r>
      <w:bookmarkStart w:id="112" w:name="_Toc357410801"/>
      <w:r>
        <w:rPr>
          <w:rFonts w:hint="eastAsia" w:ascii="宋体" w:hAnsi="宋体" w:cs="宋体"/>
          <w:color w:val="auto"/>
          <w:sz w:val="32"/>
          <w:szCs w:val="32"/>
          <w:highlight w:val="none"/>
        </w:rPr>
        <w:t>商务技术文件、报价文件）</w:t>
      </w:r>
      <w:bookmarkEnd w:id="112"/>
    </w:p>
    <w:p>
      <w:pPr>
        <w:pStyle w:val="38"/>
        <w:rPr>
          <w:rFonts w:hint="eastAsia" w:cs="宋体"/>
          <w:color w:val="auto"/>
          <w:sz w:val="32"/>
          <w:szCs w:val="32"/>
          <w:highlight w:val="none"/>
        </w:rPr>
      </w:pPr>
    </w:p>
    <w:p>
      <w:pPr>
        <w:pStyle w:val="38"/>
        <w:rPr>
          <w:rFonts w:hint="eastAsia" w:cs="宋体"/>
          <w:color w:val="auto"/>
          <w:sz w:val="32"/>
          <w:szCs w:val="32"/>
          <w:highlight w:val="none"/>
        </w:rPr>
      </w:pPr>
    </w:p>
    <w:p>
      <w:pPr>
        <w:pStyle w:val="38"/>
        <w:rPr>
          <w:rFonts w:hint="eastAsia" w:cs="宋体"/>
          <w:color w:val="auto"/>
          <w:sz w:val="32"/>
          <w:szCs w:val="32"/>
          <w:highlight w:val="none"/>
        </w:rPr>
      </w:pPr>
    </w:p>
    <w:p>
      <w:pPr>
        <w:pStyle w:val="38"/>
        <w:rPr>
          <w:rFonts w:hint="eastAsia" w:cs="宋体"/>
          <w:color w:val="auto"/>
          <w:sz w:val="32"/>
          <w:szCs w:val="32"/>
          <w:highlight w:val="none"/>
        </w:rPr>
      </w:pPr>
    </w:p>
    <w:p>
      <w:pPr>
        <w:pStyle w:val="38"/>
        <w:rPr>
          <w:rFonts w:hint="eastAsia" w:cs="宋体"/>
          <w:color w:val="auto"/>
          <w:sz w:val="32"/>
          <w:szCs w:val="32"/>
          <w:highlight w:val="none"/>
        </w:rPr>
      </w:pPr>
    </w:p>
    <w:p>
      <w:pPr>
        <w:snapToGrid w:val="0"/>
        <w:spacing w:line="312" w:lineRule="auto"/>
        <w:ind w:firstLine="1962" w:firstLineChars="698"/>
        <w:rPr>
          <w:rFonts w:hint="eastAsia" w:ascii="宋体" w:hAnsi="宋体" w:cs="宋体"/>
          <w:b/>
          <w:color w:val="auto"/>
          <w:sz w:val="28"/>
          <w:szCs w:val="28"/>
          <w:highlight w:val="none"/>
        </w:rPr>
      </w:pP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3" w:name="_Toc357410802"/>
      <w:r>
        <w:rPr>
          <w:rFonts w:hint="eastAsia" w:ascii="宋体" w:hAnsi="宋体" w:cs="宋体"/>
          <w:color w:val="auto"/>
          <w:sz w:val="28"/>
          <w:szCs w:val="28"/>
          <w:highlight w:val="none"/>
        </w:rPr>
        <w:t>项目名称：</w:t>
      </w:r>
      <w:bookmarkEnd w:id="113"/>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标项名称：</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4" w:name="_Toc357410803"/>
      <w:r>
        <w:rPr>
          <w:rFonts w:hint="eastAsia" w:ascii="宋体" w:hAnsi="宋体" w:cs="宋体"/>
          <w:color w:val="auto"/>
          <w:sz w:val="28"/>
          <w:szCs w:val="28"/>
          <w:highlight w:val="none"/>
        </w:rPr>
        <w:t>项目编号：</w:t>
      </w:r>
      <w:bookmarkEnd w:id="114"/>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5" w:name="_Toc357410804"/>
      <w:r>
        <w:rPr>
          <w:rFonts w:hint="eastAsia" w:ascii="宋体" w:hAnsi="宋体" w:cs="宋体"/>
          <w:color w:val="auto"/>
          <w:sz w:val="28"/>
          <w:szCs w:val="28"/>
          <w:highlight w:val="none"/>
        </w:rPr>
        <w:t>标项：</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 标 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bookmarkEnd w:id="115"/>
    </w:p>
    <w:p>
      <w:pPr>
        <w:snapToGrid w:val="0"/>
        <w:spacing w:line="480" w:lineRule="auto"/>
        <w:ind w:firstLine="2318" w:firstLineChars="828"/>
        <w:jc w:val="left"/>
        <w:rPr>
          <w:rFonts w:hint="eastAsia" w:ascii="宋体" w:hAnsi="宋体" w:cs="宋体"/>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389" w:right="1247" w:bottom="1389" w:left="1247" w:header="851" w:footer="992" w:gutter="284"/>
          <w:cols w:space="720" w:num="1"/>
          <w:docGrid w:linePitch="312" w:charSpace="0"/>
        </w:sectPr>
      </w:pPr>
      <w:bookmarkStart w:id="116" w:name="_Toc357410805"/>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月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bookmarkEnd w:id="116"/>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二、资格文件</w:t>
      </w:r>
    </w:p>
    <w:p>
      <w:pPr>
        <w:spacing w:line="360" w:lineRule="auto"/>
        <w:jc w:val="center"/>
        <w:outlineLvl w:val="0"/>
        <w:rPr>
          <w:rFonts w:hint="eastAsia" w:ascii="仿宋" w:hAnsi="仿宋" w:eastAsia="仿宋" w:cs="仿宋"/>
          <w:b/>
          <w:color w:val="auto"/>
          <w:kern w:val="0"/>
          <w:sz w:val="36"/>
          <w:szCs w:val="36"/>
          <w:highlight w:val="none"/>
        </w:rPr>
      </w:pP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目录</w:t>
      </w:r>
    </w:p>
    <w:p>
      <w:pPr>
        <w:spacing w:line="360" w:lineRule="auto"/>
        <w:jc w:val="center"/>
        <w:outlineLvl w:val="0"/>
        <w:rPr>
          <w:rFonts w:hint="eastAsia" w:asciiTheme="minorEastAsia" w:hAnsiTheme="minorEastAsia" w:eastAsiaTheme="minorEastAsia" w:cstheme="minorEastAsia"/>
          <w:b/>
          <w:color w:val="auto"/>
          <w:kern w:val="0"/>
          <w:szCs w:val="21"/>
          <w:highlight w:val="none"/>
        </w:rPr>
      </w:pP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（2）联合协议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如有，格式见第七章附件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………………………………………（页码）</w:t>
      </w:r>
    </w:p>
    <w:p>
      <w:pPr>
        <w:spacing w:line="312" w:lineRule="auto"/>
        <w:jc w:val="center"/>
        <w:rPr>
          <w:rFonts w:hint="eastAsia" w:ascii="宋体" w:hAnsi="宋体" w:cs="宋体"/>
          <w:b/>
          <w:strike/>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 具有参与政府采购活动一般资格条件的声明函</w:t>
      </w:r>
    </w:p>
    <w:p>
      <w:pPr>
        <w:pStyle w:val="27"/>
        <w:rPr>
          <w:rFonts w:hint="eastAsia" w:ascii="宋体" w:hAnsi="宋体" w:eastAsia="宋体" w:cs="宋体"/>
          <w:color w:val="auto"/>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衢州市中医医院</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）政府采购活动，郑重承诺：</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为采购项目提供整体设计、规范编制或者项目管理、监理、检测等服务后再参加该采购项目的其他采购活动的。</w:t>
      </w:r>
    </w:p>
    <w:p>
      <w:pPr>
        <w:pStyle w:val="27"/>
        <w:spacing w:line="5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如有虚假，采购人可取消我方任何资格（投标/中标/签订合同），我方对此无任何异议。</w:t>
      </w:r>
    </w:p>
    <w:p>
      <w:pPr>
        <w:spacing w:line="500" w:lineRule="exact"/>
        <w:jc w:val="center"/>
        <w:rPr>
          <w:rStyle w:val="35"/>
          <w:rFonts w:hint="eastAsia" w:ascii="宋体" w:hAnsi="宋体" w:eastAsia="宋体" w:cs="宋体"/>
          <w:b w:val="0"/>
          <w:color w:val="auto"/>
          <w:sz w:val="21"/>
          <w:szCs w:val="21"/>
          <w:highlight w:val="none"/>
        </w:rPr>
      </w:pP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25"/>
        <w:rPr>
          <w:rFonts w:hint="eastAsia" w:ascii="宋体" w:hAnsi="宋体" w:cs="宋体"/>
          <w:color w:val="auto"/>
          <w:sz w:val="21"/>
          <w:szCs w:val="21"/>
          <w:highlight w:val="none"/>
        </w:rPr>
      </w:pPr>
    </w:p>
    <w:p>
      <w:pPr>
        <w:spacing w:line="312" w:lineRule="auto"/>
        <w:jc w:val="center"/>
        <w:rPr>
          <w:rStyle w:val="35"/>
          <w:rFonts w:hint="eastAsia" w:ascii="仿宋_GB2312" w:hAnsi="仿宋_GB2312" w:eastAsia="仿宋_GB2312" w:cs="仿宋_GB2312"/>
          <w:color w:val="auto"/>
          <w:sz w:val="28"/>
          <w:szCs w:val="28"/>
          <w:highlight w:val="none"/>
        </w:rPr>
      </w:pPr>
      <w:bookmarkStart w:id="117" w:name="_Toc1109"/>
      <w:r>
        <w:rPr>
          <w:rStyle w:val="35"/>
          <w:rFonts w:hint="eastAsia" w:ascii="仿宋_GB2312" w:hAnsi="仿宋_GB2312" w:eastAsia="仿宋_GB2312" w:cs="仿宋_GB2312"/>
          <w:color w:val="auto"/>
          <w:sz w:val="28"/>
          <w:szCs w:val="28"/>
          <w:highlight w:val="none"/>
        </w:rPr>
        <w:t>注：附信用中国网站（www.creditchina.gov.cn）、中国政府采购网（www.ccgp.gov.cn）查询结果截图。</w:t>
      </w:r>
    </w:p>
    <w:bookmarkEnd w:id="117"/>
    <w:p>
      <w:pPr>
        <w:spacing w:line="312" w:lineRule="auto"/>
        <w:jc w:val="center"/>
        <w:rPr>
          <w:rStyle w:val="35"/>
          <w:rFonts w:hint="eastAsia" w:ascii="仿宋_GB2312" w:hAnsi="仿宋_GB2312" w:eastAsia="仿宋_GB2312" w:cs="仿宋_GB2312"/>
          <w:color w:val="auto"/>
          <w:sz w:val="28"/>
          <w:szCs w:val="28"/>
          <w:highlight w:val="none"/>
        </w:rPr>
      </w:pPr>
    </w:p>
    <w:p>
      <w:pPr>
        <w:spacing w:line="312" w:lineRule="auto"/>
        <w:jc w:val="center"/>
        <w:rPr>
          <w:rStyle w:val="35"/>
          <w:rFonts w:hint="eastAsia" w:ascii="仿宋_GB2312" w:hAnsi="仿宋_GB2312" w:eastAsia="仿宋_GB2312" w:cs="仿宋_GB2312"/>
          <w:color w:val="auto"/>
          <w:sz w:val="28"/>
          <w:szCs w:val="28"/>
          <w:highlight w:val="none"/>
        </w:rPr>
      </w:pPr>
    </w:p>
    <w:p>
      <w:pPr>
        <w:spacing w:line="312" w:lineRule="auto"/>
        <w:jc w:val="center"/>
        <w:rPr>
          <w:rStyle w:val="35"/>
          <w:rFonts w:hint="eastAsia" w:ascii="仿宋_GB2312" w:hAnsi="仿宋_GB2312" w:eastAsia="仿宋_GB2312" w:cs="仿宋_GB2312"/>
          <w:color w:val="auto"/>
          <w:sz w:val="28"/>
          <w:szCs w:val="28"/>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after="240" w:afterLines="100"/>
        <w:jc w:val="center"/>
        <w:rPr>
          <w:rFonts w:hint="eastAsia" w:ascii="宋体" w:hAnsi="宋体" w:cs="宋体"/>
          <w:b/>
          <w:color w:val="auto"/>
          <w:szCs w:val="21"/>
          <w:highlight w:val="none"/>
        </w:rPr>
      </w:pPr>
      <w:r>
        <w:rPr>
          <w:rFonts w:hint="eastAsia" w:ascii="宋体" w:hAnsi="宋体" w:cs="宋体"/>
          <w:b/>
          <w:color w:val="auto"/>
          <w:szCs w:val="21"/>
          <w:highlight w:val="none"/>
        </w:rPr>
        <w:t>三、商务技术文件</w:t>
      </w:r>
    </w:p>
    <w:p>
      <w:pPr>
        <w:pStyle w:val="2"/>
        <w:rPr>
          <w:color w:val="auto"/>
          <w:highlight w:val="none"/>
        </w:rPr>
      </w:pPr>
    </w:p>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pPr>
        <w:pStyle w:val="2"/>
        <w:rPr>
          <w:color w:val="auto"/>
          <w:highlight w:val="none"/>
        </w:rPr>
      </w:pP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bookmarkStart w:id="118" w:name="_Toc15630533"/>
      <w:r>
        <w:rPr>
          <w:rFonts w:hint="eastAsia" w:ascii="宋体" w:hAnsi="宋体" w:eastAsia="宋体" w:cs="宋体"/>
          <w:color w:val="auto"/>
          <w:sz w:val="21"/>
          <w:szCs w:val="21"/>
          <w:highlight w:val="none"/>
        </w:rPr>
        <w:t>投标函…………………………………………………………………………（页码）</w:t>
      </w: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pStyle w:val="49"/>
        <w:numPr>
          <w:ilvl w:val="0"/>
          <w:numId w:val="6"/>
        </w:numPr>
        <w:spacing w:line="336" w:lineRule="auto"/>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业绩证明文件</w:t>
      </w:r>
      <w:r>
        <w:rPr>
          <w:rFonts w:hint="eastAsia" w:ascii="宋体" w:hAnsi="宋体" w:eastAsia="宋体" w:cs="宋体"/>
          <w:color w:val="auto"/>
          <w:sz w:val="21"/>
          <w:szCs w:val="21"/>
          <w:highlight w:val="none"/>
        </w:rPr>
        <w:t>…………………………………………………………………（页码）</w:t>
      </w:r>
    </w:p>
    <w:p>
      <w:pPr>
        <w:pStyle w:val="49"/>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商务技术偏离表………………………………………………………………（页码）</w:t>
      </w:r>
    </w:p>
    <w:p>
      <w:pPr>
        <w:pStyle w:val="49"/>
        <w:numPr>
          <w:ilvl w:val="0"/>
          <w:numId w:val="6"/>
        </w:numPr>
        <w:spacing w:line="336" w:lineRule="auto"/>
        <w:ind w:left="0" w:firstLine="0" w:firstLineChars="0"/>
        <w:rPr>
          <w:rFonts w:hint="eastAsia" w:ascii="仿宋" w:eastAsia="仿宋" w:cs="仿宋"/>
          <w:color w:val="auto"/>
          <w:highlight w:val="none"/>
        </w:rPr>
      </w:pPr>
      <w:r>
        <w:rPr>
          <w:rFonts w:hint="eastAsia" w:ascii="宋体" w:hAnsi="宋体" w:eastAsia="宋体" w:cs="宋体"/>
          <w:color w:val="auto"/>
          <w:sz w:val="21"/>
          <w:szCs w:val="21"/>
          <w:highlight w:val="none"/>
        </w:rPr>
        <w:t>其他内容………………………………………………………………………（页码）</w:t>
      </w: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rPr>
          <w:rFonts w:hint="eastAsia" w:ascii="宋体" w:hAnsi="宋体" w:cs="宋体"/>
          <w:b/>
          <w:color w:val="auto"/>
          <w:kern w:val="0"/>
          <w:szCs w:val="21"/>
          <w:highlight w:val="none"/>
        </w:rPr>
      </w:pPr>
      <w:bookmarkStart w:id="119" w:name="_Toc31117"/>
      <w:r>
        <w:rPr>
          <w:rFonts w:hint="eastAsia" w:ascii="宋体" w:hAnsi="宋体" w:cs="宋体"/>
          <w:b/>
          <w:color w:val="auto"/>
          <w:kern w:val="0"/>
          <w:szCs w:val="21"/>
          <w:highlight w:val="none"/>
        </w:rPr>
        <w:br w:type="page"/>
      </w:r>
    </w:p>
    <w:p>
      <w:pPr>
        <w:snapToGrid w:val="0"/>
        <w:spacing w:line="360" w:lineRule="auto"/>
        <w:jc w:val="center"/>
        <w:outlineLvl w:val="0"/>
        <w:rPr>
          <w:rFonts w:hint="eastAsia" w:ascii="宋体" w:hAnsi="宋体" w:cs="宋体"/>
          <w:b/>
          <w:color w:val="auto"/>
          <w:szCs w:val="21"/>
          <w:highlight w:val="none"/>
        </w:rPr>
      </w:pPr>
      <w:r>
        <w:rPr>
          <w:rFonts w:hint="eastAsia" w:ascii="宋体" w:hAnsi="宋体" w:cs="宋体"/>
          <w:b/>
          <w:color w:val="auto"/>
          <w:kern w:val="0"/>
          <w:szCs w:val="21"/>
          <w:highlight w:val="none"/>
        </w:rPr>
        <w:t>1投标</w:t>
      </w:r>
      <w:r>
        <w:rPr>
          <w:rFonts w:hint="eastAsia" w:ascii="宋体" w:hAnsi="宋体" w:cs="宋体"/>
          <w:b/>
          <w:color w:val="auto"/>
          <w:szCs w:val="21"/>
          <w:highlight w:val="none"/>
        </w:rPr>
        <w:t>函</w:t>
      </w:r>
      <w:bookmarkEnd w:id="119"/>
    </w:p>
    <w:p>
      <w:pPr>
        <w:pStyle w:val="48"/>
        <w:spacing w:after="120" w:line="336"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根据贵方招标文件（</w:t>
      </w:r>
      <w:r>
        <w:rPr>
          <w:rFonts w:hint="eastAsia" w:ascii="宋体" w:hAnsi="宋体" w:cs="宋体"/>
          <w:b/>
          <w:color w:val="auto"/>
          <w:sz w:val="21"/>
          <w:szCs w:val="21"/>
          <w:highlight w:val="none"/>
          <w:u w:val="single"/>
        </w:rPr>
        <w:t>填写项目编号：</w:t>
      </w:r>
      <w:r>
        <w:rPr>
          <w:rFonts w:hint="eastAsia" w:ascii="宋体" w:hAnsi="宋体" w:cs="宋体"/>
          <w:color w:val="auto"/>
          <w:sz w:val="21"/>
          <w:szCs w:val="21"/>
          <w:highlight w:val="none"/>
        </w:rPr>
        <w:t>）的要求，正式授权</w:t>
      </w:r>
      <w:r>
        <w:rPr>
          <w:rFonts w:hint="eastAsia" w:ascii="宋体" w:hAnsi="宋体" w:cs="宋体"/>
          <w:b/>
          <w:color w:val="auto"/>
          <w:sz w:val="21"/>
          <w:szCs w:val="21"/>
          <w:highlight w:val="none"/>
          <w:u w:val="single"/>
        </w:rPr>
        <w:t>（全权代表姓名    、单位    、职务   ）</w:t>
      </w:r>
      <w:r>
        <w:rPr>
          <w:rFonts w:hint="eastAsia" w:ascii="宋体" w:hAnsi="宋体" w:cs="宋体"/>
          <w:color w:val="auto"/>
          <w:sz w:val="21"/>
          <w:szCs w:val="21"/>
          <w:highlight w:val="none"/>
        </w:rPr>
        <w:t>代表投标人</w:t>
      </w:r>
      <w:r>
        <w:rPr>
          <w:rFonts w:hint="eastAsia" w:ascii="宋体" w:hAnsi="宋体" w:cs="宋体"/>
          <w:color w:val="auto"/>
          <w:sz w:val="21"/>
          <w:szCs w:val="21"/>
          <w:highlight w:val="none"/>
          <w:u w:val="single"/>
        </w:rPr>
        <w:t>（</w:t>
      </w:r>
      <w:r>
        <w:rPr>
          <w:rFonts w:hint="eastAsia" w:ascii="宋体" w:hAnsi="宋体" w:cs="宋体"/>
          <w:b/>
          <w:color w:val="auto"/>
          <w:sz w:val="21"/>
          <w:szCs w:val="21"/>
          <w:highlight w:val="none"/>
          <w:u w:val="single"/>
        </w:rPr>
        <w:t xml:space="preserve">填写单位    、地址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提交投标文件。</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我方已完全明白招标文件的所有条款要求，兹声明同意如下：</w:t>
      </w:r>
    </w:p>
    <w:p>
      <w:pPr>
        <w:pStyle w:val="6"/>
        <w:numPr>
          <w:ilvl w:val="255"/>
          <w:numId w:val="0"/>
        </w:num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1.我方同意在投标人</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规定的开标日期起遵守本投标文件中的承诺且在投标有效期满之前均具有约束力。</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2.我方承诺已经具备《中华人民共和国政府采购法》中规定的参加政府采购活动的供应商应当具备的条件。</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4.我方理解贵方将不受你们所收到的最低报价的约束。</w:t>
      </w:r>
    </w:p>
    <w:p>
      <w:pPr>
        <w:pStyle w:val="6"/>
        <w:numPr>
          <w:ilvl w:val="255"/>
          <w:numId w:val="0"/>
        </w:numPr>
        <w:spacing w:line="336"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5.本投标自开标之日（投标截止之日）起90天内有效。</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a)提供虚假材料谋取中标、成交的；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供应商有前款第a)至e)项情形之一的，中标、成交无效。</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地址：　　　　　　　　　　　　　　　邮政编码：</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电话：                              传真：</w:t>
      </w:r>
    </w:p>
    <w:p>
      <w:pPr>
        <w:pStyle w:val="48"/>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帐号：</w:t>
      </w:r>
    </w:p>
    <w:p>
      <w:pPr>
        <w:pStyle w:val="48"/>
        <w:spacing w:after="120" w:line="336" w:lineRule="auto"/>
        <w:ind w:firstLine="420"/>
        <w:rPr>
          <w:rFonts w:hint="eastAsia" w:ascii="宋体" w:hAnsi="宋体" w:cs="宋体"/>
          <w:color w:val="auto"/>
          <w:szCs w:val="21"/>
          <w:highlight w:val="none"/>
        </w:rPr>
      </w:pPr>
      <w:r>
        <w:rPr>
          <w:rFonts w:hint="eastAsia" w:ascii="宋体" w:hAnsi="宋体" w:cs="宋体"/>
          <w:color w:val="auto"/>
          <w:sz w:val="21"/>
          <w:szCs w:val="21"/>
          <w:highlight w:val="none"/>
        </w:rPr>
        <w:t>法定代表人或其授权代表(签字或盖章)：</w:t>
      </w:r>
    </w:p>
    <w:p>
      <w:pPr>
        <w:snapToGrid w:val="0"/>
        <w:spacing w:line="336" w:lineRule="auto"/>
        <w:ind w:firstLine="420" w:firstLineChars="200"/>
        <w:jc w:val="left"/>
        <w:rPr>
          <w:rFonts w:hint="eastAsia" w:ascii="宋体" w:hAnsi="宋体" w:cs="宋体"/>
          <w:b/>
          <w:color w:val="auto"/>
          <w:kern w:val="0"/>
          <w:szCs w:val="21"/>
          <w:highlight w:val="none"/>
        </w:rPr>
      </w:pPr>
      <w:r>
        <w:rPr>
          <w:rFonts w:hint="eastAsia" w:ascii="宋体" w:hAnsi="宋体" w:cs="宋体"/>
          <w:color w:val="auto"/>
          <w:szCs w:val="21"/>
          <w:highlight w:val="none"/>
        </w:rPr>
        <w:t xml:space="preserve">投标人(电子签章)：　　　　　　　　　日期：  </w:t>
      </w: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2法定代表人授权委托书（格式） </w:t>
      </w:r>
      <w:r>
        <w:rPr>
          <w:rFonts w:hint="eastAsia" w:ascii="宋体" w:hAnsi="宋体" w:cs="宋体"/>
          <w:b/>
          <w:color w:val="auto"/>
          <w:kern w:val="0"/>
          <w:szCs w:val="21"/>
          <w:highlight w:val="none"/>
          <w:lang w:val="zh-CN"/>
        </w:rPr>
        <w:t>（适用于非联合体投标）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(填写姓名)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（填写投标人单位全称）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的（填写姓名）为我公司授权代表，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ind w:firstLine="4620" w:firstLineChars="2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ind w:firstLine="4305" w:firstLineChars="2050"/>
        <w:jc w:val="left"/>
        <w:rPr>
          <w:rFonts w:hint="eastAsia" w:ascii="宋体" w:hAnsi="宋体" w:cs="宋体"/>
          <w:color w:val="auto"/>
          <w:szCs w:val="21"/>
          <w:highlight w:val="none"/>
        </w:rPr>
      </w:pPr>
    </w:p>
    <w:p>
      <w:pPr>
        <w:spacing w:line="800" w:lineRule="exact"/>
        <w:rPr>
          <w:rFonts w:hint="eastAsia" w:ascii="宋体" w:hAnsi="宋体" w:cs="宋体"/>
          <w:b/>
          <w:color w:val="auto"/>
          <w:szCs w:val="21"/>
          <w:highlight w:val="none"/>
        </w:rPr>
      </w:pPr>
    </w:p>
    <w:p>
      <w:pPr>
        <w:spacing w:line="800" w:lineRule="exact"/>
        <w:rPr>
          <w:rFonts w:hint="eastAsia" w:ascii="宋体" w:hAnsi="宋体" w:cs="宋体"/>
          <w:b/>
          <w:color w:val="auto"/>
          <w:szCs w:val="21"/>
          <w:highlight w:val="none"/>
        </w:rPr>
      </w:pP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法定代表人授权委托书（格式） </w:t>
      </w:r>
      <w:r>
        <w:rPr>
          <w:rFonts w:hint="eastAsia" w:ascii="宋体" w:hAnsi="宋体" w:cs="宋体"/>
          <w:b/>
          <w:color w:val="auto"/>
          <w:kern w:val="0"/>
          <w:szCs w:val="21"/>
          <w:highlight w:val="none"/>
          <w:lang w:val="zh-CN"/>
        </w:rPr>
        <w:t>（适用于联合体投标）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w:t>
      </w: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的（填写姓名）为我方授权代表，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jc w:val="center"/>
        <w:rPr>
          <w:rFonts w:hint="eastAsia" w:ascii="宋体" w:hAnsi="宋体" w:cs="宋体"/>
          <w:b/>
          <w:color w:val="auto"/>
          <w:kern w:val="0"/>
          <w:szCs w:val="21"/>
          <w:highlight w:val="none"/>
        </w:rPr>
      </w:pPr>
    </w:p>
    <w:p>
      <w:pPr>
        <w:rPr>
          <w:rFonts w:hint="eastAsia" w:ascii="宋体" w:hAnsi="宋体" w:cs="宋体"/>
          <w:color w:val="auto"/>
          <w:szCs w:val="21"/>
          <w:highlight w:val="none"/>
        </w:rPr>
      </w:pP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spacing w:line="800" w:lineRule="exact"/>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3法定代表人及其授权代表身份证复印件（正反面）</w:t>
      </w: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4法定代表人身份证明书(格式)</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（填写投标人名称）</w:t>
      </w:r>
      <w:r>
        <w:rPr>
          <w:rFonts w:hint="eastAsia" w:ascii="宋体" w:hAnsi="宋体" w:cs="宋体"/>
          <w:color w:val="auto"/>
          <w:szCs w:val="21"/>
          <w:highlight w:val="none"/>
        </w:rPr>
        <w:t>的法定代表人。</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                             （电子签章）</w:t>
      </w:r>
    </w:p>
    <w:p>
      <w:pPr>
        <w:spacing w:line="440" w:lineRule="exact"/>
        <w:ind w:right="480"/>
        <w:rPr>
          <w:rFonts w:hint="eastAsia" w:ascii="宋体" w:hAnsi="宋体" w:cs="宋体"/>
          <w:color w:val="auto"/>
          <w:szCs w:val="21"/>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5符合性审查资料</w:t>
      </w:r>
    </w:p>
    <w:p>
      <w:pPr>
        <w:pStyle w:val="13"/>
        <w:rPr>
          <w:color w:val="auto"/>
          <w:highlight w:val="none"/>
        </w:rPr>
      </w:pPr>
    </w:p>
    <w:p>
      <w:pPr>
        <w:jc w:val="center"/>
        <w:rPr>
          <w:rFonts w:hint="eastAsia" w:asciiTheme="minorEastAsia" w:hAnsiTheme="minorEastAsia" w:eastAsiaTheme="minorEastAsia" w:cstheme="minorEastAsia"/>
          <w:b/>
          <w:color w:val="auto"/>
          <w:kern w:val="0"/>
          <w:szCs w:val="21"/>
          <w:highlight w:val="none"/>
        </w:rPr>
      </w:pPr>
    </w:p>
    <w:tbl>
      <w:tblPr>
        <w:tblStyle w:val="28"/>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pStyle w:val="3"/>
              <w:tabs>
                <w:tab w:val="left" w:pos="432"/>
              </w:tabs>
              <w:ind w:left="432" w:hanging="432"/>
              <w:jc w:val="center"/>
              <w:rPr>
                <w:rFonts w:hint="eastAsia" w:asciiTheme="minorEastAsia" w:hAnsiTheme="minorEastAsia" w:eastAsiaTheme="minorEastAsia" w:cstheme="minorEastAsia"/>
                <w:color w:val="auto"/>
                <w:sz w:val="21"/>
                <w:szCs w:val="21"/>
                <w:highlight w:val="none"/>
              </w:rPr>
            </w:pPr>
            <w:bookmarkStart w:id="120" w:name="_Toc8001"/>
            <w:r>
              <w:rPr>
                <w:rFonts w:hint="eastAsia" w:asciiTheme="minorEastAsia" w:hAnsiTheme="minorEastAsia" w:eastAsiaTheme="minorEastAsia" w:cstheme="minorEastAsia"/>
                <w:b w:val="0"/>
                <w:color w:val="auto"/>
                <w:sz w:val="21"/>
                <w:szCs w:val="21"/>
                <w:highlight w:val="none"/>
              </w:rPr>
              <w:t>第</w:t>
            </w:r>
            <w:r>
              <w:rPr>
                <w:rFonts w:hint="eastAsia" w:asciiTheme="minorEastAsia" w:hAnsiTheme="minorEastAsia" w:eastAsiaTheme="minorEastAsia" w:cstheme="minorEastAsia"/>
                <w:b w:val="0"/>
                <w:color w:val="auto"/>
                <w:sz w:val="21"/>
                <w:szCs w:val="21"/>
                <w:highlight w:val="none"/>
                <w:u w:val="single"/>
              </w:rPr>
              <w:t xml:space="preserve"> / </w:t>
            </w:r>
            <w:r>
              <w:rPr>
                <w:rFonts w:hint="eastAsia" w:asciiTheme="minorEastAsia" w:hAnsiTheme="minorEastAsia" w:eastAsiaTheme="minorEastAsia" w:cstheme="minorEastAsia"/>
                <w:b w:val="0"/>
                <w:color w:val="auto"/>
                <w:sz w:val="21"/>
                <w:szCs w:val="21"/>
                <w:highlight w:val="none"/>
              </w:rPr>
              <w:t>页</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bl>
    <w:p>
      <w:pPr>
        <w:spacing w:line="360" w:lineRule="auto"/>
        <w:ind w:righ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注：按本格式和要求提供。</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pStyle w:val="12"/>
        <w:spacing w:line="312" w:lineRule="auto"/>
        <w:ind w:firstLine="11466" w:firstLineChars="1904"/>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方正小标宋_GBK" w:hAnsi="方正小标宋_GBK" w:eastAsia="方正小标宋_GBK" w:cs="方正小标宋_GBK"/>
          <w:bCs/>
          <w:color w:val="auto"/>
          <w:szCs w:val="21"/>
          <w:highlight w:val="none"/>
        </w:rPr>
      </w:pPr>
      <w:bookmarkStart w:id="121" w:name="_Toc7767"/>
      <w:r>
        <w:rPr>
          <w:rFonts w:hint="eastAsia" w:ascii="宋体" w:hAnsi="宋体" w:cs="宋体"/>
          <w:b/>
          <w:color w:val="auto"/>
          <w:szCs w:val="21"/>
          <w:highlight w:val="none"/>
        </w:rPr>
        <w:t>6 业绩证明文件</w:t>
      </w:r>
      <w:bookmarkEnd w:id="121"/>
    </w:p>
    <w:tbl>
      <w:tblPr>
        <w:tblStyle w:val="28"/>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bl>
    <w:p>
      <w:pPr>
        <w:widowControl/>
        <w:spacing w:line="312" w:lineRule="auto"/>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pStyle w:val="39"/>
        <w:wordWrap w:val="0"/>
        <w:spacing w:line="312" w:lineRule="auto"/>
        <w:ind w:firstLine="0" w:firstLineChars="0"/>
        <w:jc w:val="right"/>
        <w:rPr>
          <w:rFonts w:hint="eastAsia" w:ascii="宋体" w:eastAsia="宋体" w:cs="宋体"/>
          <w:color w:val="auto"/>
          <w:sz w:val="21"/>
          <w:szCs w:val="21"/>
          <w:highlight w:val="none"/>
        </w:rPr>
        <w:sectPr>
          <w:pgSz w:w="16838" w:h="11906" w:orient="landscape"/>
          <w:pgMar w:top="1134" w:right="1389" w:bottom="1417" w:left="1389" w:header="851" w:footer="992" w:gutter="283"/>
          <w:cols w:space="720" w:num="1"/>
          <w:docGrid w:linePitch="312" w:charSpace="0"/>
        </w:sectPr>
      </w:pPr>
      <w:r>
        <w:rPr>
          <w:rFonts w:hint="eastAsia" w:ascii="宋体" w:eastAsia="宋体" w:cs="宋体"/>
          <w:color w:val="auto"/>
          <w:sz w:val="21"/>
          <w:szCs w:val="21"/>
          <w:highlight w:val="none"/>
        </w:rPr>
        <w:t xml:space="preserve">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2" w:name="_Toc29283"/>
      <w:r>
        <w:rPr>
          <w:rFonts w:hint="eastAsia" w:ascii="宋体" w:hAnsi="宋体" w:cs="宋体"/>
          <w:b/>
          <w:color w:val="auto"/>
          <w:szCs w:val="21"/>
          <w:highlight w:val="none"/>
        </w:rPr>
        <w:t>7 商务技术偏离说明表</w:t>
      </w:r>
      <w:bookmarkEnd w:id="122"/>
    </w:p>
    <w:p>
      <w:pPr>
        <w:pStyle w:val="13"/>
        <w:rPr>
          <w:color w:val="auto"/>
          <w:highlight w:val="none"/>
        </w:rPr>
      </w:pPr>
    </w:p>
    <w:tbl>
      <w:tblPr>
        <w:tblStyle w:val="28"/>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9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r>
              <w:rPr>
                <w:rFonts w:hint="eastAsia" w:ascii="宋体" w:hAnsi="宋体" w:cs="宋体"/>
                <w:b/>
                <w:color w:val="auto"/>
                <w:szCs w:val="21"/>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货物名称/型号</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bl>
    <w:p>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color w:val="auto"/>
          <w:kern w:val="0"/>
          <w:szCs w:val="21"/>
          <w:highlight w:val="none"/>
        </w:rPr>
      </w:pPr>
    </w:p>
    <w:p>
      <w:pPr>
        <w:spacing w:line="360" w:lineRule="auto"/>
        <w:ind w:right="420"/>
        <w:rPr>
          <w:rFonts w:hint="eastAsia" w:ascii="宋体" w:hAnsi="宋体" w:cs="宋体"/>
          <w:b/>
          <w:color w:val="auto"/>
          <w:szCs w:val="21"/>
          <w:highlight w:val="none"/>
        </w:rPr>
      </w:pPr>
      <w:r>
        <w:rPr>
          <w:rFonts w:hint="eastAsia" w:ascii="宋体" w:hAnsi="宋体" w:cs="宋体"/>
          <w:color w:val="auto"/>
          <w:szCs w:val="21"/>
          <w:highlight w:val="none"/>
        </w:rPr>
        <w:t>注：按本格式和要求提供。</w:t>
      </w:r>
    </w:p>
    <w:p>
      <w:pPr>
        <w:adjustRightInd w:val="0"/>
        <w:snapToGrid w:val="0"/>
        <w:spacing w:line="312" w:lineRule="auto"/>
        <w:ind w:left="482" w:hanging="482"/>
        <w:jc w:val="left"/>
        <w:rPr>
          <w:rFonts w:hint="eastAsia" w:ascii="宋体" w:hAnsi="宋体" w:cs="宋体"/>
          <w:color w:val="auto"/>
          <w:szCs w:val="21"/>
          <w:highlight w:val="none"/>
        </w:rPr>
      </w:pPr>
    </w:p>
    <w:p>
      <w:pPr>
        <w:pStyle w:val="12"/>
        <w:spacing w:line="312" w:lineRule="auto"/>
        <w:rPr>
          <w:color w:val="auto"/>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pStyle w:val="16"/>
        <w:spacing w:line="312" w:lineRule="auto"/>
        <w:ind w:firstLine="5880" w:firstLineChars="2800"/>
        <w:rPr>
          <w:rFonts w:hint="eastAsia" w:hAnsi="宋体" w:cs="宋体"/>
          <w:b/>
          <w:bCs/>
          <w:color w:val="auto"/>
          <w:szCs w:val="21"/>
          <w:highlight w:val="none"/>
        </w:rPr>
      </w:pPr>
      <w:r>
        <w:rPr>
          <w:rFonts w:hint="eastAsia" w:hAnsi="宋体" w:cs="宋体"/>
          <w:color w:val="auto"/>
          <w:szCs w:val="21"/>
          <w:highlight w:val="none"/>
        </w:rPr>
        <w:t>日  期 ：</w:t>
      </w:r>
    </w:p>
    <w:p>
      <w:pPr>
        <w:pStyle w:val="16"/>
        <w:spacing w:line="312" w:lineRule="auto"/>
        <w:ind w:firstLine="630" w:firstLineChars="300"/>
        <w:rPr>
          <w:rFonts w:hint="eastAsia"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3" w:name="_Toc13203"/>
      <w:r>
        <w:rPr>
          <w:rFonts w:hint="eastAsia" w:ascii="宋体" w:hAnsi="宋体" w:cs="宋体"/>
          <w:b/>
          <w:color w:val="auto"/>
          <w:szCs w:val="21"/>
          <w:highlight w:val="none"/>
        </w:rPr>
        <w:t>四、报价文件</w:t>
      </w:r>
      <w:bookmarkEnd w:id="123"/>
    </w:p>
    <w:p>
      <w:pPr>
        <w:snapToGrid w:val="0"/>
        <w:spacing w:before="120" w:beforeLines="50" w:after="120" w:afterLines="50" w:line="312" w:lineRule="auto"/>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4" w:name="_Toc4729"/>
      <w:r>
        <w:rPr>
          <w:rFonts w:hint="eastAsia" w:ascii="宋体" w:hAnsi="宋体" w:cs="宋体"/>
          <w:b/>
          <w:color w:val="auto"/>
          <w:szCs w:val="21"/>
          <w:highlight w:val="none"/>
        </w:rPr>
        <w:t>目录</w:t>
      </w:r>
      <w:bookmarkEnd w:id="124"/>
    </w:p>
    <w:p>
      <w:pPr>
        <w:spacing w:line="360" w:lineRule="auto"/>
        <w:jc w:val="center"/>
        <w:outlineLvl w:val="0"/>
        <w:rPr>
          <w:rFonts w:hint="eastAsia" w:ascii="仿宋" w:hAnsi="仿宋" w:eastAsia="仿宋" w:cs="仿宋"/>
          <w:b/>
          <w:color w:val="auto"/>
          <w:kern w:val="0"/>
          <w:sz w:val="36"/>
          <w:szCs w:val="36"/>
          <w:highlight w:val="none"/>
        </w:rPr>
      </w:pPr>
    </w:p>
    <w:p>
      <w:pPr>
        <w:pStyle w:val="26"/>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（1）开标一览表（报价表）………………………………………………………（页码）</w:t>
      </w:r>
    </w:p>
    <w:p>
      <w:pPr>
        <w:pStyle w:val="26"/>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（2）投标廉洁承诺书………………………………………………………………（页码）</w:t>
      </w:r>
    </w:p>
    <w:p>
      <w:pPr>
        <w:pStyle w:val="26"/>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（3）落实政府采购政策相应资料（</w:t>
      </w:r>
      <w:r>
        <w:rPr>
          <w:rFonts w:hint="eastAsia" w:ascii="宋体" w:hAnsi="宋体" w:eastAsia="宋体" w:cs="宋体"/>
          <w:b w:val="0"/>
          <w:bCs w:val="0"/>
          <w:color w:val="auto"/>
          <w:sz w:val="21"/>
          <w:szCs w:val="21"/>
          <w:highlight w:val="none"/>
          <w:lang w:val="en-US" w:eastAsia="zh-CN"/>
        </w:rPr>
        <w:t>如有，格式</w:t>
      </w:r>
      <w:r>
        <w:rPr>
          <w:rFonts w:hint="eastAsia" w:ascii="宋体" w:hAnsi="宋体" w:eastAsia="宋体" w:cs="宋体"/>
          <w:b w:val="0"/>
          <w:bCs w:val="0"/>
          <w:color w:val="auto"/>
          <w:sz w:val="21"/>
          <w:szCs w:val="21"/>
          <w:highlight w:val="none"/>
        </w:rPr>
        <w:t>见第七章附件）………………（页码）</w:t>
      </w: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5" w:name="_Toc16153"/>
    </w:p>
    <w:p>
      <w:pPr>
        <w:snapToGrid w:val="0"/>
        <w:spacing w:before="120" w:beforeLines="50" w:after="120" w:afterLines="50"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1 开标一览表</w:t>
      </w:r>
      <w:bookmarkEnd w:id="125"/>
    </w:p>
    <w:p>
      <w:pPr>
        <w:pStyle w:val="16"/>
        <w:spacing w:line="312" w:lineRule="auto"/>
        <w:rPr>
          <w:rFonts w:hint="eastAsia" w:hAnsi="宋体" w:cs="宋体"/>
          <w:color w:val="auto"/>
          <w:szCs w:val="21"/>
          <w:highlight w:val="none"/>
        </w:rPr>
      </w:pPr>
    </w:p>
    <w:p>
      <w:pPr>
        <w:pStyle w:val="16"/>
        <w:spacing w:line="312" w:lineRule="auto"/>
        <w:ind w:firstLine="420" w:firstLineChars="200"/>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项目名称：</w:t>
      </w:r>
    </w:p>
    <w:p>
      <w:pPr>
        <w:pStyle w:val="16"/>
        <w:spacing w:line="312" w:lineRule="auto"/>
        <w:ind w:firstLine="420" w:firstLineChars="200"/>
        <w:rPr>
          <w:rFonts w:hint="eastAsia" w:hAnsi="宋体" w:cs="宋体"/>
          <w:bCs/>
          <w:color w:val="auto"/>
          <w:szCs w:val="21"/>
          <w:highlight w:val="none"/>
        </w:rPr>
      </w:pPr>
      <w:r>
        <w:rPr>
          <w:rFonts w:hint="eastAsia" w:ascii="黑体" w:hAnsi="黑体" w:eastAsia="黑体" w:cs="黑体"/>
          <w:bCs/>
          <w:color w:val="auto"/>
          <w:szCs w:val="21"/>
          <w:highlight w:val="none"/>
        </w:rPr>
        <w:t>招标编号：</w:t>
      </w:r>
      <w:r>
        <w:rPr>
          <w:rFonts w:hint="eastAsia" w:hAnsi="宋体" w:cs="宋体"/>
          <w:bCs/>
          <w:color w:val="auto"/>
          <w:szCs w:val="21"/>
          <w:highlight w:val="none"/>
        </w:rPr>
        <w:t xml:space="preserve">   </w:t>
      </w:r>
    </w:p>
    <w:p>
      <w:pPr>
        <w:pStyle w:val="16"/>
        <w:spacing w:line="312" w:lineRule="auto"/>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                                                        </w:t>
      </w:r>
    </w:p>
    <w:tbl>
      <w:tblPr>
        <w:tblStyle w:val="28"/>
        <w:tblW w:w="8250" w:type="dxa"/>
        <w:tblInd w:w="4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520"/>
        <w:gridCol w:w="3476"/>
        <w:gridCol w:w="1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3476"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内容</w:t>
            </w:r>
          </w:p>
        </w:tc>
        <w:tc>
          <w:tcPr>
            <w:tcW w:w="156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一</w:t>
            </w:r>
          </w:p>
        </w:tc>
        <w:tc>
          <w:tcPr>
            <w:tcW w:w="2520" w:type="dxa"/>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投标服务费率</w:t>
            </w:r>
            <w:r>
              <w:rPr>
                <w:rFonts w:hint="eastAsia" w:ascii="宋体" w:hAnsi="宋体"/>
                <w:color w:val="auto"/>
                <w:szCs w:val="21"/>
                <w:highlight w:val="none"/>
              </w:rPr>
              <w:t>（</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大写：</w:t>
            </w:r>
          </w:p>
        </w:tc>
        <w:tc>
          <w:tcPr>
            <w:tcW w:w="1564" w:type="dxa"/>
            <w:vMerge w:val="restart"/>
            <w:tcBorders>
              <w:top w:val="single" w:color="auto" w:sz="4" w:space="0"/>
              <w:left w:val="single" w:color="auto" w:sz="8"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69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小写：</w:t>
            </w:r>
          </w:p>
        </w:tc>
        <w:tc>
          <w:tcPr>
            <w:tcW w:w="1564" w:type="dxa"/>
            <w:vMerge w:val="continue"/>
            <w:tcBorders>
              <w:left w:val="single" w:color="auto" w:sz="8"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10" w:type="dxa"/>
            <w:gridSpan w:val="2"/>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040" w:type="dxa"/>
            <w:gridSpan w:val="2"/>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p>
        </w:tc>
      </w:tr>
    </w:tbl>
    <w:p>
      <w:pPr>
        <w:spacing w:before="120" w:beforeLines="50" w:line="312" w:lineRule="auto"/>
        <w:ind w:right="-21" w:rightChars="-10" w:firstLine="420" w:firstLineChars="200"/>
        <w:rPr>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报价</w:t>
      </w:r>
      <w:r>
        <w:rPr>
          <w:rFonts w:hint="eastAsia" w:ascii="宋体" w:hAnsi="宋体" w:cs="宋体"/>
          <w:color w:val="auto"/>
          <w:highlight w:val="none"/>
        </w:rPr>
        <w:t>应为供应商提供本项目采购范围内的货物和服务所需的一切费用。</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服务费率最高限价10%。</w:t>
      </w:r>
    </w:p>
    <w:p>
      <w:pPr>
        <w:spacing w:line="360" w:lineRule="auto"/>
        <w:rPr>
          <w:rFonts w:hint="eastAsia" w:ascii="宋体" w:hAnsi="宋体" w:cs="宋体"/>
          <w:strike/>
          <w:color w:val="auto"/>
          <w:highlight w:val="none"/>
        </w:rPr>
      </w:pPr>
      <w:r>
        <w:rPr>
          <w:rFonts w:hint="eastAsia" w:ascii="宋体" w:hAnsi="宋体" w:cs="宋体"/>
          <w:color w:val="auto"/>
          <w:highlight w:val="none"/>
        </w:rPr>
        <w:t>3、投标人在投标客户端填写的最终报价应当与加密上传的报价文件中“开标一览表”的投标总价一致，否则以上传文件开标一览表中的报价为准，并对客户端报价进行修正。</w:t>
      </w:r>
    </w:p>
    <w:p>
      <w:pPr>
        <w:pStyle w:val="16"/>
        <w:spacing w:line="312" w:lineRule="auto"/>
        <w:rPr>
          <w:rFonts w:hint="eastAsia" w:hAnsi="宋体" w:cs="宋体"/>
          <w:color w:val="auto"/>
          <w:szCs w:val="21"/>
          <w:highlight w:val="none"/>
        </w:rPr>
      </w:pPr>
    </w:p>
    <w:p>
      <w:pPr>
        <w:pStyle w:val="16"/>
        <w:spacing w:line="312" w:lineRule="auto"/>
        <w:rPr>
          <w:rFonts w:hint="eastAsia"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6" w:name="_Toc26416"/>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投标廉洁承诺书</w:t>
      </w:r>
      <w:bookmarkEnd w:id="118"/>
      <w:bookmarkEnd w:id="126"/>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8"/>
        <w:rPr>
          <w:rFonts w:hint="eastAsia" w:cs="宋体"/>
          <w:color w:val="auto"/>
          <w:szCs w:val="21"/>
          <w:highlight w:val="none"/>
        </w:rPr>
      </w:pPr>
    </w:p>
    <w:p>
      <w:pPr>
        <w:pStyle w:val="38"/>
        <w:rPr>
          <w:rFonts w:hint="eastAsia" w:cs="宋体"/>
          <w:color w:val="auto"/>
          <w:szCs w:val="21"/>
          <w:highlight w:val="none"/>
        </w:rPr>
      </w:pP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adjustRightInd w:val="0"/>
        <w:snapToGrid w:val="0"/>
        <w:spacing w:line="700" w:lineRule="exact"/>
        <w:ind w:firstLine="3780" w:firstLineChars="1800"/>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cs="宋体"/>
          <w:color w:val="auto"/>
          <w:szCs w:val="21"/>
          <w:highlight w:val="none"/>
        </w:rPr>
      </w:pPr>
      <w:r>
        <w:rPr>
          <w:rFonts w:hint="eastAsia" w:ascii="宋体" w:hAnsi="宋体" w:cs="宋体"/>
          <w:color w:val="auto"/>
          <w:szCs w:val="21"/>
          <w:highlight w:val="none"/>
        </w:rPr>
        <w:t xml:space="preserve">本次投标项目：                  </w:t>
      </w: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p>
    <w:p>
      <w:pPr>
        <w:adjustRightInd w:val="0"/>
        <w:snapToGrid w:val="0"/>
        <w:spacing w:line="312" w:lineRule="auto"/>
        <w:ind w:firstLine="420" w:firstLineChars="200"/>
        <w:rPr>
          <w:rFonts w:hint="eastAsia" w:ascii="宋体" w:hAnsi="宋体" w:cs="宋体"/>
          <w:color w:val="auto"/>
          <w:szCs w:val="21"/>
          <w:highlight w:val="none"/>
        </w:rPr>
      </w:pPr>
    </w:p>
    <w:p>
      <w:pPr>
        <w:snapToGrid w:val="0"/>
        <w:spacing w:line="312" w:lineRule="auto"/>
        <w:jc w:val="center"/>
        <w:outlineLvl w:val="0"/>
        <w:rPr>
          <w:rFonts w:hint="eastAsia" w:ascii="宋体" w:hAnsi="宋体" w:cs="宋体"/>
          <w:bCs/>
          <w:color w:val="auto"/>
          <w:szCs w:val="21"/>
          <w:highlight w:val="none"/>
          <w:lang w:val="zh-CN"/>
        </w:rPr>
      </w:pPr>
      <w:bookmarkStart w:id="127" w:name="_Toc350256317"/>
      <w:bookmarkStart w:id="128" w:name="_Toc8789"/>
      <w:bookmarkStart w:id="129" w:name="_Toc354401539"/>
      <w:bookmarkStart w:id="130" w:name="_Toc316887628"/>
      <w:bookmarkStart w:id="131" w:name="_Toc322352986"/>
    </w:p>
    <w:p>
      <w:pPr>
        <w:pStyle w:val="38"/>
        <w:rPr>
          <w:rFonts w:hint="eastAsia" w:cs="宋体"/>
          <w:color w:val="auto"/>
          <w:highlight w:val="none"/>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Cs/>
          <w:color w:val="auto"/>
          <w:szCs w:val="21"/>
          <w:highlight w:val="none"/>
        </w:rPr>
      </w:pPr>
      <w:bookmarkStart w:id="132" w:name="_Toc12236"/>
      <w:r>
        <w:rPr>
          <w:rFonts w:hint="eastAsia" w:ascii="宋体" w:hAnsi="宋体" w:cs="宋体"/>
          <w:b/>
          <w:color w:val="auto"/>
          <w:szCs w:val="21"/>
          <w:highlight w:val="none"/>
          <w:lang w:val="zh-CN"/>
        </w:rPr>
        <w:t>第六章</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zh-CN"/>
        </w:rPr>
        <w:t>评标办法及开标程序</w:t>
      </w:r>
      <w:bookmarkEnd w:id="127"/>
      <w:bookmarkEnd w:id="128"/>
      <w:bookmarkEnd w:id="129"/>
      <w:bookmarkEnd w:id="130"/>
      <w:bookmarkEnd w:id="131"/>
      <w:bookmarkEnd w:id="132"/>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3" w:name="_Toc27253"/>
      <w:bookmarkStart w:id="134" w:name="_Toc28916"/>
      <w:bookmarkStart w:id="135" w:name="_Toc21186"/>
      <w:r>
        <w:rPr>
          <w:rFonts w:hint="eastAsia" w:ascii="宋体" w:hAnsi="宋体" w:cs="宋体"/>
          <w:color w:val="auto"/>
          <w:szCs w:val="21"/>
          <w:highlight w:val="none"/>
          <w:lang w:val="zh-CN"/>
        </w:rPr>
        <w:t>一、评标委员会的组成</w:t>
      </w:r>
      <w:bookmarkEnd w:id="133"/>
      <w:bookmarkEnd w:id="134"/>
      <w:bookmarkEnd w:id="135"/>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1.评标委员会由5人及以上单数组成，由采购人依法组建。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于投标文件中含义不明确、同类问题表述不一致或者有明显文字和计算错误的内容，评标委员会将以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6" w:name="_Toc3720"/>
      <w:bookmarkStart w:id="137" w:name="_Toc7455"/>
      <w:bookmarkStart w:id="138" w:name="_Toc15843"/>
      <w:r>
        <w:rPr>
          <w:rFonts w:hint="eastAsia" w:ascii="宋体" w:hAnsi="宋体" w:cs="宋体"/>
          <w:color w:val="auto"/>
          <w:szCs w:val="21"/>
          <w:highlight w:val="none"/>
          <w:lang w:val="zh-CN"/>
        </w:rPr>
        <w:t>二、评标原则</w:t>
      </w:r>
      <w:bookmarkEnd w:id="136"/>
      <w:bookmarkEnd w:id="137"/>
      <w:bookmarkEnd w:id="138"/>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1.投标人得分由技术商务分和报价分合计组成，满分为100分。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2.技术商务分与报价分合计得分最高者为第一中标候选人，总分相同时，价格低者优先，</w:t>
      </w:r>
      <w:r>
        <w:rPr>
          <w:rFonts w:hint="eastAsia" w:ascii="宋体" w:hAnsi="宋体" w:cs="宋体"/>
          <w:color w:val="auto"/>
          <w:szCs w:val="21"/>
          <w:highlight w:val="none"/>
          <w:lang w:val="zh-CN"/>
        </w:rPr>
        <w:t>若最高总得分与报价均相同时，由采购人当场随机抽签选定第一中标候选人</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9" w:name="_Toc4702"/>
      <w:bookmarkStart w:id="140" w:name="_Toc2500"/>
      <w:bookmarkStart w:id="141" w:name="_Toc6886"/>
      <w:r>
        <w:rPr>
          <w:rFonts w:hint="eastAsia" w:ascii="宋体" w:hAnsi="宋体" w:cs="宋体"/>
          <w:color w:val="auto"/>
          <w:szCs w:val="21"/>
          <w:highlight w:val="none"/>
          <w:lang w:val="zh-CN"/>
        </w:rPr>
        <w:t>三、注意事项</w:t>
      </w:r>
      <w:bookmarkEnd w:id="139"/>
      <w:bookmarkEnd w:id="140"/>
      <w:bookmarkEnd w:id="141"/>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60" w:lineRule="auto"/>
        <w:ind w:left="425"/>
        <w:outlineLvl w:val="1"/>
        <w:rPr>
          <w:rFonts w:hint="eastAsia" w:ascii="宋体" w:hAnsi="宋体" w:cs="宋体"/>
          <w:color w:val="auto"/>
          <w:szCs w:val="21"/>
          <w:highlight w:val="none"/>
        </w:rPr>
      </w:pPr>
      <w:bookmarkStart w:id="142" w:name="_Toc554"/>
      <w:bookmarkStart w:id="143" w:name="_Toc19716"/>
      <w:bookmarkStart w:id="144" w:name="_Toc13406"/>
      <w:r>
        <w:rPr>
          <w:rFonts w:hint="eastAsia" w:ascii="宋体" w:hAnsi="宋体" w:cs="宋体"/>
          <w:color w:val="auto"/>
          <w:szCs w:val="21"/>
          <w:highlight w:val="none"/>
          <w:lang w:val="zh-CN"/>
        </w:rPr>
        <w:t>四、评</w:t>
      </w:r>
      <w:bookmarkEnd w:id="142"/>
      <w:bookmarkEnd w:id="143"/>
      <w:bookmarkEnd w:id="144"/>
      <w:r>
        <w:rPr>
          <w:rFonts w:hint="eastAsia" w:ascii="宋体" w:hAnsi="宋体" w:cs="宋体"/>
          <w:color w:val="auto"/>
          <w:szCs w:val="21"/>
          <w:highlight w:val="none"/>
        </w:rPr>
        <w:t>审内容</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hint="eastAsia"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2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7"/>
              </w:numPr>
              <w:spacing w:line="360" w:lineRule="auto"/>
              <w:jc w:val="left"/>
              <w:rPr>
                <w:rFonts w:hint="eastAsia"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7"/>
              </w:numPr>
              <w:spacing w:line="360" w:lineRule="auto"/>
              <w:jc w:val="left"/>
              <w:rPr>
                <w:rFonts w:hint="eastAsia"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（三）落实政府采购政策需满足的资格要求：</w:t>
            </w: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auto"/>
                <w:highlight w:val="none"/>
              </w:rPr>
            </w:pPr>
            <w:r>
              <w:rPr>
                <w:rFonts w:hint="eastAsia" w:ascii="宋体" w:hAnsi="宋体" w:cs="宋体"/>
                <w:color w:val="auto"/>
                <w:highlight w:val="none"/>
              </w:rPr>
              <w:t>（四）本项目接受联合体投标。</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28"/>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72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（商务技术文件）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（五）带“</w:t>
            </w:r>
            <w:r>
              <w:rPr>
                <w:rFonts w:hint="eastAsia" w:ascii="宋体" w:hAnsi="宋体" w:cs="宋体"/>
                <w:color w:val="auto"/>
                <w:szCs w:val="21"/>
                <w:highlight w:val="none"/>
              </w:rPr>
              <w:t>▲</w:t>
            </w:r>
            <w:r>
              <w:rPr>
                <w:rFonts w:hint="eastAsia" w:ascii="宋体" w:hAnsi="宋体" w:cs="宋体"/>
                <w:color w:val="auto"/>
                <w:highlight w:val="none"/>
              </w:rPr>
              <w:t>”的条款满足采购文件要求、已实质性响应采购文件要求且投标文件无采购人不能接受的附加条件的；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hint="eastAsia" w:ascii="宋体" w:hAnsi="宋体" w:cs="宋体"/>
                <w:color w:val="auto"/>
                <w:highlight w:val="none"/>
              </w:rPr>
            </w:pPr>
            <w:r>
              <w:rPr>
                <w:rFonts w:hint="eastAsia" w:ascii="宋体" w:hAnsi="宋体" w:cs="宋体"/>
                <w:color w:val="auto"/>
                <w:highlight w:val="none"/>
              </w:rPr>
              <w:t>（报价文件）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（八）商务技术得分低于商务技术总分60%的；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（九）不存在法律、法规和采购文件规定的其他无效情形；</w:t>
            </w:r>
          </w:p>
        </w:tc>
      </w:tr>
    </w:tbl>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r>
        <w:rPr>
          <w:rFonts w:hint="eastAsia" w:ascii="宋体" w:hAnsi="宋体" w:cs="宋体"/>
          <w:b/>
          <w:color w:val="auto"/>
          <w:highlight w:val="none"/>
        </w:rPr>
        <w:t>（三）评分标准</w:t>
      </w:r>
      <w:bookmarkStart w:id="145" w:name="_Toc13363"/>
      <w:bookmarkStart w:id="146" w:name="_Toc356371476"/>
      <w:bookmarkStart w:id="147" w:name="_Toc3287"/>
      <w:bookmarkStart w:id="148" w:name="_Toc25225"/>
    </w:p>
    <w:tbl>
      <w:tblPr>
        <w:tblStyle w:val="28"/>
        <w:tblpPr w:leftFromText="180" w:rightFromText="180" w:vertAnchor="text" w:horzAnchor="page" w:tblpXSpec="center" w:tblpY="417"/>
        <w:tblOverlap w:val="never"/>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0"/>
        <w:gridCol w:w="1652"/>
        <w:gridCol w:w="643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资信部分</w:t>
            </w: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1.医疗责任保险类似业绩</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投标人自2022年以来具有同类医疗责任保险项目合同，每提供一份得0.5分，本项最高得1分。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（注：投标文件中须提供合同复印件或保单复印件，否则不得分。）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restart"/>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2.综合偿付能力充足率</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投标人总公司2024年度第四季度综合偿付能力充足率，以投标单位官网公开披露信息为准。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1.综合偿付能力充足率≥230%的，得10分；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2.230%＞综合偿付能力充足率≥210%的，得8分；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3.210%＞综合偿付能力充足率≥190%的，得6分；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4.190%＞综合偿付能力充足率≥170%的，得4分；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170%＞综合偿付能力充足率≥150%的，得2分；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6.综合偿付能力充足率&lt;150%的，得0分。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（提供相关书面证明材料复印件编入商务技术文件，否则不得分。）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9" w:name="OLE_LINK6"/>
            <w:r>
              <w:rPr>
                <w:rFonts w:hint="eastAsia" w:ascii="宋体" w:hAnsi="宋体" w:eastAsia="宋体" w:cs="宋体"/>
                <w:color w:val="auto"/>
                <w:sz w:val="21"/>
                <w:szCs w:val="21"/>
                <w:highlight w:val="none"/>
              </w:rPr>
              <w:t>报案受理方案</w:t>
            </w:r>
            <w:bookmarkEnd w:id="149"/>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6433" w:type="dxa"/>
            <w:noWrap w:val="0"/>
            <w:vAlign w:val="top"/>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1.报案受理方案条理清晰，受理时间预算安排详细、跨度短且对本项目实施有推进作用的，科学合理、切实可行，不漏项且有针对性解释说明，得10分；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2.提供的方案比较全面，有针对性解释说明，得8分；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3.提供的方案基本全面，有针对性解释说明，得5分；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4.提供的方案不全面，有针对性解释说明，得3分；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5.提供的方案不全面，没有解释说明，得1分；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6.未提供不得分。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4.沟通方案</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6433" w:type="dxa"/>
            <w:noWrap w:val="0"/>
            <w:vAlign w:val="top"/>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1.参与调解，处置纠纷的沟通方式及方案详细，科学合理、切实可行，不漏项且有针对性解释说明，得10分；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2.提供的方案比较全面，有针对性解释说明，得8分；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3.提供的方案基本全面，有针对性解释说明，得5分；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4.提供的方案不全面，有针对性解释说明，得3分；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5.提供的方案不全面，没有解释说明，得1分；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6.未提供不得分。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5.上门服务处理事件方案</w:t>
            </w:r>
          </w:p>
        </w:tc>
        <w:tc>
          <w:tcPr>
            <w:tcW w:w="6433" w:type="dxa"/>
            <w:noWrap w:val="0"/>
            <w:vAlign w:val="top"/>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1.上门收集材料处理事件方案详细、速度快，科学合理、切实可行，不漏项且有针对性解释说明，得10分；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2.提供的方案比较全面，有针对性解释说明，得8分；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3.提供的方案基本全面，有针对性解释说明，得5分；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4.提供的方案不全面，有针对性解释说明，得3分；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5.提供的方案不全面，没有解释说明，得1分；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6.未提供不得分。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vMerge w:val="restart"/>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bookmarkStart w:id="150" w:name="OLE_LINK7"/>
            <w:r>
              <w:rPr>
                <w:rFonts w:hint="eastAsia" w:ascii="宋体" w:hAnsi="宋体" w:eastAsia="宋体" w:cs="宋体"/>
                <w:color w:val="auto"/>
                <w:sz w:val="21"/>
                <w:szCs w:val="21"/>
                <w:highlight w:val="none"/>
              </w:rPr>
              <w:t>人员配备方案</w:t>
            </w:r>
            <w:bookmarkEnd w:id="150"/>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6.1投标人为本项目配备资深专业调解员1人，得3分。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深调解员需具备医师职业资格证，投标文件中须提供医师职业资格证复印件，否则不得分。注：投标文件中须提供最近三个月内任意一个月投标人为上述人员缴纳社保的证明材料复印件编入商务技术文件，否则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6.2投标人为本项目配备其它服务人员每增加1人得1分，最高得5分。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（注：投标文件中须提供最近三个月内任意一个月投标人为上述人员缴纳社保的证明材料复印件编入商务技术文件，否则不得分。）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6.3投标人拟投入本项目的专职理赔服务人员在2人的基础上，每增加1人的加1分，本项最高得5分。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（注：投标文件中须提供最近三个月内任意一个月投标人为上述人员缴纳社保的证明材料复印件编入商务技术文件，否则不得分。）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7.案件查勘、处理响应速度</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投标人服务方案中承诺接到报案电话后，在30分钟（不含）以内派出查勘人员赶赴现场查勘调解的，得5分；在60分钟（不含）以内派出查勘人员赶赴现场查勘调解的，得3分。未提供相关承诺的不得分。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8.理赔时效</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按投标人服务方案中承诺的赔付义务履行时效打分：承诺15个工作日内赔付的得5分；承诺30个工作日内赔付的得3分；承诺30个工作日或以上赔付的得1分。未提供相关承诺的不得分。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9.管理制度</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根据投标人针对本项目制定的各项管理制度综合打分：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1.人员行为规范管理制度最高2分。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2.财务制度最高2分。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3.档案管理制度最高2分。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4.员工廉政制度最高2分。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5.应急突发事件管理制度最高2分。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（注：1.每项制度科学合理、可行性强的得2分；较科学合理、可行性较强的得1分，未提供不得分。）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10.培训服务</w:t>
            </w:r>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对投保人、被保险人提供合理的、覆盖面广的保险业务告知和专业培训，确保投保人、被保险人充分知晓、了解本保险，理解保险、理赔流程等，根据投标文件中计划安排的培训次数、内容、质量培训服务综合打分：1.培训次数、内容、质量培训服务内容满足项目需求、合理、可行性有助于本项目实施，科学合理、切实可行，不漏项且有针对性解释说明，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2.提供的方案比较全面，有针对性解释说明，得6分；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3.提供的方案基本全面，有针对性解释说明，得4分；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4.提供的方案不全面，有针对性解释说明，得2分；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5.提供的方案不全面，没有解释说明，得1分；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6.未提供不得分。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bookmarkStart w:id="151" w:name="OLE_LINK8"/>
            <w:r>
              <w:rPr>
                <w:rFonts w:hint="eastAsia" w:ascii="宋体" w:hAnsi="宋体" w:eastAsia="宋体" w:cs="宋体"/>
                <w:color w:val="auto"/>
                <w:sz w:val="21"/>
                <w:szCs w:val="21"/>
                <w:highlight w:val="none"/>
              </w:rPr>
              <w:t>追溯期</w:t>
            </w:r>
            <w:bookmarkEnd w:id="151"/>
          </w:p>
        </w:tc>
        <w:tc>
          <w:tcPr>
            <w:tcW w:w="6433"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追溯期承诺情况：</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1.供应商在投标文件中承诺的追溯期≥5年的，得8分；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2.5年＞供应商在投标文件中承诺的追溯期≥4年的，得5分；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2.4年＞供应商在投标文件中承诺的追溯期≥3年的，得3分；</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3.未提供相关承诺不得分。</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0"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tc>
        <w:tc>
          <w:tcPr>
            <w:tcW w:w="1652" w:type="dxa"/>
            <w:noWrap w:val="0"/>
            <w:vAlign w:val="center"/>
          </w:tcPr>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12.投标报价</w:t>
            </w:r>
          </w:p>
        </w:tc>
        <w:tc>
          <w:tcPr>
            <w:tcW w:w="6433" w:type="dxa"/>
            <w:noWrap w:val="0"/>
            <w:vAlign w:val="center"/>
          </w:tcPr>
          <w:p>
            <w:pPr>
              <w:keepNext w:val="0"/>
              <w:keepLines w:val="0"/>
              <w:pageBreakBefore w:val="0"/>
              <w:widowControl w:val="0"/>
              <w:kinsoku/>
              <w:wordWrap/>
              <w:overflowPunct/>
              <w:topLinePunct w:val="0"/>
              <w:autoSpaceDE/>
              <w:autoSpaceDN/>
              <w:bidi w:val="0"/>
              <w:snapToGrid/>
              <w:spacing w:line="360" w:lineRule="auto"/>
              <w:ind w:right="-21" w:rightChars="-10"/>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有效投标报价的最低价作为评标基准价，其最低报价为满分</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0分；按［投标报价得分=（评标基准价/投标报价）*100*</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0%］的计算公式计算。</w:t>
            </w:r>
          </w:p>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859"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分</w:t>
            </w:r>
          </w:p>
        </w:tc>
      </w:tr>
    </w:tbl>
    <w:p>
      <w:pPr>
        <w:keepNext w:val="0"/>
        <w:keepLines w:val="0"/>
        <w:pageBreakBefore w:val="0"/>
        <w:kinsoku/>
        <w:overflowPunct/>
        <w:topLinePunct w:val="0"/>
        <w:autoSpaceDE w:val="0"/>
        <w:autoSpaceDN w:val="0"/>
        <w:bidi w:val="0"/>
        <w:adjustRightInd w:val="0"/>
        <w:snapToGrid w:val="0"/>
        <w:spacing w:line="360" w:lineRule="auto"/>
        <w:ind w:left="425"/>
        <w:outlineLvl w:val="1"/>
        <w:rPr>
          <w:rFonts w:hint="eastAsia" w:ascii="宋体" w:hAnsi="宋体" w:cs="宋体"/>
          <w:color w:val="auto"/>
          <w:szCs w:val="21"/>
          <w:highlight w:val="none"/>
          <w:lang w:val="zh-CN"/>
        </w:rPr>
      </w:pPr>
      <w:r>
        <w:rPr>
          <w:rFonts w:hint="eastAsia" w:ascii="宋体" w:hAnsi="宋体" w:cs="宋体"/>
          <w:color w:val="auto"/>
          <w:szCs w:val="21"/>
          <w:highlight w:val="none"/>
          <w:lang w:val="zh-CN"/>
        </w:rPr>
        <w:t>五、开评标</w:t>
      </w:r>
      <w:bookmarkEnd w:id="145"/>
      <w:bookmarkEnd w:id="146"/>
      <w:bookmarkEnd w:id="147"/>
      <w:bookmarkEnd w:id="148"/>
      <w:r>
        <w:rPr>
          <w:rFonts w:hint="eastAsia" w:ascii="宋体" w:hAnsi="宋体" w:cs="宋体"/>
          <w:color w:val="auto"/>
          <w:szCs w:val="21"/>
          <w:highlight w:val="none"/>
        </w:rPr>
        <w:t>流程</w:t>
      </w:r>
    </w:p>
    <w:p>
      <w:pPr>
        <w:snapToGrid w:val="0"/>
        <w:spacing w:line="360" w:lineRule="auto"/>
        <w:ind w:firstLine="420" w:firstLineChars="200"/>
        <w:rPr>
          <w:rFonts w:hint="eastAsia" w:ascii="宋体" w:hAnsi="宋体" w:cs="宋体"/>
          <w:color w:val="auto"/>
          <w:szCs w:val="21"/>
          <w:highlight w:val="none"/>
        </w:rPr>
      </w:pPr>
      <w:bookmarkStart w:id="152" w:name="_Toc31486"/>
      <w:r>
        <w:rPr>
          <w:rFonts w:hint="eastAsia" w:ascii="宋体" w:hAnsi="宋体" w:cs="宋体"/>
          <w:color w:val="auto"/>
          <w:szCs w:val="21"/>
          <w:highlight w:val="none"/>
        </w:rPr>
        <w:t>1.开标第一阶段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（2）投标文件解密结束，各投标人通过邮件形式发送已签署《政府采购活动现场确认声明书》（见第七章 附件）；</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备注：开标的第一阶段结束后，采购人或采购代理机构将对依法对投标供应商的资格进行审查，资格审查结束后进入符合性审查和商务技术的评审工作，具体见本章节“资格条件审查”相关规定。</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2.开标第二阶段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政采云平台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方正小标宋_GBK" w:hAnsi="方正小标宋_GBK" w:eastAsia="方正小标宋_GBK" w:cs="方正小标宋_GBK"/>
          <w:bCs/>
          <w:color w:val="auto"/>
          <w:szCs w:val="21"/>
          <w:highlight w:val="none"/>
          <w:lang w:val="zh-CN"/>
        </w:rPr>
      </w:pPr>
      <w:r>
        <w:rPr>
          <w:rFonts w:hint="eastAsia" w:ascii="宋体" w:hAnsi="宋体" w:cs="宋体"/>
          <w:color w:val="auto"/>
          <w:kern w:val="0"/>
          <w:szCs w:val="21"/>
          <w:highlight w:val="none"/>
        </w:rPr>
        <w:t>特别说明：如遇“政府采购云平台”电子化开标或评审程序调整的，按调整后程序执行。</w:t>
      </w:r>
      <w:bookmarkEnd w:id="152"/>
      <w:bookmarkStart w:id="153" w:name="_Toc18528"/>
    </w:p>
    <w:p>
      <w:pPr>
        <w:rPr>
          <w:rFonts w:hint="eastAsia" w:ascii="方正小标宋_GBK" w:hAnsi="方正小标宋_GBK" w:eastAsia="方正小标宋_GBK" w:cs="方正小标宋_GBK"/>
          <w:bCs/>
          <w:color w:val="auto"/>
          <w:szCs w:val="21"/>
          <w:highlight w:val="none"/>
          <w:lang w:val="zh-CN"/>
        </w:rPr>
      </w:pPr>
      <w:r>
        <w:rPr>
          <w:rFonts w:hint="eastAsia" w:ascii="方正小标宋_GBK" w:hAnsi="方正小标宋_GBK" w:eastAsia="方正小标宋_GBK" w:cs="方正小标宋_GBK"/>
          <w:bCs/>
          <w:color w:val="auto"/>
          <w:szCs w:val="21"/>
          <w:highlight w:val="none"/>
          <w:lang w:val="zh-CN"/>
        </w:rPr>
        <w:br w:type="page"/>
      </w: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rPr>
      </w:pPr>
      <w:r>
        <w:rPr>
          <w:rFonts w:hint="eastAsia" w:ascii="方正小标宋_GBK" w:hAnsi="方正小标宋_GBK" w:eastAsia="方正小标宋_GBK" w:cs="方正小标宋_GBK"/>
          <w:bCs/>
          <w:color w:val="auto"/>
          <w:szCs w:val="21"/>
          <w:highlight w:val="none"/>
          <w:lang w:val="zh-CN"/>
        </w:rPr>
        <w:t xml:space="preserve">第七章 </w:t>
      </w:r>
      <w:r>
        <w:rPr>
          <w:rFonts w:hint="eastAsia" w:ascii="方正小标宋_GBK" w:hAnsi="方正小标宋_GBK" w:eastAsia="方正小标宋_GBK" w:cs="方正小标宋_GBK"/>
          <w:bCs/>
          <w:color w:val="auto"/>
          <w:szCs w:val="21"/>
          <w:highlight w:val="none"/>
        </w:rPr>
        <w:t xml:space="preserve"> 附件</w:t>
      </w:r>
      <w:bookmarkEnd w:id="153"/>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附件1：质疑函范本及制作说明</w:t>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36"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cs="宋体"/>
          <w:b/>
          <w:color w:val="auto"/>
          <w:spacing w:val="6"/>
          <w:szCs w:val="21"/>
          <w:highlight w:val="none"/>
        </w:rPr>
      </w:pPr>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附件2：投诉书范本及制作说明</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spacing w:line="360" w:lineRule="auto"/>
        <w:jc w:val="center"/>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autoSpaceDE w:val="0"/>
        <w:autoSpaceDN w:val="0"/>
        <w:spacing w:line="360" w:lineRule="auto"/>
        <w:jc w:val="center"/>
        <w:rPr>
          <w:rFonts w:hint="eastAsia" w:ascii="宋体" w:hAnsi="宋体" w:cs="宋体"/>
          <w:b/>
          <w:bCs/>
          <w:color w:val="auto"/>
          <w:szCs w:val="21"/>
          <w:highlight w:val="none"/>
        </w:rPr>
      </w:pPr>
      <w:r>
        <w:rPr>
          <w:rFonts w:hint="eastAsia" w:ascii="宋体" w:hAnsi="宋体" w:cs="宋体"/>
          <w:b/>
          <w:color w:val="auto"/>
          <w:spacing w:val="6"/>
          <w:szCs w:val="21"/>
          <w:highlight w:val="none"/>
        </w:rPr>
        <w:t>附件3：</w:t>
      </w:r>
      <w:r>
        <w:rPr>
          <w:rFonts w:hint="eastAsia" w:ascii="宋体" w:hAnsi="宋体" w:cs="宋体"/>
          <w:b/>
          <w:bCs/>
          <w:color w:val="auto"/>
          <w:szCs w:val="21"/>
          <w:highlight w:val="none"/>
        </w:rPr>
        <w:t>业务专用章使用说明函</w:t>
      </w:r>
    </w:p>
    <w:p>
      <w:pPr>
        <w:spacing w:line="360" w:lineRule="auto"/>
        <w:rPr>
          <w:rFonts w:hint="eastAsia" w:ascii="宋体" w:hAnsi="宋体" w:cs="宋体"/>
          <w:color w:val="auto"/>
          <w:szCs w:val="21"/>
          <w:highlight w:val="none"/>
          <w:u w:val="single"/>
        </w:rPr>
      </w:pPr>
    </w:p>
    <w:p>
      <w:pPr>
        <w:adjustRightIn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right="480"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pPr>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pPr>
        <w:rPr>
          <w:rFonts w:hint="eastAsia" w:ascii="宋体" w:hAnsi="宋体" w:cs="宋体"/>
          <w:color w:val="auto"/>
          <w:szCs w:val="21"/>
          <w:highlight w:val="none"/>
        </w:rPr>
      </w:pPr>
      <w:r>
        <w:rPr>
          <w:rFonts w:hint="eastAsia" w:ascii="宋体" w:hAnsi="宋体" w:cs="宋体"/>
          <w:b/>
          <w:bCs/>
          <w:color w:val="auto"/>
          <w:szCs w:val="21"/>
          <w:highlight w:val="none"/>
        </w:rPr>
        <w:t>附：</w:t>
      </w:r>
    </w:p>
    <w:p>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3"/>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p>
    <w:p>
      <w:pPr>
        <w:pStyle w:val="3"/>
        <w:rPr>
          <w:rFonts w:hint="eastAsia" w:ascii="宋体" w:hAnsi="宋体" w:cs="宋体"/>
          <w:b/>
          <w:color w:val="auto"/>
          <w:spacing w:val="6"/>
          <w:szCs w:val="21"/>
          <w:highlight w:val="none"/>
        </w:rPr>
      </w:pPr>
    </w:p>
    <w:p>
      <w:pPr>
        <w:rPr>
          <w:rFonts w:hint="eastAsia"/>
          <w:color w:val="auto"/>
          <w:highlight w:val="none"/>
        </w:rPr>
      </w:pPr>
      <w:r>
        <w:rPr>
          <w:rFonts w:hint="eastAsia"/>
          <w:color w:val="auto"/>
          <w:highlight w:val="none"/>
        </w:rPr>
        <w:br w:type="page"/>
      </w:r>
    </w:p>
    <w:p>
      <w:pPr>
        <w:autoSpaceDE w:val="0"/>
        <w:autoSpaceDN w:val="0"/>
        <w:jc w:val="center"/>
        <w:rPr>
          <w:rFonts w:hint="eastAsia" w:ascii="宋体" w:hAnsi="宋体" w:cs="宋体"/>
          <w:b/>
          <w:color w:val="auto"/>
          <w:kern w:val="0"/>
          <w:sz w:val="20"/>
          <w:szCs w:val="20"/>
          <w:highlight w:val="none"/>
          <w:lang w:val="zh-CN"/>
        </w:rPr>
      </w:pPr>
      <w:r>
        <w:rPr>
          <w:rFonts w:hint="eastAsia" w:ascii="宋体" w:hAnsi="宋体" w:cs="宋体"/>
          <w:b/>
          <w:color w:val="auto"/>
          <w:spacing w:val="6"/>
          <w:sz w:val="20"/>
          <w:szCs w:val="20"/>
          <w:highlight w:val="none"/>
        </w:rPr>
        <w:t>附件4：</w:t>
      </w:r>
      <w:r>
        <w:rPr>
          <w:rFonts w:hint="eastAsia" w:ascii="宋体" w:hAnsi="宋体" w:cs="宋体"/>
          <w:b/>
          <w:color w:val="auto"/>
          <w:kern w:val="0"/>
          <w:sz w:val="20"/>
          <w:szCs w:val="20"/>
          <w:highlight w:val="none"/>
          <w:lang w:val="zh-CN"/>
        </w:rPr>
        <w:t>联合协议</w:t>
      </w:r>
    </w:p>
    <w:p>
      <w:pPr>
        <w:widowControl/>
        <w:adjustRightInd w:val="0"/>
        <w:spacing w:line="336" w:lineRule="auto"/>
        <w:ind w:firstLine="402" w:firstLineChars="200"/>
        <w:jc w:val="left"/>
        <w:rPr>
          <w:rFonts w:hint="eastAsia" w:ascii="宋体" w:hAnsi="宋体" w:cs="宋体"/>
          <w:b/>
          <w:color w:val="auto"/>
          <w:sz w:val="20"/>
          <w:szCs w:val="20"/>
          <w:highlight w:val="none"/>
        </w:rPr>
      </w:pPr>
      <w:r>
        <w:rPr>
          <w:rFonts w:hint="eastAsia" w:ascii="宋体" w:hAnsi="宋体" w:cs="宋体"/>
          <w:b/>
          <w:color w:val="auto"/>
          <w:sz w:val="20"/>
          <w:szCs w:val="20"/>
          <w:highlight w:val="none"/>
        </w:rPr>
        <w:t>（以联合体形式投标的，提供联合协议；若本项目不接受联合体投标或者投标人不以联合体形式投标的，则不需要提供）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（联合体所有成员名称）</w:t>
      </w:r>
      <w:r>
        <w:rPr>
          <w:rFonts w:hint="eastAsia" w:ascii="宋体" w:hAnsi="宋体" w:cs="宋体"/>
          <w:color w:val="auto"/>
          <w:kern w:val="0"/>
          <w:sz w:val="20"/>
          <w:szCs w:val="20"/>
          <w:highlight w:val="none"/>
        </w:rPr>
        <w:t>自愿</w:t>
      </w:r>
      <w:r>
        <w:rPr>
          <w:rFonts w:hint="eastAsia" w:ascii="宋体" w:hAnsi="宋体" w:cs="宋体"/>
          <w:color w:val="auto"/>
          <w:kern w:val="0"/>
          <w:sz w:val="20"/>
          <w:szCs w:val="20"/>
          <w:highlight w:val="none"/>
          <w:lang w:val="zh-CN"/>
        </w:rPr>
        <w:t>组成一个联合体，以一个投标人的身份</w:t>
      </w:r>
      <w:r>
        <w:rPr>
          <w:rFonts w:hint="eastAsia" w:ascii="宋体" w:hAnsi="宋体" w:cs="宋体"/>
          <w:color w:val="auto"/>
          <w:kern w:val="0"/>
          <w:sz w:val="20"/>
          <w:szCs w:val="20"/>
          <w:highlight w:val="none"/>
        </w:rPr>
        <w:t>参加</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投标。 </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一、各方一致决定，</w:t>
      </w:r>
      <w:r>
        <w:rPr>
          <w:rFonts w:hint="eastAsia" w:ascii="宋体" w:hAnsi="宋体" w:cs="宋体"/>
          <w:color w:val="auto"/>
          <w:kern w:val="0"/>
          <w:sz w:val="20"/>
          <w:szCs w:val="20"/>
          <w:highlight w:val="none"/>
          <w:u w:val="single"/>
        </w:rPr>
        <w:t>（某联合体成员名称）</w:t>
      </w:r>
      <w:r>
        <w:rPr>
          <w:rFonts w:hint="eastAsia" w:ascii="宋体" w:hAnsi="宋体" w:cs="宋体"/>
          <w:color w:val="auto"/>
          <w:kern w:val="0"/>
          <w:sz w:val="20"/>
          <w:szCs w:val="20"/>
          <w:highlight w:val="none"/>
        </w:rPr>
        <w:t>为联合体</w:t>
      </w:r>
      <w:r>
        <w:rPr>
          <w:rFonts w:hint="eastAsia" w:ascii="宋体" w:hAnsi="宋体" w:cs="宋体"/>
          <w:color w:val="auto"/>
          <w:kern w:val="0"/>
          <w:sz w:val="20"/>
          <w:szCs w:val="20"/>
          <w:highlight w:val="none"/>
          <w:lang w:val="zh-CN"/>
        </w:rPr>
        <w:t>牵头人</w:t>
      </w:r>
      <w:r>
        <w:rPr>
          <w:rFonts w:hint="eastAsia" w:ascii="宋体" w:hAnsi="宋体" w:cs="宋体"/>
          <w:color w:val="auto"/>
          <w:sz w:val="20"/>
          <w:szCs w:val="20"/>
          <w:highlight w:val="none"/>
        </w:rPr>
        <w:t>，代表所有联合体成员负责投标和合同实施阶段的主办、协调工作</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w:t>
      </w:r>
      <w:r>
        <w:rPr>
          <w:rFonts w:hint="eastAsia" w:ascii="宋体" w:hAnsi="宋体" w:cs="宋体"/>
          <w:color w:val="auto"/>
          <w:sz w:val="20"/>
          <w:szCs w:val="20"/>
          <w:highlight w:val="none"/>
        </w:rPr>
        <w:t>所有联合体成员各方签署授权书，授权书载明的</w:t>
      </w:r>
      <w:r>
        <w:rPr>
          <w:rFonts w:hint="eastAsia" w:ascii="宋体" w:hAnsi="宋体" w:cs="宋体"/>
          <w:color w:val="auto"/>
          <w:kern w:val="0"/>
          <w:sz w:val="20"/>
          <w:szCs w:val="20"/>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三、本次联合投标中，分工如下：</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（联合体成员1）</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（联合体成员2）</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四、联合体成员中小企业合同份额。</w:t>
      </w:r>
    </w:p>
    <w:p>
      <w:pPr>
        <w:adjustRightInd w:val="0"/>
        <w:snapToGrid w:val="0"/>
        <w:spacing w:line="336"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lang w:val="zh-CN"/>
        </w:rPr>
        <w:t>1、</w:t>
      </w:r>
      <w:r>
        <w:rPr>
          <w:rFonts w:hint="eastAsia" w:ascii="宋体" w:hAnsi="宋体" w:cs="宋体"/>
          <w:color w:val="auto"/>
          <w:kern w:val="0"/>
          <w:sz w:val="20"/>
          <w:szCs w:val="20"/>
          <w:highlight w:val="none"/>
          <w:u w:val="single"/>
        </w:rPr>
        <w:t>（</w:t>
      </w:r>
      <w:bookmarkStart w:id="154" w:name="_Hlk101131882"/>
      <w:r>
        <w:rPr>
          <w:rFonts w:hint="eastAsia" w:ascii="宋体" w:hAnsi="宋体" w:cs="宋体"/>
          <w:color w:val="auto"/>
          <w:kern w:val="0"/>
          <w:sz w:val="20"/>
          <w:szCs w:val="20"/>
          <w:highlight w:val="none"/>
          <w:u w:val="single"/>
        </w:rPr>
        <w:t>联合体成员X,……</w:t>
      </w:r>
      <w:bookmarkEnd w:id="154"/>
      <w:r>
        <w:rPr>
          <w:rFonts w:hint="eastAsia" w:ascii="宋体" w:hAnsi="宋体" w:cs="宋体"/>
          <w:color w:val="auto"/>
          <w:kern w:val="0"/>
          <w:sz w:val="20"/>
          <w:szCs w:val="20"/>
          <w:highlight w:val="none"/>
          <w:u w:val="single"/>
        </w:rPr>
        <w:t>）</w:t>
      </w:r>
      <w:r>
        <w:rPr>
          <w:rFonts w:hint="eastAsia" w:ascii="宋体" w:hAnsi="宋体" w:cs="宋体"/>
          <w:color w:val="auto"/>
          <w:kern w:val="0"/>
          <w:sz w:val="20"/>
          <w:szCs w:val="20"/>
          <w:highlight w:val="none"/>
        </w:rPr>
        <w:t>提供的服务由小微企业承接，其合同份额占到合同总金额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kern w:val="0"/>
          <w:sz w:val="20"/>
          <w:szCs w:val="20"/>
          <w:highlight w:val="none"/>
          <w:lang w:val="zh-CN"/>
        </w:rPr>
        <w:t>。</w:t>
      </w:r>
      <w:r>
        <w:rPr>
          <w:rFonts w:hint="eastAsia" w:ascii="宋体" w:hAnsi="宋体" w:cs="宋体"/>
          <w:b/>
          <w:color w:val="auto"/>
          <w:kern w:val="0"/>
          <w:sz w:val="20"/>
          <w:szCs w:val="20"/>
          <w:highlight w:val="none"/>
          <w:lang w:val="zh-CN"/>
        </w:rPr>
        <w:t>（</w:t>
      </w:r>
      <w:bookmarkStart w:id="155" w:name="_Hlk101133598"/>
      <w:r>
        <w:rPr>
          <w:rFonts w:hint="eastAsia" w:ascii="宋体" w:hAnsi="宋体" w:cs="宋体"/>
          <w:b/>
          <w:color w:val="auto"/>
          <w:kern w:val="0"/>
          <w:sz w:val="20"/>
          <w:szCs w:val="2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0"/>
          <w:szCs w:val="20"/>
          <w:highlight w:val="none"/>
        </w:rPr>
        <w:t>拟享受以上价格扣除政策的，填写有关内容。</w:t>
      </w:r>
      <w:bookmarkEnd w:id="155"/>
      <w:r>
        <w:rPr>
          <w:rFonts w:hint="eastAsia" w:ascii="宋体" w:hAnsi="宋体" w:cs="宋体"/>
          <w:b/>
          <w:color w:val="auto"/>
          <w:kern w:val="0"/>
          <w:sz w:val="20"/>
          <w:szCs w:val="20"/>
          <w:highlight w:val="none"/>
          <w:lang w:val="zh-CN"/>
        </w:rPr>
        <w:t>）</w:t>
      </w:r>
    </w:p>
    <w:p>
      <w:pPr>
        <w:adjustRightInd w:val="0"/>
        <w:spacing w:line="336"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w:t>
      </w:r>
      <w:bookmarkStart w:id="156" w:name="_Hlk101133173"/>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0"/>
          <w:szCs w:val="20"/>
          <w:highlight w:val="none"/>
          <w:lang w:val="zh-CN"/>
        </w:rPr>
        <w:t>）</w:t>
      </w:r>
      <w:bookmarkEnd w:id="156"/>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五、如果中标，</w:t>
      </w:r>
      <w:r>
        <w:rPr>
          <w:rFonts w:hint="eastAsia" w:ascii="宋体" w:hAnsi="宋体" w:cs="宋体"/>
          <w:color w:val="auto"/>
          <w:sz w:val="20"/>
          <w:szCs w:val="20"/>
          <w:highlight w:val="none"/>
        </w:rPr>
        <w:t>联合体各成员方共同与采购人签订合同，并就采购合同约定的事项对采购人承担连带责任。</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六、有关本次联合投标的其他事宜：</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1、联合体各方不再单独参加或者与其他供应商另外组成联合体参加同一合同项下的政府采购活动。</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2、联合体中有同类资质的各方按照联合体分工承担相同工作的，按照资质等级较低的供应商确定资质等级。</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3、本协议提交采购人、采购代理机构后，联合体各方不得以任何形式对上述内容进行修改或撤销。</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jc w:val="right"/>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日期：  年  月   日</w:t>
      </w:r>
    </w:p>
    <w:p>
      <w:pPr>
        <w:adjustRightInd w:val="0"/>
        <w:spacing w:line="336"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napToGrid w:val="0"/>
        <w:spacing w:line="360" w:lineRule="auto"/>
        <w:jc w:val="center"/>
        <w:rPr>
          <w:rFonts w:hint="eastAsia" w:ascii="宋体" w:hAnsi="宋体" w:cs="宋体"/>
          <w:b/>
          <w:color w:val="auto"/>
          <w:kern w:val="0"/>
          <w:sz w:val="20"/>
          <w:szCs w:val="20"/>
          <w:highlight w:val="none"/>
        </w:rPr>
      </w:pPr>
      <w:r>
        <w:rPr>
          <w:rFonts w:hint="eastAsia" w:ascii="宋体" w:hAnsi="宋体" w:cs="宋体"/>
          <w:b/>
          <w:color w:val="auto"/>
          <w:spacing w:val="6"/>
          <w:sz w:val="20"/>
          <w:szCs w:val="20"/>
          <w:highlight w:val="none"/>
        </w:rPr>
        <w:t>附件5：</w:t>
      </w:r>
      <w:r>
        <w:rPr>
          <w:rFonts w:hint="eastAsia" w:ascii="宋体" w:hAnsi="宋体" w:cs="宋体"/>
          <w:b/>
          <w:color w:val="auto"/>
          <w:kern w:val="0"/>
          <w:sz w:val="20"/>
          <w:szCs w:val="20"/>
          <w:highlight w:val="none"/>
        </w:rPr>
        <w:t>分包意向协议</w:t>
      </w:r>
    </w:p>
    <w:p>
      <w:pPr>
        <w:widowControl/>
        <w:spacing w:line="360" w:lineRule="auto"/>
        <w:ind w:firstLine="100" w:firstLineChars="5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b/>
          <w:color w:val="auto"/>
          <w:sz w:val="20"/>
          <w:szCs w:val="20"/>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0"/>
          <w:szCs w:val="20"/>
          <w:highlight w:val="none"/>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若成为</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的中标供应商，将依法采取分包方式履行合同。</w:t>
      </w: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rPr>
        <w:t>与</w:t>
      </w:r>
      <w:r>
        <w:rPr>
          <w:rFonts w:hint="eastAsia" w:ascii="宋体" w:hAnsi="宋体" w:cs="宋体"/>
          <w:color w:val="auto"/>
          <w:kern w:val="0"/>
          <w:sz w:val="20"/>
          <w:szCs w:val="20"/>
          <w:highlight w:val="none"/>
          <w:u w:val="single"/>
        </w:rPr>
        <w:t>（所有分包供应商名称）</w:t>
      </w:r>
      <w:r>
        <w:rPr>
          <w:rFonts w:hint="eastAsia" w:ascii="宋体" w:hAnsi="宋体" w:cs="宋体"/>
          <w:color w:val="auto"/>
          <w:kern w:val="0"/>
          <w:sz w:val="20"/>
          <w:szCs w:val="20"/>
          <w:highlight w:val="none"/>
        </w:rPr>
        <w:t>达成分包意向协议</w:t>
      </w:r>
      <w:r>
        <w:rPr>
          <w:rFonts w:hint="eastAsia" w:ascii="宋体" w:hAnsi="宋体" w:cs="宋体"/>
          <w:color w:val="auto"/>
          <w:kern w:val="0"/>
          <w:sz w:val="20"/>
          <w:szCs w:val="20"/>
          <w:highlight w:val="none"/>
          <w:lang w:val="zh-CN"/>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一、分包标的及数量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将</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u w:val="single"/>
        </w:rPr>
        <w:t xml:space="preserve"> XX工作内容   </w:t>
      </w:r>
      <w:r>
        <w:rPr>
          <w:rFonts w:hint="eastAsia" w:ascii="宋体" w:hAnsi="宋体" w:cs="宋体"/>
          <w:color w:val="auto"/>
          <w:sz w:val="20"/>
          <w:szCs w:val="20"/>
          <w:highlight w:val="none"/>
        </w:rPr>
        <w:t>分包给</w:t>
      </w:r>
      <w:r>
        <w:rPr>
          <w:rFonts w:hint="eastAsia" w:ascii="宋体" w:hAnsi="宋体" w:cs="宋体"/>
          <w:color w:val="auto"/>
          <w:kern w:val="0"/>
          <w:sz w:val="20"/>
          <w:szCs w:val="20"/>
          <w:highlight w:val="none"/>
          <w:u w:val="single"/>
        </w:rPr>
        <w:t>（分包供应商1名称）</w:t>
      </w:r>
      <w:r>
        <w:rPr>
          <w:rFonts w:hint="eastAsia" w:ascii="宋体" w:hAnsi="宋体" w:cs="宋体"/>
          <w:color w:val="auto"/>
          <w:kern w:val="0"/>
          <w:sz w:val="20"/>
          <w:szCs w:val="20"/>
          <w:highlight w:val="none"/>
          <w:lang w:val="zh-CN"/>
        </w:rPr>
        <w:t>，</w:t>
      </w:r>
      <w:r>
        <w:rPr>
          <w:rFonts w:hint="eastAsia" w:ascii="宋体" w:hAnsi="宋体" w:cs="宋体"/>
          <w:color w:val="auto"/>
          <w:kern w:val="0"/>
          <w:sz w:val="20"/>
          <w:szCs w:val="20"/>
          <w:highlight w:val="none"/>
          <w:u w:val="single"/>
        </w:rPr>
        <w:t>（分包供应商2名称），</w:t>
      </w:r>
      <w:r>
        <w:rPr>
          <w:rFonts w:hint="eastAsia" w:ascii="宋体" w:hAnsi="宋体" w:cs="宋体"/>
          <w:color w:val="auto"/>
          <w:kern w:val="0"/>
          <w:sz w:val="20"/>
          <w:szCs w:val="20"/>
          <w:highlight w:val="none"/>
          <w:lang w:val="zh-CN"/>
        </w:rPr>
        <w:t>具备承</w:t>
      </w:r>
      <w:r>
        <w:rPr>
          <w:rFonts w:hint="eastAsia" w:ascii="宋体" w:hAnsi="宋体" w:cs="宋体"/>
          <w:color w:val="auto"/>
          <w:kern w:val="0"/>
          <w:sz w:val="20"/>
          <w:szCs w:val="20"/>
          <w:highlight w:val="none"/>
        </w:rPr>
        <w:t>担</w:t>
      </w:r>
      <w:r>
        <w:rPr>
          <w:rFonts w:hint="eastAsia" w:ascii="宋体" w:hAnsi="宋体" w:cs="宋体"/>
          <w:color w:val="auto"/>
          <w:kern w:val="0"/>
          <w:sz w:val="20"/>
          <w:szCs w:val="20"/>
          <w:highlight w:val="none"/>
          <w:u w:val="single"/>
          <w:lang w:val="zh-CN"/>
        </w:rPr>
        <w:t>XX工作内容</w:t>
      </w:r>
      <w:r>
        <w:rPr>
          <w:rFonts w:hint="eastAsia" w:ascii="宋体" w:hAnsi="宋体" w:cs="宋体"/>
          <w:color w:val="auto"/>
          <w:kern w:val="0"/>
          <w:sz w:val="20"/>
          <w:szCs w:val="20"/>
          <w:highlight w:val="none"/>
          <w:lang w:val="zh-CN"/>
        </w:rPr>
        <w:t>相应资质条件且不得再次分包；</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二、分包供应商中小企业合同份额</w:t>
      </w:r>
    </w:p>
    <w:p>
      <w:pPr>
        <w:snapToGrid w:val="0"/>
        <w:spacing w:line="360"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u w:val="single"/>
        </w:rPr>
        <w:t>（分包供应商X,……）提供的服务全部由小微企业承接，</w:t>
      </w:r>
      <w:r>
        <w:rPr>
          <w:rFonts w:hint="eastAsia" w:ascii="宋体" w:hAnsi="宋体" w:cs="宋体"/>
          <w:color w:val="auto"/>
          <w:kern w:val="0"/>
          <w:sz w:val="20"/>
          <w:szCs w:val="20"/>
          <w:highlight w:val="none"/>
        </w:rPr>
        <w:t>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sz w:val="20"/>
          <w:szCs w:val="20"/>
          <w:highlight w:val="none"/>
        </w:rPr>
        <w:t>。</w:t>
      </w:r>
      <w:r>
        <w:rPr>
          <w:rFonts w:hint="eastAsia" w:ascii="宋体" w:hAnsi="宋体" w:cs="宋体"/>
          <w:b/>
          <w:color w:val="auto"/>
          <w:kern w:val="0"/>
          <w:sz w:val="20"/>
          <w:szCs w:val="2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0"/>
          <w:szCs w:val="20"/>
          <w:highlight w:val="none"/>
        </w:rPr>
        <w:t>拟享受以上价格扣除政策的，填写有关内容。</w:t>
      </w:r>
      <w:r>
        <w:rPr>
          <w:rFonts w:hint="eastAsia" w:ascii="宋体" w:hAnsi="宋体" w:cs="宋体"/>
          <w:b/>
          <w:color w:val="auto"/>
          <w:kern w:val="0"/>
          <w:sz w:val="20"/>
          <w:szCs w:val="20"/>
          <w:highlight w:val="none"/>
          <w:lang w:val="zh-CN"/>
        </w:rPr>
        <w:t>）</w:t>
      </w:r>
    </w:p>
    <w:p>
      <w:pPr>
        <w:spacing w:line="360"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要求合同分包形式参加的项目或采购包，供应商按招标文件第一部分招标公告申请人的资格要求中规定的</w:t>
      </w:r>
      <w:r>
        <w:rPr>
          <w:rFonts w:hint="eastAsia" w:ascii="宋体" w:hAnsi="宋体" w:cs="宋体"/>
          <w:b/>
          <w:color w:val="auto"/>
          <w:kern w:val="0"/>
          <w:sz w:val="20"/>
          <w:szCs w:val="20"/>
          <w:highlight w:val="none"/>
          <w:lang w:val="zh-CN"/>
        </w:rPr>
        <w:t>分包意向协议</w:t>
      </w:r>
      <w:r>
        <w:rPr>
          <w:rFonts w:hint="eastAsia" w:ascii="宋体" w:hAnsi="宋体" w:cs="宋体"/>
          <w:b/>
          <w:bCs/>
          <w:color w:val="auto"/>
          <w:sz w:val="20"/>
          <w:szCs w:val="20"/>
          <w:highlight w:val="none"/>
        </w:rPr>
        <w:t>中中小企业、小微企业合同金额应当达到的比例要求填写。</w:t>
      </w:r>
      <w:r>
        <w:rPr>
          <w:rFonts w:hint="eastAsia" w:ascii="宋体" w:hAnsi="宋体" w:cs="宋体"/>
          <w:b/>
          <w:bCs/>
          <w:color w:val="auto"/>
          <w:kern w:val="0"/>
          <w:sz w:val="20"/>
          <w:szCs w:val="20"/>
          <w:highlight w:val="none"/>
          <w:lang w:val="zh-CN"/>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三、分包工作履行期限、地点、方式</w:t>
      </w:r>
    </w:p>
    <w:p>
      <w:pPr>
        <w:snapToGrid w:val="0"/>
        <w:spacing w:line="360" w:lineRule="auto"/>
        <w:ind w:firstLine="576"/>
        <w:rPr>
          <w:rFonts w:hint="eastAsia" w:ascii="宋体" w:hAnsi="宋体" w:cs="宋体"/>
          <w:color w:val="auto"/>
          <w:sz w:val="20"/>
          <w:szCs w:val="20"/>
          <w:highlight w:val="none"/>
          <w:u w:val="single"/>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四、质量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五、价款或者报酬</w:t>
      </w:r>
    </w:p>
    <w:p>
      <w:pPr>
        <w:snapToGrid w:val="0"/>
        <w:spacing w:line="360" w:lineRule="auto"/>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600" w:firstLineChars="3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六、违约责任</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七、争议解决的办法</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八、其他</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  。</w:t>
      </w:r>
    </w:p>
    <w:p>
      <w:pPr>
        <w:snapToGrid w:val="0"/>
        <w:spacing w:line="360" w:lineRule="auto"/>
        <w:ind w:left="4195" w:leftChars="855" w:hanging="2400" w:hangingChars="12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投标人名称(电子签名)：</w:t>
      </w:r>
    </w:p>
    <w:p>
      <w:pPr>
        <w:snapToGrid w:val="0"/>
        <w:spacing w:line="360" w:lineRule="auto"/>
        <w:jc w:val="center"/>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zh-CN"/>
        </w:rPr>
        <w:t>分包供应商名称(电子签名/公章)：</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日期：  年  月   日</w:t>
      </w:r>
    </w:p>
    <w:p>
      <w:pPr>
        <w:spacing w:line="360"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附件6：</w:t>
      </w:r>
      <w:bookmarkStart w:id="157" w:name="OLE_LINK14"/>
      <w:bookmarkStart w:id="158" w:name="OLE_LINK13"/>
      <w:r>
        <w:rPr>
          <w:rFonts w:hint="eastAsia" w:ascii="宋体" w:hAnsi="宋体" w:cs="宋体"/>
          <w:b/>
          <w:color w:val="auto"/>
          <w:spacing w:val="6"/>
          <w:szCs w:val="21"/>
          <w:highlight w:val="none"/>
        </w:rPr>
        <w:t>残疾人福利性单位声明函</w:t>
      </w:r>
    </w:p>
    <w:bookmarkEnd w:id="157"/>
    <w:bookmarkEnd w:id="158"/>
    <w:p>
      <w:pPr>
        <w:spacing w:line="360" w:lineRule="auto"/>
        <w:rPr>
          <w:rFonts w:hint="eastAsia" w:ascii="宋体" w:hAnsi="宋体" w:cs="宋体"/>
          <w:b/>
          <w:color w:val="auto"/>
          <w:spacing w:val="6"/>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(采购人)</w:t>
      </w:r>
      <w:r>
        <w:rPr>
          <w:rFonts w:hint="eastAsia" w:ascii="宋体" w:hAnsi="宋体" w:cs="宋体"/>
          <w:color w:val="auto"/>
          <w:szCs w:val="21"/>
          <w:highlight w:val="none"/>
        </w:rPr>
        <w:t>_单位的_</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12"/>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6"/>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 w:val="21"/>
          <w:szCs w:val="21"/>
          <w:highlight w:val="none"/>
        </w:rPr>
      </w:pPr>
    </w:p>
    <w:p>
      <w:pPr>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附件7：中小企业声明函</w:t>
      </w:r>
    </w:p>
    <w:p>
      <w:pPr>
        <w:jc w:val="center"/>
        <w:rPr>
          <w:color w:val="auto"/>
          <w:highlight w:val="none"/>
        </w:rPr>
      </w:pP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b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b w:val="0"/>
          <w:color w:val="auto"/>
          <w:sz w:val="21"/>
          <w:szCs w:val="21"/>
          <w:highlight w:val="none"/>
          <w:u w:val="single"/>
        </w:rPr>
        <w:t xml:space="preserve"> （单位名称）</w:t>
      </w:r>
      <w:r>
        <w:rPr>
          <w:rFonts w:hint="eastAsia" w:ascii="宋体" w:hAnsi="宋体" w:eastAsia="宋体"/>
          <w:b w:val="0"/>
          <w:color w:val="auto"/>
          <w:sz w:val="21"/>
          <w:szCs w:val="21"/>
          <w:highlight w:val="none"/>
        </w:rPr>
        <w:t xml:space="preserve"> 的 </w:t>
      </w:r>
      <w:r>
        <w:rPr>
          <w:rFonts w:hint="eastAsia" w:ascii="宋体" w:hAnsi="宋体" w:eastAsia="宋体"/>
          <w:b w:val="0"/>
          <w:color w:val="auto"/>
          <w:sz w:val="21"/>
          <w:szCs w:val="21"/>
          <w:highlight w:val="none"/>
          <w:u w:val="single"/>
        </w:rPr>
        <w:t>（项目名称）</w:t>
      </w:r>
      <w:r>
        <w:rPr>
          <w:rFonts w:hint="eastAsia" w:ascii="宋体" w:hAnsi="宋体" w:eastAsia="宋体"/>
          <w:b w:val="0"/>
          <w:color w:val="auto"/>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1. </w:t>
      </w:r>
      <w:r>
        <w:rPr>
          <w:rFonts w:hint="eastAsia" w:ascii="宋体" w:hAnsi="宋体" w:eastAsia="宋体"/>
          <w:b w:val="0"/>
          <w:color w:val="auto"/>
          <w:sz w:val="21"/>
          <w:szCs w:val="21"/>
          <w:highlight w:val="none"/>
          <w:u w:val="single"/>
        </w:rPr>
        <w:t xml:space="preserve">（标的名称） </w:t>
      </w:r>
      <w:r>
        <w:rPr>
          <w:rFonts w:hint="eastAsia" w:ascii="宋体" w:hAnsi="宋体" w:eastAsia="宋体"/>
          <w:b w:val="0"/>
          <w:color w:val="auto"/>
          <w:sz w:val="21"/>
          <w:szCs w:val="21"/>
          <w:highlight w:val="none"/>
        </w:rPr>
        <w:t xml:space="preserve">，属于 </w:t>
      </w:r>
      <w:r>
        <w:rPr>
          <w:rFonts w:hint="eastAsia" w:ascii="宋体" w:hAnsi="宋体" w:eastAsia="宋体"/>
          <w:b w:val="0"/>
          <w:color w:val="auto"/>
          <w:sz w:val="21"/>
          <w:szCs w:val="21"/>
          <w:highlight w:val="none"/>
          <w:u w:val="single"/>
        </w:rPr>
        <w:t>（采购文件中明确的所属行业）</w:t>
      </w:r>
      <w:r>
        <w:rPr>
          <w:rFonts w:hint="eastAsia" w:ascii="宋体" w:hAnsi="宋体" w:eastAsia="宋体"/>
          <w:b w:val="0"/>
          <w:color w:val="auto"/>
          <w:sz w:val="21"/>
          <w:szCs w:val="21"/>
          <w:highlight w:val="none"/>
        </w:rPr>
        <w:t xml:space="preserve"> ；承建（承接）企业为 </w:t>
      </w:r>
      <w:r>
        <w:rPr>
          <w:rFonts w:hint="eastAsia" w:ascii="宋体" w:hAnsi="宋体" w:eastAsia="宋体"/>
          <w:b w:val="0"/>
          <w:color w:val="auto"/>
          <w:sz w:val="21"/>
          <w:szCs w:val="21"/>
          <w:highlight w:val="none"/>
          <w:u w:val="single"/>
        </w:rPr>
        <w:t xml:space="preserve">（企业名称） </w:t>
      </w:r>
      <w:r>
        <w:rPr>
          <w:rFonts w:hint="eastAsia" w:ascii="宋体" w:hAnsi="宋体" w:eastAsia="宋体"/>
          <w:b w:val="0"/>
          <w:color w:val="auto"/>
          <w:sz w:val="21"/>
          <w:szCs w:val="21"/>
          <w:highlight w:val="none"/>
        </w:rPr>
        <w:t>，从业人员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 ，属于</w:t>
      </w:r>
      <w:r>
        <w:rPr>
          <w:rFonts w:hint="eastAsia" w:ascii="宋体" w:hAnsi="宋体" w:eastAsia="宋体"/>
          <w:b w:val="0"/>
          <w:color w:val="auto"/>
          <w:sz w:val="21"/>
          <w:szCs w:val="21"/>
          <w:highlight w:val="none"/>
          <w:u w:val="single"/>
        </w:rPr>
        <w:t xml:space="preserve"> （中型企业、小型企业、微型企业） </w:t>
      </w: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2. </w:t>
      </w:r>
      <w:r>
        <w:rPr>
          <w:rFonts w:hint="eastAsia" w:ascii="宋体" w:hAnsi="宋体" w:eastAsia="宋体"/>
          <w:b w:val="0"/>
          <w:color w:val="auto"/>
          <w:sz w:val="21"/>
          <w:szCs w:val="21"/>
          <w:highlight w:val="none"/>
          <w:u w:val="single"/>
        </w:rPr>
        <w:t>（标的名称）</w:t>
      </w:r>
      <w:r>
        <w:rPr>
          <w:rFonts w:hint="eastAsia" w:ascii="宋体" w:hAnsi="宋体" w:eastAsia="宋体"/>
          <w:b w:val="0"/>
          <w:color w:val="auto"/>
          <w:sz w:val="21"/>
          <w:szCs w:val="21"/>
          <w:highlight w:val="none"/>
        </w:rPr>
        <w:t xml:space="preserve"> ，属于 </w:t>
      </w:r>
      <w:r>
        <w:rPr>
          <w:rFonts w:hint="eastAsia" w:ascii="宋体" w:hAnsi="宋体" w:eastAsia="宋体"/>
          <w:b w:val="0"/>
          <w:color w:val="auto"/>
          <w:sz w:val="21"/>
          <w:szCs w:val="21"/>
          <w:highlight w:val="none"/>
          <w:u w:val="single"/>
        </w:rPr>
        <w:t xml:space="preserve">（采购文件中明确的所属行业） </w:t>
      </w:r>
      <w:r>
        <w:rPr>
          <w:rFonts w:hint="eastAsia" w:ascii="宋体" w:hAnsi="宋体" w:eastAsia="宋体"/>
          <w:b w:val="0"/>
          <w:color w:val="auto"/>
          <w:sz w:val="21"/>
          <w:szCs w:val="21"/>
          <w:highlight w:val="none"/>
        </w:rPr>
        <w:t>；承建（承接）企业为</w:t>
      </w:r>
      <w:r>
        <w:rPr>
          <w:rFonts w:hint="eastAsia" w:ascii="宋体" w:hAnsi="宋体" w:eastAsia="宋体"/>
          <w:b w:val="0"/>
          <w:color w:val="auto"/>
          <w:sz w:val="21"/>
          <w:szCs w:val="21"/>
          <w:highlight w:val="none"/>
          <w:u w:val="single"/>
        </w:rPr>
        <w:t xml:space="preserve"> （企业名称）</w:t>
      </w:r>
      <w:r>
        <w:rPr>
          <w:rFonts w:hint="eastAsia" w:ascii="宋体" w:hAnsi="宋体" w:eastAsia="宋体"/>
          <w:b w:val="0"/>
          <w:color w:val="auto"/>
          <w:sz w:val="21"/>
          <w:szCs w:val="21"/>
          <w:highlight w:val="none"/>
        </w:rPr>
        <w:t xml:space="preserve"> ，从业人员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 xml:space="preserve">万元，属于 </w:t>
      </w:r>
      <w:r>
        <w:rPr>
          <w:rFonts w:hint="eastAsia" w:ascii="宋体" w:hAnsi="宋体" w:eastAsia="宋体"/>
          <w:b w:val="0"/>
          <w:color w:val="auto"/>
          <w:sz w:val="21"/>
          <w:szCs w:val="21"/>
          <w:highlight w:val="none"/>
          <w:u w:val="single"/>
        </w:rPr>
        <w:t>（中型企业、小型企业、微型企业）</w:t>
      </w:r>
      <w:r>
        <w:rPr>
          <w:rFonts w:hint="eastAsia" w:ascii="宋体" w:hAnsi="宋体" w:eastAsia="宋体"/>
          <w:b w:val="0"/>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企业名称（盖章）：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bCs w:val="0"/>
          <w:color w:val="auto"/>
          <w:sz w:val="21"/>
          <w:szCs w:val="21"/>
          <w:highlight w:val="none"/>
        </w:rPr>
      </w:pPr>
      <w:r>
        <w:rPr>
          <w:rFonts w:hint="eastAsia" w:ascii="宋体" w:hAnsi="宋体" w:eastAsia="宋体"/>
          <w:b w:val="0"/>
          <w:color w:val="auto"/>
          <w:sz w:val="21"/>
          <w:szCs w:val="21"/>
          <w:highlight w:val="none"/>
        </w:rPr>
        <w:t>日 期：</w:t>
      </w:r>
      <w:r>
        <w:rPr>
          <w:rFonts w:ascii="宋体" w:hAnsi="宋体" w:eastAsia="宋体"/>
          <w:b w:val="0"/>
          <w:color w:val="auto"/>
          <w:sz w:val="21"/>
          <w:szCs w:val="21"/>
          <w:highlight w:val="none"/>
        </w:rPr>
        <w:t>            </w:t>
      </w:r>
      <w:r>
        <w:rPr>
          <w:rFonts w:hint="eastAsia" w:ascii="宋体" w:hAnsi="宋体" w:eastAsia="宋体"/>
          <w:b w:val="0"/>
          <w:color w:val="auto"/>
          <w:sz w:val="21"/>
          <w:szCs w:val="21"/>
          <w:highlight w:val="none"/>
        </w:rPr>
        <w:t>　　　　　</w:t>
      </w:r>
    </w:p>
    <w:p>
      <w:pPr>
        <w:spacing w:line="312" w:lineRule="auto"/>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 从业人员、营业收入、资产总额填报上一年度数据，无上一年度数据的新成立企业可不填报。</w:t>
      </w:r>
    </w:p>
    <w:p>
      <w:pPr>
        <w:spacing w:line="312" w:lineRule="auto"/>
        <w:rPr>
          <w:rFonts w:hint="eastAsia" w:ascii="宋体" w:hAnsi="宋体" w:eastAsia="宋体"/>
          <w:b w:val="0"/>
          <w:color w:val="auto"/>
          <w:sz w:val="21"/>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   注：</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12"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2017年12月28日</w:t>
      </w:r>
    </w:p>
    <w:p>
      <w:pPr>
        <w:pStyle w:val="12"/>
        <w:rPr>
          <w:rFonts w:hint="eastAsia" w:ascii="宋体" w:hAnsi="宋体" w:eastAsia="宋体" w:cs="宋体"/>
          <w:color w:val="auto"/>
          <w:sz w:val="21"/>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附表：统计上大中小微型企业划分标准</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统计上大中小微型企业划分标准</w:t>
      </w:r>
    </w:p>
    <w:tbl>
      <w:tblPr>
        <w:tblStyle w:val="28"/>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说明：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（3）资产总额，采用资产总计代替。</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一、修订背景</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二、修订主要内容</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w:t>
      </w:r>
    </w:p>
    <w:tbl>
      <w:tblPr>
        <w:tblStyle w:val="28"/>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货币金融服务</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非货币银行服务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银行业非存款类金融机构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贷款公司、小额贷款公司及典当行</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资本市场服务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证券业金融机构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其他金融业</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金融信托与管理服务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信托公司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控股公司服务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金融控股公司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其他未包括的金融业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除贷款公司、小额贷款公司及典当行以外的其他金融机构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bl>
    <w:p>
      <w:pPr>
        <w:rPr>
          <w:rFonts w:hint="eastAsia" w:ascii="宋体" w:hAnsi="宋体" w:cs="宋体"/>
          <w:color w:val="auto"/>
          <w:szCs w:val="21"/>
          <w:highlight w:val="none"/>
        </w:rPr>
      </w:pPr>
    </w:p>
    <w:p>
      <w:pPr>
        <w:ind w:firstLine="420" w:firstLineChars="200"/>
        <w:rPr>
          <w:rFonts w:hint="eastAsia" w:ascii="宋体" w:hAnsi="宋体" w:cs="宋体"/>
          <w:color w:val="auto"/>
          <w:szCs w:val="21"/>
          <w:highlight w:val="none"/>
        </w:rPr>
      </w:pPr>
    </w:p>
    <w:p>
      <w:pPr>
        <w:spacing w:line="360" w:lineRule="auto"/>
        <w:ind w:right="420"/>
        <w:rPr>
          <w:rFonts w:hint="eastAsia" w:ascii="宋体" w:hAnsi="宋体" w:cs="宋体"/>
          <w:color w:val="auto"/>
          <w:szCs w:val="21"/>
          <w:highlight w:val="none"/>
        </w:rPr>
      </w:pPr>
    </w:p>
    <w:p>
      <w:pPr>
        <w:spacing w:line="360" w:lineRule="auto"/>
        <w:rPr>
          <w:rFonts w:hint="eastAsia" w:ascii="宋体" w:hAnsi="宋体" w:cs="宋体"/>
          <w:bCs/>
          <w:color w:val="auto"/>
          <w:szCs w:val="21"/>
          <w:highlight w:val="none"/>
        </w:rPr>
      </w:pPr>
    </w:p>
    <w:p>
      <w:pPr>
        <w:rPr>
          <w:rFonts w:hint="eastAsia" w:ascii="宋体" w:hAnsi="宋体" w:cs="宋体"/>
          <w:color w:val="auto"/>
          <w:highlight w:val="none"/>
        </w:rPr>
      </w:pPr>
    </w:p>
    <w:p>
      <w:pPr>
        <w:pStyle w:val="5"/>
        <w:numPr>
          <w:ilvl w:val="4"/>
          <w:numId w:val="0"/>
        </w:numPr>
        <w:rPr>
          <w:color w:val="auto"/>
          <w:highlight w:val="none"/>
        </w:rPr>
      </w:pPr>
    </w:p>
    <w:p>
      <w:pPr>
        <w:pStyle w:val="5"/>
        <w:numPr>
          <w:ilvl w:val="4"/>
          <w:numId w:val="0"/>
        </w:numPr>
        <w:rPr>
          <w:color w:val="auto"/>
          <w:highlight w:val="none"/>
        </w:rPr>
      </w:pPr>
    </w:p>
    <w:p>
      <w:pPr>
        <w:rPr>
          <w:color w:val="auto"/>
          <w:highlight w:val="none"/>
        </w:rPr>
      </w:pPr>
      <w:r>
        <w:rPr>
          <w:color w:val="auto"/>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附件8 政府采购活动现场确认声明书</w:t>
      </w:r>
    </w:p>
    <w:p>
      <w:pPr>
        <w:snapToGrid w:val="0"/>
        <w:spacing w:before="120" w:beforeLines="50" w:after="50" w:line="276" w:lineRule="auto"/>
        <w:jc w:val="center"/>
        <w:rPr>
          <w:rFonts w:hint="eastAsia" w:ascii="宋体" w:hAnsi="宋体" w:cs="宋体"/>
          <w:color w:val="auto"/>
          <w:sz w:val="24"/>
          <w:highlight w:val="none"/>
        </w:rPr>
      </w:pPr>
      <w:r>
        <w:rPr>
          <w:rFonts w:hint="eastAsia" w:ascii="宋体" w:hAnsi="宋体" w:cs="宋体"/>
          <w:b/>
          <w:color w:val="auto"/>
          <w:kern w:val="0"/>
          <w:szCs w:val="21"/>
          <w:highlight w:val="none"/>
        </w:rPr>
        <w:t>政府采购活动现场确认声明书</w:t>
      </w:r>
    </w:p>
    <w:p>
      <w:pPr>
        <w:snapToGrid w:val="0"/>
        <w:spacing w:line="360" w:lineRule="auto"/>
        <w:rPr>
          <w:rFonts w:hint="eastAsia" w:ascii="宋体" w:hAnsi="宋体" w:cs="宋体"/>
          <w:color w:val="auto"/>
          <w:szCs w:val="21"/>
          <w:highlight w:val="none"/>
        </w:rPr>
      </w:pPr>
    </w:p>
    <w:p>
      <w:pPr>
        <w:pStyle w:val="67"/>
        <w:widowControl w:val="0"/>
        <w:snapToGrid w:val="0"/>
        <w:spacing w:line="46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z w:val="21"/>
          <w:szCs w:val="21"/>
          <w:highlight w:val="none"/>
        </w:rPr>
        <w:t>（授权代表姓名）</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z w:val="21"/>
          <w:szCs w:val="21"/>
          <w:highlight w:val="none"/>
        </w:rPr>
        <w:t>（单位）</w:t>
      </w:r>
      <w:r>
        <w:rPr>
          <w:rFonts w:hint="eastAsia" w:ascii="宋体" w:hAnsi="宋体" w:eastAsia="宋体" w:cs="宋体"/>
          <w:color w:val="auto"/>
          <w:spacing w:val="6"/>
          <w:sz w:val="21"/>
          <w:szCs w:val="21"/>
          <w:highlight w:val="none"/>
        </w:rPr>
        <w:t>法定代表人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lang w:eastAsia="zh-CN"/>
        </w:rPr>
        <w:t>2025-2026年度医疗责任保险服务采购项目</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lang w:eastAsia="zh-CN"/>
        </w:rPr>
        <w:t xml:space="preserve">qzyzb2025-032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8"/>
        <w:widowControl/>
        <w:numPr>
          <w:ilvl w:val="0"/>
          <w:numId w:val="8"/>
        </w:numPr>
        <w:snapToGrid w:val="0"/>
        <w:spacing w:line="46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本单位与招标人之间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：A.投资关系    B.行政隶属关系    C.业务指导关系</w:t>
      </w:r>
    </w:p>
    <w:p>
      <w:pPr>
        <w:pStyle w:val="68"/>
        <w:widowControl/>
        <w:snapToGrid w:val="0"/>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68"/>
        <w:widowControl/>
        <w:snapToGrid w:val="0"/>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7"/>
        <w:widowControl w:val="0"/>
        <w:snapToGrid w:val="0"/>
        <w:spacing w:line="4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7"/>
        <w:widowControl w:val="0"/>
        <w:snapToGrid w:val="0"/>
        <w:spacing w:line="46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7"/>
        <w:widowControl w:val="0"/>
        <w:snapToGrid w:val="0"/>
        <w:spacing w:line="46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7"/>
        <w:widowControl w:val="0"/>
        <w:snapToGrid w:val="0"/>
        <w:spacing w:line="46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7"/>
        <w:widowControl w:val="0"/>
        <w:snapToGrid w:val="0"/>
        <w:spacing w:line="4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7"/>
        <w:widowControl w:val="0"/>
        <w:snapToGrid w:val="0"/>
        <w:spacing w:line="4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7"/>
        <w:widowControl w:val="0"/>
        <w:snapToGrid w:val="0"/>
        <w:spacing w:line="4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7"/>
        <w:widowControl w:val="0"/>
        <w:snapToGrid w:val="0"/>
        <w:spacing w:line="46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H.存在分级代理或代销关系、同一生产制造商关系、管理关系、重要业务（占</w:t>
      </w:r>
      <w:r>
        <w:rPr>
          <w:rFonts w:hint="eastAsia" w:ascii="宋体" w:hAnsi="宋体" w:eastAsia="宋体" w:cs="宋体"/>
          <w:color w:val="auto"/>
          <w:sz w:val="21"/>
          <w:szCs w:val="21"/>
          <w:highlight w:val="none"/>
        </w:rPr>
        <w:t>主营业务收入50%以上）或重要财务往来关系（如融资）等其他实质性控制关系</w:t>
      </w:r>
    </w:p>
    <w:p>
      <w:pPr>
        <w:pStyle w:val="67"/>
        <w:widowControl w:val="0"/>
        <w:snapToGrid w:val="0"/>
        <w:spacing w:line="46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8"/>
        <w:widowControl/>
        <w:numPr>
          <w:ilvl w:val="0"/>
          <w:numId w:val="9"/>
        </w:numPr>
        <w:snapToGrid w:val="0"/>
        <w:spacing w:line="46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pPr>
        <w:pStyle w:val="68"/>
        <w:widowControl/>
        <w:numPr>
          <w:ilvl w:val="0"/>
          <w:numId w:val="9"/>
        </w:numPr>
        <w:snapToGrid w:val="0"/>
        <w:spacing w:line="46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67"/>
        <w:widowControl w:val="0"/>
        <w:snapToGrid w:val="0"/>
        <w:spacing w:line="46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16"/>
        <w:adjustRightInd w:val="0"/>
        <w:snapToGrid w:val="0"/>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2025年  月  日</w:t>
      </w:r>
    </w:p>
    <w:p>
      <w:pPr>
        <w:pStyle w:val="17"/>
        <w:rPr>
          <w:rFonts w:hint="eastAsia"/>
          <w:color w:val="auto"/>
          <w:highlight w:val="none"/>
          <w:lang w:eastAsia="zh-CN"/>
        </w:rPr>
      </w:pPr>
    </w:p>
    <w:p>
      <w:pPr>
        <w:pStyle w:val="16"/>
        <w:adjustRightInd w:val="0"/>
        <w:snapToGrid w:val="0"/>
        <w:spacing w:line="360" w:lineRule="auto"/>
        <w:jc w:val="left"/>
        <w:rPr>
          <w:b/>
          <w:bCs/>
          <w:color w:val="auto"/>
          <w:sz w:val="21"/>
          <w:szCs w:val="21"/>
          <w:highlight w:val="none"/>
        </w:rPr>
      </w:pPr>
      <w:r>
        <w:rPr>
          <w:rFonts w:hAnsi="宋体" w:cs="宋体"/>
          <w:b/>
          <w:bCs/>
          <w:color w:val="auto"/>
          <w:sz w:val="21"/>
          <w:szCs w:val="21"/>
          <w:highlight w:val="none"/>
        </w:rPr>
        <w:t>（投标人解密投标文件并获知其他投标人信息后进行如实声明并签字，以扫描件形式提交给招标代理机构。邮箱：</w:t>
      </w:r>
      <w:r>
        <w:rPr>
          <w:rFonts w:hint="eastAsia" w:hAnsi="宋体" w:cs="宋体"/>
          <w:b/>
          <w:bCs/>
          <w:color w:val="auto"/>
          <w:sz w:val="21"/>
          <w:szCs w:val="21"/>
          <w:highlight w:val="none"/>
          <w:lang w:val="en-US" w:eastAsia="zh-CN"/>
        </w:rPr>
        <w:t>3477872623</w:t>
      </w:r>
      <w:r>
        <w:rPr>
          <w:rFonts w:hAnsi="宋体" w:cs="宋体"/>
          <w:b/>
          <w:bCs/>
          <w:color w:val="auto"/>
          <w:sz w:val="21"/>
          <w:szCs w:val="21"/>
          <w:highlight w:val="none"/>
        </w:rPr>
        <w:t>@qq.com，此声明书不用编入投标文件中。）</w:t>
      </w:r>
    </w:p>
    <w:sectPr>
      <w:headerReference r:id="rId15" w:type="default"/>
      <w:footerReference r:id="rId16" w:type="default"/>
      <w:pgSz w:w="11906" w:h="16838"/>
      <w:pgMar w:top="1389" w:right="1417" w:bottom="1389" w:left="1134"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tabs>
        <w:tab w:val="left" w:pos="3776"/>
        <w:tab w:val="center" w:pos="4624"/>
      </w:tabs>
    </w:pPr>
  </w:p>
  <w:p>
    <w:pPr>
      <w:pStyle w:val="18"/>
      <w:tabs>
        <w:tab w:val="left" w:pos="3776"/>
        <w:tab w:val="center" w:pos="4624"/>
      </w:tabs>
    </w:pPr>
    <w:r>
      <mc:AlternateContent>
        <mc:Choice Requires="wps">
          <w:drawing>
            <wp:anchor distT="0" distB="0" distL="114300" distR="114300" simplePos="0" relativeHeight="251662336"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2336;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firstLine="36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7" o:spid="_x0000_s102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single" w:color="auto" w:sz="4" w:space="1"/>
        <w:right w:val="none" w:color="auto" w:sz="0" w:space="0"/>
      </w:pBdr>
      <w:ind w:firstLine="360" w:firstLine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rPr>
        <w:color w:val="000000"/>
        <w:kern w:val="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6"/>
      <w:lvlText w:val="%1."/>
      <w:lvlJc w:val="left"/>
      <w:pPr>
        <w:tabs>
          <w:tab w:val="left" w:pos="780"/>
        </w:tabs>
        <w:ind w:left="780" w:hanging="360"/>
      </w:pPr>
    </w:lvl>
  </w:abstractNum>
  <w:abstractNum w:abstractNumId="1">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2">
    <w:nsid w:val="00000005"/>
    <w:multiLevelType w:val="multilevel"/>
    <w:tmpl w:val="00000005"/>
    <w:lvl w:ilvl="0" w:tentative="0">
      <w:start w:val="1"/>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53208E"/>
    <w:multiLevelType w:val="singleLevel"/>
    <w:tmpl w:val="0053208E"/>
    <w:lvl w:ilvl="0" w:tentative="0">
      <w:start w:val="1"/>
      <w:numFmt w:val="decimal"/>
      <w:suff w:val="nothing"/>
      <w:lvlText w:val="（%1）"/>
      <w:lvlJc w:val="left"/>
      <w:rPr>
        <w:rFonts w:hint="default" w:ascii="宋体" w:hAnsi="宋体" w:eastAsia="宋体" w:cs="宋体"/>
        <w:sz w:val="21"/>
        <w:szCs w:val="21"/>
      </w:rPr>
    </w:lvl>
  </w:abstractNum>
  <w:abstractNum w:abstractNumId="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2E47282"/>
    <w:multiLevelType w:val="singleLevel"/>
    <w:tmpl w:val="62E47282"/>
    <w:lvl w:ilvl="0" w:tentative="0">
      <w:start w:val="1"/>
      <w:numFmt w:val="decimal"/>
      <w:pStyle w:val="7"/>
      <w:lvlText w:val="%1."/>
      <w:lvlJc w:val="left"/>
      <w:pPr>
        <w:tabs>
          <w:tab w:val="left" w:pos="360"/>
        </w:tabs>
        <w:ind w:left="360" w:hanging="360"/>
      </w:pPr>
    </w:lvl>
  </w:abstractNum>
  <w:num w:numId="1">
    <w:abstractNumId w:val="1"/>
  </w:num>
  <w:num w:numId="2">
    <w:abstractNumId w:val="2"/>
  </w:num>
  <w:num w:numId="3">
    <w:abstractNumId w:val="0"/>
  </w:num>
  <w:num w:numId="4">
    <w:abstractNumId w:val="8"/>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01268B"/>
    <w:rsid w:val="0008411D"/>
    <w:rsid w:val="000C2B9B"/>
    <w:rsid w:val="000E48C9"/>
    <w:rsid w:val="00104149"/>
    <w:rsid w:val="001674BA"/>
    <w:rsid w:val="001731C0"/>
    <w:rsid w:val="0028638D"/>
    <w:rsid w:val="002B498E"/>
    <w:rsid w:val="00321E2F"/>
    <w:rsid w:val="00440029"/>
    <w:rsid w:val="004648BE"/>
    <w:rsid w:val="00483666"/>
    <w:rsid w:val="005E4025"/>
    <w:rsid w:val="00677377"/>
    <w:rsid w:val="00824742"/>
    <w:rsid w:val="009009E5"/>
    <w:rsid w:val="00954402"/>
    <w:rsid w:val="00954B0F"/>
    <w:rsid w:val="009F066E"/>
    <w:rsid w:val="00A2256E"/>
    <w:rsid w:val="00C63563"/>
    <w:rsid w:val="00D14C76"/>
    <w:rsid w:val="00D5376F"/>
    <w:rsid w:val="00DB2D37"/>
    <w:rsid w:val="00DF47C8"/>
    <w:rsid w:val="00EC0843"/>
    <w:rsid w:val="00EF7D0B"/>
    <w:rsid w:val="00F07A8F"/>
    <w:rsid w:val="01AF435A"/>
    <w:rsid w:val="01E9140C"/>
    <w:rsid w:val="021D758C"/>
    <w:rsid w:val="02CC19AE"/>
    <w:rsid w:val="03A8567C"/>
    <w:rsid w:val="04B41E34"/>
    <w:rsid w:val="05035C71"/>
    <w:rsid w:val="06911273"/>
    <w:rsid w:val="07244AC8"/>
    <w:rsid w:val="072A0DCF"/>
    <w:rsid w:val="074E4302"/>
    <w:rsid w:val="07D61B59"/>
    <w:rsid w:val="0805338E"/>
    <w:rsid w:val="082C7D92"/>
    <w:rsid w:val="08E23E9F"/>
    <w:rsid w:val="0980351B"/>
    <w:rsid w:val="09E25CD0"/>
    <w:rsid w:val="09EC1385"/>
    <w:rsid w:val="09FDB36C"/>
    <w:rsid w:val="0AC12A93"/>
    <w:rsid w:val="0B3665C3"/>
    <w:rsid w:val="0B6875C0"/>
    <w:rsid w:val="0BBE75F6"/>
    <w:rsid w:val="0C05494C"/>
    <w:rsid w:val="0C956BA6"/>
    <w:rsid w:val="0DE756B7"/>
    <w:rsid w:val="0DF033B7"/>
    <w:rsid w:val="0E2F6608"/>
    <w:rsid w:val="0E4217DB"/>
    <w:rsid w:val="0E754E0C"/>
    <w:rsid w:val="0EC20B76"/>
    <w:rsid w:val="0EFF8556"/>
    <w:rsid w:val="0F5D7DBE"/>
    <w:rsid w:val="0F8B63AF"/>
    <w:rsid w:val="0FF81382"/>
    <w:rsid w:val="10F6166E"/>
    <w:rsid w:val="11792E4C"/>
    <w:rsid w:val="11C851A1"/>
    <w:rsid w:val="11CC653F"/>
    <w:rsid w:val="14526374"/>
    <w:rsid w:val="151F30B3"/>
    <w:rsid w:val="15DF0C37"/>
    <w:rsid w:val="16597B46"/>
    <w:rsid w:val="165F7B61"/>
    <w:rsid w:val="167013DC"/>
    <w:rsid w:val="169460D1"/>
    <w:rsid w:val="17802C1E"/>
    <w:rsid w:val="1780683F"/>
    <w:rsid w:val="181A6411"/>
    <w:rsid w:val="182A45A2"/>
    <w:rsid w:val="184E02A5"/>
    <w:rsid w:val="18617C31"/>
    <w:rsid w:val="193C1FC3"/>
    <w:rsid w:val="19F723CB"/>
    <w:rsid w:val="1B20408F"/>
    <w:rsid w:val="1B9A34FD"/>
    <w:rsid w:val="1C201D48"/>
    <w:rsid w:val="1CE331AB"/>
    <w:rsid w:val="1CEE73B6"/>
    <w:rsid w:val="1E7730EB"/>
    <w:rsid w:val="1EB769BE"/>
    <w:rsid w:val="1EFC582C"/>
    <w:rsid w:val="209F5CD9"/>
    <w:rsid w:val="218454E6"/>
    <w:rsid w:val="21E64000"/>
    <w:rsid w:val="220E1506"/>
    <w:rsid w:val="224A57B5"/>
    <w:rsid w:val="22684623"/>
    <w:rsid w:val="234C4F3B"/>
    <w:rsid w:val="234F458B"/>
    <w:rsid w:val="23B256DB"/>
    <w:rsid w:val="23B72229"/>
    <w:rsid w:val="27637A9D"/>
    <w:rsid w:val="27885637"/>
    <w:rsid w:val="28D50D61"/>
    <w:rsid w:val="28D933A7"/>
    <w:rsid w:val="29956EC1"/>
    <w:rsid w:val="2A6922B8"/>
    <w:rsid w:val="2AB76751"/>
    <w:rsid w:val="2B436AB5"/>
    <w:rsid w:val="2B97E2D9"/>
    <w:rsid w:val="2BDD6E85"/>
    <w:rsid w:val="2D33663A"/>
    <w:rsid w:val="2D8E1AB3"/>
    <w:rsid w:val="2DFFD406"/>
    <w:rsid w:val="2E556CFE"/>
    <w:rsid w:val="2E833A87"/>
    <w:rsid w:val="2EA11A91"/>
    <w:rsid w:val="2F4A4377"/>
    <w:rsid w:val="2F873C18"/>
    <w:rsid w:val="321243C7"/>
    <w:rsid w:val="329130B7"/>
    <w:rsid w:val="347802AF"/>
    <w:rsid w:val="3B2F5B76"/>
    <w:rsid w:val="3B515626"/>
    <w:rsid w:val="3B7E18AC"/>
    <w:rsid w:val="3CD82B06"/>
    <w:rsid w:val="3DC94C6C"/>
    <w:rsid w:val="3DF3EA2D"/>
    <w:rsid w:val="3E714143"/>
    <w:rsid w:val="3EBE82F4"/>
    <w:rsid w:val="3F7AD502"/>
    <w:rsid w:val="3F7F602B"/>
    <w:rsid w:val="3FBAE15B"/>
    <w:rsid w:val="3FBEE8C5"/>
    <w:rsid w:val="3FD39334"/>
    <w:rsid w:val="3FFE55E8"/>
    <w:rsid w:val="40354AB8"/>
    <w:rsid w:val="4063571A"/>
    <w:rsid w:val="406944C9"/>
    <w:rsid w:val="407650F9"/>
    <w:rsid w:val="40A25E10"/>
    <w:rsid w:val="40EA3DF8"/>
    <w:rsid w:val="418D5198"/>
    <w:rsid w:val="42424A17"/>
    <w:rsid w:val="42C9733A"/>
    <w:rsid w:val="42F7123D"/>
    <w:rsid w:val="43E37115"/>
    <w:rsid w:val="44CD14F9"/>
    <w:rsid w:val="44F43CC7"/>
    <w:rsid w:val="470369C9"/>
    <w:rsid w:val="474446FF"/>
    <w:rsid w:val="47BF4191"/>
    <w:rsid w:val="48213FE9"/>
    <w:rsid w:val="48FD2F57"/>
    <w:rsid w:val="492A6B49"/>
    <w:rsid w:val="496F23FE"/>
    <w:rsid w:val="4ABE651F"/>
    <w:rsid w:val="4B8B6BE4"/>
    <w:rsid w:val="4BEE092B"/>
    <w:rsid w:val="4C007866"/>
    <w:rsid w:val="4C5F5EF2"/>
    <w:rsid w:val="4DA067A2"/>
    <w:rsid w:val="4DE02D61"/>
    <w:rsid w:val="4E00314C"/>
    <w:rsid w:val="4E17628A"/>
    <w:rsid w:val="4EC3AB57"/>
    <w:rsid w:val="4F473A3B"/>
    <w:rsid w:val="4F9954DB"/>
    <w:rsid w:val="4FAF365A"/>
    <w:rsid w:val="4FF1FB52"/>
    <w:rsid w:val="4FFDB025"/>
    <w:rsid w:val="5163240B"/>
    <w:rsid w:val="52255122"/>
    <w:rsid w:val="530C2B59"/>
    <w:rsid w:val="53244893"/>
    <w:rsid w:val="536843E0"/>
    <w:rsid w:val="53810094"/>
    <w:rsid w:val="53AD0B38"/>
    <w:rsid w:val="53FD18D5"/>
    <w:rsid w:val="547C67AB"/>
    <w:rsid w:val="54FF0C88"/>
    <w:rsid w:val="552F56E3"/>
    <w:rsid w:val="570F646A"/>
    <w:rsid w:val="57216E5B"/>
    <w:rsid w:val="57637D44"/>
    <w:rsid w:val="57A403A0"/>
    <w:rsid w:val="57C5508F"/>
    <w:rsid w:val="57D759EC"/>
    <w:rsid w:val="58244359"/>
    <w:rsid w:val="584F1434"/>
    <w:rsid w:val="5A08392A"/>
    <w:rsid w:val="5AFE303A"/>
    <w:rsid w:val="5BA673AF"/>
    <w:rsid w:val="5BDEBFC8"/>
    <w:rsid w:val="5CA414EA"/>
    <w:rsid w:val="5CF3CAA0"/>
    <w:rsid w:val="5D2647D2"/>
    <w:rsid w:val="5DA872A5"/>
    <w:rsid w:val="5E525FD7"/>
    <w:rsid w:val="5EBE2F12"/>
    <w:rsid w:val="5F2B24A8"/>
    <w:rsid w:val="5FBB7E9F"/>
    <w:rsid w:val="5FBBF6B9"/>
    <w:rsid w:val="601147A8"/>
    <w:rsid w:val="61E305D9"/>
    <w:rsid w:val="620307DC"/>
    <w:rsid w:val="6206752C"/>
    <w:rsid w:val="623F1F10"/>
    <w:rsid w:val="62DA2043"/>
    <w:rsid w:val="6343141B"/>
    <w:rsid w:val="638C2DDA"/>
    <w:rsid w:val="642A5BE2"/>
    <w:rsid w:val="66A65F76"/>
    <w:rsid w:val="67126B0B"/>
    <w:rsid w:val="67AD0BF8"/>
    <w:rsid w:val="687F3886"/>
    <w:rsid w:val="689C6963"/>
    <w:rsid w:val="69E7499B"/>
    <w:rsid w:val="6AE52674"/>
    <w:rsid w:val="6AF04FBC"/>
    <w:rsid w:val="6B1505BB"/>
    <w:rsid w:val="6B690CF3"/>
    <w:rsid w:val="6B900B29"/>
    <w:rsid w:val="6B9357A3"/>
    <w:rsid w:val="6B94684F"/>
    <w:rsid w:val="6C190EA2"/>
    <w:rsid w:val="6C7D296D"/>
    <w:rsid w:val="6CA6670F"/>
    <w:rsid w:val="6D0F6349"/>
    <w:rsid w:val="6E3878FF"/>
    <w:rsid w:val="6E77A403"/>
    <w:rsid w:val="6F307615"/>
    <w:rsid w:val="6F4B02E0"/>
    <w:rsid w:val="6FA523FE"/>
    <w:rsid w:val="6FAA34AB"/>
    <w:rsid w:val="6FD5111E"/>
    <w:rsid w:val="6FF7D881"/>
    <w:rsid w:val="6FFF5699"/>
    <w:rsid w:val="700226EE"/>
    <w:rsid w:val="70B6DE47"/>
    <w:rsid w:val="71394751"/>
    <w:rsid w:val="723E77AF"/>
    <w:rsid w:val="72BA6987"/>
    <w:rsid w:val="72D8301C"/>
    <w:rsid w:val="73A070BE"/>
    <w:rsid w:val="73DA3011"/>
    <w:rsid w:val="73FF10DB"/>
    <w:rsid w:val="74086078"/>
    <w:rsid w:val="741425AC"/>
    <w:rsid w:val="74223B5E"/>
    <w:rsid w:val="74AA3770"/>
    <w:rsid w:val="74C803F0"/>
    <w:rsid w:val="753400CD"/>
    <w:rsid w:val="756A0858"/>
    <w:rsid w:val="769A1DAC"/>
    <w:rsid w:val="77415D80"/>
    <w:rsid w:val="77457AC2"/>
    <w:rsid w:val="779139C0"/>
    <w:rsid w:val="77975481"/>
    <w:rsid w:val="77BB0BD4"/>
    <w:rsid w:val="787F685B"/>
    <w:rsid w:val="788E517B"/>
    <w:rsid w:val="78961A0F"/>
    <w:rsid w:val="78DF7178"/>
    <w:rsid w:val="79AF0928"/>
    <w:rsid w:val="79D75C44"/>
    <w:rsid w:val="7A750C05"/>
    <w:rsid w:val="7AF60979"/>
    <w:rsid w:val="7B35A5E1"/>
    <w:rsid w:val="7B6FAC90"/>
    <w:rsid w:val="7BBFC8F2"/>
    <w:rsid w:val="7BEC2E7D"/>
    <w:rsid w:val="7BF460B1"/>
    <w:rsid w:val="7CCEE9AC"/>
    <w:rsid w:val="7CF51A70"/>
    <w:rsid w:val="7D4915E4"/>
    <w:rsid w:val="7D5657E7"/>
    <w:rsid w:val="7DAFDDFC"/>
    <w:rsid w:val="7EB31E25"/>
    <w:rsid w:val="7EBB3AAF"/>
    <w:rsid w:val="7F2C6B67"/>
    <w:rsid w:val="7FAA1634"/>
    <w:rsid w:val="7FE95DF5"/>
    <w:rsid w:val="7FEF16FB"/>
    <w:rsid w:val="7FFAE663"/>
    <w:rsid w:val="97EE27D6"/>
    <w:rsid w:val="9CFD8701"/>
    <w:rsid w:val="9EC69B5C"/>
    <w:rsid w:val="9ED4AAED"/>
    <w:rsid w:val="A4FF9121"/>
    <w:rsid w:val="B4ACD1BB"/>
    <w:rsid w:val="B932C487"/>
    <w:rsid w:val="BAB3A8D3"/>
    <w:rsid w:val="BABE05DC"/>
    <w:rsid w:val="BF6E8A6B"/>
    <w:rsid w:val="BFCD4C68"/>
    <w:rsid w:val="BFF7A4A8"/>
    <w:rsid w:val="CE2F7742"/>
    <w:rsid w:val="D3B9B52D"/>
    <w:rsid w:val="D5BFBE3C"/>
    <w:rsid w:val="D6F3806C"/>
    <w:rsid w:val="D6FEC279"/>
    <w:rsid w:val="DDFF6F9F"/>
    <w:rsid w:val="DF6661B4"/>
    <w:rsid w:val="DFAEAEAB"/>
    <w:rsid w:val="DFBFD597"/>
    <w:rsid w:val="DFCDD6B6"/>
    <w:rsid w:val="DFEB94A7"/>
    <w:rsid w:val="E11F0E0B"/>
    <w:rsid w:val="E2BDED57"/>
    <w:rsid w:val="E3F30DAD"/>
    <w:rsid w:val="E5FB4B09"/>
    <w:rsid w:val="E97F1462"/>
    <w:rsid w:val="EAF7FD7C"/>
    <w:rsid w:val="EB7FB366"/>
    <w:rsid w:val="EBE9A2D6"/>
    <w:rsid w:val="EF170DEC"/>
    <w:rsid w:val="EFDD1457"/>
    <w:rsid w:val="EFFE9C80"/>
    <w:rsid w:val="F36E77F5"/>
    <w:rsid w:val="F37D7E5E"/>
    <w:rsid w:val="F76F8D92"/>
    <w:rsid w:val="F77F04F9"/>
    <w:rsid w:val="F9BB2399"/>
    <w:rsid w:val="FAFCF075"/>
    <w:rsid w:val="FBF4084E"/>
    <w:rsid w:val="FDDF91C9"/>
    <w:rsid w:val="FDFDB7D8"/>
    <w:rsid w:val="FEDFE258"/>
    <w:rsid w:val="FF7E7841"/>
    <w:rsid w:val="FFBF43B7"/>
    <w:rsid w:val="FFD39070"/>
    <w:rsid w:val="FFDC2A9F"/>
    <w:rsid w:val="FFDCB596"/>
    <w:rsid w:val="FFE96949"/>
    <w:rsid w:val="FFEB7FA9"/>
    <w:rsid w:val="FFEBF971"/>
    <w:rsid w:val="FFED92B2"/>
    <w:rsid w:val="FFF82384"/>
    <w:rsid w:val="FFFF69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23"/>
      <w:ind w:right="539"/>
      <w:jc w:val="center"/>
      <w:outlineLvl w:val="0"/>
    </w:pPr>
    <w:rPr>
      <w:b/>
      <w:bCs/>
      <w:sz w:val="36"/>
      <w:szCs w:val="36"/>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rPr>
  </w:style>
  <w:style w:type="paragraph" w:styleId="5">
    <w:name w:val="heading 5"/>
    <w:basedOn w:val="1"/>
    <w:next w:val="1"/>
    <w:qFormat/>
    <w:uiPriority w:val="99"/>
    <w:pPr>
      <w:keepNext/>
      <w:keepLines/>
      <w:numPr>
        <w:ilvl w:val="4"/>
        <w:numId w:val="2"/>
      </w:numPr>
      <w:spacing w:before="280" w:after="290" w:line="372" w:lineRule="auto"/>
      <w:outlineLvl w:val="4"/>
    </w:pPr>
    <w:rPr>
      <w:rFonts w:ascii="Calibri" w:hAnsi="Calibri" w:cs="Calibr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3"/>
      </w:numPr>
    </w:pPr>
  </w:style>
  <w:style w:type="paragraph" w:styleId="7">
    <w:name w:val="List Number"/>
    <w:basedOn w:val="1"/>
    <w:next w:val="8"/>
    <w:qFormat/>
    <w:uiPriority w:val="0"/>
    <w:pPr>
      <w:numPr>
        <w:ilvl w:val="0"/>
        <w:numId w:val="4"/>
      </w:numPr>
    </w:pPr>
  </w:style>
  <w:style w:type="paragraph" w:styleId="8">
    <w:name w:val="Balloon Text"/>
    <w:basedOn w:val="1"/>
    <w:qFormat/>
    <w:uiPriority w:val="0"/>
    <w:rPr>
      <w:sz w:val="18"/>
      <w:szCs w:val="18"/>
    </w:rPr>
  </w:style>
  <w:style w:type="paragraph" w:styleId="9">
    <w:name w:val="Normal Indent"/>
    <w:basedOn w:val="1"/>
    <w:next w:val="10"/>
    <w:qFormat/>
    <w:uiPriority w:val="0"/>
    <w:pPr>
      <w:ind w:firstLine="420" w:firstLineChars="200"/>
    </w:pPr>
  </w:style>
  <w:style w:type="paragraph" w:styleId="10">
    <w:name w:val="toc 4"/>
    <w:basedOn w:val="1"/>
    <w:next w:val="1"/>
    <w:unhideWhenUsed/>
    <w:qFormat/>
    <w:uiPriority w:val="39"/>
    <w:pPr>
      <w:ind w:left="1260" w:leftChars="600"/>
    </w:pPr>
  </w:style>
  <w:style w:type="paragraph" w:styleId="11">
    <w:name w:val="annotation text"/>
    <w:basedOn w:val="1"/>
    <w:unhideWhenUsed/>
    <w:qFormat/>
    <w:uiPriority w:val="0"/>
    <w:pPr>
      <w:jc w:val="left"/>
    </w:pPr>
    <w:rPr>
      <w:rFonts w:ascii="仿宋_GB2312" w:eastAsia="仿宋_GB2312"/>
      <w:sz w:val="28"/>
      <w:szCs w:val="28"/>
    </w:rPr>
  </w:style>
  <w:style w:type="paragraph" w:styleId="12">
    <w:name w:val="Body Text"/>
    <w:basedOn w:val="1"/>
    <w:qFormat/>
    <w:uiPriority w:val="0"/>
    <w:rPr>
      <w:rFonts w:eastAsia="黑体"/>
      <w:b/>
      <w:bCs/>
      <w:spacing w:val="20"/>
      <w:kern w:val="52"/>
      <w:sz w:val="56"/>
      <w:szCs w:val="24"/>
    </w:rPr>
  </w:style>
  <w:style w:type="paragraph" w:styleId="13">
    <w:name w:val="Body Text Indent"/>
    <w:basedOn w:val="1"/>
    <w:next w:val="14"/>
    <w:qFormat/>
    <w:uiPriority w:val="0"/>
    <w:pPr>
      <w:spacing w:line="480" w:lineRule="atLeast"/>
      <w:ind w:firstLine="570"/>
    </w:pPr>
    <w:rPr>
      <w:rFonts w:ascii="黑体" w:eastAsia="黑体"/>
    </w:rPr>
  </w:style>
  <w:style w:type="paragraph" w:customStyle="1" w:styleId="14">
    <w:name w:val="正文文本首行缩进 2"/>
    <w:basedOn w:val="13"/>
    <w:qFormat/>
    <w:uiPriority w:val="99"/>
    <w:pPr>
      <w:spacing w:line="200" w:lineRule="atLeast"/>
      <w:ind w:firstLine="420"/>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17"/>
    <w:link w:val="63"/>
    <w:qFormat/>
    <w:uiPriority w:val="0"/>
    <w:rPr>
      <w:rFonts w:ascii="宋体" w:hAnsi="Courier New"/>
    </w:rPr>
  </w:style>
  <w:style w:type="paragraph" w:styleId="17">
    <w:name w:val="Date"/>
    <w:basedOn w:val="1"/>
    <w:next w:val="1"/>
    <w:qFormat/>
    <w:uiPriority w:val="0"/>
    <w:pPr>
      <w:adjustRightInd w:val="0"/>
      <w:jc w:val="right"/>
      <w:textAlignment w:val="baseline"/>
    </w:pPr>
    <w:rPr>
      <w:rFonts w:eastAsia="仿宋_GB2312"/>
      <w:b/>
      <w:kern w:val="0"/>
    </w:rPr>
  </w:style>
  <w:style w:type="paragraph" w:styleId="18">
    <w:name w:val="footer"/>
    <w:basedOn w:val="1"/>
    <w:link w:val="62"/>
    <w:qFormat/>
    <w:uiPriority w:val="0"/>
    <w:pPr>
      <w:tabs>
        <w:tab w:val="center" w:pos="4153"/>
        <w:tab w:val="right" w:pos="8306"/>
      </w:tabs>
      <w:snapToGrid w:val="0"/>
      <w:jc w:val="left"/>
    </w:pPr>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pPr>
    <w:rPr>
      <w:rFonts w:eastAsia="仿宋_GB2312"/>
      <w:sz w:val="32"/>
    </w:rPr>
  </w:style>
  <w:style w:type="paragraph" w:styleId="21">
    <w:name w:val="toc 6"/>
    <w:basedOn w:val="1"/>
    <w:next w:val="1"/>
    <w:qFormat/>
    <w:uiPriority w:val="0"/>
    <w:pPr>
      <w:ind w:left="2100" w:leftChars="1000"/>
    </w:pPr>
  </w:style>
  <w:style w:type="paragraph" w:styleId="22">
    <w:name w:val="Body Text Indent 3"/>
    <w:basedOn w:val="1"/>
    <w:qFormat/>
    <w:uiPriority w:val="0"/>
    <w:pPr>
      <w:spacing w:line="520" w:lineRule="exact"/>
      <w:ind w:firstLine="547"/>
    </w:pPr>
  </w:style>
  <w:style w:type="paragraph" w:styleId="23">
    <w:name w:val="toc 2"/>
    <w:basedOn w:val="1"/>
    <w:next w:val="1"/>
    <w:qFormat/>
    <w:uiPriority w:val="39"/>
    <w:pPr>
      <w:ind w:left="210"/>
      <w:jc w:val="left"/>
    </w:pPr>
    <w:rPr>
      <w:rFonts w:ascii="仿宋_GB2312" w:eastAsia="仿宋_GB2312"/>
      <w:smallCaps/>
      <w:sz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5">
    <w:name w:val="Title"/>
    <w:basedOn w:val="1"/>
    <w:next w:val="1"/>
    <w:qFormat/>
    <w:uiPriority w:val="0"/>
    <w:pPr>
      <w:spacing w:before="240" w:after="60"/>
      <w:jc w:val="center"/>
      <w:outlineLvl w:val="0"/>
    </w:pPr>
    <w:rPr>
      <w:rFonts w:ascii="Arial" w:hAnsi="Arial"/>
      <w:sz w:val="32"/>
      <w:szCs w:val="32"/>
    </w:rPr>
  </w:style>
  <w:style w:type="paragraph" w:styleId="26">
    <w:name w:val="Body Text First Indent"/>
    <w:basedOn w:val="12"/>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7">
    <w:name w:val="Body Text First Indent 2"/>
    <w:basedOn w:val="13"/>
    <w:next w:val="1"/>
    <w:qFormat/>
    <w:uiPriority w:val="0"/>
    <w:pPr>
      <w:spacing w:after="120" w:line="240" w:lineRule="auto"/>
      <w:ind w:left="420" w:leftChars="200" w:firstLine="420" w:firstLineChars="200"/>
    </w:pPr>
    <w:rPr>
      <w:rFonts w:ascii="Times New Roma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basedOn w:val="30"/>
    <w:qFormat/>
    <w:uiPriority w:val="0"/>
    <w:rPr>
      <w:color w:val="0000FF"/>
      <w:u w:val="single"/>
    </w:rPr>
  </w:style>
  <w:style w:type="character" w:styleId="33">
    <w:name w:val="annotation reference"/>
    <w:basedOn w:val="30"/>
    <w:qFormat/>
    <w:uiPriority w:val="0"/>
    <w:rPr>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5">
    <w:name w:val="标题 2 字符"/>
    <w:basedOn w:val="30"/>
    <w:link w:val="3"/>
    <w:qFormat/>
    <w:locked/>
    <w:uiPriority w:val="0"/>
    <w:rPr>
      <w:rFonts w:ascii="Arial" w:hAnsi="Arial" w:eastAsia="黑体"/>
      <w:b/>
      <w:bCs/>
      <w:sz w:val="32"/>
      <w:szCs w:val="32"/>
    </w:rPr>
  </w:style>
  <w:style w:type="paragraph" w:customStyle="1" w:styleId="36">
    <w:name w:val="列表段落1"/>
    <w:basedOn w:val="1"/>
    <w:qFormat/>
    <w:uiPriority w:val="99"/>
    <w:pPr>
      <w:ind w:firstLine="420" w:firstLineChars="200"/>
    </w:pPr>
    <w:rPr>
      <w:rFonts w:ascii="Calibri" w:hAnsi="Calibri" w:eastAsia="仿宋_GB2312"/>
      <w:sz w:val="28"/>
      <w:szCs w:val="22"/>
    </w:rPr>
  </w:style>
  <w:style w:type="paragraph" w:customStyle="1" w:styleId="37">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8">
    <w:name w:val="[Normal]"/>
    <w:qFormat/>
    <w:locked/>
    <w:uiPriority w:val="0"/>
    <w:rPr>
      <w:rFonts w:ascii="宋体" w:hAnsi="宋体" w:eastAsia="宋体" w:cs="Times New Roman"/>
      <w:sz w:val="24"/>
      <w:szCs w:val="22"/>
      <w:lang w:val="zh-CN" w:eastAsia="zh-CN" w:bidi="ar-SA"/>
    </w:rPr>
  </w:style>
  <w:style w:type="paragraph" w:customStyle="1" w:styleId="39">
    <w:name w:val="正文缩进2格"/>
    <w:basedOn w:val="1"/>
    <w:qFormat/>
    <w:locked/>
    <w:uiPriority w:val="0"/>
    <w:pPr>
      <w:spacing w:line="600" w:lineRule="exact"/>
      <w:ind w:firstLine="639" w:firstLineChars="206"/>
    </w:pPr>
    <w:rPr>
      <w:rFonts w:ascii="仿宋_GB2312" w:hAnsi="宋体" w:eastAsia="仿宋_GB2312"/>
      <w:sz w:val="31"/>
      <w:szCs w:val="28"/>
    </w:rPr>
  </w:style>
  <w:style w:type="paragraph" w:customStyle="1" w:styleId="40">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1"/>
    <w:basedOn w:val="3"/>
    <w:qFormat/>
    <w:locked/>
    <w:uiPriority w:val="0"/>
    <w:pPr>
      <w:spacing w:line="415" w:lineRule="auto"/>
      <w:jc w:val="center"/>
    </w:pPr>
    <w:rPr>
      <w:rFonts w:ascii="宋体" w:hAnsi="宋体"/>
      <w:sz w:val="36"/>
      <w:szCs w:val="36"/>
    </w:rPr>
  </w:style>
  <w:style w:type="paragraph" w:customStyle="1" w:styleId="42">
    <w:name w:val="Style1"/>
    <w:basedOn w:val="1"/>
    <w:qFormat/>
    <w:locked/>
    <w:uiPriority w:val="0"/>
    <w:pPr>
      <w:widowControl/>
    </w:pPr>
    <w:rPr>
      <w:spacing w:val="-3"/>
      <w:kern w:val="0"/>
      <w:sz w:val="24"/>
      <w:lang w:val="en-AU" w:eastAsia="en-US"/>
    </w:rPr>
  </w:style>
  <w:style w:type="character" w:customStyle="1" w:styleId="43">
    <w:name w:val="font71"/>
    <w:basedOn w:val="30"/>
    <w:qFormat/>
    <w:uiPriority w:val="0"/>
    <w:rPr>
      <w:rFonts w:ascii="微软雅黑" w:hAnsi="微软雅黑" w:eastAsia="微软雅黑" w:cs="微软雅黑"/>
      <w:color w:val="auto"/>
      <w:sz w:val="22"/>
      <w:szCs w:val="22"/>
      <w:u w:val="none"/>
    </w:rPr>
  </w:style>
  <w:style w:type="paragraph" w:customStyle="1" w:styleId="44">
    <w:name w:val="列出段落1"/>
    <w:basedOn w:val="1"/>
    <w:qFormat/>
    <w:uiPriority w:val="34"/>
    <w:pPr>
      <w:spacing w:line="360" w:lineRule="auto"/>
      <w:ind w:firstLine="420" w:firstLineChars="200"/>
      <w:jc w:val="left"/>
    </w:pPr>
    <w:rPr>
      <w:rFonts w:eastAsia="微软雅黑"/>
      <w:sz w:val="24"/>
      <w:szCs w:val="21"/>
    </w:rPr>
  </w:style>
  <w:style w:type="paragraph" w:customStyle="1" w:styleId="45">
    <w:name w:val="BodyText1I"/>
    <w:basedOn w:val="1"/>
    <w:qFormat/>
    <w:uiPriority w:val="0"/>
    <w:pPr>
      <w:ind w:firstLine="420" w:firstLineChars="100"/>
      <w:textAlignment w:val="baseline"/>
    </w:pPr>
    <w:rPr>
      <w:rFonts w:ascii="宋体" w:hAnsi="宋体"/>
      <w:szCs w:val="21"/>
      <w:lang w:val="zh-CN" w:bidi="zh-CN"/>
    </w:rPr>
  </w:style>
  <w:style w:type="paragraph" w:customStyle="1" w:styleId="46">
    <w:name w:val="表格文字"/>
    <w:basedOn w:val="47"/>
    <w:next w:val="12"/>
    <w:qFormat/>
    <w:uiPriority w:val="0"/>
    <w:pPr>
      <w:ind w:firstLine="200" w:firstLineChars="200"/>
    </w:pPr>
    <w:rPr>
      <w:rFonts w:ascii="Arial" w:hAnsi="Arial"/>
      <w:spacing w:val="-5"/>
      <w:kern w:val="0"/>
      <w:sz w:val="24"/>
      <w:szCs w:val="20"/>
    </w:rPr>
  </w:style>
  <w:style w:type="paragraph" w:customStyle="1" w:styleId="47">
    <w:name w:val="表格文字（两侧对齐）"/>
    <w:basedOn w:val="1"/>
    <w:qFormat/>
    <w:uiPriority w:val="0"/>
    <w:pPr>
      <w:snapToGrid w:val="0"/>
      <w:jc w:val="left"/>
    </w:pPr>
    <w:rPr>
      <w:sz w:val="20"/>
      <w:szCs w:val="24"/>
    </w:rPr>
  </w:style>
  <w:style w:type="paragraph" w:customStyle="1" w:styleId="48">
    <w:name w:val="正文段"/>
    <w:basedOn w:val="1"/>
    <w:qFormat/>
    <w:uiPriority w:val="0"/>
    <w:pPr>
      <w:widowControl/>
      <w:snapToGrid w:val="0"/>
      <w:spacing w:after="156" w:afterLines="50"/>
      <w:ind w:firstLine="200" w:firstLineChars="200"/>
    </w:pPr>
    <w:rPr>
      <w:kern w:val="0"/>
      <w:sz w:val="24"/>
    </w:rPr>
  </w:style>
  <w:style w:type="paragraph" w:customStyle="1" w:styleId="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font121"/>
    <w:qFormat/>
    <w:uiPriority w:val="0"/>
    <w:rPr>
      <w:rFonts w:hint="eastAsia" w:ascii="宋体" w:hAnsi="宋体" w:eastAsia="宋体" w:cs="宋体"/>
      <w:color w:val="000000"/>
      <w:sz w:val="21"/>
      <w:szCs w:val="21"/>
      <w:u w:val="none"/>
    </w:rPr>
  </w:style>
  <w:style w:type="character" w:customStyle="1" w:styleId="53">
    <w:name w:val="font111"/>
    <w:qFormat/>
    <w:uiPriority w:val="0"/>
    <w:rPr>
      <w:rFonts w:hint="eastAsia" w:ascii="宋体" w:hAnsi="宋体" w:eastAsia="宋体" w:cs="宋体"/>
      <w:b/>
      <w:bCs/>
      <w:color w:val="252525"/>
      <w:sz w:val="22"/>
      <w:szCs w:val="22"/>
      <w:u w:val="none"/>
    </w:rPr>
  </w:style>
  <w:style w:type="character" w:customStyle="1" w:styleId="54">
    <w:name w:val="font81"/>
    <w:qFormat/>
    <w:uiPriority w:val="0"/>
    <w:rPr>
      <w:rFonts w:hint="eastAsia" w:ascii="宋体" w:hAnsi="宋体" w:eastAsia="宋体" w:cs="宋体"/>
      <w:color w:val="0C0C0C"/>
      <w:sz w:val="24"/>
      <w:szCs w:val="24"/>
      <w:u w:val="none"/>
    </w:rPr>
  </w:style>
  <w:style w:type="character" w:customStyle="1" w:styleId="55">
    <w:name w:val="font61"/>
    <w:qFormat/>
    <w:uiPriority w:val="0"/>
    <w:rPr>
      <w:rFonts w:hint="eastAsia" w:ascii="宋体" w:hAnsi="宋体" w:eastAsia="宋体" w:cs="宋体"/>
      <w:color w:val="000000"/>
      <w:sz w:val="24"/>
      <w:szCs w:val="24"/>
      <w:u w:val="none"/>
    </w:rPr>
  </w:style>
  <w:style w:type="character" w:customStyle="1" w:styleId="56">
    <w:name w:val="16"/>
    <w:basedOn w:val="30"/>
    <w:qFormat/>
    <w:uiPriority w:val="0"/>
    <w:rPr>
      <w:rFonts w:hint="eastAsia" w:ascii="宋体" w:hAnsi="宋体" w:eastAsia="宋体"/>
      <w:color w:val="000000"/>
      <w:sz w:val="21"/>
      <w:szCs w:val="21"/>
    </w:rPr>
  </w:style>
  <w:style w:type="character" w:customStyle="1" w:styleId="57">
    <w:name w:val="18"/>
    <w:basedOn w:val="30"/>
    <w:qFormat/>
    <w:uiPriority w:val="0"/>
    <w:rPr>
      <w:rFonts w:hint="eastAsia" w:ascii="宋体" w:hAnsi="宋体" w:eastAsia="宋体"/>
      <w:b/>
      <w:bCs/>
      <w:color w:val="000000"/>
      <w:sz w:val="24"/>
      <w:szCs w:val="24"/>
    </w:rPr>
  </w:style>
  <w:style w:type="character" w:customStyle="1" w:styleId="58">
    <w:name w:val="15"/>
    <w:basedOn w:val="30"/>
    <w:qFormat/>
    <w:uiPriority w:val="0"/>
    <w:rPr>
      <w:rFonts w:hint="eastAsia" w:ascii="宋体" w:hAnsi="宋体" w:eastAsia="宋体"/>
      <w:color w:val="000000"/>
      <w:sz w:val="24"/>
      <w:szCs w:val="24"/>
    </w:rPr>
  </w:style>
  <w:style w:type="character" w:customStyle="1" w:styleId="59">
    <w:name w:val="17"/>
    <w:basedOn w:val="30"/>
    <w:qFormat/>
    <w:uiPriority w:val="0"/>
    <w:rPr>
      <w:rFonts w:hint="eastAsia" w:ascii="宋体" w:hAnsi="宋体" w:eastAsia="宋体"/>
      <w:color w:val="000000"/>
      <w:sz w:val="21"/>
      <w:szCs w:val="21"/>
    </w:rPr>
  </w:style>
  <w:style w:type="character" w:customStyle="1" w:styleId="60">
    <w:name w:val="font21"/>
    <w:basedOn w:val="30"/>
    <w:qFormat/>
    <w:uiPriority w:val="0"/>
    <w:rPr>
      <w:rFonts w:hint="eastAsia" w:ascii="宋体" w:hAnsi="宋体" w:eastAsia="宋体" w:cs="宋体"/>
      <w:color w:val="000000"/>
      <w:sz w:val="21"/>
      <w:szCs w:val="21"/>
      <w:u w:val="none"/>
    </w:rPr>
  </w:style>
  <w:style w:type="paragraph" w:styleId="61">
    <w:name w:val="List Paragraph"/>
    <w:basedOn w:val="1"/>
    <w:qFormat/>
    <w:uiPriority w:val="34"/>
    <w:pPr>
      <w:ind w:firstLine="420" w:firstLineChars="200"/>
    </w:pPr>
    <w:rPr>
      <w:rFonts w:ascii="Calibri" w:hAnsi="Calibri"/>
    </w:rPr>
  </w:style>
  <w:style w:type="character" w:customStyle="1" w:styleId="62">
    <w:name w:val="页脚 字符"/>
    <w:link w:val="18"/>
    <w:qFormat/>
    <w:locked/>
    <w:uiPriority w:val="0"/>
    <w:rPr>
      <w:kern w:val="2"/>
      <w:sz w:val="18"/>
      <w:szCs w:val="18"/>
    </w:rPr>
  </w:style>
  <w:style w:type="character" w:customStyle="1" w:styleId="63">
    <w:name w:val="纯文本 字符"/>
    <w:link w:val="16"/>
    <w:qFormat/>
    <w:locked/>
    <w:uiPriority w:val="0"/>
    <w:rPr>
      <w:rFonts w:ascii="宋体" w:hAnsi="Courier New"/>
      <w:kern w:val="2"/>
      <w:sz w:val="21"/>
    </w:rPr>
  </w:style>
  <w:style w:type="paragraph" w:customStyle="1" w:styleId="64">
    <w:name w:val="AbsatzTableFormat"/>
    <w:basedOn w:val="1"/>
    <w:qFormat/>
    <w:uiPriority w:val="0"/>
    <w:pPr>
      <w:widowControl/>
      <w:jc w:val="left"/>
    </w:pPr>
    <w:rPr>
      <w:rFonts w:ascii="Arial Narrow" w:hAnsi="Arial Narrow"/>
      <w:bCs/>
      <w:kern w:val="0"/>
      <w:sz w:val="22"/>
      <w:szCs w:val="21"/>
      <w:lang w:val="de-DE"/>
    </w:rPr>
  </w:style>
  <w:style w:type="character" w:customStyle="1" w:styleId="65">
    <w:name w:val="font31"/>
    <w:basedOn w:val="30"/>
    <w:qFormat/>
    <w:uiPriority w:val="0"/>
    <w:rPr>
      <w:rFonts w:hint="eastAsia" w:ascii="宋体" w:hAnsi="宋体" w:eastAsia="宋体" w:cs="宋体"/>
      <w:color w:val="000000"/>
      <w:sz w:val="20"/>
      <w:szCs w:val="20"/>
      <w:u w:val="none"/>
    </w:rPr>
  </w:style>
  <w:style w:type="paragraph" w:customStyle="1" w:styleId="6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67">
    <w:name w:val="Plain Text"/>
    <w:basedOn w:val="1"/>
    <w:qFormat/>
    <w:uiPriority w:val="0"/>
    <w:pPr>
      <w:widowControl/>
      <w:jc w:val="left"/>
    </w:pPr>
    <w:rPr>
      <w:rFonts w:hint="eastAsia" w:ascii="宋体" w:hAnsi="Courier New"/>
      <w:szCs w:val="20"/>
    </w:rPr>
  </w:style>
  <w:style w:type="paragraph" w:customStyle="1" w:styleId="6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49D7A-E182-44DB-8EE0-657AC65519F2}">
  <ds:schemaRefs/>
</ds:datastoreItem>
</file>

<file path=docProps/app.xml><?xml version="1.0" encoding="utf-8"?>
<Properties xmlns="http://schemas.openxmlformats.org/officeDocument/2006/extended-properties" xmlns:vt="http://schemas.openxmlformats.org/officeDocument/2006/docPropsVTypes">
  <Pages>60</Pages>
  <Words>9227</Words>
  <Characters>52596</Characters>
  <Lines>438</Lines>
  <Paragraphs>123</Paragraphs>
  <TotalTime>39</TotalTime>
  <ScaleCrop>false</ScaleCrop>
  <LinksUpToDate>false</LinksUpToDate>
  <CharactersWithSpaces>61700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2022-04-09T08:45:00Z</dcterms:created>
  <dc:creator>DELL</dc:creator>
  <cp:lastModifiedBy>1</cp:lastModifiedBy>
  <cp:lastPrinted>2025-07-03T18:15:00Z</cp:lastPrinted>
  <dcterms:modified xsi:type="dcterms:W3CDTF">2025-07-07T03:36:28Z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A7F07795F26B4D9B8522206CDDFEB040_13</vt:lpwstr>
  </property>
  <property fmtid="{D5CDD505-2E9C-101B-9397-08002B2CF9AE}" pid="4" name="KSOTemplateDocerSaveRecord">
    <vt:lpwstr>eyJoZGlkIjoiYWFlMmQ5YmZjMzk0MDc5ZDI1NTk0MDI2ZjM1MmVhNDQiLCJ1c2VySWQiOiIzMzc2NDQ5MTcifQ==</vt:lpwstr>
  </property>
</Properties>
</file>