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adjustRightInd/>
        <w:spacing w:line="360" w:lineRule="auto"/>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 杭州市儿童福利院</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（杭州市未成年人救助保护中心）</w:t>
      </w:r>
    </w:p>
    <w:p>
      <w:pPr>
        <w:adjustRightInd/>
        <w:spacing w:line="360" w:lineRule="auto"/>
        <w:jc w:val="center"/>
        <w:rPr>
          <w:color w:val="auto"/>
          <w:sz w:val="44"/>
          <w:szCs w:val="44"/>
          <w:highlight w:val="none"/>
        </w:rPr>
      </w:pPr>
      <w:r>
        <w:rPr>
          <w:rFonts w:hint="eastAsia" w:ascii="宋体" w:hAnsi="宋体" w:cs="宋体"/>
          <w:color w:val="auto"/>
          <w:sz w:val="48"/>
          <w:szCs w:val="48"/>
          <w:highlight w:val="none"/>
          <w:lang w:eastAsia="zh-CN"/>
        </w:rPr>
        <w:t>2024年儿童优育服务项目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招标文件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 ZJZN-</w:t>
      </w:r>
      <w:r>
        <w:rPr>
          <w:rFonts w:hint="eastAsia" w:ascii="宋体" w:hAnsi="宋体" w:cs="宋体"/>
          <w:color w:val="auto"/>
          <w:sz w:val="30"/>
          <w:szCs w:val="30"/>
          <w:highlight w:val="none"/>
          <w:lang w:eastAsia="zh-CN"/>
        </w:rPr>
        <w:t>23185</w:t>
      </w:r>
    </w:p>
    <w:p>
      <w:pPr>
        <w:pStyle w:val="962"/>
        <w:widowControl w:val="0"/>
        <w:snapToGrid w:val="0"/>
        <w:spacing w:line="360" w:lineRule="auto"/>
        <w:ind w:firstLine="3003" w:firstLineChars="997"/>
        <w:rPr>
          <w:rFonts w:ascii="宋体" w:hAnsi="宋体" w:cs="宋体"/>
          <w:color w:val="auto"/>
          <w:sz w:val="30"/>
          <w:szCs w:val="30"/>
          <w:highlight w:val="none"/>
        </w:rPr>
      </w:pPr>
    </w:p>
    <w:p>
      <w:pPr>
        <w:pStyle w:val="962"/>
        <w:widowControl w:val="0"/>
        <w:snapToGrid w:val="0"/>
        <w:spacing w:line="360" w:lineRule="auto"/>
        <w:ind w:firstLine="0"/>
        <w:rPr>
          <w:rFonts w:ascii="宋体" w:hAnsi="宋体" w:cs="宋体"/>
          <w:color w:val="auto"/>
          <w:szCs w:val="44"/>
          <w:highlight w:val="none"/>
        </w:rPr>
      </w:pPr>
      <w:r>
        <w:rPr>
          <w:rFonts w:hint="eastAsia" w:ascii="宋体" w:hAnsi="宋体" w:cs="宋体"/>
          <w:color w:val="auto"/>
          <w:sz w:val="48"/>
          <w:szCs w:val="48"/>
          <w:highlight w:val="none"/>
        </w:rPr>
        <w:t xml:space="preserve">         </w:t>
      </w:r>
      <w:r>
        <w:rPr>
          <w:rFonts w:hint="eastAsia" w:ascii="宋体" w:hAnsi="宋体" w:cs="宋体"/>
          <w:color w:val="auto"/>
          <w:sz w:val="48"/>
          <w:szCs w:val="48"/>
          <w:highlight w:val="none"/>
        </w:rPr>
        <w:drawing>
          <wp:inline distT="0" distB="0" distL="114300" distR="114300">
            <wp:extent cx="2889885" cy="2272030"/>
            <wp:effectExtent l="0" t="0" r="5715" b="13970"/>
            <wp:docPr id="1" name="图片 1" descr="中诺logo标准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诺logo标准色"/>
                    <pic:cNvPicPr>
                      <a:picLocks noChangeAspect="1"/>
                    </pic:cNvPicPr>
                  </pic:nvPicPr>
                  <pic:blipFill>
                    <a:blip r:embed="rId27"/>
                    <a:stretch>
                      <a:fillRect/>
                    </a:stretch>
                  </pic:blipFill>
                  <pic:spPr>
                    <a:xfrm>
                      <a:off x="0" y="0"/>
                      <a:ext cx="2889885" cy="2272030"/>
                    </a:xfrm>
                    <a:prstGeom prst="rect">
                      <a:avLst/>
                    </a:prstGeom>
                    <a:noFill/>
                    <a:ln>
                      <a:noFill/>
                    </a:ln>
                  </pic:spPr>
                </pic:pic>
              </a:graphicData>
            </a:graphic>
          </wp:inline>
        </w:drawing>
      </w:r>
      <w:r>
        <w:rPr>
          <w:rFonts w:hint="eastAsia" w:ascii="宋体" w:hAnsi="宋体" w:cs="宋体"/>
          <w:color w:val="auto"/>
          <w:szCs w:val="44"/>
          <w:highlight w:val="none"/>
        </w:rPr>
        <w:t xml:space="preserve"> </w:t>
      </w:r>
    </w:p>
    <w:p>
      <w:pPr>
        <w:spacing w:line="360" w:lineRule="auto"/>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6"/>
          <w:szCs w:val="36"/>
          <w:highlight w:val="none"/>
        </w:rPr>
      </w:pPr>
      <w:r>
        <w:rPr>
          <w:rFonts w:hint="eastAsia" w:ascii="宋体" w:hAnsi="宋体" w:cs="宋体"/>
          <w:color w:val="auto"/>
          <w:sz w:val="32"/>
          <w:szCs w:val="32"/>
          <w:highlight w:val="none"/>
          <w:lang w:val="zh-CN"/>
        </w:rPr>
        <w:t>采   购  人：杭州市儿童福利院（杭州市未成年人救助保护中心）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采购代理机构：</w:t>
      </w:r>
      <w:r>
        <w:rPr>
          <w:rFonts w:hint="eastAsia" w:ascii="宋体" w:hAnsi="宋体" w:cs="宋体"/>
          <w:color w:val="auto"/>
          <w:sz w:val="28"/>
          <w:szCs w:val="28"/>
          <w:highlight w:val="none"/>
        </w:rPr>
        <w:t>浙江中诺招标代理有限公司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二〇二三年</w:t>
      </w:r>
      <w:r>
        <w:rPr>
          <w:rFonts w:hint="eastAsia" w:ascii="宋体" w:hAnsi="宋体" w:cs="宋体"/>
          <w:bCs/>
          <w:color w:val="auto"/>
          <w:sz w:val="32"/>
          <w:szCs w:val="32"/>
          <w:highlight w:val="none"/>
          <w:lang w:val="en-US" w:eastAsia="zh-CN"/>
        </w:rPr>
        <w:t>十二</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sectPr>
          <w:footerReference r:id="rId6" w:type="first"/>
          <w:headerReference r:id="rId3" w:type="default"/>
          <w:footerReference r:id="rId4" w:type="default"/>
          <w:footerReference r:id="rId5" w:type="even"/>
          <w:pgSz w:w="11906" w:h="16838"/>
          <w:pgMar w:top="680" w:right="1418" w:bottom="468" w:left="1418" w:header="851" w:footer="992" w:gutter="0"/>
          <w:pgNumType w:start="1"/>
          <w:cols w:space="720" w:num="1"/>
          <w:titlePg/>
          <w:docGrid w:linePitch="312" w:charSpace="0"/>
        </w:sectPr>
      </w:pPr>
    </w:p>
    <w:p>
      <w:pPr>
        <w:pStyle w:val="2"/>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numPr>
          <w:ilvl w:val="0"/>
          <w:numId w:val="1"/>
        </w:numPr>
        <w:adjustRightInd/>
        <w:spacing w:line="360" w:lineRule="auto"/>
        <w:jc w:val="center"/>
        <w:outlineLvl w:val="0"/>
        <w:rPr>
          <w:rFonts w:ascii="宋体" w:hAnsi="宋体" w:cs="宋体"/>
          <w:b/>
          <w:color w:val="auto"/>
          <w:sz w:val="36"/>
          <w:szCs w:val="20"/>
          <w:highlight w:val="none"/>
        </w:rPr>
      </w:pPr>
      <w:bookmarkStart w:id="2" w:name="第一部分"/>
      <w:r>
        <w:rPr>
          <w:rFonts w:hint="eastAsia" w:ascii="宋体" w:hAnsi="宋体" w:cs="宋体"/>
          <w:b/>
          <w:color w:val="auto"/>
          <w:sz w:val="36"/>
          <w:szCs w:val="36"/>
          <w:highlight w:val="none"/>
        </w:rPr>
        <w:br w:type="page"/>
      </w:r>
      <w:bookmarkEnd w:id="1"/>
      <w:bookmarkEnd w:id="2"/>
      <w:bookmarkStart w:id="3" w:name="_Hlt74728647"/>
      <w:bookmarkEnd w:id="3"/>
      <w:bookmarkStart w:id="4" w:name="_Hlt74707423"/>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宋体" w:hAnsi="宋体" w:cs="宋体"/>
          <w:b/>
          <w:color w:val="auto"/>
          <w:sz w:val="36"/>
          <w:szCs w:val="20"/>
          <w:highlight w:val="none"/>
        </w:rPr>
        <w:t>招标公告</w:t>
      </w:r>
    </w:p>
    <w:p>
      <w:pPr>
        <w:snapToGrid w:val="0"/>
        <w:spacing w:line="360" w:lineRule="auto"/>
        <w:ind w:firstLine="482" w:firstLineChars="200"/>
        <w:rPr>
          <w:rFonts w:ascii="宋体" w:hAnsi="宋体" w:cs="宋体"/>
          <w:color w:val="auto"/>
          <w:highlight w:val="none"/>
        </w:rPr>
      </w:pPr>
      <w:r>
        <w:rPr>
          <w:rFonts w:hint="eastAsia" w:ascii="宋体" w:hAnsi="宋体" w:cs="宋体"/>
          <w:b/>
          <w:bCs/>
          <w:color w:val="auto"/>
          <w:sz w:val="24"/>
          <w:highlight w:val="none"/>
        </w:rPr>
        <w:t>为支持和促进中小企业发展，杭州市财政局出台了政府采购信用融资政策，供应商可凭中标合同申请贷款，利率一般在基准利率左右（不同银行略有差异）。具体可登录http://220.191.208.230/login.do 办理业务。</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杭州市儿童福利院（杭州市未成年人救助保护中心）</w:t>
      </w:r>
      <w:r>
        <w:rPr>
          <w:rFonts w:hint="eastAsia" w:ascii="宋体" w:hAnsi="宋体" w:cs="宋体"/>
          <w:color w:val="auto"/>
          <w:sz w:val="24"/>
          <w:highlight w:val="none"/>
          <w:u w:val="single"/>
          <w:lang w:eastAsia="zh-CN"/>
        </w:rPr>
        <w:t>2024年儿童优育服务项目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4年1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0分</w:t>
      </w:r>
      <w:r>
        <w:rPr>
          <w:rFonts w:hint="eastAsia" w:ascii="宋体" w:hAnsi="宋体" w:cs="宋体"/>
          <w:bCs/>
          <w:color w:val="auto"/>
          <w:sz w:val="24"/>
          <w:highlight w:val="none"/>
          <w:u w:val="single"/>
        </w:rPr>
        <w:t>00秒</w:t>
      </w:r>
      <w:r>
        <w:rPr>
          <w:rFonts w:hint="eastAsia" w:ascii="宋体" w:hAnsi="宋体" w:cs="宋体"/>
          <w:bCs/>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ind w:firstLine="480"/>
        <w:rPr>
          <w:rFonts w:ascii="宋体" w:hAnsi="宋体" w:cs="宋体"/>
          <w:b/>
          <w:color w:val="auto"/>
          <w:sz w:val="24"/>
          <w:highlight w:val="none"/>
        </w:rPr>
      </w:pPr>
      <w:r>
        <w:rPr>
          <w:rFonts w:hint="eastAsia" w:ascii="宋体" w:hAnsi="宋体" w:cs="宋体"/>
          <w:b/>
          <w:color w:val="auto"/>
          <w:sz w:val="24"/>
          <w:highlight w:val="none"/>
        </w:rPr>
        <w:t>项目编号：ZJZN-</w:t>
      </w:r>
      <w:r>
        <w:rPr>
          <w:rFonts w:hint="eastAsia" w:ascii="宋体" w:hAnsi="宋体" w:cs="宋体"/>
          <w:b/>
          <w:color w:val="auto"/>
          <w:sz w:val="24"/>
          <w:highlight w:val="none"/>
          <w:lang w:eastAsia="zh-CN"/>
        </w:rPr>
        <w:t>23185</w:t>
      </w:r>
      <w:r>
        <w:rPr>
          <w:rFonts w:hint="eastAsia" w:ascii="宋体" w:hAnsi="宋体" w:cs="宋体"/>
          <w:bCs/>
          <w:color w:val="auto"/>
          <w:sz w:val="24"/>
          <w:highlight w:val="none"/>
        </w:rPr>
        <w:t xml:space="preserve">  </w:t>
      </w:r>
      <w:r>
        <w:rPr>
          <w:rFonts w:hint="eastAsia" w:ascii="宋体" w:hAnsi="宋体" w:cs="宋体"/>
          <w:b/>
          <w:color w:val="auto"/>
          <w:sz w:val="24"/>
          <w:highlight w:val="none"/>
        </w:rPr>
        <w:t xml:space="preserve"> </w:t>
      </w:r>
    </w:p>
    <w:p>
      <w:pPr>
        <w:spacing w:line="360" w:lineRule="auto"/>
        <w:ind w:firstLine="480"/>
        <w:rPr>
          <w:rFonts w:ascii="宋体" w:hAnsi="宋体" w:cs="宋体"/>
          <w:bCs/>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u w:val="single"/>
        </w:rPr>
        <w:t>杭州市儿童福利院（杭州市未成年人救助保护中心）</w:t>
      </w:r>
      <w:r>
        <w:rPr>
          <w:rFonts w:hint="eastAsia" w:ascii="宋体" w:hAnsi="宋体" w:cs="宋体"/>
          <w:color w:val="auto"/>
          <w:sz w:val="24"/>
          <w:highlight w:val="none"/>
          <w:u w:val="single"/>
          <w:lang w:eastAsia="zh-CN"/>
        </w:rPr>
        <w:t>2024年儿童优育服务项目</w:t>
      </w:r>
    </w:p>
    <w:p>
      <w:pPr>
        <w:spacing w:line="360" w:lineRule="auto"/>
        <w:ind w:firstLine="480"/>
        <w:rPr>
          <w:rFonts w:hint="eastAsia" w:ascii="宋体" w:hAnsi="宋体" w:cs="宋体"/>
          <w:b/>
          <w:color w:val="auto"/>
          <w:sz w:val="24"/>
          <w:highlight w:val="none"/>
        </w:rPr>
      </w:pPr>
      <w:r>
        <w:rPr>
          <w:rFonts w:hint="eastAsia" w:ascii="宋体" w:hAnsi="宋体" w:cs="宋体"/>
          <w:b/>
          <w:color w:val="auto"/>
          <w:sz w:val="24"/>
          <w:highlight w:val="none"/>
        </w:rPr>
        <w:t>预算金额（元）：</w:t>
      </w:r>
      <w:r>
        <w:rPr>
          <w:rFonts w:hint="eastAsia" w:ascii="宋体" w:hAnsi="宋体" w:cs="宋体"/>
          <w:b/>
          <w:color w:val="auto"/>
          <w:sz w:val="24"/>
          <w:highlight w:val="none"/>
          <w:lang w:val="en-US" w:eastAsia="zh-CN"/>
        </w:rPr>
        <w:t>7742000</w:t>
      </w:r>
      <w:r>
        <w:rPr>
          <w:rFonts w:hint="eastAsia" w:ascii="宋体" w:hAnsi="宋体" w:cs="宋体"/>
          <w:b/>
          <w:color w:val="auto"/>
          <w:sz w:val="24"/>
          <w:highlight w:val="none"/>
        </w:rPr>
        <w:t>.00</w:t>
      </w:r>
    </w:p>
    <w:p>
      <w:pPr>
        <w:spacing w:line="360" w:lineRule="auto"/>
        <w:ind w:firstLine="480"/>
        <w:rPr>
          <w:rFonts w:hint="eastAsia" w:ascii="宋体" w:hAnsi="宋体" w:cs="宋体"/>
          <w:b/>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7742000</w:t>
      </w:r>
      <w:r>
        <w:rPr>
          <w:rFonts w:hint="eastAsia" w:ascii="宋体" w:hAnsi="宋体" w:cs="宋体"/>
          <w:b/>
          <w:color w:val="auto"/>
          <w:sz w:val="24"/>
          <w:highlight w:val="none"/>
        </w:rPr>
        <w:t xml:space="preserve">.00 </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采购需求：</w:t>
      </w:r>
    </w:p>
    <w:tbl>
      <w:tblPr>
        <w:tblStyle w:val="62"/>
        <w:tblW w:w="8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8"/>
        <w:gridCol w:w="3250"/>
        <w:gridCol w:w="370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6" w:hRule="atLeast"/>
        </w:trPr>
        <w:tc>
          <w:tcPr>
            <w:tcW w:w="748"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序号</w:t>
            </w:r>
          </w:p>
        </w:tc>
        <w:tc>
          <w:tcPr>
            <w:tcW w:w="3250" w:type="dxa"/>
            <w:shd w:val="clear" w:color="auto" w:fill="auto"/>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内容</w:t>
            </w:r>
          </w:p>
        </w:tc>
        <w:tc>
          <w:tcPr>
            <w:tcW w:w="3705" w:type="dxa"/>
            <w:shd w:val="clear" w:color="auto" w:fill="auto"/>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简要规格描述</w:t>
            </w:r>
          </w:p>
        </w:tc>
        <w:tc>
          <w:tcPr>
            <w:tcW w:w="1290" w:type="dxa"/>
            <w:shd w:val="clear" w:color="auto" w:fill="auto"/>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6" w:hRule="atLeast"/>
        </w:trPr>
        <w:tc>
          <w:tcPr>
            <w:tcW w:w="748" w:type="dxa"/>
            <w:shd w:val="clear" w:color="auto" w:fill="FFFFFF"/>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3250" w:type="dxa"/>
            <w:shd w:val="clear" w:color="auto" w:fill="FFFFFF"/>
            <w:vAlign w:val="center"/>
          </w:tcPr>
          <w:p>
            <w:pPr>
              <w:spacing w:line="360" w:lineRule="auto"/>
              <w:rPr>
                <w:rFonts w:hint="eastAsia" w:ascii="宋体" w:hAnsi="宋体" w:eastAsia="宋体" w:cs="宋体"/>
                <w:bCs/>
                <w:color w:val="auto"/>
                <w:sz w:val="24"/>
                <w:highlight w:val="none"/>
                <w:lang w:val="en-US" w:eastAsia="zh-CN"/>
              </w:rPr>
            </w:pPr>
            <w:r>
              <w:rPr>
                <w:rFonts w:hint="eastAsia" w:ascii="宋体" w:hAnsi="宋体" w:cs="宋体"/>
                <w:color w:val="auto"/>
                <w:sz w:val="24"/>
                <w:highlight w:val="none"/>
                <w:lang w:eastAsia="zh-CN"/>
              </w:rPr>
              <w:t>2024年儿童优育服务项目</w:t>
            </w:r>
          </w:p>
        </w:tc>
        <w:tc>
          <w:tcPr>
            <w:tcW w:w="3705" w:type="dxa"/>
            <w:shd w:val="clear" w:color="auto" w:fill="FFFFFF"/>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详见招标文件第三部分采购需求</w:t>
            </w:r>
          </w:p>
        </w:tc>
        <w:tc>
          <w:tcPr>
            <w:tcW w:w="1290" w:type="dxa"/>
            <w:shd w:val="clear" w:color="auto" w:fill="FFFFFF"/>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1批</w:t>
            </w:r>
          </w:p>
        </w:tc>
      </w:tr>
    </w:tbl>
    <w:p>
      <w:pPr>
        <w:pStyle w:val="129"/>
        <w:ind w:firstLine="482"/>
        <w:outlineLvl w:val="2"/>
        <w:rPr>
          <w:rFonts w:ascii="宋体" w:hAnsi="宋体" w:cs="宋体"/>
          <w:color w:val="auto"/>
          <w:highlight w:val="none"/>
        </w:rPr>
      </w:pPr>
      <w:r>
        <w:rPr>
          <w:rFonts w:hint="eastAsia" w:ascii="宋体" w:hAnsi="宋体" w:cs="宋体"/>
          <w:b/>
          <w:color w:val="auto"/>
          <w:highlight w:val="none"/>
        </w:rPr>
        <w:t>合同履约期限：合同签订之日起一年。</w:t>
      </w:r>
    </w:p>
    <w:p>
      <w:pPr>
        <w:pStyle w:val="7"/>
        <w:spacing w:line="360" w:lineRule="auto"/>
        <w:ind w:firstLine="480"/>
        <w:rPr>
          <w:rFonts w:hAnsi="宋体" w:cs="宋体"/>
          <w:b/>
          <w:color w:val="auto"/>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hAnsi="宋体" w:cs="宋体"/>
              <w:color w:val="auto"/>
              <w:kern w:val="0"/>
              <w:sz w:val="24"/>
              <w:highlight w:val="none"/>
            </w:rPr>
            <w:t>☐</w:t>
          </w:r>
        </w:sdtContent>
      </w:sdt>
      <w:r>
        <w:rPr>
          <w:rFonts w:hint="eastAsia" w:hAnsi="宋体" w:cs="宋体"/>
          <w:b/>
          <w:color w:val="auto"/>
          <w:sz w:val="24"/>
          <w:highlight w:val="none"/>
        </w:rPr>
        <w:t>是，</w:t>
      </w:r>
      <w:sdt>
        <w:sdtPr>
          <w:rPr>
            <w:rFonts w:hint="eastAsia" w:hAnsi="宋体" w:cs="宋体"/>
            <w:color w:val="auto"/>
            <w:kern w:val="0"/>
            <w:sz w:val="24"/>
            <w:highlight w:val="none"/>
          </w:rPr>
          <w:id w:val="2"/>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2.落实政府采购政策需满足的资格要求：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bookmarkStart w:id="401" w:name="_GoBack"/>
          <w:r>
            <w:rPr>
              <w:rFonts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bookmarkEnd w:id="401"/>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3.本项目的特定资格要求：无；</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0分</w:t>
      </w:r>
      <w:r>
        <w:rPr>
          <w:rFonts w:hint="eastAsia" w:ascii="宋体" w:hAnsi="宋体" w:cs="宋体"/>
          <w:bCs/>
          <w:color w:val="auto"/>
          <w:sz w:val="24"/>
          <w:highlight w:val="none"/>
          <w:u w:val="single"/>
        </w:rPr>
        <w:t xml:space="preserve">00秒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0分</w:t>
      </w:r>
      <w:r>
        <w:rPr>
          <w:rFonts w:hint="eastAsia" w:ascii="宋体" w:hAnsi="宋体" w:cs="宋体"/>
          <w:bCs/>
          <w:color w:val="auto"/>
          <w:sz w:val="24"/>
          <w:highlight w:val="none"/>
          <w:u w:val="single"/>
        </w:rPr>
        <w:t xml:space="preserve">00秒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称：杭州市儿童福利院（杭州市未成年人救助保护中心）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址：杭州市西湖区西溪路850号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项目联系人（询问）：张老师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项目联系方式（询问）：0571-85249061</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质疑联系人：麻培均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 0571-89935954</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widowControl/>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称：浙江中诺招标代理有限公司</w:t>
      </w:r>
    </w:p>
    <w:p>
      <w:pPr>
        <w:widowControl/>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杭州市西湖区教工路269号保翌大厦14楼</w:t>
      </w:r>
      <w:r>
        <w:rPr>
          <w:rFonts w:hint="eastAsia" w:ascii="宋体" w:hAnsi="宋体" w:cs="宋体"/>
          <w:color w:val="auto"/>
          <w:sz w:val="24"/>
          <w:highlight w:val="none"/>
        </w:rPr>
        <w:t xml:space="preserve">           </w:t>
      </w:r>
    </w:p>
    <w:p>
      <w:pPr>
        <w:widowControl/>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项目联系人（询问）： 吴知静      </w:t>
      </w:r>
    </w:p>
    <w:p>
      <w:pPr>
        <w:widowControl/>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项目联系方式（询问）：0571-88821402</w:t>
      </w:r>
    </w:p>
    <w:p>
      <w:pPr>
        <w:widowControl/>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董媛媛</w:t>
      </w:r>
      <w:r>
        <w:rPr>
          <w:rFonts w:hint="eastAsia" w:ascii="宋体" w:hAnsi="宋体" w:cs="宋体"/>
          <w:color w:val="auto"/>
          <w:sz w:val="24"/>
          <w:highlight w:val="none"/>
        </w:rPr>
        <w:t xml:space="preserve">            </w:t>
      </w:r>
    </w:p>
    <w:p>
      <w:pPr>
        <w:widowControl/>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质疑联系方式：0571-88821402-8</w:t>
      </w:r>
      <w:r>
        <w:rPr>
          <w:rFonts w:hint="eastAsia" w:ascii="宋体" w:hAnsi="宋体" w:cs="宋体"/>
          <w:color w:val="auto"/>
          <w:sz w:val="24"/>
          <w:highlight w:val="none"/>
          <w:lang w:val="en-US" w:eastAsia="zh-CN"/>
        </w:rPr>
        <w:t>030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名称：杭州市财政局政府采购监管处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地址：杭州市中河中路152号617办公室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传真：0571-87715261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 ：厉侃侃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监督投诉电话：0571-87233323          </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CA问题联系电话（人工）：汇信CA 400-888-4636；天谷CA 400-087-8198。</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highlight w:val="none"/>
        </w:rPr>
        <w:t xml:space="preserve">                              </w:t>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br w:type="page"/>
      </w: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投标人须知</w:t>
      </w:r>
      <w:bookmarkEnd w:id="8"/>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pPr w:leftFromText="180" w:rightFromText="180" w:vertAnchor="text" w:tblpX="-206" w:tblpY="1"/>
        <w:tblOverlap w:val="never"/>
        <w:tblW w:w="94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10"/>
        <w:gridCol w:w="1495"/>
        <w:gridCol w:w="7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序号</w:t>
            </w:r>
          </w:p>
        </w:tc>
        <w:tc>
          <w:tcPr>
            <w:tcW w:w="14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事项</w:t>
            </w:r>
          </w:p>
        </w:tc>
        <w:tc>
          <w:tcPr>
            <w:tcW w:w="729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4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报价要求</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color w:val="auto"/>
                <w:sz w:val="24"/>
                <w:highlight w:val="none"/>
              </w:rPr>
              <w:t>开标一览表（报价表）是报价的唯一载体</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sz w:val="24"/>
                <w:highlight w:val="none"/>
              </w:rPr>
              <w:t>本项目依据价格清单报整体</w:t>
            </w:r>
            <w:r>
              <w:rPr>
                <w:rFonts w:hint="eastAsia" w:ascii="宋体" w:hAnsi="宋体" w:cs="宋体"/>
                <w:b/>
                <w:color w:val="auto"/>
                <w:sz w:val="24"/>
                <w:highlight w:val="none"/>
                <w:lang w:eastAsia="zh-CN"/>
              </w:rPr>
              <w:t>折扣率</w:t>
            </w:r>
            <w:r>
              <w:rPr>
                <w:rFonts w:hint="eastAsia" w:ascii="宋体" w:hAnsi="宋体" w:cs="宋体"/>
                <w:b/>
                <w:color w:val="auto"/>
                <w:sz w:val="24"/>
                <w:highlight w:val="none"/>
              </w:rPr>
              <w:t>，最终完成为服务量为人民币</w:t>
            </w:r>
            <w:r>
              <w:rPr>
                <w:rFonts w:hint="eastAsia" w:ascii="宋体" w:hAnsi="宋体" w:cs="宋体"/>
                <w:b/>
                <w:color w:val="auto"/>
                <w:sz w:val="24"/>
                <w:highlight w:val="none"/>
                <w:lang w:val="en-US" w:eastAsia="zh-CN"/>
              </w:rPr>
              <w:t>774.2</w:t>
            </w:r>
            <w:r>
              <w:rPr>
                <w:rFonts w:hint="eastAsia" w:ascii="宋体" w:hAnsi="宋体" w:cs="宋体"/>
                <w:b/>
                <w:color w:val="auto"/>
                <w:sz w:val="24"/>
                <w:highlight w:val="none"/>
              </w:rPr>
              <w:t>万元的各项内容及项目次数。</w:t>
            </w:r>
          </w:p>
          <w:p>
            <w:pPr>
              <w:snapToGrid w:val="0"/>
              <w:spacing w:line="360" w:lineRule="auto"/>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lang w:eastAsia="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tblHead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14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710" w:type="dxa"/>
            <w:vMerge w:val="restart"/>
            <w:tcBorders>
              <w:top w:val="single" w:color="auto" w:sz="4" w:space="0"/>
              <w:left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1495" w:type="dxa"/>
            <w:vMerge w:val="restart"/>
            <w:tcBorders>
              <w:top w:val="single" w:color="000000" w:sz="8" w:space="0"/>
              <w:left w:val="single" w:color="auto" w:sz="4"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729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1" w:hRule="atLeast"/>
          <w:tblHeader/>
        </w:trPr>
        <w:tc>
          <w:tcPr>
            <w:tcW w:w="710" w:type="dxa"/>
            <w:vMerge w:val="continue"/>
            <w:tcBorders>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495" w:type="dxa"/>
            <w:vMerge w:val="continue"/>
            <w:tcBorders>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p>
        </w:tc>
        <w:tc>
          <w:tcPr>
            <w:tcW w:w="729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14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1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14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样品提供</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年  月  日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1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6</w:t>
            </w:r>
          </w:p>
        </w:tc>
        <w:tc>
          <w:tcPr>
            <w:tcW w:w="14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cs="宋体"/>
                    <w:color w:val="auto"/>
                    <w:kern w:val="0"/>
                    <w:sz w:val="24"/>
                    <w:highlight w:val="none"/>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（1）在评标时安排每个投标人进行方案讲解演示。每个投标人时间不超过15分钟，讲解演示人员不超过2人。讲解演示结束后按要求解答评标委员会提问。</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rPr>
              <w:t>（2）方案</w:t>
            </w:r>
            <w:r>
              <w:rPr>
                <w:rFonts w:hint="eastAsia" w:ascii="宋体" w:hAnsi="宋体" w:cs="宋体"/>
                <w:color w:val="auto"/>
                <w:kern w:val="0"/>
                <w:sz w:val="24"/>
                <w:highlight w:val="none"/>
                <w:lang w:val="zh-CN"/>
              </w:rPr>
              <w:t>演示采用录制视频或现场演示的方式。选择录制视频的，文件格式为mp4,采用U盘的形式提交，将U盘单独装在一个文件密封并在开标前邮寄或送达到开标现场。选择现场演示，演示次序由开标时抽签决定，演示所需设备由供应商自行准备（采购机构现场为高清HDMI转接头，请自备其他转接头）。</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1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7</w:t>
            </w:r>
          </w:p>
        </w:tc>
        <w:tc>
          <w:tcPr>
            <w:tcW w:w="14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20"/>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1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8</w:t>
            </w:r>
          </w:p>
        </w:tc>
        <w:tc>
          <w:tcPr>
            <w:tcW w:w="14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1872786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47488555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cs="宋体"/>
                    <w:color w:val="auto"/>
                    <w:kern w:val="0"/>
                    <w:sz w:val="24"/>
                    <w:highlight w:val="none"/>
                  </w:rPr>
                  <w:t>☐</w:t>
                </w:r>
              </w:sdtContent>
            </w:sdt>
            <w:r>
              <w:rPr>
                <w:rFonts w:hint="eastAsia" w:ascii="宋体" w:hAnsi="宋体" w:cs="宋体"/>
                <w:color w:val="auto"/>
                <w:kern w:val="0"/>
                <w:sz w:val="24"/>
                <w:highlight w:val="none"/>
              </w:rPr>
              <w:t>B</w:t>
            </w: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1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9</w:t>
            </w:r>
          </w:p>
        </w:tc>
        <w:tc>
          <w:tcPr>
            <w:tcW w:w="1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b/>
                <w:bCs/>
                <w:color w:val="auto"/>
                <w:kern w:val="0"/>
                <w:sz w:val="24"/>
                <w:highlight w:val="none"/>
              </w:rPr>
              <w:t>中小企业划分标准所属行业</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bCs/>
                <w:color w:val="auto"/>
                <w:kern w:val="0"/>
                <w:sz w:val="24"/>
                <w:highlight w:val="none"/>
                <w:lang w:eastAsia="zh-CN"/>
              </w:rPr>
            </w:pPr>
            <w:r>
              <w:rPr>
                <w:rFonts w:hint="eastAsia" w:ascii="宋体" w:hAnsi="宋体" w:cs="宋体"/>
                <w:b/>
                <w:bCs/>
                <w:color w:val="auto"/>
                <w:kern w:val="0"/>
                <w:sz w:val="24"/>
                <w:highlight w:val="none"/>
              </w:rPr>
              <w:t>本项目专门面向中小企业采购</w:t>
            </w:r>
            <w:r>
              <w:rPr>
                <w:rFonts w:hint="eastAsia" w:ascii="宋体" w:hAnsi="宋体" w:cs="宋体"/>
                <w:b/>
                <w:bCs/>
                <w:color w:val="auto"/>
                <w:kern w:val="0"/>
                <w:sz w:val="24"/>
                <w:highlight w:val="none"/>
                <w:lang w:eastAsia="zh-CN"/>
              </w:rPr>
              <w:t>，</w:t>
            </w:r>
            <w:r>
              <w:rPr>
                <w:rFonts w:hint="eastAsia" w:ascii="宋体" w:hAnsi="宋体" w:cs="宋体"/>
                <w:b/>
                <w:bCs/>
                <w:color w:val="auto"/>
                <w:kern w:val="0"/>
                <w:sz w:val="24"/>
                <w:highlight w:val="none"/>
                <w:lang w:val="en-US" w:eastAsia="zh-CN"/>
              </w:rPr>
              <w:t>投标时</w:t>
            </w:r>
            <w:r>
              <w:rPr>
                <w:rFonts w:hint="eastAsia" w:ascii="宋体" w:hAnsi="宋体" w:cs="宋体"/>
                <w:b/>
                <w:bCs/>
                <w:color w:val="auto"/>
                <w:sz w:val="24"/>
                <w:highlight w:val="none"/>
              </w:rPr>
              <w:t>提供中小企业声明函</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服务，</w:t>
            </w:r>
            <w:r>
              <w:rPr>
                <w:rFonts w:hint="eastAsia" w:ascii="宋体" w:hAnsi="宋体" w:cs="宋体"/>
                <w:color w:val="auto"/>
                <w:kern w:val="0"/>
                <w:sz w:val="24"/>
                <w:highlight w:val="none"/>
              </w:rPr>
              <w:t>本项目行业分类为：</w:t>
            </w:r>
            <w:r>
              <w:rPr>
                <w:rFonts w:hint="eastAsia" w:ascii="宋体" w:hAnsi="宋体" w:cs="宋体"/>
                <w:color w:val="auto"/>
                <w:kern w:val="0"/>
                <w:sz w:val="24"/>
                <w:highlight w:val="none"/>
                <w:u w:val="single"/>
              </w:rPr>
              <w:t>其他未列明行业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01" w:hRule="atLeast"/>
          <w:tblHeader/>
        </w:trPr>
        <w:tc>
          <w:tcPr>
            <w:tcW w:w="71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10</w:t>
            </w:r>
          </w:p>
        </w:tc>
        <w:tc>
          <w:tcPr>
            <w:tcW w:w="14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729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710" w:type="dxa"/>
            <w:vMerge w:val="restart"/>
            <w:tcBorders>
              <w:top w:val="single" w:color="auto" w:sz="4" w:space="0"/>
              <w:left w:val="single" w:color="000000" w:sz="8" w:space="0"/>
              <w:right w:val="single" w:color="000000" w:sz="2"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11</w:t>
            </w:r>
          </w:p>
        </w:tc>
        <w:tc>
          <w:tcPr>
            <w:tcW w:w="1495" w:type="dxa"/>
            <w:vMerge w:val="restart"/>
            <w:tcBorders>
              <w:top w:val="single" w:color="000000" w:sz="8" w:space="0"/>
              <w:left w:val="single" w:color="000000" w:sz="2"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710" w:type="dxa"/>
            <w:vMerge w:val="continue"/>
            <w:tcBorders>
              <w:left w:val="single" w:color="000000" w:sz="8" w:space="0"/>
              <w:right w:val="single" w:color="000000" w:sz="2" w:space="0"/>
            </w:tcBorders>
            <w:vAlign w:val="center"/>
          </w:tcPr>
          <w:p>
            <w:pPr>
              <w:spacing w:line="360" w:lineRule="auto"/>
              <w:ind w:firstLine="420" w:firstLineChars="200"/>
              <w:rPr>
                <w:rFonts w:ascii="宋体" w:hAnsi="宋体" w:cs="宋体"/>
                <w:color w:val="auto"/>
                <w:highlight w:val="none"/>
              </w:rPr>
            </w:pPr>
          </w:p>
        </w:tc>
        <w:tc>
          <w:tcPr>
            <w:tcW w:w="1495"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color w:val="auto"/>
                <w:highlight w:val="none"/>
              </w:rPr>
            </w:pPr>
          </w:p>
        </w:tc>
        <w:tc>
          <w:tcPr>
            <w:tcW w:w="729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71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14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7290"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lang w:eastAsia="zh-CN"/>
              </w:rPr>
              <w:t>杭州市西湖区教工路269号保翌大厦14楼</w:t>
            </w:r>
            <w:r>
              <w:rPr>
                <w:rFonts w:hint="eastAsia" w:hAnsi="宋体" w:cs="宋体"/>
                <w:color w:val="auto"/>
                <w:sz w:val="24"/>
                <w:highlight w:val="none"/>
                <w:u w:val="single"/>
              </w:rPr>
              <w:t>；</w:t>
            </w:r>
            <w:r>
              <w:rPr>
                <w:rFonts w:hint="eastAsia" w:hAnsi="宋体" w:cs="宋体"/>
                <w:color w:val="auto"/>
                <w:sz w:val="24"/>
                <w:highlight w:val="none"/>
              </w:rPr>
              <w:t>备份投标文件签收人员联系电话：</w:t>
            </w:r>
            <w:r>
              <w:rPr>
                <w:rFonts w:hint="eastAsia" w:hAnsi="宋体" w:cs="宋体"/>
                <w:color w:val="auto"/>
                <w:sz w:val="24"/>
                <w:highlight w:val="none"/>
                <w:u w:val="single"/>
              </w:rPr>
              <w:t xml:space="preserve"> </w:t>
            </w:r>
            <w:r>
              <w:rPr>
                <w:rFonts w:hint="eastAsia" w:hAnsi="宋体" w:cs="宋体"/>
                <w:color w:val="auto"/>
                <w:sz w:val="24"/>
                <w:highlight w:val="none"/>
                <w:u w:val="single"/>
                <w:lang w:val="en-US" w:eastAsia="zh-CN"/>
              </w:rPr>
              <w:t>董媛媛</w:t>
            </w:r>
            <w:r>
              <w:rPr>
                <w:rFonts w:hint="eastAsia" w:hAnsi="宋体" w:cs="宋体"/>
                <w:color w:val="auto"/>
                <w:sz w:val="24"/>
                <w:highlight w:val="none"/>
                <w:u w:val="single"/>
              </w:rPr>
              <w:t xml:space="preserve">，电话：0571-88821402 </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10"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13</w:t>
            </w:r>
          </w:p>
        </w:tc>
        <w:tc>
          <w:tcPr>
            <w:tcW w:w="14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宋体" w:hAnsi="宋体" w:cs="宋体"/>
                <w:b/>
                <w:color w:val="auto"/>
                <w:sz w:val="24"/>
                <w:highlight w:val="none"/>
              </w:rPr>
            </w:pPr>
            <w:r>
              <w:rPr>
                <w:rFonts w:hint="eastAsia" w:ascii="宋体" w:hAnsi="宋体" w:cs="宋体"/>
                <w:b/>
                <w:color w:val="auto"/>
                <w:sz w:val="24"/>
                <w:highlight w:val="none"/>
              </w:rPr>
              <w:t>采购代理服务费</w:t>
            </w:r>
          </w:p>
        </w:tc>
        <w:tc>
          <w:tcPr>
            <w:tcW w:w="7290" w:type="dxa"/>
            <w:tcBorders>
              <w:top w:val="single" w:color="000000" w:sz="8" w:space="0"/>
              <w:left w:val="single" w:color="000000" w:sz="2" w:space="0"/>
              <w:bottom w:val="single" w:color="000000" w:sz="8" w:space="0"/>
              <w:right w:val="single" w:color="000000" w:sz="8" w:space="0"/>
            </w:tcBorders>
            <w:vAlign w:val="center"/>
          </w:tcPr>
          <w:p>
            <w:pPr>
              <w:numPr>
                <w:ilvl w:val="0"/>
                <w:numId w:val="2"/>
              </w:numPr>
              <w:spacing w:line="360" w:lineRule="auto"/>
              <w:rPr>
                <w:rFonts w:ascii="宋体" w:hAnsi="宋体" w:cs="宋体"/>
                <w:snapToGrid w:val="0"/>
                <w:color w:val="auto"/>
                <w:kern w:val="28"/>
                <w:sz w:val="24"/>
                <w:highlight w:val="none"/>
                <w:lang w:val="zh-CN"/>
              </w:rPr>
            </w:pPr>
            <w:r>
              <w:rPr>
                <w:rFonts w:hint="eastAsia" w:ascii="宋体" w:hAnsi="宋体" w:cs="宋体"/>
                <w:snapToGrid w:val="0"/>
                <w:color w:val="auto"/>
                <w:kern w:val="28"/>
                <w:sz w:val="24"/>
                <w:highlight w:val="none"/>
              </w:rPr>
              <w:t>本项目的采购代理费由中标人支付。</w:t>
            </w:r>
            <w:r>
              <w:rPr>
                <w:rFonts w:hint="eastAsia" w:ascii="宋体" w:hAnsi="宋体" w:cs="宋体"/>
                <w:snapToGrid w:val="0"/>
                <w:color w:val="auto"/>
                <w:kern w:val="28"/>
                <w:sz w:val="24"/>
                <w:highlight w:val="none"/>
                <w:lang w:val="zh-CN"/>
              </w:rPr>
              <w:t>计费标准：《招标代理服务收费管理暂行办法》（【2002】1980号文件）</w:t>
            </w:r>
            <w:r>
              <w:rPr>
                <w:rFonts w:hint="eastAsia" w:ascii="宋体" w:hAnsi="宋体" w:cs="宋体"/>
                <w:snapToGrid w:val="0"/>
                <w:color w:val="auto"/>
                <w:kern w:val="28"/>
                <w:sz w:val="24"/>
                <w:highlight w:val="none"/>
              </w:rPr>
              <w:t>服务类</w:t>
            </w:r>
            <w:r>
              <w:rPr>
                <w:rFonts w:hint="eastAsia" w:ascii="宋体" w:hAnsi="宋体" w:cs="宋体"/>
                <w:snapToGrid w:val="0"/>
                <w:color w:val="auto"/>
                <w:kern w:val="28"/>
                <w:sz w:val="24"/>
                <w:highlight w:val="none"/>
                <w:lang w:val="zh-CN"/>
              </w:rPr>
              <w:t>收费标准的</w:t>
            </w:r>
            <w:r>
              <w:rPr>
                <w:rFonts w:hint="eastAsia" w:ascii="宋体" w:hAnsi="宋体" w:cs="宋体"/>
                <w:snapToGrid w:val="0"/>
                <w:color w:val="auto"/>
                <w:kern w:val="28"/>
                <w:sz w:val="24"/>
                <w:highlight w:val="none"/>
              </w:rPr>
              <w:t>80</w:t>
            </w:r>
            <w:r>
              <w:rPr>
                <w:rFonts w:hint="eastAsia" w:ascii="宋体" w:hAnsi="宋体" w:cs="宋体"/>
                <w:snapToGrid w:val="0"/>
                <w:color w:val="auto"/>
                <w:kern w:val="28"/>
                <w:sz w:val="24"/>
                <w:highlight w:val="none"/>
                <w:lang w:val="zh-CN"/>
              </w:rPr>
              <w:t>% ，</w:t>
            </w:r>
            <w:r>
              <w:rPr>
                <w:rFonts w:hint="eastAsia" w:ascii="宋体" w:hAnsi="宋体" w:cs="宋体"/>
                <w:snapToGrid w:val="0"/>
                <w:color w:val="auto"/>
                <w:kern w:val="28"/>
                <w:sz w:val="24"/>
                <w:highlight w:val="none"/>
              </w:rPr>
              <w:t>即</w:t>
            </w:r>
            <w:r>
              <w:rPr>
                <w:rFonts w:hint="eastAsia" w:ascii="宋体" w:hAnsi="宋体" w:cs="宋体"/>
                <w:snapToGrid w:val="0"/>
                <w:color w:val="auto"/>
                <w:kern w:val="28"/>
                <w:sz w:val="24"/>
                <w:highlight w:val="none"/>
                <w:lang w:val="zh-CN"/>
              </w:rPr>
              <w:t>中标金额 1.2%</w:t>
            </w:r>
            <w:r>
              <w:rPr>
                <w:rFonts w:hint="eastAsia" w:ascii="宋体" w:hAnsi="宋体" w:cs="宋体"/>
                <w:snapToGrid w:val="0"/>
                <w:color w:val="auto"/>
                <w:kern w:val="28"/>
                <w:sz w:val="24"/>
                <w:highlight w:val="none"/>
              </w:rPr>
              <w:t>收取；</w:t>
            </w:r>
            <w:r>
              <w:rPr>
                <w:rFonts w:hint="eastAsia" w:ascii="宋体" w:hAnsi="宋体" w:cs="宋体"/>
                <w:snapToGrid w:val="0"/>
                <w:color w:val="auto"/>
                <w:kern w:val="28"/>
                <w:sz w:val="24"/>
                <w:highlight w:val="none"/>
                <w:lang w:val="zh-CN"/>
              </w:rPr>
              <w:t>保底收费为：</w:t>
            </w:r>
            <w:r>
              <w:rPr>
                <w:rFonts w:hint="eastAsia" w:ascii="宋体" w:hAnsi="宋体" w:cs="宋体"/>
                <w:snapToGrid w:val="0"/>
                <w:color w:val="auto"/>
                <w:kern w:val="28"/>
                <w:sz w:val="24"/>
                <w:highlight w:val="none"/>
              </w:rPr>
              <w:t>人民币5</w:t>
            </w:r>
            <w:r>
              <w:rPr>
                <w:rFonts w:hint="eastAsia" w:ascii="宋体" w:hAnsi="宋体" w:cs="宋体"/>
                <w:snapToGrid w:val="0"/>
                <w:color w:val="auto"/>
                <w:kern w:val="28"/>
                <w:sz w:val="24"/>
                <w:highlight w:val="none"/>
                <w:lang w:val="zh-CN"/>
              </w:rPr>
              <w:t>000元。结算方式及时间为：在领取中标通知书时由中标供应商一次性向采购代理机构付清。</w:t>
            </w:r>
          </w:p>
          <w:p>
            <w:pPr>
              <w:snapToGrid w:val="0"/>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2.代理服务费收款账号：</w:t>
            </w:r>
          </w:p>
          <w:p>
            <w:pPr>
              <w:spacing w:line="360" w:lineRule="auto"/>
              <w:rPr>
                <w:rFonts w:ascii="宋体" w:hAnsi="宋体" w:cs="宋体"/>
                <w:snapToGrid w:val="0"/>
                <w:color w:val="auto"/>
                <w:kern w:val="28"/>
                <w:sz w:val="24"/>
                <w:highlight w:val="none"/>
                <w:lang w:val="zh-CN"/>
              </w:rPr>
            </w:pPr>
            <w:r>
              <w:rPr>
                <w:rFonts w:hint="eastAsia" w:ascii="宋体" w:hAnsi="宋体" w:cs="宋体"/>
                <w:snapToGrid w:val="0"/>
                <w:color w:val="auto"/>
                <w:kern w:val="28"/>
                <w:sz w:val="24"/>
                <w:highlight w:val="none"/>
                <w:lang w:val="zh-CN"/>
              </w:rPr>
              <w:t>收款单位（户名）：浙江中诺招标代理有限公司</w:t>
            </w:r>
          </w:p>
          <w:p>
            <w:pPr>
              <w:spacing w:line="360" w:lineRule="auto"/>
              <w:rPr>
                <w:rFonts w:ascii="宋体" w:hAnsi="宋体" w:cs="宋体"/>
                <w:snapToGrid w:val="0"/>
                <w:color w:val="auto"/>
                <w:kern w:val="28"/>
                <w:sz w:val="24"/>
                <w:highlight w:val="none"/>
                <w:lang w:val="zh-CN"/>
              </w:rPr>
            </w:pPr>
            <w:r>
              <w:rPr>
                <w:rFonts w:hint="eastAsia" w:ascii="宋体" w:hAnsi="宋体" w:cs="宋体"/>
                <w:snapToGrid w:val="0"/>
                <w:color w:val="auto"/>
                <w:kern w:val="28"/>
                <w:sz w:val="24"/>
                <w:highlight w:val="none"/>
                <w:lang w:val="zh-CN"/>
              </w:rPr>
              <w:t>开户银行：中信银行杭州玉泉支行</w:t>
            </w:r>
          </w:p>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lang w:val="zh-CN"/>
              </w:rPr>
              <w:t>银行账号：8110801012600973488</w:t>
            </w:r>
          </w:p>
        </w:tc>
      </w:tr>
    </w:tbl>
    <w:p>
      <w:pPr>
        <w:spacing w:line="360" w:lineRule="auto"/>
        <w:rPr>
          <w:rFonts w:ascii="宋体" w:hAnsi="宋体" w:cs="宋体"/>
          <w:snapToGrid w:val="0"/>
          <w:color w:val="auto"/>
          <w:kern w:val="28"/>
          <w:sz w:val="24"/>
          <w:highlight w:val="none"/>
          <w:lang w:val="zh-CN"/>
        </w:rPr>
      </w:pPr>
      <w:r>
        <w:rPr>
          <w:rFonts w:hint="eastAsia" w:ascii="宋体" w:hAnsi="宋体" w:cs="宋体"/>
          <w:snapToGrid w:val="0"/>
          <w:color w:val="auto"/>
          <w:kern w:val="28"/>
          <w:sz w:val="24"/>
          <w:highlight w:val="none"/>
          <w:lang w:val="zh-CN"/>
        </w:rPr>
        <w:t>注：以上内容如有变化将另行书面通知。如通知其中某一内容发生变化，其余未提及的将不作变动。</w:t>
      </w:r>
    </w:p>
    <w:p>
      <w:pPr>
        <w:snapToGrid w:val="0"/>
        <w:spacing w:line="360" w:lineRule="auto"/>
        <w:jc w:val="center"/>
        <w:rPr>
          <w:rFonts w:ascii="宋体" w:hAnsi="宋体" w:cs="宋体"/>
          <w:b/>
          <w:color w:val="auto"/>
          <w:sz w:val="32"/>
          <w:szCs w:val="20"/>
          <w:highlight w:val="none"/>
        </w:rPr>
      </w:pPr>
    </w:p>
    <w:bookmarkEnd w:id="9"/>
    <w:p>
      <w:pPr>
        <w:adjustRightInd/>
        <w:spacing w:line="360" w:lineRule="auto"/>
        <w:ind w:firstLine="3845" w:firstLineChars="1197"/>
        <w:outlineLvl w:val="0"/>
        <w:rPr>
          <w:rFonts w:ascii="宋体" w:hAnsi="宋体" w:cs="宋体"/>
          <w:b/>
          <w:color w:val="auto"/>
          <w:sz w:val="32"/>
          <w:szCs w:val="20"/>
          <w:highlight w:val="none"/>
        </w:rPr>
      </w:pPr>
      <w:bookmarkStart w:id="10" w:name="_Toc164416483"/>
      <w:bookmarkStart w:id="11"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系指实质性要求条款，“★”系产品采购项目中单一产品或核心产品，“</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color w:val="auto"/>
          <w:sz w:val="24"/>
          <w:highlight w:val="none"/>
        </w:rPr>
      </w:pPr>
      <w:r>
        <w:rPr>
          <w:rFonts w:hint="eastAsia" w:ascii="宋体" w:hAnsi="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4.2</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4.2</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Ansi="宋体" w:cs="宋体"/>
          <w:color w:val="auto"/>
          <w:sz w:val="24"/>
          <w:highlight w:val="none"/>
        </w:rPr>
      </w:pPr>
      <w:r>
        <w:rPr>
          <w:rFonts w:hint="eastAsia" w:hAnsi="宋体" w:cs="宋体"/>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s="宋体"/>
          <w:color w:val="auto"/>
          <w:sz w:val="24"/>
          <w:highlight w:val="none"/>
        </w:rPr>
      </w:pPr>
      <w:r>
        <w:rPr>
          <w:rFonts w:hint="eastAsia" w:hAnsi="宋体" w:cs="宋体"/>
          <w:color w:val="auto"/>
          <w:sz w:val="24"/>
          <w:highlight w:val="none"/>
        </w:rPr>
        <w:t>4.2.2.3对采购结果提出质疑的，质疑期限自采购结果公告期限届满之日起计算。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4.2.3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4.2.3.6提出质疑的日期。</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4.2</w:t>
      </w:r>
      <w:r>
        <w:rPr>
          <w:rFonts w:hint="eastAsia"/>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4.2</w:t>
      </w:r>
      <w:r>
        <w:rPr>
          <w:rFonts w:hint="eastAsia"/>
          <w:color w:val="auto"/>
          <w:highlight w:val="none"/>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4.3供应商投诉</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4.3.3供应商投诉应当有明确的请求和必要的证明材料。</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11.1.2落实政府采购政策需满足的资格要求：中小企业声明函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11.1.3本项目的特定资格要求。</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b/>
          <w:bCs/>
          <w:color w:val="auto"/>
          <w:sz w:val="24"/>
          <w:highlight w:val="none"/>
        </w:rPr>
        <w:t>商务技术</w:t>
      </w:r>
      <w:r>
        <w:rPr>
          <w:rFonts w:hint="eastAsia" w:ascii="宋体" w:hAnsi="宋体" w:cs="宋体"/>
          <w:b/>
          <w:bCs/>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11.2.3联合协议；</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11.2.4分包意向协议；</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11.2.5符合性审查资料；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11.2.6评标标准相应的商务技术资料；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11.2.7商务技术偏离表；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15.5投标人仅提交备份投标文件，没有在电子交易平台传输递交投标文件的，投标无效。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hint="eastAsia" w:cs="宋体"/>
          <w:color w:val="auto"/>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p>
    <w:p>
      <w:pPr>
        <w:rPr>
          <w:rFonts w:ascii="宋体" w:hAnsi="宋体" w:cs="宋体"/>
          <w:b/>
          <w:color w:val="auto"/>
          <w:sz w:val="32"/>
          <w:highlight w:val="none"/>
        </w:rPr>
      </w:pPr>
      <w:r>
        <w:rPr>
          <w:rFonts w:hint="eastAsia" w:ascii="宋体" w:hAnsi="宋体" w:cs="宋体"/>
          <w:b/>
          <w:color w:val="auto"/>
          <w:sz w:val="32"/>
          <w:highlight w:val="none"/>
        </w:rPr>
        <w:br w:type="page"/>
      </w: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5"/>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5"/>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采购人或采购机构依据法律法规和招标文件的规定，对投标人的基本资格条件、特定资格条件进行审查。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19.3投标人未按照招标文件要求提供与</w:t>
      </w:r>
      <w:r>
        <w:rPr>
          <w:rFonts w:hint="eastAsia" w:ascii="宋体" w:hAnsi="宋体" w:cs="宋体"/>
          <w:color w:val="auto"/>
          <w:highlight w:val="none"/>
        </w:rPr>
        <w:t>基本资格条件、特定资格条件相应的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4对未通过资格审查的投标人，采购人或采购机构告知其未通过的原因。</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5合格投标人不足3家的，不再评标。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2"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采购人将自收到评审报告之日起5个工作日内通过电子交易平台在评审报告推荐的中标候选人中按顺序确定中标供应商。</w:t>
      </w:r>
    </w:p>
    <w:p>
      <w:pPr>
        <w:pStyle w:val="129"/>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12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b/>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。履约保证金的数额不得超过政府采购合同金额的1%。鼓励和支持供应商以银行、保险公司出具的保函形式提供履约保证金。</w:t>
      </w:r>
      <w:r>
        <w:rPr>
          <w:rFonts w:hint="eastAsia" w:ascii="宋体" w:hAnsi="宋体" w:cs="宋体"/>
          <w:b/>
          <w:color w:val="auto"/>
          <w:sz w:val="24"/>
          <w:highlight w:val="none"/>
        </w:rPr>
        <w:t>采购人不得拒收履约保函。</w:t>
      </w:r>
    </w:p>
    <w:p>
      <w:pPr>
        <w:tabs>
          <w:tab w:val="left" w:pos="0"/>
        </w:tabs>
        <w:spacing w:line="360" w:lineRule="auto"/>
        <w:ind w:firstLine="482"/>
        <w:rPr>
          <w:rFonts w:ascii="宋体" w:hAnsi="宋体" w:cs="宋体"/>
          <w:color w:val="auto"/>
          <w:sz w:val="24"/>
          <w:szCs w:val="20"/>
          <w:highlight w:val="none"/>
        </w:rPr>
      </w:pPr>
      <w:r>
        <w:rPr>
          <w:rFonts w:hint="eastAsia" w:ascii="宋体" w:hAnsi="宋体" w:cs="宋体"/>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1%；评价总分在90分以下或者暂无评分的，收取履约保证金不得高于合同金额1%。</w:t>
      </w:r>
    </w:p>
    <w:p>
      <w:pPr>
        <w:pStyle w:val="5"/>
        <w:ind w:left="0" w:firstLine="480" w:firstLineChars="200"/>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9"/>
        <w:snapToGrid w:val="0"/>
        <w:spacing w:before="0"/>
        <w:ind w:firstLine="0" w:firstLineChars="0"/>
        <w:rPr>
          <w:rFonts w:ascii="宋体" w:hAnsi="宋体" w:cs="宋体"/>
          <w:b/>
          <w:bCs/>
          <w:color w:val="auto"/>
          <w:highlight w:val="none"/>
        </w:rPr>
      </w:pPr>
      <w:r>
        <w:rPr>
          <w:rFonts w:hint="eastAsia" w:ascii="宋体" w:hAnsi="宋体" w:cs="宋体"/>
          <w:b/>
          <w:bCs/>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color w:val="auto"/>
          <w:kern w:val="0"/>
          <w:sz w:val="24"/>
          <w:highlight w:val="none"/>
        </w:rPr>
        <w:sectPr>
          <w:footerReference r:id="rId8" w:type="first"/>
          <w:footerReference r:id="rId7" w:type="default"/>
          <w:pgSz w:w="11906" w:h="16838"/>
          <w:pgMar w:top="680" w:right="1418" w:bottom="468" w:left="1418" w:header="851" w:footer="992" w:gutter="0"/>
          <w:pgNumType w:start="1"/>
          <w:cols w:space="720" w:num="1"/>
          <w:docGrid w:linePitch="312" w:charSpace="0"/>
        </w:sectPr>
      </w:pPr>
      <w:bookmarkStart w:id="13" w:name="_Hlt74714665"/>
      <w:bookmarkEnd w:id="13"/>
      <w:bookmarkStart w:id="14" w:name="_Hlt74729768"/>
      <w:bookmarkEnd w:id="14"/>
      <w:bookmarkStart w:id="15" w:name="_Hlt74730295"/>
      <w:bookmarkEnd w:id="15"/>
      <w:bookmarkStart w:id="16" w:name="_Hlt75236101"/>
      <w:bookmarkEnd w:id="16"/>
      <w:bookmarkStart w:id="17" w:name="_Hlt75236011"/>
      <w:bookmarkEnd w:id="17"/>
      <w:bookmarkStart w:id="18" w:name="_Hlt68057669"/>
      <w:bookmarkEnd w:id="18"/>
      <w:bookmarkStart w:id="19" w:name="_Hlt68072998"/>
      <w:bookmarkEnd w:id="19"/>
      <w:bookmarkStart w:id="20" w:name="_Hlt74707468"/>
      <w:bookmarkEnd w:id="20"/>
      <w:bookmarkStart w:id="21" w:name="_Hlt68403820"/>
      <w:bookmarkEnd w:id="21"/>
      <w:bookmarkStart w:id="22" w:name="_Hlt68072990"/>
      <w:bookmarkEnd w:id="22"/>
      <w:bookmarkStart w:id="23" w:name="_Hlt75236290"/>
      <w:bookmarkEnd w:id="23"/>
      <w:bookmarkStart w:id="24" w:name="_Hlt68073093"/>
      <w:bookmarkEnd w:id="24"/>
    </w:p>
    <w:bookmarkEnd w:id="10"/>
    <w:bookmarkEnd w:id="11"/>
    <w:p>
      <w:pPr>
        <w:numPr>
          <w:ilvl w:val="0"/>
          <w:numId w:val="1"/>
        </w:numPr>
        <w:spacing w:line="360" w:lineRule="auto"/>
        <w:jc w:val="center"/>
        <w:outlineLvl w:val="0"/>
        <w:rPr>
          <w:rFonts w:ascii="宋体" w:hAnsi="宋体" w:cs="宋体"/>
          <w:b/>
          <w:color w:val="auto"/>
          <w:sz w:val="36"/>
          <w:szCs w:val="36"/>
          <w:highlight w:val="none"/>
        </w:rPr>
      </w:pPr>
      <w:bookmarkStart w:id="25" w:name="第四部分"/>
      <w:r>
        <w:rPr>
          <w:rFonts w:hint="eastAsia" w:ascii="宋体" w:hAnsi="宋体" w:cs="宋体"/>
          <w:b/>
          <w:color w:val="auto"/>
          <w:sz w:val="36"/>
          <w:szCs w:val="36"/>
          <w:highlight w:val="none"/>
        </w:rPr>
        <w:t xml:space="preserve">  采购需求</w:t>
      </w:r>
    </w:p>
    <w:p>
      <w:pPr>
        <w:bidi w:val="0"/>
        <w:jc w:val="left"/>
        <w:rPr>
          <w:color w:val="auto"/>
          <w:highlight w:val="none"/>
        </w:rPr>
      </w:pPr>
    </w:p>
    <w:p>
      <w:pPr>
        <w:pStyle w:val="2"/>
        <w:rPr>
          <w:color w:val="auto"/>
          <w:highlight w:val="none"/>
        </w:rPr>
      </w:pPr>
    </w:p>
    <w:p>
      <w:pPr>
        <w:widowControl/>
        <w:numPr>
          <w:ilvl w:val="0"/>
          <w:numId w:val="3"/>
        </w:numPr>
        <w:adjustRightInd/>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项目概况</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主要为杭州市儿童福利院孤困儿童提供日常生活照料和护理，并协助专业人员进行康复、教育、身心保健等服务。服务儿童人数预计年均292人左右（呈动态变化）。中标人应按法律法规、行业标准、儿童福利院要求和儿童身心发展需求，在招标人组织指导下保质保量地实施各项服务工作。</w:t>
      </w:r>
    </w:p>
    <w:p>
      <w:pPr>
        <w:widowControl/>
        <w:numPr>
          <w:ilvl w:val="0"/>
          <w:numId w:val="3"/>
        </w:numPr>
        <w:adjustRightInd/>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工作人员配备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遵循因事设岗，按岗配人，分层分类，结构合理的原则，要求项目在册人数总数与服务对象配比不低于1:3，即项目在册服务人数平均不低于98人</w:t>
      </w:r>
      <w:r>
        <w:rPr>
          <w:rFonts w:hint="eastAsia" w:ascii="宋体" w:hAnsi="宋体" w:cs="宋体"/>
          <w:color w:val="auto"/>
          <w:sz w:val="24"/>
          <w:szCs w:val="24"/>
          <w:highlight w:val="none"/>
          <w:lang w:val="en-US" w:eastAsia="zh-CN"/>
        </w:rPr>
        <w:t>，当月在岗人数不低于90人。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管理岗位：全面负责项目运行管理与综合协调，建议</w:t>
      </w:r>
      <w:r>
        <w:rPr>
          <w:rFonts w:hint="eastAsia" w:ascii="宋体" w:hAnsi="宋体" w:eastAsia="宋体" w:cs="宋体"/>
          <w:color w:val="auto"/>
          <w:sz w:val="24"/>
          <w:szCs w:val="24"/>
          <w:highlight w:val="none"/>
          <w:lang w:val="en-US" w:eastAsia="zh-CN"/>
        </w:rPr>
        <w:t>配备</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人。工作日作息时间8:30—16:30，夜间、周末和节假日按要求实行轮班制。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2.专业技术</w:t>
      </w:r>
      <w:r>
        <w:rPr>
          <w:rFonts w:hint="eastAsia" w:ascii="宋体" w:hAnsi="宋体" w:eastAsia="宋体" w:cs="宋体"/>
          <w:color w:val="auto"/>
          <w:sz w:val="24"/>
          <w:szCs w:val="24"/>
          <w:highlight w:val="none"/>
          <w:lang w:eastAsia="zh-CN"/>
        </w:rPr>
        <w:t>岗位：负责楼层日常管理、质量控制和专业指导，建议配备</w:t>
      </w:r>
      <w:r>
        <w:rPr>
          <w:rFonts w:hint="eastAsia" w:ascii="宋体" w:hAnsi="宋体" w:eastAsia="宋体" w:cs="宋体"/>
          <w:color w:val="auto"/>
          <w:sz w:val="24"/>
          <w:szCs w:val="24"/>
          <w:highlight w:val="none"/>
          <w:lang w:val="en-US" w:eastAsia="zh-CN"/>
        </w:rPr>
        <w:t>10人。工作日作息时间8:30—16:30，夜间、周末和节假日按要求实行轮班制。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3.工勤技能岗位：负责为不同年龄和不同残疾类型的孤残儿童24小时生活照料和护理，包括儿童护理、配奶和儿童区清洁、洗衣、缝纫</w:t>
      </w:r>
      <w:r>
        <w:rPr>
          <w:rFonts w:hint="eastAsia" w:asciiTheme="majorEastAsia" w:hAnsiTheme="majorEastAsia" w:eastAsiaTheme="majorEastAsia" w:cstheme="majorEastAsia"/>
          <w:color w:val="auto"/>
          <w:sz w:val="24"/>
          <w:szCs w:val="24"/>
          <w:highlight w:val="none"/>
          <w:lang w:val="en-US" w:eastAsia="zh-CN"/>
        </w:rPr>
        <w:t>及上下学接送</w:t>
      </w:r>
      <w:r>
        <w:rPr>
          <w:rFonts w:hint="eastAsia" w:ascii="宋体" w:hAnsi="宋体" w:eastAsia="宋体" w:cs="宋体"/>
          <w:color w:val="auto"/>
          <w:sz w:val="24"/>
          <w:szCs w:val="24"/>
          <w:highlight w:val="none"/>
          <w:lang w:val="en-US" w:eastAsia="zh-CN"/>
        </w:rPr>
        <w:t>岗位。建议配备86人，其中儿童护理一线岗位不少于76人。根据工作需要，实行全天24小时轮班制。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（1）标准班次：按照护理特点和护理难度分区分级护理，按照工作任务和工作量分时分类配岗。儿童活动期间，</w:t>
      </w:r>
      <w:r>
        <w:rPr>
          <w:rFonts w:hint="eastAsia" w:ascii="宋体" w:hAnsi="宋体" w:cs="宋体"/>
          <w:color w:val="auto"/>
          <w:sz w:val="24"/>
          <w:szCs w:val="24"/>
          <w:highlight w:val="none"/>
          <w:lang w:val="en-US" w:eastAsia="zh-CN"/>
        </w:rPr>
        <w:t>当班</w:t>
      </w:r>
      <w:r>
        <w:rPr>
          <w:rFonts w:hint="eastAsia" w:ascii="宋体" w:hAnsi="宋体" w:eastAsia="宋体" w:cs="宋体"/>
          <w:color w:val="auto"/>
          <w:sz w:val="24"/>
          <w:szCs w:val="24"/>
          <w:highlight w:val="none"/>
          <w:lang w:val="en-US" w:eastAsia="zh-CN"/>
        </w:rPr>
        <w:t>护理人员与儿童比例不低于1：5；儿童睡眠时间，</w:t>
      </w:r>
      <w:r>
        <w:rPr>
          <w:rFonts w:hint="eastAsia" w:ascii="宋体" w:hAnsi="宋体" w:cs="宋体"/>
          <w:color w:val="auto"/>
          <w:sz w:val="24"/>
          <w:szCs w:val="24"/>
          <w:highlight w:val="none"/>
          <w:lang w:val="en-US" w:eastAsia="zh-CN"/>
        </w:rPr>
        <w:t>当班</w:t>
      </w:r>
      <w:r>
        <w:rPr>
          <w:rFonts w:hint="eastAsia" w:ascii="宋体" w:hAnsi="宋体" w:eastAsia="宋体" w:cs="宋体"/>
          <w:color w:val="auto"/>
          <w:sz w:val="24"/>
          <w:szCs w:val="24"/>
          <w:highlight w:val="none"/>
          <w:lang w:val="en-US" w:eastAsia="zh-CN"/>
        </w:rPr>
        <w:t>护理人员与儿童比例不低于1：12。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color w:val="auto"/>
          <w:highlight w:val="none"/>
          <w:lang w:val="en-US"/>
        </w:rPr>
      </w:pPr>
      <w:r>
        <w:rPr>
          <w:rFonts w:hint="eastAsia" w:ascii="宋体" w:hAnsi="宋体" w:eastAsia="宋体" w:cs="宋体"/>
          <w:color w:val="auto"/>
          <w:sz w:val="24"/>
          <w:szCs w:val="24"/>
          <w:highlight w:val="none"/>
          <w:lang w:val="en-US" w:eastAsia="zh-CN"/>
        </w:rPr>
        <w:t>（2）弹性班次：对于儿童患病、隔离、送医、住院等特殊需要的，按需配备护理人员。</w:t>
      </w:r>
    </w:p>
    <w:p>
      <w:pPr>
        <w:widowControl/>
        <w:numPr>
          <w:ilvl w:val="0"/>
          <w:numId w:val="3"/>
        </w:numPr>
        <w:adjustRightInd/>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工作人员管理要求</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项目单位应保证所录用人员身体健康、无传染性疾病，无刑事违法或处分犯罪记录，符合岗位要求。如项目单位配备的人员不符合本合同约定的要求，视为项目单位未配置，项目单位应承担相应的违约责任。</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建立项目内部管理体系，项目主管负责本项目的实施和管理，其他服务人员按所在班组、岗位建立管理层级，层层压实责任，确保工作落细落实。</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所有项目人员须持证上岗，按岗位统一工作服，思想素质好、爱岗敬业、身体健康、无不良行为记录。</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所有项目人员</w:t>
      </w:r>
      <w:r>
        <w:rPr>
          <w:rFonts w:hint="eastAsia" w:ascii="宋体" w:hAnsi="宋体" w:eastAsia="宋体" w:cs="宋体"/>
          <w:color w:val="auto"/>
          <w:sz w:val="24"/>
          <w:szCs w:val="24"/>
          <w:highlight w:val="none"/>
        </w:rPr>
        <w:t>必须</w:t>
      </w:r>
      <w:r>
        <w:rPr>
          <w:rFonts w:hint="eastAsia" w:ascii="宋体" w:hAnsi="宋体" w:eastAsia="宋体" w:cs="宋体"/>
          <w:color w:val="auto"/>
          <w:sz w:val="24"/>
          <w:szCs w:val="24"/>
          <w:highlight w:val="none"/>
          <w:lang w:eastAsia="zh-CN"/>
        </w:rPr>
        <w:t>执行报备制度，由采购单位面试、考评通过项目单位方可录用。</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所有项目人员的住宿及用餐等均由项目单位自行解决。</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项目单位提供的所有人员均须按投标文件要求提供相应的证明材料（学历、资格证书、职称证书、经验与业绩证明、健康证明、</w:t>
      </w:r>
      <w:r>
        <w:rPr>
          <w:rFonts w:hint="eastAsia" w:ascii="宋体" w:hAnsi="宋体" w:eastAsia="宋体" w:cs="宋体"/>
          <w:color w:val="auto"/>
          <w:sz w:val="24"/>
          <w:szCs w:val="24"/>
          <w:highlight w:val="none"/>
          <w:lang w:val="en-US" w:eastAsia="zh-CN"/>
        </w:rPr>
        <w:t>无犯罪记录证明</w:t>
      </w:r>
      <w:r>
        <w:rPr>
          <w:rFonts w:hint="eastAsia" w:ascii="宋体" w:hAnsi="宋体" w:eastAsia="宋体" w:cs="宋体"/>
          <w:color w:val="auto"/>
          <w:sz w:val="24"/>
          <w:szCs w:val="24"/>
          <w:highlight w:val="none"/>
          <w:lang w:eastAsia="zh-CN"/>
        </w:rPr>
        <w:t>等），签订合同前提供不低于50%人员的全部证明材料，签订合同后</w:t>
      </w:r>
      <w:r>
        <w:rPr>
          <w:rFonts w:hint="eastAsia" w:ascii="宋体" w:hAnsi="宋体" w:cs="宋体"/>
          <w:color w:val="auto"/>
          <w:sz w:val="24"/>
          <w:szCs w:val="24"/>
          <w:highlight w:val="none"/>
          <w:lang w:val="en-US" w:eastAsia="zh-CN"/>
        </w:rPr>
        <w:t>人员到岗前</w:t>
      </w:r>
      <w:r>
        <w:rPr>
          <w:rFonts w:hint="eastAsia" w:ascii="宋体" w:hAnsi="宋体" w:eastAsia="宋体" w:cs="宋体"/>
          <w:color w:val="auto"/>
          <w:sz w:val="24"/>
          <w:szCs w:val="24"/>
          <w:highlight w:val="none"/>
          <w:lang w:eastAsia="zh-CN"/>
        </w:rPr>
        <w:t>提供全部人员的相关证明材料。</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项目人员结构合理，按照人员配备比例，落实服务团队人数。</w:t>
      </w:r>
      <w:r>
        <w:rPr>
          <w:rFonts w:hint="eastAsia" w:ascii="宋体" w:hAnsi="宋体" w:eastAsia="宋体" w:cs="宋体"/>
          <w:color w:val="auto"/>
          <w:sz w:val="24"/>
          <w:szCs w:val="24"/>
          <w:highlight w:val="none"/>
          <w:lang w:val="en-US" w:eastAsia="zh-CN"/>
        </w:rPr>
        <w:t>55周</w:t>
      </w:r>
      <w:r>
        <w:rPr>
          <w:rFonts w:hint="eastAsia" w:ascii="宋体" w:hAnsi="宋体" w:eastAsia="宋体" w:cs="宋体"/>
          <w:color w:val="auto"/>
          <w:sz w:val="24"/>
          <w:szCs w:val="24"/>
          <w:highlight w:val="none"/>
          <w:lang w:eastAsia="zh-CN"/>
        </w:rPr>
        <w:t>岁以下不少于</w:t>
      </w:r>
      <w:r>
        <w:rPr>
          <w:rFonts w:hint="eastAsia" w:ascii="宋体" w:hAnsi="宋体" w:cs="宋体"/>
          <w:color w:val="auto"/>
          <w:sz w:val="24"/>
          <w:szCs w:val="24"/>
          <w:highlight w:val="none"/>
          <w:lang w:val="en-US" w:eastAsia="zh-CN"/>
        </w:rPr>
        <w:t>70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55周</w:t>
      </w:r>
      <w:r>
        <w:rPr>
          <w:rFonts w:hint="eastAsia" w:ascii="宋体" w:hAnsi="宋体" w:eastAsia="宋体" w:cs="宋体"/>
          <w:color w:val="auto"/>
          <w:sz w:val="24"/>
          <w:szCs w:val="24"/>
          <w:highlight w:val="none"/>
          <w:lang w:eastAsia="zh-CN"/>
        </w:rPr>
        <w:t>岁以上不超过</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lang w:eastAsia="zh-CN"/>
        </w:rPr>
        <w:t>%；初中及以上文化一半以上。</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新进员工必须在</w:t>
      </w:r>
      <w:r>
        <w:rPr>
          <w:rFonts w:hint="eastAsia" w:ascii="宋体" w:hAnsi="宋体" w:cs="宋体"/>
          <w:color w:val="auto"/>
          <w:sz w:val="24"/>
          <w:szCs w:val="24"/>
          <w:highlight w:val="none"/>
          <w:lang w:val="en-US" w:eastAsia="zh-CN"/>
        </w:rPr>
        <w:t>到岗前</w:t>
      </w:r>
      <w:r>
        <w:rPr>
          <w:rFonts w:hint="eastAsia" w:ascii="宋体" w:hAnsi="宋体" w:eastAsia="宋体" w:cs="宋体"/>
          <w:color w:val="auto"/>
          <w:sz w:val="24"/>
          <w:szCs w:val="24"/>
          <w:highlight w:val="none"/>
          <w:lang w:eastAsia="zh-CN"/>
        </w:rPr>
        <w:t>按以上标准提供相应的证明材料。所有人员必须专职为杭州市儿童福利院服务，不得兼职，有项目组成员如需要更换，须提前</w:t>
      </w:r>
      <w:r>
        <w:rPr>
          <w:rFonts w:hint="eastAsia" w:ascii="宋体" w:hAnsi="宋体" w:eastAsia="宋体" w:cs="宋体"/>
          <w:color w:val="auto"/>
          <w:sz w:val="24"/>
          <w:szCs w:val="24"/>
          <w:highlight w:val="none"/>
          <w:lang w:val="en-US" w:eastAsia="zh-CN"/>
        </w:rPr>
        <w:t>3天</w:t>
      </w:r>
      <w:r>
        <w:rPr>
          <w:rFonts w:hint="eastAsia" w:ascii="宋体" w:hAnsi="宋体" w:eastAsia="宋体" w:cs="宋体"/>
          <w:color w:val="auto"/>
          <w:sz w:val="24"/>
          <w:szCs w:val="24"/>
          <w:highlight w:val="none"/>
          <w:lang w:eastAsia="zh-CN"/>
        </w:rPr>
        <w:t>上报采购单位，经采购单位书面同意认可后更换。</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为提高服务方护理服务水平，所有服务人员需进行孤残儿童护理知识培训。除项目单位对服务人员的培训外，还需接受采购单位对服务人员的相关业务培训。</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单位应严格遵守采购单位的各项规定和管理要求，保证不泄漏或以任何方式向第三方予以暗示、披露或擅自使用在服务管理中获得的任何儿童信息、单位信息；未经采购单位书面同意，项目单位不得利用与采购单位有关的音像资料、数据进行对外宣传。此条款长期有效，不因本合同的终止而失效。否则，项目单位应向采购单位承担1000</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元</w:t>
      </w:r>
      <w:r>
        <w:rPr>
          <w:rFonts w:hint="eastAsia" w:ascii="宋体" w:hAnsi="宋体" w:cs="宋体"/>
          <w:color w:val="auto"/>
          <w:sz w:val="24"/>
          <w:szCs w:val="24"/>
          <w:highlight w:val="none"/>
          <w:lang w:val="en-US" w:eastAsia="zh-CN"/>
        </w:rPr>
        <w:t>到50000元</w:t>
      </w:r>
      <w:r>
        <w:rPr>
          <w:rFonts w:hint="eastAsia" w:ascii="宋体" w:hAnsi="宋体" w:eastAsia="宋体" w:cs="宋体"/>
          <w:color w:val="auto"/>
          <w:sz w:val="24"/>
          <w:szCs w:val="24"/>
          <w:highlight w:val="none"/>
          <w:lang w:eastAsia="zh-CN"/>
        </w:rPr>
        <w:t>的违约金，</w:t>
      </w:r>
      <w:r>
        <w:rPr>
          <w:rFonts w:hint="eastAsia" w:ascii="宋体" w:hAnsi="宋体" w:cs="宋体"/>
          <w:color w:val="auto"/>
          <w:sz w:val="24"/>
          <w:szCs w:val="24"/>
          <w:highlight w:val="none"/>
          <w:lang w:val="en-US" w:eastAsia="zh-CN"/>
        </w:rPr>
        <w:t>具体金额视情节而定，</w:t>
      </w:r>
      <w:r>
        <w:rPr>
          <w:rFonts w:hint="eastAsia" w:ascii="宋体" w:hAnsi="宋体" w:eastAsia="宋体" w:cs="宋体"/>
          <w:color w:val="auto"/>
          <w:sz w:val="24"/>
          <w:szCs w:val="24"/>
          <w:highlight w:val="none"/>
          <w:lang w:eastAsia="zh-CN"/>
        </w:rPr>
        <w:t>并赔偿采购单位由此造成的一切损失。</w:t>
      </w:r>
    </w:p>
    <w:p>
      <w:pPr>
        <w:widowControl/>
        <w:numPr>
          <w:ilvl w:val="0"/>
          <w:numId w:val="4"/>
        </w:numPr>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项目单位应利用电脑对儿童个案实行信息化管理。各类记录、报表应真实、准确、及时，符合采购单位要求。</w:t>
      </w:r>
    </w:p>
    <w:p>
      <w:pPr>
        <w:widowControl/>
        <w:numPr>
          <w:ilvl w:val="0"/>
          <w:numId w:val="4"/>
        </w:numPr>
        <w:spacing w:line="360" w:lineRule="auto"/>
        <w:ind w:left="0" w:leftChars="0" w:firstLine="480" w:firstLineChars="200"/>
        <w:rPr>
          <w:color w:val="auto"/>
          <w:highlight w:val="none"/>
          <w:lang w:val="en-US"/>
        </w:rPr>
      </w:pPr>
      <w:r>
        <w:rPr>
          <w:rFonts w:hint="eastAsia" w:ascii="宋体" w:hAnsi="宋体" w:eastAsia="宋体" w:cs="宋体"/>
          <w:color w:val="auto"/>
          <w:sz w:val="24"/>
          <w:szCs w:val="24"/>
          <w:highlight w:val="none"/>
          <w:lang w:eastAsia="zh-CN"/>
        </w:rPr>
        <w:t>项目单位应有风险管理措施和应急预案，认真做好各类事故的预防工作，确保安全无事故。</w:t>
      </w:r>
    </w:p>
    <w:p>
      <w:pPr>
        <w:widowControl/>
        <w:numPr>
          <w:ilvl w:val="0"/>
          <w:numId w:val="3"/>
        </w:numPr>
        <w:adjustRightInd/>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岗位职责与要求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管理岗位</w:t>
      </w:r>
    </w:p>
    <w:p>
      <w:pPr>
        <w:pStyle w:val="58"/>
        <w:spacing w:before="0" w:beforeAutospacing="0" w:after="0" w:afterAutospacing="0" w:line="360" w:lineRule="auto"/>
        <w:ind w:firstLine="48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4"/>
          <w:szCs w:val="24"/>
          <w:highlight w:val="none"/>
          <w:lang w:val="en-US" w:eastAsia="zh-CN" w:bidi="ar-SA"/>
        </w:rPr>
        <w:t>首聘年龄&lt;45周岁，</w:t>
      </w:r>
      <w:r>
        <w:rPr>
          <w:rFonts w:hint="eastAsia" w:ascii="宋体" w:hAnsi="宋体" w:eastAsia="宋体" w:cs="宋体"/>
          <w:color w:val="auto"/>
          <w:sz w:val="24"/>
          <w:szCs w:val="24"/>
          <w:highlight w:val="none"/>
        </w:rPr>
        <w:t>大专及以上学历，</w:t>
      </w:r>
      <w:r>
        <w:rPr>
          <w:rFonts w:hint="eastAsia" w:ascii="宋体" w:hAnsi="宋体" w:eastAsia="宋体" w:cs="宋体"/>
          <w:color w:val="auto"/>
          <w:kern w:val="2"/>
          <w:sz w:val="24"/>
          <w:szCs w:val="24"/>
          <w:highlight w:val="none"/>
          <w:lang w:val="en-US" w:eastAsia="zh-CN" w:bidi="ar-SA"/>
        </w:rPr>
        <w:t>具有（护理/康复/教育/心理/社会工作等)</w:t>
      </w:r>
      <w:r>
        <w:rPr>
          <w:rFonts w:hint="eastAsia" w:ascii="宋体" w:hAnsi="宋体" w:eastAsia="宋体" w:cs="宋体"/>
          <w:color w:val="auto"/>
          <w:sz w:val="24"/>
          <w:szCs w:val="24"/>
          <w:highlight w:val="none"/>
        </w:rPr>
        <w:t>相关专业资格</w:t>
      </w:r>
      <w:r>
        <w:rPr>
          <w:rFonts w:hint="eastAsia" w:ascii="宋体" w:hAnsi="宋体" w:eastAsia="宋体" w:cs="宋体"/>
          <w:color w:val="auto"/>
          <w:sz w:val="24"/>
          <w:szCs w:val="24"/>
          <w:highlight w:val="none"/>
          <w:lang w:val="en-US" w:eastAsia="zh-CN"/>
        </w:rPr>
        <w:t>,两年及以上护理管理经验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身体健康，熟悉</w:t>
      </w:r>
      <w:r>
        <w:rPr>
          <w:rFonts w:hint="eastAsia" w:ascii="宋体" w:hAnsi="宋体" w:eastAsia="宋体" w:cs="宋体"/>
          <w:color w:val="auto"/>
          <w:sz w:val="24"/>
          <w:szCs w:val="24"/>
          <w:highlight w:val="none"/>
          <w:lang w:eastAsia="zh-CN"/>
        </w:rPr>
        <w:t>护理</w:t>
      </w:r>
      <w:r>
        <w:rPr>
          <w:rFonts w:hint="eastAsia" w:ascii="宋体" w:hAnsi="宋体" w:eastAsia="宋体" w:cs="宋体"/>
          <w:color w:val="auto"/>
          <w:sz w:val="24"/>
          <w:szCs w:val="24"/>
          <w:highlight w:val="none"/>
        </w:rPr>
        <w:t>行业政策法规；热爱儿童，工作责任心强，有较强的服务意识。</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在采购方的指导下，负责优育项目的日常管理与运行。</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负责项目统筹协调，制定项目服务计划并组织实施，定期检查回顾，按时总结汇报。</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负责项目行政管理，拟定和规范护理工作制度、护理人员职责、护理常规等，不折不扣抓好制度执行。</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负责项目人事管理，统筹做好人员招聘、分工、考核等，根据工作量合理分配护理人力资源。</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负责项目安全管理，建立健全应急预案，严防护理差错事故，严格履行护理安全事件与隐患缺陷报告制度。</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负责项目质量管理，建立、实施并保持质量管理体系，指导并参与特殊儿童护理，保持护理质量持续改进。</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负责项目业务管理，建立护理查房制度，引导督促项目人员履职尽责，严格执行各项规章制度和技术操作规程。</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负责项目队伍建设，定期组织业务学习、开展技能训练与考核，促进护理团队成长。</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定期召开工作会议，每天参加晨会交班，每周一次工作例会，每月一次组长会议，每季度一次质量分析会，每年一次护理员大会。</w:t>
      </w:r>
    </w:p>
    <w:p>
      <w:pPr>
        <w:pStyle w:val="789"/>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加强协调配合，保质保量完成采购方交办的其他工作任务。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专业技术岗位</w:t>
      </w:r>
    </w:p>
    <w:p>
      <w:pPr>
        <w:pStyle w:val="58"/>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首聘年龄&lt;45周岁，</w:t>
      </w:r>
      <w:r>
        <w:rPr>
          <w:rFonts w:hint="eastAsia" w:ascii="宋体" w:hAnsi="宋体" w:eastAsia="宋体" w:cs="宋体"/>
          <w:color w:val="auto"/>
          <w:sz w:val="24"/>
          <w:szCs w:val="24"/>
          <w:highlight w:val="none"/>
          <w:lang w:eastAsia="zh-CN"/>
        </w:rPr>
        <w:t>中专</w:t>
      </w:r>
      <w:r>
        <w:rPr>
          <w:rFonts w:hint="eastAsia" w:ascii="宋体" w:hAnsi="宋体" w:eastAsia="宋体" w:cs="宋体"/>
          <w:color w:val="auto"/>
          <w:sz w:val="24"/>
          <w:szCs w:val="24"/>
          <w:highlight w:val="none"/>
        </w:rPr>
        <w:t>及以上学历，</w:t>
      </w:r>
      <w:r>
        <w:rPr>
          <w:rFonts w:hint="eastAsia" w:ascii="宋体" w:hAnsi="宋体" w:eastAsia="宋体" w:cs="宋体"/>
          <w:color w:val="auto"/>
          <w:kern w:val="2"/>
          <w:sz w:val="24"/>
          <w:szCs w:val="24"/>
          <w:highlight w:val="none"/>
          <w:lang w:val="en-US" w:eastAsia="zh-CN" w:bidi="ar-SA"/>
        </w:rPr>
        <w:t>具有（护理/康复/教育/心理/社会工作等)</w:t>
      </w:r>
      <w:r>
        <w:rPr>
          <w:rFonts w:hint="eastAsia" w:ascii="宋体" w:hAnsi="宋体" w:eastAsia="宋体" w:cs="宋体"/>
          <w:color w:val="auto"/>
          <w:sz w:val="24"/>
          <w:szCs w:val="24"/>
          <w:highlight w:val="none"/>
        </w:rPr>
        <w:t>相关专业资格</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身体健康，熟悉</w:t>
      </w:r>
      <w:r>
        <w:rPr>
          <w:rFonts w:hint="eastAsia" w:ascii="宋体" w:hAnsi="宋体" w:eastAsia="宋体" w:cs="宋体"/>
          <w:color w:val="auto"/>
          <w:sz w:val="24"/>
          <w:szCs w:val="24"/>
          <w:highlight w:val="none"/>
          <w:lang w:eastAsia="zh-CN"/>
        </w:rPr>
        <w:t>护理</w:t>
      </w:r>
      <w:r>
        <w:rPr>
          <w:rFonts w:hint="eastAsia" w:ascii="宋体" w:hAnsi="宋体" w:eastAsia="宋体" w:cs="宋体"/>
          <w:color w:val="auto"/>
          <w:sz w:val="24"/>
          <w:szCs w:val="24"/>
          <w:highlight w:val="none"/>
        </w:rPr>
        <w:t>行业政策法规；热爱儿童，工作</w:t>
      </w:r>
      <w:r>
        <w:rPr>
          <w:rFonts w:hint="eastAsia" w:ascii="宋体" w:hAnsi="宋体" w:eastAsia="宋体" w:cs="宋体"/>
          <w:color w:val="auto"/>
          <w:sz w:val="24"/>
          <w:szCs w:val="24"/>
          <w:highlight w:val="none"/>
          <w:lang w:eastAsia="zh-CN"/>
        </w:rPr>
        <w:t>细致严谨、</w:t>
      </w:r>
      <w:r>
        <w:rPr>
          <w:rFonts w:hint="eastAsia" w:ascii="宋体" w:hAnsi="宋体" w:eastAsia="宋体" w:cs="宋体"/>
          <w:color w:val="auto"/>
          <w:sz w:val="24"/>
          <w:szCs w:val="24"/>
          <w:highlight w:val="none"/>
        </w:rPr>
        <w:t>责任心强，有较强的服务意识</w:t>
      </w:r>
      <w:r>
        <w:rPr>
          <w:rFonts w:hint="eastAsia" w:ascii="宋体" w:hAnsi="宋体" w:eastAsia="宋体" w:cs="宋体"/>
          <w:color w:val="auto"/>
          <w:sz w:val="24"/>
          <w:szCs w:val="24"/>
          <w:highlight w:val="none"/>
          <w:lang w:eastAsia="zh-CN"/>
        </w:rPr>
        <w:t>和应变能力</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相关工作经验者优先考虑。</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在采购方的指导和项目主管的领导下，负责责任楼层的日常管理、业务指导和内外协调工作。</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制定并实施护理工作计划，按期总结汇报，做到有计划、有安排、有重点、有成效。</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负责楼内护理员分工排班和考核评优，制定岗位流程和考核标准，抓好护理员政治思想工作和职业道德教育。</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教育和引导护理员持续改善服务态度，督促各项规章制度和技术操作规程执行到位，严防安全事故。</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主持晨会定时巡查，指导并参与特殊儿童护理，经常深入班组检查并改进护理质量。</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坚持面向全体、突出个体，围绕儿童需求开展儿童抚育照护、生活康复和游戏活动，协助专业服务。</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在医务人员的指导下，严格执行消毒隔离制度，配合卫生保健、饮食安全等知识宣教，落实患病儿童观察护理。</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负责楼层各类物资、设备仪器的申领与管理，做好设备使用维护与故障报修，保证工作有序开展。</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定期组织护理员业务学习和技能培训，参加院部、科室组织的培训，不断提高护理人员业务素质和服务水平。 </w:t>
      </w:r>
    </w:p>
    <w:p>
      <w:pPr>
        <w:pStyle w:val="78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 xml:space="preserve">完成上级交办的其他工作任务，服从部门统一管理和安排。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护理岗位</w:t>
      </w:r>
    </w:p>
    <w:p>
      <w:pPr>
        <w:pStyle w:val="789"/>
        <w:pageBreakBefore w:val="0"/>
        <w:kinsoku/>
        <w:wordWrap/>
        <w:overflowPunct/>
        <w:topLinePunct w:val="0"/>
        <w:bidi w:val="0"/>
        <w:spacing w:line="360" w:lineRule="auto"/>
        <w:ind w:firstLine="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女性&lt;55周岁，男性&lt;60周岁，具有(育婴员/护理员等)照护类证书，</w:t>
      </w:r>
      <w:r>
        <w:rPr>
          <w:rFonts w:hint="eastAsia" w:asciiTheme="minorEastAsia" w:hAnsiTheme="minorEastAsia" w:eastAsiaTheme="minorEastAsia" w:cstheme="minorEastAsia"/>
          <w:color w:val="auto"/>
          <w:kern w:val="2"/>
          <w:sz w:val="24"/>
          <w:szCs w:val="24"/>
          <w:highlight w:val="none"/>
          <w:lang w:val="en-US" w:eastAsia="zh-CN" w:bidi="ar-SA"/>
        </w:rPr>
        <w:t>一年以上护理工作经验者年龄可适当放宽，（根据甲方配备需求B照驾驶员，具有两年以上驾驶经验，接到甲方通知后10个工作日内到岗）</w:t>
      </w:r>
      <w:r>
        <w:rPr>
          <w:rFonts w:hint="eastAsia" w:ascii="宋体" w:hAnsi="宋体" w:eastAsia="宋体" w:cs="宋体"/>
          <w:color w:val="auto"/>
          <w:kern w:val="2"/>
          <w:sz w:val="24"/>
          <w:szCs w:val="24"/>
          <w:highlight w:val="none"/>
          <w:lang w:val="en-US" w:eastAsia="zh-CN" w:bidi="ar-SA"/>
        </w:rPr>
        <w:t>；热爱儿童，身体健康，无犯罪记录，能吃苦耐劳，经培训合格后能独立上岗，独立完成护理记录。</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在项目单位的领导和采购方的指导下，为儿童提供24小时全天候照护服务。</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严格遵守各项规章制度，认真执行护理操作规程，按照护理等级为不同年龄、不同能力的儿童实施分级护理，做好台账记录。</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负责儿童日常生活照料，根据儿童身心特点实施针对性护理，包括亲情关爱、饮食起居照料、个人清洁卫生和睡眠照料等。</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采取安全防护措施，预防儿童意外伤害，配合处理儿童突发状况，杜绝差错事故。</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负责儿童区域清洁卫生，做好内务整理、清扫保洁和日常消毒等，保持儿童生活环境整洁有序。</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负责儿童衣物清洗消毒晾晒缝纫，严格执行消毒隔离制度，衣物、被褥随脏随洗，玩具、用具、辅具定期消毒清洗。</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负责儿童配奶配餐服务,严格按照儿童饮食表调制配方奶、制作水果泥，保障食品安全卫生。</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负责生病儿童陪护照料（包括住院），护送儿童外出体检、就医就学等，给予情感支持，促进儿童健康。</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协助早教康复，按照康复计划实施生活康复训练，组织儿童闲暇活动，支持儿童参与各类活动，提供现场护理。</w:t>
      </w:r>
    </w:p>
    <w:p>
      <w:pPr>
        <w:pStyle w:val="789"/>
        <w:pageBreakBefore w:val="0"/>
        <w:numPr>
          <w:ilvl w:val="0"/>
          <w:numId w:val="8"/>
        </w:numPr>
        <w:kinsoku/>
        <w:wordWrap/>
        <w:overflowPunct/>
        <w:topLinePunct w:val="0"/>
        <w:bidi w:val="0"/>
        <w:spacing w:line="360" w:lineRule="auto"/>
        <w:ind w:left="-10" w:leftChars="0" w:firstLine="480" w:firstLineChars="200"/>
        <w:textAlignment w:val="auto"/>
        <w:rPr>
          <w:rFonts w:ascii="宋体" w:hAnsi="宋体" w:cs="宋体"/>
          <w:color w:val="auto"/>
          <w:szCs w:val="24"/>
          <w:highlight w:val="none"/>
        </w:rPr>
      </w:pPr>
      <w:r>
        <w:rPr>
          <w:rFonts w:hint="eastAsia" w:asciiTheme="minorEastAsia" w:hAnsiTheme="minorEastAsia" w:eastAsiaTheme="minorEastAsia" w:cstheme="minorEastAsia"/>
          <w:color w:val="auto"/>
          <w:sz w:val="24"/>
          <w:szCs w:val="24"/>
          <w:highlight w:val="none"/>
          <w:lang w:val="en-US" w:eastAsia="zh-CN"/>
        </w:rPr>
        <w:t>根据甲方需求，服从工作安排，完成交办的的其他工作任务。</w:t>
      </w:r>
    </w:p>
    <w:p>
      <w:pPr>
        <w:widowControl/>
        <w:numPr>
          <w:ilvl w:val="0"/>
          <w:numId w:val="3"/>
        </w:num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护理服务应达到的各项指标</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1、落实护理措施100%；</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2、护理安全率100%；</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3、护理质量合格率达≥95%；</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4、护理记录合格率≥90%；</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5、护理服务满意率≥90%以上；</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6、消毒隔离率100%；</w:t>
      </w:r>
    </w:p>
    <w:p>
      <w:pPr>
        <w:spacing w:line="360" w:lineRule="auto"/>
        <w:ind w:firstLine="352" w:firstLineChars="147"/>
        <w:rPr>
          <w:color w:val="auto"/>
          <w:highlight w:val="none"/>
          <w:lang w:val="en-US"/>
        </w:rPr>
      </w:pPr>
      <w:r>
        <w:rPr>
          <w:rFonts w:hint="eastAsia" w:ascii="宋体" w:hAnsi="宋体" w:cs="宋体"/>
          <w:color w:val="auto"/>
          <w:sz w:val="24"/>
          <w:highlight w:val="none"/>
        </w:rPr>
        <w:t>7、项目人员配比到岗率100%。</w:t>
      </w:r>
    </w:p>
    <w:p>
      <w:pPr>
        <w:snapToGrid w:val="0"/>
        <w:spacing w:line="360" w:lineRule="auto"/>
        <w:ind w:firstLine="482" w:firstLineChars="200"/>
        <w:rPr>
          <w:rFonts w:ascii="宋体" w:hAnsi="宋体" w:cs="宋体"/>
          <w:snapToGrid w:val="0"/>
          <w:color w:val="auto"/>
          <w:kern w:val="0"/>
          <w:sz w:val="24"/>
          <w:highlight w:val="none"/>
        </w:rPr>
      </w:pPr>
      <w:r>
        <w:rPr>
          <w:rFonts w:hint="eastAsia" w:ascii="宋体" w:hAnsi="宋体" w:cs="宋体"/>
          <w:b/>
          <w:snapToGrid w:val="0"/>
          <w:color w:val="auto"/>
          <w:kern w:val="0"/>
          <w:sz w:val="24"/>
          <w:highlight w:val="none"/>
        </w:rPr>
        <w:t>六、服务质量要求</w:t>
      </w:r>
    </w:p>
    <w:p>
      <w:pPr>
        <w:spacing w:line="360" w:lineRule="auto"/>
        <w:ind w:left="482" w:hanging="482" w:hangingChars="200"/>
        <w:rPr>
          <w:rFonts w:ascii="宋体" w:hAnsi="宋体" w:cs="宋体"/>
          <w:b/>
          <w:color w:val="auto"/>
          <w:sz w:val="24"/>
          <w:highlight w:val="none"/>
        </w:rPr>
      </w:pPr>
      <w:r>
        <w:rPr>
          <w:rFonts w:hint="eastAsia" w:ascii="宋体" w:hAnsi="宋体" w:cs="宋体"/>
          <w:b/>
          <w:color w:val="auto"/>
          <w:sz w:val="24"/>
          <w:highlight w:val="none"/>
        </w:rPr>
        <w:t xml:space="preserve">    1、项目服务要求：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树立服务意识，从维护儿童权益出发，要尊重、关心、爱护儿童，严禁虐待、歧视、体罚、变相体罚、偏爱、侮辱幼儿人格等一切损害他们身心健康的行为。以良好的职业道德，较强的工作责任感，保证各项护理工作的顺利完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（2）自觉遵守福利院的各项规章制度，遵守相关法律法规的有关要求，语言文明礼貌，举止端庄大方，服务耐心细致，与各部门间团结协作，努力创造文明、健康、乐观、祥和的工作氛围。</w:t>
      </w:r>
    </w:p>
    <w:p>
      <w:pPr>
        <w:spacing w:line="360" w:lineRule="auto"/>
        <w:ind w:firstLine="480" w:firstLineChars="200"/>
        <w:rPr>
          <w:rFonts w:ascii="宋体" w:hAnsi="宋体" w:cs="宋体"/>
          <w:bCs/>
          <w:color w:val="auto"/>
          <w:sz w:val="24"/>
          <w:highlight w:val="none"/>
        </w:rPr>
      </w:pPr>
      <w:r>
        <w:rPr>
          <w:rFonts w:hint="eastAsia" w:ascii="宋体" w:hAnsi="宋体" w:cs="宋体"/>
          <w:color w:val="auto"/>
          <w:kern w:val="0"/>
          <w:sz w:val="24"/>
          <w:highlight w:val="none"/>
        </w:rPr>
        <w:t>（3）</w:t>
      </w:r>
      <w:r>
        <w:rPr>
          <w:rFonts w:hint="eastAsia" w:ascii="宋体" w:hAnsi="宋体" w:cs="宋体"/>
          <w:color w:val="auto"/>
          <w:sz w:val="24"/>
          <w:highlight w:val="none"/>
        </w:rPr>
        <w:t>严格遵照</w:t>
      </w:r>
      <w:r>
        <w:rPr>
          <w:rFonts w:hint="eastAsia" w:ascii="宋体" w:hAnsi="宋体" w:cs="宋体"/>
          <w:bCs/>
          <w:color w:val="auto"/>
          <w:sz w:val="24"/>
          <w:highlight w:val="none"/>
        </w:rPr>
        <w:t>招标人的护理操作规程及要求</w:t>
      </w:r>
      <w:r>
        <w:rPr>
          <w:rFonts w:hint="eastAsia" w:ascii="宋体" w:hAnsi="宋体" w:cs="宋体"/>
          <w:color w:val="auto"/>
          <w:sz w:val="24"/>
          <w:highlight w:val="none"/>
        </w:rPr>
        <w:t>，全方位做好儿童日常生活照护（儿童清洁、喂养、睡眠、日常保健、心理护理等），并</w:t>
      </w:r>
      <w:r>
        <w:rPr>
          <w:rFonts w:hint="eastAsia" w:ascii="宋体" w:hAnsi="宋体" w:cs="宋体"/>
          <w:bCs/>
          <w:color w:val="auto"/>
          <w:sz w:val="24"/>
          <w:highlight w:val="none"/>
        </w:rPr>
        <w:t>做好各项护理记录。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（4）严格遵照</w:t>
      </w:r>
      <w:r>
        <w:rPr>
          <w:rFonts w:hint="eastAsia" w:ascii="宋体" w:hAnsi="宋体" w:cs="宋体"/>
          <w:bCs/>
          <w:color w:val="auto"/>
          <w:sz w:val="24"/>
          <w:highlight w:val="none"/>
        </w:rPr>
        <w:t>招标人儿童陪护要求</w:t>
      </w:r>
      <w:r>
        <w:rPr>
          <w:rFonts w:hint="eastAsia" w:ascii="宋体" w:hAnsi="宋体" w:cs="宋体"/>
          <w:color w:val="auto"/>
          <w:sz w:val="24"/>
          <w:highlight w:val="none"/>
        </w:rPr>
        <w:t>做好儿童就医、住院等陪护工作，了解患儿的病情、护理要求及其他注意事项，并保质保量地按陪护要求和注意事项对患儿实行全天侯的生活照料和安全看护，做好相关护理记录；做好其他一切相关儿童所需的陪护/陪同工作，全权负责孩子的安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（5）</w:t>
      </w:r>
      <w:r>
        <w:rPr>
          <w:rFonts w:hint="eastAsia" w:ascii="宋体" w:hAnsi="宋体" w:cs="宋体"/>
          <w:bCs/>
          <w:color w:val="auto"/>
          <w:sz w:val="24"/>
          <w:highlight w:val="none"/>
        </w:rPr>
        <w:t>严格按照规范操作，确保护理儿童安全。</w:t>
      </w:r>
      <w:r>
        <w:rPr>
          <w:rFonts w:hint="eastAsia" w:ascii="宋体" w:hAnsi="宋体" w:cs="宋体"/>
          <w:color w:val="auto"/>
          <w:sz w:val="24"/>
          <w:highlight w:val="none"/>
        </w:rPr>
        <w:t>根据</w:t>
      </w:r>
      <w:r>
        <w:rPr>
          <w:rFonts w:hint="eastAsia" w:ascii="宋体" w:hAnsi="宋体" w:cs="宋体"/>
          <w:bCs/>
          <w:color w:val="auto"/>
          <w:sz w:val="24"/>
          <w:highlight w:val="none"/>
        </w:rPr>
        <w:t>招标人</w:t>
      </w:r>
      <w:r>
        <w:rPr>
          <w:rFonts w:hint="eastAsia" w:ascii="宋体" w:hAnsi="宋体" w:cs="宋体"/>
          <w:color w:val="auto"/>
          <w:sz w:val="24"/>
          <w:highlight w:val="none"/>
        </w:rPr>
        <w:t>消防安全标准要求，做好承担区域内的日常安全巡查，遇突发状况及时报告，严防安全事故的发生。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（6）根据</w:t>
      </w:r>
      <w:r>
        <w:rPr>
          <w:rFonts w:hint="eastAsia" w:ascii="宋体" w:hAnsi="宋体" w:cs="宋体"/>
          <w:bCs/>
          <w:color w:val="auto"/>
          <w:sz w:val="24"/>
          <w:highlight w:val="none"/>
        </w:rPr>
        <w:t>招标人</w:t>
      </w:r>
      <w:r>
        <w:rPr>
          <w:rFonts w:hint="eastAsia" w:ascii="宋体" w:hAnsi="宋体" w:cs="宋体"/>
          <w:color w:val="auto"/>
          <w:sz w:val="24"/>
          <w:highlight w:val="none"/>
        </w:rPr>
        <w:t>工作规范要求，将教育康复融入日常生活，</w:t>
      </w:r>
      <w:r>
        <w:rPr>
          <w:rFonts w:hint="eastAsia" w:ascii="宋体" w:hAnsi="宋体" w:cs="宋体"/>
          <w:bCs/>
          <w:color w:val="auto"/>
          <w:sz w:val="24"/>
          <w:highlight w:val="none"/>
        </w:rPr>
        <w:t>渗透到护理操作环节中</w:t>
      </w:r>
      <w:r>
        <w:rPr>
          <w:rFonts w:hint="eastAsia" w:ascii="宋体" w:hAnsi="宋体" w:cs="宋体"/>
          <w:color w:val="auto"/>
          <w:sz w:val="24"/>
          <w:highlight w:val="none"/>
        </w:rPr>
        <w:t>提升儿童能力</w:t>
      </w:r>
      <w:r>
        <w:rPr>
          <w:rFonts w:hint="eastAsia" w:ascii="宋体" w:hAnsi="宋体" w:cs="宋体"/>
          <w:bCs/>
          <w:color w:val="auto"/>
          <w:sz w:val="24"/>
          <w:highlight w:val="none"/>
        </w:rPr>
        <w:t>（如运动能力、言语能力、社交能力、认知能力等），</w:t>
      </w:r>
      <w:r>
        <w:rPr>
          <w:rFonts w:hint="eastAsia" w:ascii="宋体" w:hAnsi="宋体" w:cs="宋体"/>
          <w:color w:val="auto"/>
          <w:sz w:val="24"/>
          <w:highlight w:val="none"/>
        </w:rPr>
        <w:t>帮助儿童提高生活质量。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（7）定期组织员工开展培训，加强人员队伍建设，提升思想素质和业务水平。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（8）实施分级护理，根据儿童年龄、能力和残疾情况等，提供针对性护理服务，计划和组织</w:t>
      </w:r>
      <w:r>
        <w:rPr>
          <w:rFonts w:hint="eastAsia" w:ascii="宋体" w:hAnsi="宋体" w:cs="宋体"/>
          <w:bCs/>
          <w:color w:val="auto"/>
          <w:sz w:val="24"/>
          <w:highlight w:val="none"/>
        </w:rPr>
        <w:t>儿童在闲暇时光</w:t>
      </w:r>
      <w:r>
        <w:rPr>
          <w:rFonts w:hint="eastAsia" w:ascii="宋体" w:hAnsi="宋体" w:cs="宋体"/>
          <w:color w:val="auto"/>
          <w:sz w:val="24"/>
          <w:highlight w:val="none"/>
        </w:rPr>
        <w:t>开展合适的文娱活动，丰富儿童生活，促进儿童身心发展；</w:t>
      </w:r>
      <w:r>
        <w:rPr>
          <w:rFonts w:hint="eastAsia" w:ascii="宋体" w:hAnsi="宋体" w:cs="宋体"/>
          <w:bCs/>
          <w:color w:val="auto"/>
          <w:sz w:val="24"/>
          <w:highlight w:val="none"/>
        </w:rPr>
        <w:t>同时根据招标人的要求保质保量地配合完成院部各项大型活动。</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（9）在日常护理中，对婴幼儿要有语言和肢体的交流，对大龄儿童除关心儿童生活之余，要与儿童定期谈心交流，及时掌握儿童的情绪状况，帮助及时疏导。</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（10）</w:t>
      </w:r>
      <w:r>
        <w:rPr>
          <w:rFonts w:hint="eastAsia" w:ascii="宋体" w:hAnsi="宋体" w:cs="宋体"/>
          <w:color w:val="auto"/>
          <w:sz w:val="24"/>
          <w:highlight w:val="none"/>
        </w:rPr>
        <w:t>自觉遵守</w:t>
      </w:r>
      <w:r>
        <w:rPr>
          <w:rFonts w:hint="eastAsia" w:ascii="宋体" w:hAnsi="宋体" w:cs="宋体"/>
          <w:bCs/>
          <w:color w:val="auto"/>
          <w:sz w:val="24"/>
          <w:highlight w:val="none"/>
        </w:rPr>
        <w:t>招标人</w:t>
      </w:r>
      <w:r>
        <w:rPr>
          <w:rFonts w:hint="eastAsia" w:ascii="宋体" w:hAnsi="宋体" w:cs="宋体"/>
          <w:color w:val="auto"/>
          <w:sz w:val="24"/>
          <w:highlight w:val="none"/>
        </w:rPr>
        <w:t>的一切规章制度以及招标人的其他要求。</w:t>
      </w:r>
    </w:p>
    <w:p>
      <w:pPr>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（11）遵守投标文件规定的其他内容。</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2、日常护理服务要求</w:t>
      </w:r>
    </w:p>
    <w:p>
      <w:pPr>
        <w:spacing w:line="360" w:lineRule="auto"/>
        <w:ind w:firstLine="480" w:firstLineChars="200"/>
        <w:rPr>
          <w:color w:val="auto"/>
          <w:highlight w:val="none"/>
        </w:rPr>
      </w:pPr>
      <w:r>
        <w:rPr>
          <w:rFonts w:hint="eastAsia" w:ascii="宋体" w:hAnsi="宋体" w:cs="宋体"/>
          <w:bCs/>
          <w:color w:val="auto"/>
          <w:sz w:val="24"/>
          <w:highlight w:val="none"/>
        </w:rPr>
        <w:t>按照《杭州市儿童福利院护理工作标准》，做好儿童清洁照料、饮食照料、排泄照料、睡眠照料、安全保护、保健护理，做好护理记录、环境卫生及洗涤服务。</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 xml:space="preserve"> </w:t>
      </w:r>
      <w:r>
        <w:rPr>
          <w:rFonts w:hint="eastAsia" w:ascii="宋体" w:hAnsi="宋体" w:cs="宋体"/>
          <w:b/>
          <w:bCs/>
          <w:color w:val="auto"/>
          <w:sz w:val="24"/>
          <w:highlight w:val="none"/>
        </w:rPr>
        <w:t xml:space="preserve"> 七、管理服务费用及财务管理要求</w:t>
      </w:r>
    </w:p>
    <w:p>
      <w:pPr>
        <w:snapToGrid w:val="0"/>
        <w:spacing w:line="360" w:lineRule="auto"/>
        <w:ind w:firstLine="480" w:firstLineChars="200"/>
        <w:rPr>
          <w:rFonts w:ascii="宋体" w:hAnsi="宋体" w:cs="宋体"/>
          <w:bCs/>
          <w:color w:val="auto"/>
          <w:sz w:val="24"/>
          <w:highlight w:val="none"/>
        </w:rPr>
      </w:pPr>
      <w:r>
        <w:rPr>
          <w:rFonts w:hint="eastAsia" w:ascii="宋体" w:hAnsi="宋体" w:cs="宋体"/>
          <w:color w:val="auto"/>
          <w:sz w:val="24"/>
          <w:highlight w:val="none"/>
        </w:rPr>
        <w:t>1、用于服务对象护理服务所需易耗品、清洁用品、用具由采购单位承担；</w:t>
      </w:r>
      <w:r>
        <w:rPr>
          <w:rFonts w:hint="eastAsia" w:ascii="宋体" w:hAnsi="宋体" w:cs="宋体"/>
          <w:bCs/>
          <w:color w:val="auto"/>
          <w:sz w:val="24"/>
          <w:highlight w:val="none"/>
        </w:rPr>
        <w:t>所用水电费用由采购单位承担，但项目单位不得浪费。</w:t>
      </w:r>
      <w:r>
        <w:rPr>
          <w:rFonts w:hint="eastAsia" w:ascii="宋体" w:hAnsi="宋体" w:cs="宋体"/>
          <w:snapToGrid w:val="0"/>
          <w:color w:val="auto"/>
          <w:kern w:val="0"/>
          <w:sz w:val="24"/>
          <w:highlight w:val="none"/>
        </w:rPr>
        <w:t>其他一切</w:t>
      </w:r>
      <w:r>
        <w:rPr>
          <w:rFonts w:hint="eastAsia" w:ascii="宋体" w:hAnsi="宋体" w:cs="宋体"/>
          <w:bCs/>
          <w:color w:val="auto"/>
          <w:sz w:val="24"/>
          <w:highlight w:val="none"/>
        </w:rPr>
        <w:t>办公等费用和服务中</w:t>
      </w:r>
      <w:r>
        <w:rPr>
          <w:rFonts w:hint="eastAsia" w:ascii="宋体" w:hAnsi="宋体" w:cs="宋体"/>
          <w:color w:val="auto"/>
          <w:sz w:val="24"/>
          <w:highlight w:val="none"/>
        </w:rPr>
        <w:t>护理服务不到位而造成</w:t>
      </w:r>
      <w:r>
        <w:rPr>
          <w:rFonts w:hint="eastAsia" w:ascii="宋体" w:hAnsi="宋体" w:cs="宋体"/>
          <w:bCs/>
          <w:color w:val="auto"/>
          <w:sz w:val="24"/>
          <w:highlight w:val="none"/>
        </w:rPr>
        <w:t>采购单位</w:t>
      </w:r>
      <w:r>
        <w:rPr>
          <w:rFonts w:hint="eastAsia" w:ascii="宋体" w:hAnsi="宋体" w:cs="宋体"/>
          <w:color w:val="auto"/>
          <w:sz w:val="24"/>
          <w:highlight w:val="none"/>
        </w:rPr>
        <w:t>器材、设备、设施等物品非正常损毁的由</w:t>
      </w:r>
      <w:r>
        <w:rPr>
          <w:rFonts w:hint="eastAsia" w:ascii="宋体" w:hAnsi="宋体" w:cs="宋体"/>
          <w:bCs/>
          <w:color w:val="auto"/>
          <w:sz w:val="24"/>
          <w:highlight w:val="none"/>
        </w:rPr>
        <w:t>服务方</w:t>
      </w:r>
      <w:r>
        <w:rPr>
          <w:rFonts w:hint="eastAsia" w:ascii="宋体" w:hAnsi="宋体" w:cs="宋体"/>
          <w:color w:val="auto"/>
          <w:sz w:val="24"/>
          <w:highlight w:val="none"/>
        </w:rPr>
        <w:t>负责赔偿</w:t>
      </w:r>
      <w:r>
        <w:rPr>
          <w:rFonts w:hint="eastAsia" w:ascii="宋体" w:hAnsi="宋体" w:cs="宋体"/>
          <w:bCs/>
          <w:color w:val="auto"/>
          <w:sz w:val="24"/>
          <w:highlight w:val="none"/>
        </w:rPr>
        <w:t>。</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2、由</w:t>
      </w:r>
      <w:r>
        <w:rPr>
          <w:rFonts w:hint="eastAsia" w:ascii="宋体" w:hAnsi="宋体" w:cs="宋体"/>
          <w:bCs/>
          <w:color w:val="auto"/>
          <w:szCs w:val="24"/>
          <w:highlight w:val="none"/>
        </w:rPr>
        <w:t>采购单位</w:t>
      </w:r>
      <w:r>
        <w:rPr>
          <w:rFonts w:hint="eastAsia" w:ascii="宋体" w:hAnsi="宋体" w:cs="宋体"/>
          <w:color w:val="auto"/>
          <w:szCs w:val="24"/>
          <w:highlight w:val="none"/>
        </w:rPr>
        <w:t>提供的用品根据服务对象实际需要进行登记、领用，遵照</w:t>
      </w:r>
      <w:r>
        <w:rPr>
          <w:rFonts w:hint="eastAsia" w:ascii="宋体" w:hAnsi="宋体" w:cs="宋体"/>
          <w:bCs/>
          <w:color w:val="auto"/>
          <w:szCs w:val="24"/>
          <w:highlight w:val="none"/>
        </w:rPr>
        <w:t>采购单位</w:t>
      </w:r>
      <w:r>
        <w:rPr>
          <w:rFonts w:hint="eastAsia" w:ascii="宋体" w:hAnsi="宋体" w:cs="宋体"/>
          <w:color w:val="auto"/>
          <w:szCs w:val="24"/>
          <w:highlight w:val="none"/>
        </w:rPr>
        <w:t>领用制度执行，</w:t>
      </w:r>
      <w:r>
        <w:rPr>
          <w:rFonts w:hint="eastAsia" w:ascii="宋体" w:hAnsi="宋体" w:cs="宋体"/>
          <w:bCs/>
          <w:color w:val="auto"/>
          <w:szCs w:val="24"/>
          <w:highlight w:val="none"/>
        </w:rPr>
        <w:t>采购单位</w:t>
      </w:r>
      <w:r>
        <w:rPr>
          <w:rFonts w:hint="eastAsia" w:ascii="宋体" w:hAnsi="宋体" w:cs="宋体"/>
          <w:color w:val="auto"/>
          <w:szCs w:val="24"/>
          <w:highlight w:val="none"/>
        </w:rPr>
        <w:t>将定期或不定期进行检查或抽查。若发现项目人员将服务对象用品擅自挪作私用，查明属实的，不论大小、价值高低，项目单位一律需向采购单位支付1000元/次的违约金，在当月合同款中扣除。</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3、项目服务人员不足人员配比要求的，</w:t>
      </w:r>
      <w:r>
        <w:rPr>
          <w:rFonts w:hint="eastAsia" w:ascii="宋体" w:hAnsi="宋体" w:cs="宋体"/>
          <w:color w:val="auto"/>
          <w:sz w:val="24"/>
          <w:highlight w:val="none"/>
        </w:rPr>
        <w:t>按其岗位平均每月人员开支的标准扣除服务费。</w:t>
      </w:r>
      <w:r>
        <w:rPr>
          <w:rFonts w:hint="eastAsia" w:ascii="宋体" w:hAnsi="宋体" w:cs="宋体"/>
          <w:bCs/>
          <w:color w:val="auto"/>
          <w:sz w:val="24"/>
          <w:highlight w:val="none"/>
        </w:rPr>
        <w:t>抚育工作质量不达要求的按采购单位质量考核标准扣除相应的服务费用。由于抚育操作不当等项目单位原因而发生儿童事故由项目单位承担相应的责任和相关费用。</w:t>
      </w:r>
    </w:p>
    <w:p>
      <w:pPr>
        <w:spacing w:line="360" w:lineRule="auto"/>
        <w:ind w:firstLine="480" w:firstLineChars="200"/>
        <w:rPr>
          <w:color w:val="auto"/>
          <w:highlight w:val="none"/>
        </w:rPr>
      </w:pPr>
      <w:r>
        <w:rPr>
          <w:rFonts w:hint="eastAsia" w:ascii="宋体" w:hAnsi="宋体" w:cs="宋体"/>
          <w:snapToGrid w:val="0"/>
          <w:color w:val="auto"/>
          <w:kern w:val="0"/>
          <w:sz w:val="24"/>
          <w:highlight w:val="none"/>
        </w:rPr>
        <w:t>4、项目单位每月须以书面形式向</w:t>
      </w:r>
      <w:r>
        <w:rPr>
          <w:rFonts w:hint="eastAsia" w:ascii="宋体" w:hAnsi="宋体" w:cs="宋体"/>
          <w:bCs/>
          <w:color w:val="auto"/>
          <w:sz w:val="24"/>
          <w:highlight w:val="none"/>
        </w:rPr>
        <w:t>采购单位</w:t>
      </w:r>
      <w:r>
        <w:rPr>
          <w:rFonts w:hint="eastAsia" w:ascii="宋体" w:hAnsi="宋体" w:cs="宋体"/>
          <w:snapToGrid w:val="0"/>
          <w:color w:val="auto"/>
          <w:kern w:val="0"/>
          <w:sz w:val="24"/>
          <w:highlight w:val="none"/>
        </w:rPr>
        <w:t>报告当月抚育儿童、到岗人员等服务情况的统计报表，供</w:t>
      </w:r>
      <w:r>
        <w:rPr>
          <w:rFonts w:hint="eastAsia" w:ascii="宋体" w:hAnsi="宋体" w:cs="宋体"/>
          <w:bCs/>
          <w:color w:val="auto"/>
          <w:sz w:val="24"/>
          <w:highlight w:val="none"/>
        </w:rPr>
        <w:t>采购单位</w:t>
      </w:r>
      <w:r>
        <w:rPr>
          <w:rFonts w:hint="eastAsia" w:ascii="宋体" w:hAnsi="宋体" w:cs="宋体"/>
          <w:snapToGrid w:val="0"/>
          <w:color w:val="auto"/>
          <w:kern w:val="0"/>
          <w:sz w:val="24"/>
          <w:highlight w:val="none"/>
        </w:rPr>
        <w:t>审核。</w:t>
      </w:r>
      <w:r>
        <w:rPr>
          <w:rFonts w:hint="eastAsia" w:ascii="宋体" w:hAnsi="宋体" w:cs="宋体"/>
          <w:color w:val="auto"/>
          <w:sz w:val="24"/>
          <w:highlight w:val="none"/>
        </w:rPr>
        <w:t>服务费用每月按护理儿童人数和考核扣分情况核算。</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八、相关场地提供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1、采购单位提供服务场地。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2、采购单位为项目单位提供</w:t>
      </w:r>
      <w:r>
        <w:rPr>
          <w:rFonts w:hint="eastAsia" w:ascii="宋体" w:hAnsi="宋体" w:cs="宋体"/>
          <w:snapToGrid w:val="0"/>
          <w:color w:val="auto"/>
          <w:kern w:val="0"/>
          <w:sz w:val="24"/>
          <w:highlight w:val="none"/>
        </w:rPr>
        <w:t>项目管理人员办公场地及</w:t>
      </w:r>
      <w:r>
        <w:rPr>
          <w:rFonts w:hint="eastAsia" w:ascii="宋体" w:hAnsi="宋体" w:cs="宋体"/>
          <w:color w:val="auto"/>
          <w:sz w:val="24"/>
          <w:highlight w:val="none"/>
        </w:rPr>
        <w:t>更衣柜。</w:t>
      </w:r>
    </w:p>
    <w:p>
      <w:pPr>
        <w:spacing w:line="360" w:lineRule="auto"/>
        <w:ind w:firstLine="480" w:firstLineChars="200"/>
        <w:rPr>
          <w:color w:val="auto"/>
          <w:highlight w:val="none"/>
        </w:rPr>
      </w:pPr>
      <w:r>
        <w:rPr>
          <w:rFonts w:hint="eastAsia" w:ascii="宋体" w:hAnsi="宋体" w:cs="宋体"/>
          <w:color w:val="auto"/>
          <w:sz w:val="24"/>
          <w:highlight w:val="none"/>
        </w:rPr>
        <w:t>3、项目单位管理、护理及其他工作人员的住宿、用餐、交通、办公设备等由其自行解决，采购单位无需负责。</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九、分项列出年支出费用</w:t>
      </w:r>
    </w:p>
    <w:p>
      <w:pPr>
        <w:spacing w:line="360" w:lineRule="auto"/>
        <w:ind w:firstLine="480" w:firstLineChars="200"/>
        <w:rPr>
          <w:color w:val="auto"/>
          <w:highlight w:val="none"/>
        </w:rPr>
      </w:pPr>
      <w:r>
        <w:rPr>
          <w:rFonts w:hint="eastAsia" w:ascii="宋体" w:hAnsi="宋体" w:cs="宋体"/>
          <w:bCs/>
          <w:color w:val="auto"/>
          <w:sz w:val="24"/>
          <w:highlight w:val="none"/>
        </w:rPr>
        <w:t>项目单位应负责财务管理和项目涉及的档案管理，</w:t>
      </w:r>
      <w:r>
        <w:rPr>
          <w:rFonts w:hint="eastAsia" w:ascii="宋体" w:hAnsi="宋体" w:cs="宋体"/>
          <w:snapToGrid w:val="0"/>
          <w:color w:val="auto"/>
          <w:kern w:val="0"/>
          <w:sz w:val="24"/>
          <w:highlight w:val="none"/>
        </w:rPr>
        <w:t>分</w:t>
      </w:r>
      <w:r>
        <w:rPr>
          <w:rFonts w:hint="eastAsia" w:ascii="宋体" w:hAnsi="宋体" w:cs="宋体"/>
          <w:bCs/>
          <w:color w:val="auto"/>
          <w:sz w:val="24"/>
          <w:highlight w:val="none"/>
        </w:rPr>
        <w:t>项列出年支出费用。项目单位建账需符合国家有关规定以及采购单位的要求。</w:t>
      </w:r>
    </w:p>
    <w:p>
      <w:pPr>
        <w:spacing w:line="360" w:lineRule="auto"/>
        <w:ind w:firstLine="482" w:firstLineChars="200"/>
        <w:rPr>
          <w:rFonts w:ascii="宋体" w:hAnsi="宋体" w:cs="宋体"/>
          <w:b/>
          <w:bCs/>
          <w:color w:val="auto"/>
          <w:sz w:val="24"/>
          <w:highlight w:val="none"/>
        </w:rPr>
      </w:pPr>
      <w:bookmarkStart w:id="26" w:name="_Toc180298997"/>
      <w:r>
        <w:rPr>
          <w:rFonts w:hint="eastAsia" w:ascii="宋体" w:hAnsi="宋体" w:cs="宋体"/>
          <w:b/>
          <w:bCs/>
          <w:color w:val="auto"/>
          <w:sz w:val="24"/>
          <w:highlight w:val="none"/>
        </w:rPr>
        <w:t>十、</w:t>
      </w:r>
      <w:bookmarkEnd w:id="26"/>
      <w:r>
        <w:rPr>
          <w:rFonts w:hint="eastAsia" w:ascii="宋体" w:hAnsi="宋体" w:cs="宋体"/>
          <w:b/>
          <w:bCs/>
          <w:color w:val="auto"/>
          <w:sz w:val="24"/>
          <w:highlight w:val="none"/>
        </w:rPr>
        <w:t>验收</w:t>
      </w:r>
    </w:p>
    <w:p>
      <w:pPr>
        <w:spacing w:line="360" w:lineRule="auto"/>
        <w:ind w:firstLine="480" w:firstLineChars="200"/>
        <w:contextualSpacing/>
        <w:rPr>
          <w:rFonts w:ascii="宋体" w:hAnsi="宋体" w:cs="宋体"/>
          <w:b/>
          <w:color w:val="auto"/>
          <w:sz w:val="24"/>
          <w:highlight w:val="none"/>
        </w:rPr>
      </w:pPr>
      <w:r>
        <w:rPr>
          <w:rFonts w:hint="eastAsia" w:ascii="宋体" w:hAnsi="宋体" w:cs="宋体"/>
          <w:color w:val="auto"/>
          <w:sz w:val="24"/>
          <w:highlight w:val="none"/>
        </w:rPr>
        <w:t>根据《杭州市政府采购履约验收暂行办法》杭财采监〔2019〕10 号文，进行履约验收，验收合格报告作为项目支付的依据。具体如下（最终按验收文件执行）：</w:t>
      </w:r>
    </w:p>
    <w:p>
      <w:pPr>
        <w:spacing w:line="360" w:lineRule="auto"/>
        <w:ind w:firstLine="480" w:firstLineChars="200"/>
        <w:contextualSpacing/>
        <w:rPr>
          <w:rFonts w:ascii="宋体" w:hAnsi="宋体" w:cs="宋体"/>
          <w:b/>
          <w:color w:val="auto"/>
          <w:sz w:val="24"/>
          <w:highlight w:val="none"/>
        </w:rPr>
      </w:pPr>
      <w:r>
        <w:rPr>
          <w:rFonts w:hint="eastAsia" w:ascii="宋体" w:hAnsi="宋体" w:cs="宋体"/>
          <w:bCs/>
          <w:color w:val="auto"/>
          <w:sz w:val="24"/>
          <w:highlight w:val="none"/>
        </w:rPr>
        <w:t>1、验收方法</w:t>
      </w:r>
      <w:r>
        <w:rPr>
          <w:rFonts w:hint="eastAsia" w:ascii="宋体" w:hAnsi="宋体" w:cs="宋体"/>
          <w:b/>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由代理公司制定项目验收方案，验收方案应当包括项目基本情况、验收组织主体、验收小组组建方式、验收方法、验收流程、验收指标和标准等要素。</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2、验收小组：</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由代理公司组织</w:t>
      </w:r>
      <w:r>
        <w:rPr>
          <w:rFonts w:hint="eastAsia" w:ascii="宋体" w:hAnsi="宋体" w:cs="宋体"/>
          <w:color w:val="auto"/>
          <w:sz w:val="24"/>
          <w:highlight w:val="none"/>
        </w:rPr>
        <w:t>验收小组，到现场进行验收。验收小组负责实施具体的验收活动。验收小组由1名业主代表和4名专家组成。</w:t>
      </w:r>
    </w:p>
    <w:p>
      <w:pPr>
        <w:pStyle w:val="7"/>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3、验收费用：</w:t>
      </w:r>
    </w:p>
    <w:p>
      <w:pPr>
        <w:pStyle w:val="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本项目实行分期验收，共4次，具体时间由采购单位通知为准。初次验收费用由采购单位支付，在验收通过后5个工作日内向代理公司支付。</w:t>
      </w:r>
    </w:p>
    <w:p>
      <w:pPr>
        <w:pStyle w:val="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如初次验收未通过，后续验收费用由项目单位支付（所产生的专家费需项目单位另行支付），至到验收合格。</w:t>
      </w:r>
    </w:p>
    <w:p>
      <w:pPr>
        <w:pStyle w:val="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4、验收指标和标准：</w:t>
      </w:r>
    </w:p>
    <w:p>
      <w:pPr>
        <w:spacing w:line="360" w:lineRule="auto"/>
        <w:ind w:firstLine="480" w:firstLineChars="200"/>
        <w:rPr>
          <w:color w:val="auto"/>
          <w:highlight w:val="none"/>
        </w:rPr>
      </w:pPr>
      <w:r>
        <w:rPr>
          <w:rFonts w:hint="eastAsia" w:ascii="宋体" w:hAnsi="宋体" w:cs="宋体"/>
          <w:color w:val="auto"/>
          <w:sz w:val="24"/>
          <w:highlight w:val="none"/>
        </w:rPr>
        <w:t>根据采购文件确定的技术指标或者服务要求确定验收指标和标准。未进行相应约定的，应当符合国家强制性规定、政策要求、安全标准、行业或企业有关标准等。</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十一、意外情况处理：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以下情况由项目单位承担责任：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1、由于项目人员工作不到位而引起的班组儿童走失、跌倒、坠床、烫伤、噎食、皮肤压疮、火灾等意外，以及其他由于护理人员工作不到位而引起的儿童伤害及可能引发的不良后果。</w:t>
      </w:r>
    </w:p>
    <w:p>
      <w:pPr>
        <w:spacing w:line="360" w:lineRule="auto"/>
        <w:ind w:firstLine="480" w:firstLineChars="200"/>
        <w:rPr>
          <w:color w:val="auto"/>
          <w:highlight w:val="none"/>
        </w:rPr>
      </w:pPr>
      <w:r>
        <w:rPr>
          <w:rFonts w:hint="eastAsia" w:ascii="宋体" w:hAnsi="宋体" w:cs="宋体"/>
          <w:color w:val="auto"/>
          <w:sz w:val="24"/>
          <w:highlight w:val="none"/>
        </w:rPr>
        <w:t>2、若发生其他事故，采购单位应及时给予应急帮助，事后分清责任，由责任方承担。</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十二、其他：</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不以任何形式转租、转让、抵押承包区域，在承包区域只从事采购单位认可的服务工作。在承包期间，项目单位的任何股份配置变动应及时书面通知采购单位。未经采购单位书面批准，任何股份转让都将视为项目单位出租、转让的行为。</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2、项目单位应允许采购单位或其授权的人员对承包项目内各项服务质量控制进行检查，有关费用由项目单位承担。</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3、在承包项目的各项服务，其工作时间必须满足采购单位的工作要求，包括星期天及公众假期。如遇特殊情况，采购单位可要求项目单位调整工作时间。项目单位应无条件配合。</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4、项目单位必须聘请(或指定)一位经理(负责人)，全权代表项目单位与采购单位保持密切联系并保证承包区域服务工作。根据综合考评或工作情况，采购单位有权要求项目单位在一个星期内更换经理（负责人）、相关骨干人员直至符合采购单位要求。项目单位应无条件配合。</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color w:val="auto"/>
          <w:sz w:val="24"/>
          <w:highlight w:val="none"/>
        </w:rPr>
        <w:t>5、本项目配置工作人员以满足儿童实际服务需求为准，</w:t>
      </w:r>
      <w:r>
        <w:rPr>
          <w:rFonts w:hint="eastAsia" w:ascii="宋体" w:hAnsi="宋体" w:cs="宋体"/>
          <w:snapToGrid w:val="0"/>
          <w:color w:val="auto"/>
          <w:kern w:val="0"/>
          <w:sz w:val="24"/>
          <w:highlight w:val="none"/>
        </w:rPr>
        <w:t>如果发现项目单位投入的</w:t>
      </w:r>
      <w:r>
        <w:rPr>
          <w:rFonts w:hint="eastAsia" w:ascii="宋体" w:hAnsi="宋体" w:cs="宋体"/>
          <w:color w:val="auto"/>
          <w:sz w:val="24"/>
          <w:highlight w:val="none"/>
        </w:rPr>
        <w:t>直接服务该抚育项目人员</w:t>
      </w:r>
      <w:r>
        <w:rPr>
          <w:rFonts w:hint="eastAsia" w:ascii="宋体" w:hAnsi="宋体" w:cs="宋体"/>
          <w:snapToGrid w:val="0"/>
          <w:color w:val="auto"/>
          <w:kern w:val="0"/>
          <w:sz w:val="24"/>
          <w:highlight w:val="none"/>
        </w:rPr>
        <w:t>数量少于合同约定的数量或低于人员配比（含人员离职等原因），项目单位应在2周内补齐人员，否则采购单位按考核标准扣除当月合同款。项目单位聘用的工作人员必须符合劳动部门有关用工规定，并经项目单位相关专业考核合格后持证上岗，采购单位有权进行审核，该类费用开支由项目单位负担。</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6、在承包期间，项目单位所有人员仅与项目单位建立劳动合同关系，且所有人员使用须符合《劳动合同法》的有关规定。项目单位所有人员与采购单位不存在劳动合同关系。项目单位人员发生任何事故或与项目单位发生劳动争议等均由项目单位自行全权负责，相关费用项目单位自行承担，项目单位保证采购单位在项目单位人员索赔时不受任何责任的约束。否则由此给采购单位造成的一切损失均由项目单位承担。</w:t>
      </w:r>
    </w:p>
    <w:p>
      <w:pPr>
        <w:pStyle w:val="2"/>
        <w:ind w:firstLine="480" w:firstLineChars="200"/>
        <w:rPr>
          <w:rFonts w:hAnsi="宋体" w:cs="宋体"/>
          <w:snapToGrid w:val="0"/>
          <w:color w:val="auto"/>
          <w:szCs w:val="24"/>
          <w:highlight w:val="none"/>
          <w:lang w:val="en-US"/>
        </w:rPr>
      </w:pPr>
      <w:r>
        <w:rPr>
          <w:rFonts w:hint="eastAsia" w:hAnsi="宋体" w:cs="宋体"/>
          <w:snapToGrid w:val="0"/>
          <w:color w:val="auto"/>
          <w:szCs w:val="24"/>
          <w:highlight w:val="none"/>
          <w:lang w:val="en-US"/>
        </w:rPr>
        <w:t>7、要求项目单位提供人员培训计划，具有完整性、规范性、可操作性。</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8、项目单位工作人员上岗穿着由采购单位确认的制服及采购单位许可的装饰物品，费用和制作均由项目单位负担。</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9、项目单位必须出具或办妥法律及采购单位规定的与承包项目经营业务有关的执照和许可证，方可从事经营并在经营中遵守一切有关条例和规定。自行缴纳有关税、费。</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10、项目单位必须确保为采购单位提供优质、高效的专业服务，并根据采购单位要求整改不满意的服务状况。接受有关部门监督与检查。同时，项目单位自觉积极参加采购单位认为有助提高采购单位形象的宣传活动。</w:t>
      </w:r>
    </w:p>
    <w:p>
      <w:pPr>
        <w:pStyle w:val="2"/>
        <w:rPr>
          <w:rFonts w:hAnsi="宋体" w:cs="宋体"/>
          <w:color w:val="auto"/>
          <w:szCs w:val="24"/>
          <w:highlight w:val="none"/>
          <w:lang w:val="en-US"/>
        </w:rPr>
      </w:pPr>
      <w:r>
        <w:rPr>
          <w:rFonts w:hint="eastAsia" w:hAnsi="宋体" w:cs="宋体"/>
          <w:color w:val="auto"/>
          <w:szCs w:val="24"/>
          <w:highlight w:val="none"/>
          <w:lang w:val="en-US"/>
        </w:rPr>
        <w:t>1</w:t>
      </w:r>
      <w:r>
        <w:rPr>
          <w:rFonts w:hint="eastAsia" w:hAnsi="宋体" w:cs="宋体"/>
          <w:color w:val="auto"/>
          <w:szCs w:val="24"/>
          <w:highlight w:val="none"/>
          <w:lang w:val="en-US" w:eastAsia="zh-CN"/>
        </w:rPr>
        <w:t>1</w:t>
      </w:r>
      <w:r>
        <w:rPr>
          <w:rFonts w:hint="eastAsia" w:hAnsi="宋体" w:cs="宋体"/>
          <w:color w:val="auto"/>
          <w:szCs w:val="24"/>
          <w:highlight w:val="none"/>
          <w:lang w:val="en-US"/>
        </w:rPr>
        <w:t>、在承包期内项目单位须做好投入人员的监管工作和责任承担风险（包括人员的人身健康责任、人身意外险），项目团队人员安排遵循《中国人民共和国劳动法》。</w:t>
      </w:r>
    </w:p>
    <w:p>
      <w:pPr>
        <w:pageBreakBefore w:val="0"/>
        <w:numPr>
          <w:ilvl w:val="0"/>
          <w:numId w:val="0"/>
        </w:numPr>
        <w:kinsoku/>
        <w:wordWrap/>
        <w:overflowPunct/>
        <w:topLinePunct w:val="0"/>
        <w:bidi w:val="0"/>
        <w:spacing w:line="360" w:lineRule="auto"/>
        <w:ind w:firstLine="480" w:firstLineChars="200"/>
        <w:textAlignment w:val="auto"/>
        <w:rPr>
          <w:color w:val="auto"/>
          <w:highlight w:val="none"/>
        </w:rPr>
      </w:pPr>
      <w:r>
        <w:rPr>
          <w:rFonts w:hint="eastAsia" w:hAnsi="宋体" w:cs="宋体"/>
          <w:b w:val="0"/>
          <w:bCs/>
          <w:color w:val="auto"/>
          <w:sz w:val="24"/>
          <w:highlight w:val="none"/>
          <w:lang w:val="en-US" w:eastAsia="zh-CN"/>
        </w:rPr>
        <w:t>12.</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单位拟派服务人员须严格遵守</w:t>
      </w:r>
      <w:r>
        <w:rPr>
          <w:rFonts w:hint="eastAsia" w:ascii="宋体" w:hAnsi="宋体" w:eastAsia="宋体" w:cs="宋体"/>
          <w:color w:val="auto"/>
          <w:sz w:val="24"/>
          <w:szCs w:val="24"/>
          <w:highlight w:val="none"/>
          <w:lang w:val="en-US" w:eastAsia="zh-CN"/>
        </w:rPr>
        <w:t>浙江省</w:t>
      </w:r>
      <w:r>
        <w:rPr>
          <w:rFonts w:hint="eastAsia" w:ascii="宋体" w:hAnsi="宋体" w:eastAsia="宋体" w:cs="宋体"/>
          <w:color w:val="auto"/>
          <w:sz w:val="24"/>
          <w:szCs w:val="24"/>
          <w:highlight w:val="none"/>
        </w:rPr>
        <w:t>疾控中心和</w:t>
      </w:r>
      <w:r>
        <w:rPr>
          <w:rFonts w:hint="eastAsia" w:ascii="宋体" w:hAnsi="宋体" w:cs="宋体"/>
          <w:color w:val="auto"/>
          <w:sz w:val="24"/>
          <w:szCs w:val="24"/>
          <w:highlight w:val="none"/>
          <w:lang w:eastAsia="zh-CN"/>
        </w:rPr>
        <w:t>采购单位</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关于传染性疾病防控的所有</w:t>
      </w:r>
      <w:r>
        <w:rPr>
          <w:rFonts w:hint="eastAsia" w:ascii="宋体" w:hAnsi="宋体" w:eastAsia="宋体" w:cs="宋体"/>
          <w:color w:val="auto"/>
          <w:sz w:val="24"/>
          <w:szCs w:val="24"/>
          <w:highlight w:val="none"/>
        </w:rPr>
        <w:t>要求</w:t>
      </w:r>
      <w:r>
        <w:rPr>
          <w:rFonts w:hint="eastAsia" w:ascii="宋体" w:hAnsi="宋体" w:eastAsia="宋体" w:cs="宋体"/>
          <w:color w:val="auto"/>
          <w:sz w:val="24"/>
          <w:szCs w:val="24"/>
          <w:highlight w:val="none"/>
          <w:lang w:eastAsia="zh-CN"/>
        </w:rPr>
        <w:t>（包括封闭管理），</w:t>
      </w:r>
      <w:r>
        <w:rPr>
          <w:rFonts w:hint="eastAsia" w:ascii="宋体" w:hAnsi="宋体" w:eastAsia="宋体" w:cs="宋体"/>
          <w:color w:val="auto"/>
          <w:sz w:val="24"/>
          <w:szCs w:val="24"/>
          <w:highlight w:val="none"/>
        </w:rPr>
        <w:t>如有特殊情况另行规定</w:t>
      </w:r>
      <w:r>
        <w:rPr>
          <w:rFonts w:hint="eastAsia" w:ascii="宋体" w:hAnsi="宋体" w:eastAsia="宋体" w:cs="宋体"/>
          <w:color w:val="auto"/>
          <w:sz w:val="24"/>
          <w:szCs w:val="24"/>
          <w:highlight w:val="none"/>
          <w:lang w:val="en-US" w:eastAsia="zh-CN"/>
        </w:rPr>
        <w:t>。</w:t>
      </w:r>
    </w:p>
    <w:p>
      <w:pPr>
        <w:snapToGrid w:val="0"/>
        <w:spacing w:line="360" w:lineRule="auto"/>
        <w:ind w:firstLine="482" w:firstLineChars="200"/>
        <w:rPr>
          <w:rFonts w:ascii="宋体" w:hAnsi="宋体" w:cs="宋体"/>
          <w:b/>
          <w:bCs/>
          <w:snapToGrid w:val="0"/>
          <w:color w:val="auto"/>
          <w:kern w:val="0"/>
          <w:sz w:val="24"/>
          <w:highlight w:val="none"/>
        </w:rPr>
      </w:pPr>
      <w:r>
        <w:rPr>
          <w:rFonts w:hint="eastAsia" w:ascii="宋体" w:hAnsi="宋体" w:cs="宋体"/>
          <w:b/>
          <w:bCs/>
          <w:color w:val="auto"/>
          <w:sz w:val="24"/>
          <w:highlight w:val="none"/>
        </w:rPr>
        <w:t xml:space="preserve"> </w:t>
      </w:r>
      <w:r>
        <w:rPr>
          <w:rFonts w:hint="eastAsia" w:ascii="宋体" w:hAnsi="宋体" w:cs="宋体"/>
          <w:b/>
          <w:bCs/>
          <w:snapToGrid w:val="0"/>
          <w:color w:val="auto"/>
          <w:kern w:val="0"/>
          <w:sz w:val="24"/>
          <w:highlight w:val="none"/>
        </w:rPr>
        <w:t>十三、禁止事项</w:t>
      </w:r>
    </w:p>
    <w:p>
      <w:pPr>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1、项目单位不得以任何理由向采购单位工作人员支付小费或赠送实物，违者将终止合同。项目单位人员也不得以任何形式向行政大楼内相关人员索取小费或钱物等。</w:t>
      </w:r>
    </w:p>
    <w:p>
      <w:pPr>
        <w:spacing w:line="360" w:lineRule="auto"/>
        <w:ind w:firstLine="480" w:firstLineChars="200"/>
        <w:rPr>
          <w:color w:val="auto"/>
          <w:highlight w:val="none"/>
        </w:rPr>
      </w:pPr>
      <w:r>
        <w:rPr>
          <w:rFonts w:hint="eastAsia" w:ascii="宋体" w:hAnsi="宋体" w:cs="宋体"/>
          <w:snapToGrid w:val="0"/>
          <w:color w:val="auto"/>
          <w:kern w:val="0"/>
          <w:sz w:val="24"/>
          <w:highlight w:val="none"/>
        </w:rPr>
        <w:t>2、不得在承包项目其间从事非法活动，也不得从事有损采购单位利益的活动，同时不允许在承包项目期间对采购单位经营活动进行滋扰性的行为，以及其他采购单位不允许的行为。</w:t>
      </w:r>
    </w:p>
    <w:p>
      <w:pPr>
        <w:pStyle w:val="5"/>
        <w:ind w:left="0" w:firstLine="482" w:firstLineChars="200"/>
        <w:rPr>
          <w:rFonts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十四、服务标准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本项目执行行业国家相关标准、行业标准、地方标准。</w:t>
      </w:r>
    </w:p>
    <w:p>
      <w:pPr>
        <w:rPr>
          <w:color w:val="auto"/>
          <w:highlight w:val="none"/>
        </w:rPr>
      </w:pPr>
    </w:p>
    <w:p>
      <w:pPr>
        <w:pStyle w:val="2"/>
        <w:rPr>
          <w:color w:val="auto"/>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7" w:name="_Toc184314461"/>
      <w:bookmarkEnd w:id="27"/>
      <w:bookmarkStart w:id="28" w:name="_Toc184308097"/>
      <w:bookmarkEnd w:id="28"/>
      <w:bookmarkStart w:id="29" w:name="_Toc184312125"/>
      <w:bookmarkEnd w:id="29"/>
      <w:bookmarkStart w:id="30" w:name="_Toc184313294"/>
      <w:bookmarkEnd w:id="30"/>
      <w:bookmarkStart w:id="31" w:name="_Toc184308079"/>
      <w:bookmarkEnd w:id="31"/>
      <w:bookmarkStart w:id="32" w:name="_Toc184313291"/>
      <w:bookmarkEnd w:id="32"/>
      <w:bookmarkStart w:id="33" w:name="_Toc184313305"/>
      <w:bookmarkEnd w:id="33"/>
      <w:bookmarkStart w:id="34" w:name="_Toc184313254"/>
      <w:bookmarkEnd w:id="34"/>
      <w:bookmarkStart w:id="35" w:name="_Toc184314479"/>
      <w:bookmarkEnd w:id="35"/>
      <w:bookmarkStart w:id="36" w:name="_Toc184314476"/>
      <w:bookmarkEnd w:id="36"/>
      <w:bookmarkStart w:id="37" w:name="_Toc184314435"/>
      <w:bookmarkEnd w:id="37"/>
      <w:bookmarkStart w:id="38" w:name="_Toc184314431"/>
      <w:bookmarkEnd w:id="38"/>
      <w:bookmarkStart w:id="39" w:name="_Toc184308084"/>
      <w:bookmarkEnd w:id="39"/>
      <w:bookmarkStart w:id="40" w:name="_Toc184313302"/>
      <w:bookmarkEnd w:id="40"/>
      <w:bookmarkStart w:id="41" w:name="_Toc184310286"/>
      <w:bookmarkEnd w:id="41"/>
      <w:bookmarkStart w:id="42" w:name="_Toc184310332"/>
      <w:bookmarkEnd w:id="42"/>
      <w:bookmarkStart w:id="43" w:name="_Toc184313245"/>
      <w:bookmarkEnd w:id="43"/>
      <w:bookmarkStart w:id="44" w:name="_Toc184312127"/>
      <w:bookmarkEnd w:id="44"/>
      <w:bookmarkStart w:id="45" w:name="_Toc184310312"/>
      <w:bookmarkEnd w:id="45"/>
      <w:bookmarkStart w:id="46" w:name="_Toc184313249"/>
      <w:bookmarkEnd w:id="46"/>
      <w:bookmarkStart w:id="47" w:name="_Toc184312093"/>
      <w:bookmarkEnd w:id="47"/>
      <w:bookmarkStart w:id="48" w:name="_Toc184308105"/>
      <w:bookmarkEnd w:id="48"/>
      <w:bookmarkStart w:id="49" w:name="_Toc184312078"/>
      <w:bookmarkEnd w:id="49"/>
      <w:bookmarkStart w:id="50" w:name="_Toc184312092"/>
      <w:bookmarkEnd w:id="50"/>
      <w:bookmarkStart w:id="51" w:name="_Toc184312067"/>
      <w:bookmarkEnd w:id="51"/>
      <w:bookmarkStart w:id="52" w:name="_Toc184308107"/>
      <w:bookmarkEnd w:id="52"/>
      <w:bookmarkStart w:id="53" w:name="_Toc184308093"/>
      <w:bookmarkEnd w:id="53"/>
      <w:bookmarkStart w:id="54" w:name="_Toc184312101"/>
      <w:bookmarkEnd w:id="54"/>
      <w:bookmarkStart w:id="55" w:name="_Toc184313239"/>
      <w:bookmarkEnd w:id="55"/>
      <w:bookmarkStart w:id="56" w:name="_Toc184313269"/>
      <w:bookmarkEnd w:id="56"/>
      <w:bookmarkStart w:id="57" w:name="_Toc184308054"/>
      <w:bookmarkEnd w:id="57"/>
      <w:bookmarkStart w:id="58" w:name="_Toc184313252"/>
      <w:bookmarkEnd w:id="58"/>
      <w:bookmarkStart w:id="59" w:name="_Toc184312120"/>
      <w:bookmarkEnd w:id="59"/>
      <w:bookmarkStart w:id="60" w:name="_Toc184308080"/>
      <w:bookmarkEnd w:id="60"/>
      <w:bookmarkStart w:id="61" w:name="_Toc184313284"/>
      <w:bookmarkEnd w:id="61"/>
      <w:bookmarkStart w:id="62" w:name="_Toc184313298"/>
      <w:bookmarkEnd w:id="62"/>
      <w:bookmarkStart w:id="63" w:name="_Toc184312123"/>
      <w:bookmarkEnd w:id="63"/>
      <w:bookmarkStart w:id="64" w:name="_Toc184312108"/>
      <w:bookmarkEnd w:id="64"/>
      <w:bookmarkStart w:id="65" w:name="_Toc184310299"/>
      <w:bookmarkEnd w:id="65"/>
      <w:bookmarkStart w:id="66" w:name="_Toc184312119"/>
      <w:bookmarkEnd w:id="66"/>
      <w:bookmarkStart w:id="67" w:name="_Toc184314448"/>
      <w:bookmarkEnd w:id="67"/>
      <w:bookmarkStart w:id="68" w:name="_Toc184314437"/>
      <w:bookmarkEnd w:id="68"/>
      <w:bookmarkStart w:id="69" w:name="_Toc184314417"/>
      <w:bookmarkEnd w:id="69"/>
      <w:bookmarkStart w:id="70" w:name="_Toc184313301"/>
      <w:bookmarkEnd w:id="70"/>
      <w:bookmarkStart w:id="71" w:name="_Toc184308045"/>
      <w:bookmarkEnd w:id="71"/>
      <w:bookmarkStart w:id="72" w:name="_Toc184312089"/>
      <w:bookmarkEnd w:id="72"/>
      <w:bookmarkStart w:id="73" w:name="_Toc184313248"/>
      <w:bookmarkEnd w:id="73"/>
      <w:bookmarkStart w:id="74" w:name="_Toc184314410"/>
      <w:bookmarkEnd w:id="74"/>
      <w:bookmarkStart w:id="75" w:name="_Toc184312088"/>
      <w:bookmarkEnd w:id="75"/>
      <w:bookmarkStart w:id="76" w:name="_Toc184312086"/>
      <w:bookmarkEnd w:id="76"/>
      <w:bookmarkStart w:id="77" w:name="_Toc184314457"/>
      <w:bookmarkEnd w:id="77"/>
      <w:bookmarkStart w:id="78" w:name="_Toc184313280"/>
      <w:bookmarkEnd w:id="78"/>
      <w:bookmarkStart w:id="79" w:name="_Toc184308070"/>
      <w:bookmarkEnd w:id="79"/>
      <w:bookmarkStart w:id="80" w:name="_Toc184308036"/>
      <w:bookmarkEnd w:id="80"/>
      <w:bookmarkStart w:id="81" w:name="_Toc184310329"/>
      <w:bookmarkEnd w:id="81"/>
      <w:bookmarkStart w:id="82" w:name="_Toc184310300"/>
      <w:bookmarkEnd w:id="82"/>
      <w:bookmarkStart w:id="83" w:name="_Toc184310296"/>
      <w:bookmarkEnd w:id="83"/>
      <w:bookmarkStart w:id="84" w:name="_Toc184314412"/>
      <w:bookmarkEnd w:id="84"/>
      <w:bookmarkStart w:id="85" w:name="_Toc184308065"/>
      <w:bookmarkEnd w:id="85"/>
      <w:bookmarkStart w:id="86" w:name="_Toc184312115"/>
      <w:bookmarkEnd w:id="86"/>
      <w:bookmarkStart w:id="87" w:name="_Toc184312090"/>
      <w:bookmarkEnd w:id="87"/>
      <w:bookmarkStart w:id="88" w:name="_Toc184313290"/>
      <w:bookmarkEnd w:id="88"/>
      <w:bookmarkStart w:id="89" w:name="_Toc184312114"/>
      <w:bookmarkEnd w:id="89"/>
      <w:bookmarkStart w:id="90" w:name="_Toc184308082"/>
      <w:bookmarkEnd w:id="90"/>
      <w:bookmarkStart w:id="91" w:name="_Toc184308083"/>
      <w:bookmarkEnd w:id="91"/>
      <w:bookmarkStart w:id="92" w:name="_Toc184312084"/>
      <w:bookmarkEnd w:id="92"/>
      <w:bookmarkStart w:id="93" w:name="_Toc184308086"/>
      <w:bookmarkEnd w:id="93"/>
      <w:bookmarkStart w:id="94" w:name="_Toc184312129"/>
      <w:bookmarkEnd w:id="94"/>
      <w:bookmarkStart w:id="95" w:name="_Toc184310301"/>
      <w:bookmarkEnd w:id="95"/>
      <w:bookmarkStart w:id="96" w:name="_Toc184313308"/>
      <w:bookmarkEnd w:id="96"/>
      <w:bookmarkStart w:id="97" w:name="_Toc184308067"/>
      <w:bookmarkEnd w:id="97"/>
      <w:bookmarkStart w:id="98" w:name="_Toc184314473"/>
      <w:bookmarkEnd w:id="98"/>
      <w:bookmarkStart w:id="99" w:name="_Toc184310339"/>
      <w:bookmarkEnd w:id="99"/>
      <w:bookmarkStart w:id="100" w:name="_Toc184314451"/>
      <w:bookmarkEnd w:id="100"/>
      <w:bookmarkStart w:id="101" w:name="_Toc184314433"/>
      <w:bookmarkEnd w:id="101"/>
      <w:bookmarkStart w:id="102" w:name="_Toc184313247"/>
      <w:bookmarkEnd w:id="102"/>
      <w:bookmarkStart w:id="103" w:name="_Toc184312085"/>
      <w:bookmarkEnd w:id="103"/>
      <w:bookmarkStart w:id="104" w:name="_Toc184313257"/>
      <w:bookmarkEnd w:id="104"/>
      <w:bookmarkStart w:id="105" w:name="_Toc184314470"/>
      <w:bookmarkEnd w:id="105"/>
      <w:bookmarkStart w:id="106" w:name="_Toc184313267"/>
      <w:bookmarkEnd w:id="106"/>
      <w:bookmarkStart w:id="107" w:name="_Toc184313263"/>
      <w:bookmarkEnd w:id="107"/>
      <w:bookmarkStart w:id="108" w:name="_Toc184314439"/>
      <w:bookmarkEnd w:id="108"/>
      <w:bookmarkStart w:id="109" w:name="_Toc184308069"/>
      <w:bookmarkEnd w:id="109"/>
      <w:bookmarkStart w:id="110" w:name="_Toc184310334"/>
      <w:bookmarkEnd w:id="110"/>
      <w:bookmarkStart w:id="111" w:name="_Toc184308060"/>
      <w:bookmarkEnd w:id="111"/>
      <w:bookmarkStart w:id="112" w:name="_Toc184310344"/>
      <w:bookmarkEnd w:id="112"/>
      <w:bookmarkStart w:id="113" w:name="_Toc184308051"/>
      <w:bookmarkEnd w:id="113"/>
      <w:bookmarkStart w:id="114" w:name="_Toc184308056"/>
      <w:bookmarkEnd w:id="114"/>
      <w:bookmarkStart w:id="115" w:name="_Toc184312076"/>
      <w:bookmarkEnd w:id="115"/>
      <w:bookmarkStart w:id="116" w:name="_Toc184308089"/>
      <w:bookmarkEnd w:id="116"/>
      <w:bookmarkStart w:id="117" w:name="_Toc184314482"/>
      <w:bookmarkEnd w:id="117"/>
      <w:bookmarkStart w:id="118" w:name="_Toc184314456"/>
      <w:bookmarkEnd w:id="118"/>
      <w:bookmarkStart w:id="119" w:name="_Toc184314475"/>
      <w:bookmarkEnd w:id="119"/>
      <w:bookmarkStart w:id="120" w:name="_Toc184308075"/>
      <w:bookmarkEnd w:id="120"/>
      <w:bookmarkStart w:id="121" w:name="_Toc184308104"/>
      <w:bookmarkEnd w:id="121"/>
      <w:bookmarkStart w:id="122" w:name="_Toc184308066"/>
      <w:bookmarkEnd w:id="122"/>
      <w:bookmarkStart w:id="123" w:name="_Toc184312096"/>
      <w:bookmarkEnd w:id="123"/>
      <w:bookmarkStart w:id="124" w:name="_Toc184313309"/>
      <w:bookmarkEnd w:id="124"/>
      <w:bookmarkStart w:id="125" w:name="_Toc184312072"/>
      <w:bookmarkEnd w:id="125"/>
      <w:bookmarkStart w:id="126" w:name="_Toc184314443"/>
      <w:bookmarkEnd w:id="126"/>
      <w:bookmarkStart w:id="127" w:name="_Toc184312133"/>
      <w:bookmarkEnd w:id="127"/>
      <w:bookmarkStart w:id="128" w:name="_Toc184313241"/>
      <w:bookmarkEnd w:id="128"/>
      <w:bookmarkStart w:id="129" w:name="_Toc184314472"/>
      <w:bookmarkEnd w:id="129"/>
      <w:bookmarkStart w:id="130" w:name="_Toc184308106"/>
      <w:bookmarkEnd w:id="130"/>
      <w:bookmarkStart w:id="131" w:name="_Toc184314463"/>
      <w:bookmarkEnd w:id="131"/>
      <w:bookmarkStart w:id="132" w:name="_Toc184313278"/>
      <w:bookmarkEnd w:id="132"/>
      <w:bookmarkStart w:id="133" w:name="_Toc184310308"/>
      <w:bookmarkEnd w:id="133"/>
      <w:bookmarkStart w:id="134" w:name="_Toc184313276"/>
      <w:bookmarkEnd w:id="134"/>
      <w:bookmarkStart w:id="135" w:name="_Toc184314444"/>
      <w:bookmarkEnd w:id="135"/>
      <w:bookmarkStart w:id="136" w:name="_Toc184312095"/>
      <w:bookmarkEnd w:id="136"/>
      <w:bookmarkStart w:id="137" w:name="_Toc184308092"/>
      <w:bookmarkEnd w:id="137"/>
      <w:bookmarkStart w:id="138" w:name="_Toc184312083"/>
      <w:bookmarkEnd w:id="138"/>
      <w:bookmarkStart w:id="139" w:name="_Toc184312111"/>
      <w:bookmarkEnd w:id="139"/>
      <w:bookmarkStart w:id="140" w:name="_Toc184310280"/>
      <w:bookmarkEnd w:id="140"/>
      <w:bookmarkStart w:id="141" w:name="_Toc184314449"/>
      <w:bookmarkEnd w:id="141"/>
      <w:bookmarkStart w:id="142" w:name="_Toc184308101"/>
      <w:bookmarkEnd w:id="142"/>
      <w:bookmarkStart w:id="143" w:name="_Toc184312098"/>
      <w:bookmarkEnd w:id="143"/>
      <w:bookmarkStart w:id="144" w:name="_Toc184312121"/>
      <w:bookmarkEnd w:id="144"/>
      <w:bookmarkStart w:id="145" w:name="_Toc184308040"/>
      <w:bookmarkEnd w:id="145"/>
      <w:bookmarkStart w:id="146" w:name="_Toc184310274"/>
      <w:bookmarkEnd w:id="146"/>
      <w:bookmarkStart w:id="147" w:name="_Toc184310322"/>
      <w:bookmarkEnd w:id="147"/>
      <w:bookmarkStart w:id="148" w:name="_Toc184314478"/>
      <w:bookmarkEnd w:id="148"/>
      <w:bookmarkStart w:id="149" w:name="_Toc184314453"/>
      <w:bookmarkEnd w:id="149"/>
      <w:bookmarkStart w:id="150" w:name="_Toc184313250"/>
      <w:bookmarkEnd w:id="150"/>
      <w:bookmarkStart w:id="151" w:name="_Toc184310291"/>
      <w:bookmarkEnd w:id="151"/>
      <w:bookmarkStart w:id="152" w:name="_Toc184308037"/>
      <w:bookmarkEnd w:id="152"/>
      <w:bookmarkStart w:id="153" w:name="_Toc184310324"/>
      <w:bookmarkEnd w:id="153"/>
      <w:bookmarkStart w:id="154" w:name="_Toc184312138"/>
      <w:bookmarkEnd w:id="154"/>
      <w:bookmarkStart w:id="155" w:name="_Toc184314411"/>
      <w:bookmarkEnd w:id="155"/>
      <w:bookmarkStart w:id="156" w:name="_Toc184308103"/>
      <w:bookmarkEnd w:id="156"/>
      <w:bookmarkStart w:id="157" w:name="_Toc184310307"/>
      <w:bookmarkEnd w:id="157"/>
      <w:bookmarkStart w:id="158" w:name="_Toc184312136"/>
      <w:bookmarkEnd w:id="158"/>
      <w:bookmarkStart w:id="159" w:name="_Toc184312122"/>
      <w:bookmarkEnd w:id="159"/>
      <w:bookmarkStart w:id="160" w:name="_Toc184308047"/>
      <w:bookmarkEnd w:id="160"/>
      <w:bookmarkStart w:id="161" w:name="_Toc184308094"/>
      <w:bookmarkEnd w:id="161"/>
      <w:bookmarkStart w:id="162" w:name="_Toc184310298"/>
      <w:bookmarkEnd w:id="162"/>
      <w:bookmarkStart w:id="163" w:name="_Toc184310304"/>
      <w:bookmarkEnd w:id="163"/>
      <w:bookmarkStart w:id="164" w:name="_Toc184313296"/>
      <w:bookmarkEnd w:id="164"/>
      <w:bookmarkStart w:id="165" w:name="_Toc184313297"/>
      <w:bookmarkEnd w:id="165"/>
      <w:bookmarkStart w:id="166" w:name="_Toc184308057"/>
      <w:bookmarkEnd w:id="166"/>
      <w:bookmarkStart w:id="167" w:name="_Toc184314466"/>
      <w:bookmarkEnd w:id="167"/>
      <w:bookmarkStart w:id="168" w:name="_Toc184308063"/>
      <w:bookmarkEnd w:id="168"/>
      <w:bookmarkStart w:id="169" w:name="_Toc184313258"/>
      <w:bookmarkEnd w:id="169"/>
      <w:bookmarkStart w:id="170" w:name="_Toc184312074"/>
      <w:bookmarkEnd w:id="170"/>
      <w:bookmarkStart w:id="171" w:name="_Toc184312091"/>
      <w:bookmarkEnd w:id="171"/>
      <w:bookmarkStart w:id="172" w:name="_Toc184314480"/>
      <w:bookmarkEnd w:id="172"/>
      <w:bookmarkStart w:id="173" w:name="_Toc184310288"/>
      <w:bookmarkEnd w:id="173"/>
      <w:bookmarkStart w:id="174" w:name="_Toc184308049"/>
      <w:bookmarkEnd w:id="174"/>
      <w:bookmarkStart w:id="175" w:name="_Toc184310309"/>
      <w:bookmarkEnd w:id="175"/>
      <w:bookmarkStart w:id="176" w:name="_Toc184314462"/>
      <w:bookmarkEnd w:id="176"/>
      <w:bookmarkStart w:id="177" w:name="_Toc184314464"/>
      <w:bookmarkEnd w:id="177"/>
      <w:bookmarkStart w:id="178" w:name="_Toc184310325"/>
      <w:bookmarkEnd w:id="178"/>
      <w:bookmarkStart w:id="179" w:name="_Toc184308042"/>
      <w:bookmarkEnd w:id="179"/>
      <w:bookmarkStart w:id="180" w:name="_Toc184313287"/>
      <w:bookmarkEnd w:id="180"/>
      <w:bookmarkStart w:id="181" w:name="_Toc184308095"/>
      <w:bookmarkEnd w:id="181"/>
      <w:bookmarkStart w:id="182" w:name="_Toc184308088"/>
      <w:bookmarkEnd w:id="182"/>
      <w:bookmarkStart w:id="183" w:name="_Toc184313262"/>
      <w:bookmarkEnd w:id="183"/>
      <w:bookmarkStart w:id="184" w:name="_Toc184312113"/>
      <w:bookmarkEnd w:id="184"/>
      <w:bookmarkStart w:id="185" w:name="_Toc184314458"/>
      <w:bookmarkEnd w:id="185"/>
      <w:bookmarkStart w:id="186" w:name="_Toc184308055"/>
      <w:bookmarkEnd w:id="186"/>
      <w:bookmarkStart w:id="187" w:name="_Toc184314432"/>
      <w:bookmarkEnd w:id="187"/>
      <w:bookmarkStart w:id="188" w:name="_Toc184308098"/>
      <w:bookmarkEnd w:id="188"/>
      <w:bookmarkStart w:id="189" w:name="_Toc184313255"/>
      <w:bookmarkEnd w:id="189"/>
      <w:bookmarkStart w:id="190" w:name="_Toc184312135"/>
      <w:bookmarkEnd w:id="190"/>
      <w:bookmarkStart w:id="191" w:name="_Toc184308087"/>
      <w:bookmarkEnd w:id="191"/>
      <w:bookmarkStart w:id="192" w:name="_Toc184308059"/>
      <w:bookmarkEnd w:id="192"/>
      <w:bookmarkStart w:id="193" w:name="_Toc184312075"/>
      <w:bookmarkEnd w:id="193"/>
      <w:bookmarkStart w:id="194" w:name="_Toc184308078"/>
      <w:bookmarkEnd w:id="194"/>
      <w:bookmarkStart w:id="195" w:name="_Toc184313271"/>
      <w:bookmarkEnd w:id="195"/>
      <w:bookmarkStart w:id="196" w:name="_Toc184312116"/>
      <w:bookmarkEnd w:id="196"/>
      <w:bookmarkStart w:id="197" w:name="_Toc184310318"/>
      <w:bookmarkEnd w:id="197"/>
      <w:bookmarkStart w:id="198" w:name="_Toc184308096"/>
      <w:bookmarkEnd w:id="198"/>
      <w:bookmarkStart w:id="199" w:name="_Toc184314445"/>
      <w:bookmarkEnd w:id="199"/>
      <w:bookmarkStart w:id="200" w:name="_Toc184312080"/>
      <w:bookmarkEnd w:id="200"/>
      <w:bookmarkStart w:id="201" w:name="_Toc184314436"/>
      <w:bookmarkEnd w:id="201"/>
      <w:bookmarkStart w:id="202" w:name="_Toc184310311"/>
      <w:bookmarkEnd w:id="202"/>
      <w:bookmarkStart w:id="203" w:name="_Toc184313240"/>
      <w:bookmarkEnd w:id="203"/>
      <w:bookmarkStart w:id="204" w:name="_Toc184310281"/>
      <w:bookmarkEnd w:id="204"/>
      <w:bookmarkStart w:id="205" w:name="_Toc184312071"/>
      <w:bookmarkEnd w:id="205"/>
      <w:bookmarkStart w:id="206" w:name="_Toc184313306"/>
      <w:bookmarkEnd w:id="206"/>
      <w:bookmarkStart w:id="207" w:name="_Toc184312082"/>
      <w:bookmarkEnd w:id="207"/>
      <w:bookmarkStart w:id="208" w:name="_Toc184313244"/>
      <w:bookmarkEnd w:id="208"/>
      <w:bookmarkStart w:id="209" w:name="_Toc184310303"/>
      <w:bookmarkEnd w:id="209"/>
      <w:bookmarkStart w:id="210" w:name="_Toc184310314"/>
      <w:bookmarkEnd w:id="210"/>
      <w:bookmarkStart w:id="211" w:name="_Toc184314413"/>
      <w:bookmarkEnd w:id="211"/>
      <w:bookmarkStart w:id="212" w:name="_Toc184313270"/>
      <w:bookmarkEnd w:id="212"/>
      <w:bookmarkStart w:id="213" w:name="_Toc184312069"/>
      <w:bookmarkEnd w:id="213"/>
      <w:bookmarkStart w:id="214" w:name="_Toc184312131"/>
      <w:bookmarkEnd w:id="214"/>
      <w:bookmarkStart w:id="215" w:name="_Toc184308050"/>
      <w:bookmarkEnd w:id="215"/>
      <w:bookmarkStart w:id="216" w:name="_Toc184310323"/>
      <w:bookmarkEnd w:id="216"/>
      <w:bookmarkStart w:id="217" w:name="_Toc184314459"/>
      <w:bookmarkEnd w:id="217"/>
      <w:bookmarkStart w:id="218" w:name="_Toc184308064"/>
      <w:bookmarkEnd w:id="218"/>
      <w:bookmarkStart w:id="219" w:name="_Toc184312100"/>
      <w:bookmarkEnd w:id="219"/>
      <w:bookmarkStart w:id="220" w:name="_Toc184310283"/>
      <w:bookmarkEnd w:id="220"/>
      <w:bookmarkStart w:id="221" w:name="_Toc184308038"/>
      <w:bookmarkEnd w:id="221"/>
      <w:bookmarkStart w:id="222" w:name="_Toc184313281"/>
      <w:bookmarkEnd w:id="222"/>
      <w:bookmarkStart w:id="223" w:name="_Toc184312139"/>
      <w:bookmarkEnd w:id="223"/>
      <w:bookmarkStart w:id="224" w:name="_Toc184312097"/>
      <w:bookmarkEnd w:id="224"/>
      <w:bookmarkStart w:id="225" w:name="_Toc184314474"/>
      <w:bookmarkEnd w:id="225"/>
      <w:bookmarkStart w:id="226" w:name="_Toc184314429"/>
      <w:bookmarkEnd w:id="226"/>
      <w:bookmarkStart w:id="227" w:name="_Toc184310287"/>
      <w:bookmarkEnd w:id="227"/>
      <w:bookmarkStart w:id="228" w:name="_Toc184310320"/>
      <w:bookmarkEnd w:id="228"/>
      <w:bookmarkStart w:id="229" w:name="_Toc184313256"/>
      <w:bookmarkEnd w:id="229"/>
      <w:bookmarkStart w:id="230" w:name="_Toc184310316"/>
      <w:bookmarkEnd w:id="230"/>
      <w:bookmarkStart w:id="231" w:name="_Toc184312109"/>
      <w:bookmarkEnd w:id="231"/>
      <w:bookmarkStart w:id="232" w:name="_Toc184313283"/>
      <w:bookmarkEnd w:id="232"/>
      <w:bookmarkStart w:id="233" w:name="_Toc184312079"/>
      <w:bookmarkEnd w:id="233"/>
      <w:bookmarkStart w:id="234" w:name="_Toc184312126"/>
      <w:bookmarkEnd w:id="234"/>
      <w:bookmarkStart w:id="235" w:name="_Toc184313277"/>
      <w:bookmarkEnd w:id="235"/>
      <w:bookmarkStart w:id="236" w:name="_Toc184308072"/>
      <w:bookmarkEnd w:id="236"/>
      <w:bookmarkStart w:id="237" w:name="_Toc184313243"/>
      <w:bookmarkEnd w:id="237"/>
      <w:bookmarkStart w:id="238" w:name="_Toc184308039"/>
      <w:bookmarkEnd w:id="238"/>
      <w:bookmarkStart w:id="239" w:name="_Toc184313242"/>
      <w:bookmarkEnd w:id="239"/>
      <w:bookmarkStart w:id="240" w:name="_Toc184312103"/>
      <w:bookmarkEnd w:id="240"/>
      <w:bookmarkStart w:id="241" w:name="_Toc184313266"/>
      <w:bookmarkEnd w:id="241"/>
      <w:bookmarkStart w:id="242" w:name="_Toc184310341"/>
      <w:bookmarkEnd w:id="242"/>
      <w:bookmarkStart w:id="243" w:name="_Toc184314427"/>
      <w:bookmarkEnd w:id="243"/>
      <w:bookmarkStart w:id="244" w:name="_Toc184308081"/>
      <w:bookmarkEnd w:id="244"/>
      <w:bookmarkStart w:id="245" w:name="_Toc184310294"/>
      <w:bookmarkEnd w:id="245"/>
      <w:bookmarkStart w:id="246" w:name="_Toc184308090"/>
      <w:bookmarkEnd w:id="246"/>
      <w:bookmarkStart w:id="247" w:name="_Toc184313265"/>
      <w:bookmarkEnd w:id="247"/>
      <w:bookmarkStart w:id="248" w:name="_Toc184314416"/>
      <w:bookmarkEnd w:id="248"/>
      <w:bookmarkStart w:id="249" w:name="_Toc184312110"/>
      <w:bookmarkEnd w:id="249"/>
      <w:bookmarkStart w:id="250" w:name="_Toc184310340"/>
      <w:bookmarkEnd w:id="250"/>
      <w:bookmarkStart w:id="251" w:name="_Toc184314430"/>
      <w:bookmarkEnd w:id="251"/>
      <w:bookmarkStart w:id="252" w:name="_Toc184314465"/>
      <w:bookmarkEnd w:id="252"/>
      <w:bookmarkStart w:id="253" w:name="_Toc184310333"/>
      <w:bookmarkEnd w:id="253"/>
      <w:bookmarkStart w:id="254" w:name="_Toc184310284"/>
      <w:bookmarkEnd w:id="254"/>
      <w:bookmarkStart w:id="255" w:name="_Toc184308052"/>
      <w:bookmarkEnd w:id="255"/>
      <w:bookmarkStart w:id="256" w:name="_Toc184314418"/>
      <w:bookmarkEnd w:id="256"/>
      <w:bookmarkStart w:id="257" w:name="_Toc184314434"/>
      <w:bookmarkEnd w:id="257"/>
      <w:bookmarkStart w:id="258" w:name="_Toc184310315"/>
      <w:bookmarkEnd w:id="258"/>
      <w:bookmarkStart w:id="259" w:name="_Toc184313274"/>
      <w:bookmarkEnd w:id="259"/>
      <w:bookmarkStart w:id="260" w:name="_Toc184310313"/>
      <w:bookmarkEnd w:id="260"/>
      <w:bookmarkStart w:id="261" w:name="_Toc184314442"/>
      <w:bookmarkEnd w:id="261"/>
      <w:bookmarkStart w:id="262" w:name="_Toc184310293"/>
      <w:bookmarkEnd w:id="262"/>
      <w:bookmarkStart w:id="263" w:name="_Toc184310335"/>
      <w:bookmarkEnd w:id="263"/>
      <w:bookmarkStart w:id="264" w:name="_Toc184314420"/>
      <w:bookmarkEnd w:id="264"/>
      <w:bookmarkStart w:id="265" w:name="_Toc184312137"/>
      <w:bookmarkEnd w:id="265"/>
      <w:bookmarkStart w:id="266" w:name="_Toc184308071"/>
      <w:bookmarkEnd w:id="266"/>
      <w:bookmarkStart w:id="267" w:name="_Toc184308053"/>
      <w:bookmarkEnd w:id="267"/>
      <w:bookmarkStart w:id="268" w:name="_Toc184308102"/>
      <w:bookmarkEnd w:id="268"/>
      <w:bookmarkStart w:id="269" w:name="_Toc184314469"/>
      <w:bookmarkEnd w:id="269"/>
      <w:bookmarkStart w:id="270" w:name="_Toc184314441"/>
      <w:bookmarkEnd w:id="270"/>
      <w:bookmarkStart w:id="271" w:name="_Toc184314454"/>
      <w:bookmarkEnd w:id="271"/>
      <w:bookmarkStart w:id="272" w:name="_Toc184310343"/>
      <w:bookmarkEnd w:id="272"/>
      <w:bookmarkStart w:id="273" w:name="_Toc184313307"/>
      <w:bookmarkEnd w:id="273"/>
      <w:bookmarkStart w:id="274" w:name="_Toc184313299"/>
      <w:bookmarkEnd w:id="274"/>
      <w:bookmarkStart w:id="275" w:name="_Toc184312128"/>
      <w:bookmarkEnd w:id="275"/>
      <w:bookmarkStart w:id="276" w:name="_Toc184310290"/>
      <w:bookmarkEnd w:id="276"/>
      <w:bookmarkStart w:id="277" w:name="_Toc184310326"/>
      <w:bookmarkEnd w:id="277"/>
      <w:bookmarkStart w:id="278" w:name="_Toc184308108"/>
      <w:bookmarkEnd w:id="278"/>
      <w:bookmarkStart w:id="279" w:name="_Toc184314481"/>
      <w:bookmarkEnd w:id="279"/>
      <w:bookmarkStart w:id="280" w:name="_Toc184308048"/>
      <w:bookmarkEnd w:id="280"/>
      <w:bookmarkStart w:id="281" w:name="_Toc184310272"/>
      <w:bookmarkEnd w:id="281"/>
      <w:bookmarkStart w:id="282" w:name="_Toc184308044"/>
      <w:bookmarkEnd w:id="282"/>
      <w:bookmarkStart w:id="283" w:name="_Toc184310328"/>
      <w:bookmarkEnd w:id="283"/>
      <w:bookmarkStart w:id="284" w:name="_Toc184308041"/>
      <w:bookmarkEnd w:id="284"/>
      <w:bookmarkStart w:id="285" w:name="_Toc184310285"/>
      <w:bookmarkEnd w:id="285"/>
      <w:bookmarkStart w:id="286" w:name="_Toc184310319"/>
      <w:bookmarkEnd w:id="286"/>
      <w:bookmarkStart w:id="287" w:name="_Toc184310337"/>
      <w:bookmarkEnd w:id="287"/>
      <w:bookmarkStart w:id="288" w:name="_Toc184313282"/>
      <w:bookmarkEnd w:id="288"/>
      <w:bookmarkStart w:id="289" w:name="_Toc184313273"/>
      <w:bookmarkEnd w:id="289"/>
      <w:bookmarkStart w:id="290" w:name="_Toc184313260"/>
      <w:bookmarkEnd w:id="290"/>
      <w:bookmarkStart w:id="291" w:name="_Toc184313253"/>
      <w:bookmarkEnd w:id="291"/>
      <w:bookmarkStart w:id="292" w:name="_Toc184314455"/>
      <w:bookmarkEnd w:id="292"/>
      <w:bookmarkStart w:id="293" w:name="_Toc184312124"/>
      <w:bookmarkEnd w:id="293"/>
      <w:bookmarkStart w:id="294" w:name="_Toc184313295"/>
      <w:bookmarkEnd w:id="294"/>
      <w:bookmarkStart w:id="295" w:name="_Toc184312094"/>
      <w:bookmarkEnd w:id="295"/>
      <w:bookmarkStart w:id="296" w:name="_Toc184312118"/>
      <w:bookmarkEnd w:id="296"/>
      <w:bookmarkStart w:id="297" w:name="_Toc184308043"/>
      <w:bookmarkEnd w:id="297"/>
      <w:bookmarkStart w:id="298" w:name="_Toc184313289"/>
      <w:bookmarkEnd w:id="298"/>
      <w:bookmarkStart w:id="299" w:name="_Toc184310336"/>
      <w:bookmarkEnd w:id="299"/>
      <w:bookmarkStart w:id="300" w:name="_Toc184313286"/>
      <w:bookmarkEnd w:id="300"/>
      <w:bookmarkStart w:id="301" w:name="_Toc184313300"/>
      <w:bookmarkEnd w:id="301"/>
      <w:bookmarkStart w:id="302" w:name="_Toc184312104"/>
      <w:bookmarkEnd w:id="302"/>
      <w:bookmarkStart w:id="303" w:name="_Toc184310277"/>
      <w:bookmarkEnd w:id="303"/>
      <w:bookmarkStart w:id="304" w:name="_Toc184310279"/>
      <w:bookmarkEnd w:id="304"/>
      <w:bookmarkStart w:id="305" w:name="_Toc184308100"/>
      <w:bookmarkEnd w:id="305"/>
      <w:bookmarkStart w:id="306" w:name="_Toc184313238"/>
      <w:bookmarkEnd w:id="306"/>
      <w:bookmarkStart w:id="307" w:name="_Toc184312117"/>
      <w:bookmarkEnd w:id="307"/>
      <w:bookmarkStart w:id="308" w:name="_Toc184310321"/>
      <w:bookmarkEnd w:id="308"/>
      <w:bookmarkStart w:id="309" w:name="_Toc184310338"/>
      <w:bookmarkEnd w:id="309"/>
      <w:bookmarkStart w:id="310" w:name="_Toc184314452"/>
      <w:bookmarkEnd w:id="310"/>
      <w:bookmarkStart w:id="311" w:name="_Toc184312134"/>
      <w:bookmarkEnd w:id="311"/>
      <w:bookmarkStart w:id="312" w:name="_Toc184308046"/>
      <w:bookmarkEnd w:id="312"/>
      <w:bookmarkStart w:id="313" w:name="_Toc184313303"/>
      <w:bookmarkEnd w:id="313"/>
      <w:bookmarkStart w:id="314" w:name="_Toc184314426"/>
      <w:bookmarkEnd w:id="314"/>
      <w:bookmarkStart w:id="315" w:name="_Toc184308073"/>
      <w:bookmarkEnd w:id="315"/>
      <w:bookmarkStart w:id="316" w:name="_Toc184312102"/>
      <w:bookmarkEnd w:id="316"/>
      <w:bookmarkStart w:id="317" w:name="_Toc184310310"/>
      <w:bookmarkEnd w:id="317"/>
      <w:bookmarkStart w:id="318" w:name="_Toc184312112"/>
      <w:bookmarkEnd w:id="318"/>
      <w:bookmarkStart w:id="319" w:name="_Toc184310297"/>
      <w:bookmarkEnd w:id="319"/>
      <w:bookmarkStart w:id="320" w:name="_Toc184312132"/>
      <w:bookmarkEnd w:id="320"/>
      <w:bookmarkStart w:id="321" w:name="_Toc184313288"/>
      <w:bookmarkEnd w:id="321"/>
      <w:bookmarkStart w:id="322" w:name="_Toc184312081"/>
      <w:bookmarkEnd w:id="322"/>
      <w:bookmarkStart w:id="323" w:name="_Toc184313292"/>
      <w:bookmarkEnd w:id="323"/>
      <w:bookmarkStart w:id="324" w:name="_Toc184310275"/>
      <w:bookmarkEnd w:id="324"/>
      <w:bookmarkStart w:id="325" w:name="_Toc184314467"/>
      <w:bookmarkEnd w:id="325"/>
      <w:bookmarkStart w:id="326" w:name="_Toc184308076"/>
      <w:bookmarkEnd w:id="326"/>
      <w:bookmarkStart w:id="327" w:name="_Toc184310306"/>
      <w:bookmarkEnd w:id="327"/>
      <w:bookmarkStart w:id="328" w:name="_Toc184310295"/>
      <w:bookmarkEnd w:id="328"/>
      <w:bookmarkStart w:id="329" w:name="_Toc184314477"/>
      <w:bookmarkEnd w:id="329"/>
      <w:bookmarkStart w:id="330" w:name="_Toc184308062"/>
      <w:bookmarkEnd w:id="330"/>
      <w:bookmarkStart w:id="331" w:name="_Toc184314424"/>
      <w:bookmarkEnd w:id="331"/>
      <w:bookmarkStart w:id="332" w:name="_Toc184310327"/>
      <w:bookmarkEnd w:id="332"/>
      <w:bookmarkStart w:id="333" w:name="_Toc184308091"/>
      <w:bookmarkEnd w:id="333"/>
      <w:bookmarkStart w:id="334" w:name="_Toc184308077"/>
      <w:bookmarkEnd w:id="334"/>
      <w:bookmarkStart w:id="335" w:name="_Toc184310302"/>
      <w:bookmarkEnd w:id="335"/>
      <w:bookmarkStart w:id="336" w:name="_Toc184313293"/>
      <w:bookmarkEnd w:id="336"/>
      <w:bookmarkStart w:id="337" w:name="_Toc184314460"/>
      <w:bookmarkEnd w:id="337"/>
      <w:bookmarkStart w:id="338" w:name="_Toc184314422"/>
      <w:bookmarkEnd w:id="338"/>
      <w:bookmarkStart w:id="339" w:name="_Toc184314421"/>
      <w:bookmarkEnd w:id="339"/>
      <w:bookmarkStart w:id="340" w:name="_Toc184314440"/>
      <w:bookmarkEnd w:id="340"/>
      <w:bookmarkStart w:id="341" w:name="_Toc184313259"/>
      <w:bookmarkEnd w:id="341"/>
      <w:bookmarkStart w:id="342" w:name="_Toc184312106"/>
      <w:bookmarkEnd w:id="342"/>
      <w:bookmarkStart w:id="343" w:name="_Toc184312073"/>
      <w:bookmarkEnd w:id="343"/>
      <w:bookmarkStart w:id="344" w:name="_Toc184310330"/>
      <w:bookmarkEnd w:id="344"/>
      <w:bookmarkStart w:id="345" w:name="_Toc184308058"/>
      <w:bookmarkEnd w:id="345"/>
      <w:bookmarkStart w:id="346" w:name="_Toc184312107"/>
      <w:bookmarkEnd w:id="346"/>
      <w:bookmarkStart w:id="347" w:name="_Toc184313285"/>
      <w:bookmarkEnd w:id="347"/>
      <w:bookmarkStart w:id="348" w:name="_Toc184314447"/>
      <w:bookmarkEnd w:id="348"/>
      <w:bookmarkStart w:id="349" w:name="_Toc184313279"/>
      <w:bookmarkEnd w:id="349"/>
      <w:bookmarkStart w:id="350" w:name="_Toc184313268"/>
      <w:bookmarkEnd w:id="350"/>
      <w:bookmarkStart w:id="351" w:name="_Toc184312130"/>
      <w:bookmarkEnd w:id="351"/>
      <w:bookmarkStart w:id="352" w:name="_Toc184312068"/>
      <w:bookmarkEnd w:id="352"/>
      <w:bookmarkStart w:id="353" w:name="_Toc184314446"/>
      <w:bookmarkEnd w:id="353"/>
      <w:bookmarkStart w:id="354" w:name="_Toc184313275"/>
      <w:bookmarkEnd w:id="354"/>
      <w:bookmarkStart w:id="355" w:name="_Toc184310276"/>
      <w:bookmarkEnd w:id="355"/>
      <w:bookmarkStart w:id="356" w:name="_Toc184310282"/>
      <w:bookmarkEnd w:id="356"/>
      <w:bookmarkStart w:id="357" w:name="_Toc184310292"/>
      <w:bookmarkEnd w:id="357"/>
      <w:bookmarkStart w:id="358" w:name="_Toc184310289"/>
      <w:bookmarkEnd w:id="358"/>
      <w:bookmarkStart w:id="359" w:name="_Toc184310331"/>
      <w:bookmarkEnd w:id="359"/>
      <w:bookmarkStart w:id="360" w:name="_Toc184308099"/>
      <w:bookmarkEnd w:id="360"/>
      <w:bookmarkStart w:id="361" w:name="_Toc184313264"/>
      <w:bookmarkEnd w:id="361"/>
      <w:bookmarkStart w:id="362" w:name="_Toc184310273"/>
      <w:bookmarkEnd w:id="362"/>
      <w:bookmarkStart w:id="363" w:name="_Toc184314414"/>
      <w:bookmarkEnd w:id="363"/>
      <w:bookmarkStart w:id="364" w:name="_Toc184312070"/>
      <w:bookmarkEnd w:id="364"/>
      <w:bookmarkStart w:id="365" w:name="_Toc184313310"/>
      <w:bookmarkEnd w:id="365"/>
      <w:bookmarkStart w:id="366" w:name="_Toc184314415"/>
      <w:bookmarkEnd w:id="366"/>
      <w:bookmarkStart w:id="367" w:name="_Toc184310278"/>
      <w:bookmarkEnd w:id="367"/>
      <w:bookmarkStart w:id="368" w:name="_Toc184312087"/>
      <w:bookmarkEnd w:id="368"/>
      <w:bookmarkStart w:id="369" w:name="_Toc184310317"/>
      <w:bookmarkEnd w:id="369"/>
      <w:bookmarkStart w:id="370" w:name="_Toc184314450"/>
      <w:bookmarkEnd w:id="370"/>
      <w:bookmarkStart w:id="371" w:name="_Toc184314468"/>
      <w:bookmarkEnd w:id="371"/>
      <w:bookmarkStart w:id="372" w:name="_Toc184312105"/>
      <w:bookmarkEnd w:id="372"/>
      <w:bookmarkStart w:id="373" w:name="_Toc184314428"/>
      <w:bookmarkEnd w:id="373"/>
      <w:bookmarkStart w:id="374" w:name="_Toc184308068"/>
      <w:bookmarkEnd w:id="374"/>
      <w:bookmarkStart w:id="375" w:name="_Toc184308074"/>
      <w:bookmarkEnd w:id="375"/>
      <w:bookmarkStart w:id="376" w:name="_Toc184314423"/>
      <w:bookmarkEnd w:id="376"/>
      <w:bookmarkStart w:id="377" w:name="_Toc184313304"/>
      <w:bookmarkEnd w:id="377"/>
      <w:bookmarkStart w:id="378" w:name="_Toc184314438"/>
      <w:bookmarkEnd w:id="378"/>
      <w:bookmarkStart w:id="379" w:name="_Toc184314425"/>
      <w:bookmarkEnd w:id="379"/>
      <w:bookmarkStart w:id="380" w:name="_Toc184313251"/>
      <w:bookmarkEnd w:id="380"/>
      <w:bookmarkStart w:id="381" w:name="_Toc184312099"/>
      <w:bookmarkEnd w:id="381"/>
      <w:bookmarkStart w:id="382" w:name="_Toc184308061"/>
      <w:bookmarkEnd w:id="382"/>
      <w:bookmarkStart w:id="383" w:name="_Toc184313246"/>
      <w:bookmarkEnd w:id="383"/>
      <w:bookmarkStart w:id="384" w:name="_Toc184312077"/>
      <w:bookmarkEnd w:id="384"/>
      <w:bookmarkStart w:id="385" w:name="_Toc184310305"/>
      <w:bookmarkEnd w:id="385"/>
      <w:bookmarkStart w:id="386" w:name="_Toc184314471"/>
      <w:bookmarkEnd w:id="386"/>
      <w:bookmarkStart w:id="387" w:name="_Toc184310342"/>
      <w:bookmarkEnd w:id="387"/>
      <w:bookmarkStart w:id="388" w:name="_Toc184313261"/>
      <w:bookmarkEnd w:id="388"/>
      <w:bookmarkStart w:id="389" w:name="_Toc184314419"/>
      <w:bookmarkEnd w:id="389"/>
      <w:bookmarkStart w:id="390" w:name="_Toc184308085"/>
      <w:bookmarkEnd w:id="390"/>
      <w:bookmarkStart w:id="391" w:name="_Toc184313272"/>
      <w:bookmarkEnd w:id="391"/>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529"/>
        <w:gridCol w:w="6630"/>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792"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8159" w:type="dxa"/>
            <w:gridSpan w:val="2"/>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dxa"/>
            <w:vMerge w:val="restart"/>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29" w:type="dxa"/>
            <w:vMerge w:val="restart"/>
            <w:noWrap w:val="0"/>
            <w:vAlign w:val="center"/>
          </w:tcPr>
          <w:p>
            <w:pPr>
              <w:tabs>
                <w:tab w:val="left" w:pos="645"/>
              </w:tabs>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服务理念、组织架构及管理制度情况（</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tc>
        <w:tc>
          <w:tcPr>
            <w:tcW w:w="6630" w:type="dxa"/>
            <w:noWrap w:val="0"/>
            <w:vAlign w:val="center"/>
          </w:tcPr>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根据本项目服务特点提出合理的服务理念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提出服务定位、目标，投标人的管理模式能够</w:t>
            </w:r>
            <w:r>
              <w:rPr>
                <w:rFonts w:hint="eastAsia" w:ascii="宋体" w:hAnsi="宋体" w:eastAsia="宋体" w:cs="宋体"/>
                <w:color w:val="auto"/>
                <w:sz w:val="24"/>
                <w:szCs w:val="24"/>
                <w:highlight w:val="none"/>
                <w:lang w:val="en-US" w:eastAsia="zh-CN"/>
              </w:rPr>
              <w:t>符合项目优育服务需要，</w:t>
            </w:r>
            <w:r>
              <w:rPr>
                <w:rFonts w:hint="eastAsia" w:ascii="宋体" w:hAnsi="宋体" w:eastAsia="宋体" w:cs="宋体"/>
                <w:color w:val="auto"/>
                <w:sz w:val="24"/>
                <w:szCs w:val="24"/>
                <w:highlight w:val="none"/>
              </w:rPr>
              <w:t>切合实际，且安全可行；</w:t>
            </w:r>
            <w:r>
              <w:rPr>
                <w:rFonts w:hint="eastAsia" w:ascii="宋体" w:hAnsi="宋体" w:eastAsia="宋体" w:cs="宋体"/>
                <w:snapToGrid w:val="0"/>
                <w:color w:val="auto"/>
                <w:kern w:val="0"/>
                <w:sz w:val="24"/>
                <w:szCs w:val="24"/>
                <w:highlight w:val="none"/>
              </w:rPr>
              <w:t>保密性、安全性、文明服务的计划及承诺情况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内容完善、可行，得6-4分；不够完善、可行，得3-1分，不符合的不得分。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vMerge w:val="continue"/>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529" w:type="dxa"/>
            <w:vMerge w:val="continue"/>
            <w:noWrap w:val="0"/>
            <w:vAlign w:val="center"/>
          </w:tcPr>
          <w:p>
            <w:pPr>
              <w:adjustRightInd w:val="0"/>
              <w:snapToGrid w:val="0"/>
              <w:spacing w:line="360" w:lineRule="auto"/>
              <w:rPr>
                <w:rFonts w:hint="eastAsia" w:ascii="宋体" w:hAnsi="宋体" w:eastAsia="宋体" w:cs="宋体"/>
                <w:color w:val="auto"/>
                <w:sz w:val="24"/>
                <w:szCs w:val="24"/>
                <w:highlight w:val="none"/>
              </w:rPr>
            </w:pPr>
          </w:p>
        </w:tc>
        <w:tc>
          <w:tcPr>
            <w:tcW w:w="6630" w:type="dxa"/>
            <w:noWrap w:val="0"/>
            <w:vAlign w:val="center"/>
          </w:tcPr>
          <w:p>
            <w:pPr>
              <w:tabs>
                <w:tab w:val="left" w:pos="4890"/>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投标人有完善的组织架构，工作职能组织运行机制、</w:t>
            </w:r>
            <w:r>
              <w:rPr>
                <w:rFonts w:hint="eastAsia" w:ascii="宋体" w:hAnsi="宋体" w:eastAsia="宋体" w:cs="宋体"/>
                <w:color w:val="auto"/>
                <w:sz w:val="24"/>
                <w:szCs w:val="24"/>
                <w:highlight w:val="none"/>
                <w:lang w:val="en-US" w:eastAsia="zh-CN"/>
              </w:rPr>
              <w:t>职责分工情况</w:t>
            </w:r>
            <w:r>
              <w:rPr>
                <w:rFonts w:hint="eastAsia" w:ascii="宋体" w:hAnsi="宋体" w:eastAsia="宋体" w:cs="宋体"/>
                <w:color w:val="auto"/>
                <w:sz w:val="24"/>
                <w:szCs w:val="24"/>
                <w:highlight w:val="none"/>
                <w:lang w:eastAsia="zh-CN"/>
              </w:rPr>
              <w:t>。</w:t>
            </w:r>
          </w:p>
          <w:p>
            <w:pPr>
              <w:tabs>
                <w:tab w:val="left" w:pos="4890"/>
              </w:tabs>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组织运行机制完善、职责分工明确的得</w:t>
            </w:r>
            <w:r>
              <w:rPr>
                <w:rFonts w:hint="eastAsia" w:ascii="宋体" w:hAnsi="宋体" w:eastAsia="宋体" w:cs="宋体"/>
                <w:color w:val="auto"/>
                <w:sz w:val="24"/>
                <w:szCs w:val="24"/>
                <w:highlight w:val="none"/>
                <w:lang w:val="en-US" w:eastAsia="zh-CN"/>
              </w:rPr>
              <w:t>3-2分；</w:t>
            </w:r>
            <w:r>
              <w:rPr>
                <w:rFonts w:hint="eastAsia" w:ascii="宋体" w:hAnsi="宋体" w:eastAsia="宋体" w:cs="宋体"/>
                <w:color w:val="auto"/>
                <w:sz w:val="24"/>
                <w:szCs w:val="24"/>
                <w:highlight w:val="none"/>
                <w:lang w:eastAsia="zh-CN"/>
              </w:rPr>
              <w:t>组织运行机制、职责分工存在不足的得</w:t>
            </w:r>
            <w:r>
              <w:rPr>
                <w:rFonts w:hint="eastAsia" w:ascii="宋体" w:hAnsi="宋体" w:eastAsia="宋体" w:cs="宋体"/>
                <w:color w:val="auto"/>
                <w:sz w:val="24"/>
                <w:szCs w:val="24"/>
                <w:highlight w:val="none"/>
                <w:lang w:val="en-US" w:eastAsia="zh-CN"/>
              </w:rPr>
              <w:t>1分；内容不符合的不得分。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vMerge w:val="continue"/>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529" w:type="dxa"/>
            <w:vMerge w:val="continue"/>
            <w:noWrap w:val="0"/>
            <w:vAlign w:val="center"/>
          </w:tcPr>
          <w:p>
            <w:pPr>
              <w:adjustRightInd w:val="0"/>
              <w:snapToGrid w:val="0"/>
              <w:spacing w:line="360" w:lineRule="auto"/>
              <w:rPr>
                <w:rFonts w:hint="eastAsia" w:ascii="宋体" w:hAnsi="宋体" w:eastAsia="宋体" w:cs="宋体"/>
                <w:color w:val="auto"/>
                <w:sz w:val="24"/>
                <w:szCs w:val="24"/>
                <w:highlight w:val="none"/>
              </w:rPr>
            </w:pPr>
          </w:p>
        </w:tc>
        <w:tc>
          <w:tcPr>
            <w:tcW w:w="6630" w:type="dxa"/>
            <w:noWrap w:val="0"/>
            <w:vAlign w:val="center"/>
          </w:tcPr>
          <w:p>
            <w:pPr>
              <w:tabs>
                <w:tab w:val="left" w:pos="4890"/>
              </w:tabs>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投标人建立的监督机制、自我约束机制、信息反馈渠道及处理机制等情况。</w:t>
            </w:r>
          </w:p>
          <w:p>
            <w:pPr>
              <w:tabs>
                <w:tab w:val="left" w:pos="4890"/>
              </w:tabs>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三项机制完善、可行，得3-2分；三项机制不够完善，得1分；内容不符合的不得分。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dxa"/>
            <w:vMerge w:val="continue"/>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529" w:type="dxa"/>
            <w:vMerge w:val="continue"/>
            <w:noWrap w:val="0"/>
            <w:vAlign w:val="center"/>
          </w:tcPr>
          <w:p>
            <w:pPr>
              <w:adjustRightInd w:val="0"/>
              <w:snapToGrid w:val="0"/>
              <w:spacing w:line="360" w:lineRule="auto"/>
              <w:rPr>
                <w:rFonts w:hint="eastAsia" w:ascii="宋体" w:hAnsi="宋体" w:eastAsia="宋体" w:cs="宋体"/>
                <w:color w:val="auto"/>
                <w:sz w:val="24"/>
                <w:szCs w:val="24"/>
                <w:highlight w:val="none"/>
              </w:rPr>
            </w:pPr>
          </w:p>
        </w:tc>
        <w:tc>
          <w:tcPr>
            <w:tcW w:w="6630" w:type="dxa"/>
            <w:noWrap w:val="0"/>
            <w:vAlign w:val="center"/>
          </w:tcPr>
          <w:p>
            <w:pPr>
              <w:tabs>
                <w:tab w:val="left" w:pos="4890"/>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完备的</w:t>
            </w:r>
            <w:r>
              <w:rPr>
                <w:rFonts w:hint="eastAsia" w:ascii="宋体" w:hAnsi="宋体" w:eastAsia="宋体" w:cs="宋体"/>
                <w:color w:val="auto"/>
                <w:sz w:val="24"/>
                <w:szCs w:val="24"/>
                <w:highlight w:val="none"/>
              </w:rPr>
              <w:t>内部管理和协调方法</w:t>
            </w:r>
            <w:r>
              <w:rPr>
                <w:rFonts w:hint="eastAsia" w:ascii="宋体" w:hAnsi="宋体" w:eastAsia="宋体" w:cs="宋体"/>
                <w:color w:val="auto"/>
                <w:sz w:val="24"/>
                <w:szCs w:val="24"/>
                <w:highlight w:val="none"/>
                <w:lang w:eastAsia="zh-CN"/>
              </w:rPr>
              <w:t>情况：内部</w:t>
            </w:r>
            <w:r>
              <w:rPr>
                <w:rFonts w:hint="eastAsia" w:ascii="宋体" w:hAnsi="宋体" w:eastAsia="宋体" w:cs="宋体"/>
                <w:color w:val="auto"/>
                <w:sz w:val="24"/>
                <w:szCs w:val="24"/>
                <w:highlight w:val="none"/>
              </w:rPr>
              <w:t>管理和协调方法</w:t>
            </w:r>
            <w:r>
              <w:rPr>
                <w:rFonts w:hint="eastAsia" w:ascii="宋体" w:hAnsi="宋体" w:eastAsia="宋体" w:cs="宋体"/>
                <w:color w:val="auto"/>
                <w:sz w:val="24"/>
                <w:szCs w:val="24"/>
                <w:highlight w:val="none"/>
                <w:lang w:eastAsia="zh-CN"/>
              </w:rPr>
              <w:t>清晰的，</w:t>
            </w:r>
            <w:r>
              <w:rPr>
                <w:rFonts w:hint="eastAsia" w:ascii="宋体" w:hAnsi="宋体" w:eastAsia="宋体" w:cs="宋体"/>
                <w:color w:val="auto"/>
                <w:sz w:val="24"/>
                <w:szCs w:val="24"/>
                <w:highlight w:val="none"/>
                <w:lang w:val="en-US" w:eastAsia="zh-CN"/>
              </w:rPr>
              <w:t>得3分；</w:t>
            </w:r>
            <w:r>
              <w:rPr>
                <w:rFonts w:hint="eastAsia" w:ascii="宋体" w:hAnsi="宋体" w:eastAsia="宋体" w:cs="宋体"/>
                <w:color w:val="auto"/>
                <w:sz w:val="24"/>
                <w:szCs w:val="24"/>
                <w:highlight w:val="none"/>
                <w:lang w:eastAsia="zh-CN"/>
              </w:rPr>
              <w:t>内部</w:t>
            </w:r>
            <w:r>
              <w:rPr>
                <w:rFonts w:hint="eastAsia" w:ascii="宋体" w:hAnsi="宋体" w:eastAsia="宋体" w:cs="宋体"/>
                <w:color w:val="auto"/>
                <w:sz w:val="24"/>
                <w:szCs w:val="24"/>
                <w:highlight w:val="none"/>
              </w:rPr>
              <w:t>管理和协调方法</w:t>
            </w:r>
            <w:r>
              <w:rPr>
                <w:rFonts w:hint="eastAsia" w:ascii="宋体" w:hAnsi="宋体" w:eastAsia="宋体" w:cs="宋体"/>
                <w:color w:val="auto"/>
                <w:sz w:val="24"/>
                <w:szCs w:val="24"/>
                <w:highlight w:val="none"/>
                <w:lang w:val="en-US" w:eastAsia="zh-CN"/>
              </w:rPr>
              <w:t>基本</w:t>
            </w:r>
            <w:r>
              <w:rPr>
                <w:rFonts w:hint="eastAsia" w:ascii="宋体" w:hAnsi="宋体" w:eastAsia="宋体" w:cs="宋体"/>
                <w:color w:val="auto"/>
                <w:sz w:val="24"/>
                <w:szCs w:val="24"/>
                <w:highlight w:val="none"/>
                <w:lang w:eastAsia="zh-CN"/>
              </w:rPr>
              <w:t>清晰的，得</w:t>
            </w:r>
            <w:r>
              <w:rPr>
                <w:rFonts w:hint="eastAsia" w:ascii="宋体" w:hAnsi="宋体" w:eastAsia="宋体" w:cs="宋体"/>
                <w:color w:val="auto"/>
                <w:sz w:val="24"/>
                <w:szCs w:val="24"/>
                <w:highlight w:val="none"/>
                <w:lang w:val="en-US" w:eastAsia="zh-CN"/>
              </w:rPr>
              <w:t>1分；内容不符合的不得分。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dxa"/>
            <w:vMerge w:val="restart"/>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529" w:type="dxa"/>
            <w:vMerge w:val="restart"/>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服务方案（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lang w:val="en-US" w:eastAsia="zh-CN"/>
              </w:rPr>
              <w:t>分）</w:t>
            </w:r>
          </w:p>
        </w:tc>
        <w:tc>
          <w:tcPr>
            <w:tcW w:w="6630" w:type="dxa"/>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充分考虑用户的日常要求和需求，对本次服务内容的目标有较深入的理解和渗透，符合招标文件要求。提供服务区域内日常生活照料的管理方案及孩子护理操作方案。包括饮食起居照料、个人清洁卫生、睡眠照料、区域清洁卫生、衣物清洗消毒晾晒、配奶配餐服务，根据方案情况酌情打分。方案内容贴合要求的12-9分，内容可行的8-5分，内容</w:t>
            </w:r>
            <w:r>
              <w:rPr>
                <w:rFonts w:hint="eastAsia" w:ascii="宋体" w:hAnsi="宋体" w:eastAsia="宋体" w:cs="宋体"/>
                <w:color w:val="auto"/>
                <w:sz w:val="24"/>
                <w:szCs w:val="24"/>
                <w:highlight w:val="none"/>
                <w:lang w:eastAsia="zh-CN"/>
              </w:rPr>
              <w:t>存在不足的得</w:t>
            </w:r>
            <w:r>
              <w:rPr>
                <w:rFonts w:hint="eastAsia" w:ascii="宋体" w:hAnsi="宋体" w:eastAsia="宋体" w:cs="宋体"/>
                <w:color w:val="auto"/>
                <w:sz w:val="24"/>
                <w:szCs w:val="24"/>
                <w:highlight w:val="none"/>
                <w:lang w:val="en-US" w:eastAsia="zh-CN"/>
              </w:rPr>
              <w:t>1分；内容不符合的不得分。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92" w:type="dxa"/>
            <w:vMerge w:val="continue"/>
            <w:tcBorders>
              <w:bottom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1529"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p>
        </w:tc>
        <w:tc>
          <w:tcPr>
            <w:tcW w:w="6630" w:type="dxa"/>
            <w:tcBorders>
              <w:bottom w:val="single" w:color="auto" w:sz="4" w:space="0"/>
            </w:tcBorders>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针对不同年龄、不同能力的儿童的分级护理方案，具备合理性、科学性，并提供科学合理的台账记录措施；提供安全防护方案及相关措施，能够有效预防儿童意外伤害，具备可操作性，根据方案情况酌情打分。方案措施内容贴合要求的6-5分，内容可行的4-2分，内容</w:t>
            </w:r>
            <w:r>
              <w:rPr>
                <w:rFonts w:hint="eastAsia" w:ascii="宋体" w:hAnsi="宋体" w:eastAsia="宋体" w:cs="宋体"/>
                <w:color w:val="auto"/>
                <w:sz w:val="24"/>
                <w:szCs w:val="24"/>
                <w:highlight w:val="none"/>
                <w:lang w:eastAsia="zh-CN"/>
              </w:rPr>
              <w:t>存在不足的得</w:t>
            </w:r>
            <w:r>
              <w:rPr>
                <w:rFonts w:hint="eastAsia" w:ascii="宋体" w:hAnsi="宋体" w:eastAsia="宋体" w:cs="宋体"/>
                <w:color w:val="auto"/>
                <w:sz w:val="24"/>
                <w:szCs w:val="24"/>
                <w:highlight w:val="none"/>
                <w:lang w:val="en-US" w:eastAsia="zh-CN"/>
              </w:rPr>
              <w:t>1分；内容不符合的不得分。</w:t>
            </w:r>
          </w:p>
        </w:tc>
        <w:tc>
          <w:tcPr>
            <w:tcW w:w="655" w:type="dxa"/>
            <w:tcBorders>
              <w:bottom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dxa"/>
            <w:vMerge w:val="continue"/>
            <w:tcBorders>
              <w:bottom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1529"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p>
        </w:tc>
        <w:tc>
          <w:tcPr>
            <w:tcW w:w="6630" w:type="dxa"/>
            <w:tcBorders>
              <w:bottom w:val="single" w:color="auto" w:sz="4" w:space="0"/>
            </w:tcBorders>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提供生病儿童陪护照料方案（包括住院），包括对生病儿童陪护照料的措施，护送儿童外出体检、就医就学的相关措施，符合招标文件要求，根据方案情况酌情打分。方案措施内容贴合要求的</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分，内容可行的</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-2分，内容</w:t>
            </w:r>
            <w:r>
              <w:rPr>
                <w:rFonts w:hint="eastAsia" w:ascii="宋体" w:hAnsi="宋体" w:eastAsia="宋体" w:cs="宋体"/>
                <w:color w:val="auto"/>
                <w:sz w:val="24"/>
                <w:szCs w:val="24"/>
                <w:highlight w:val="none"/>
                <w:lang w:eastAsia="zh-CN"/>
              </w:rPr>
              <w:t>存在不足的得</w:t>
            </w:r>
            <w:r>
              <w:rPr>
                <w:rFonts w:hint="eastAsia" w:ascii="宋体" w:hAnsi="宋体" w:eastAsia="宋体" w:cs="宋体"/>
                <w:color w:val="auto"/>
                <w:sz w:val="24"/>
                <w:szCs w:val="24"/>
                <w:highlight w:val="none"/>
                <w:lang w:val="en-US" w:eastAsia="zh-CN"/>
              </w:rPr>
              <w:t>1分；内容不符合的不得分。</w:t>
            </w:r>
          </w:p>
        </w:tc>
        <w:tc>
          <w:tcPr>
            <w:tcW w:w="655" w:type="dxa"/>
            <w:tcBorders>
              <w:bottom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dxa"/>
            <w:vMerge w:val="continue"/>
            <w:tcBorders>
              <w:bottom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1529"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p>
        </w:tc>
        <w:tc>
          <w:tcPr>
            <w:tcW w:w="6630" w:type="dxa"/>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提供协助早教康复相关工作的方案，包括根据康复计划制定生活康复训练，组织儿童闲暇活动，提供现场护理，根据方案情况酌情打分。方案措施内容贴合要求的</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分，内容可行的</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-2分，内容</w:t>
            </w:r>
            <w:r>
              <w:rPr>
                <w:rFonts w:hint="eastAsia" w:ascii="宋体" w:hAnsi="宋体" w:eastAsia="宋体" w:cs="宋体"/>
                <w:color w:val="auto"/>
                <w:sz w:val="24"/>
                <w:szCs w:val="24"/>
                <w:highlight w:val="none"/>
                <w:lang w:eastAsia="zh-CN"/>
              </w:rPr>
              <w:t>存在不足的得</w:t>
            </w:r>
            <w:r>
              <w:rPr>
                <w:rFonts w:hint="eastAsia" w:ascii="宋体" w:hAnsi="宋体" w:eastAsia="宋体" w:cs="宋体"/>
                <w:color w:val="auto"/>
                <w:sz w:val="24"/>
                <w:szCs w:val="24"/>
                <w:highlight w:val="none"/>
                <w:lang w:val="en-US" w:eastAsia="zh-CN"/>
              </w:rPr>
              <w:t>1分；内容不符合的不得分。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92" w:type="dxa"/>
            <w:vMerge w:val="continue"/>
            <w:tcBorders>
              <w:bottom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1529"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p>
        </w:tc>
        <w:tc>
          <w:tcPr>
            <w:tcW w:w="6630" w:type="dxa"/>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提供质量保证措施，具备科学性、可操作性，确保项目质量，根据方案情况酌情打分。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529" w:type="dxa"/>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技术服务偏离情况</w:t>
            </w:r>
          </w:p>
          <w:p>
            <w:pPr>
              <w:adjustRightInd w:val="0"/>
              <w:snapToGrid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6630" w:type="dxa"/>
            <w:noWrap w:val="0"/>
            <w:vAlign w:val="center"/>
          </w:tcPr>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根据对项目技术服务的响应程度进行评价，岗位配置齐全且满足采购需求，服务团队配比数量满足采购需求，无偏离得5分，正偏离不加分，条款负偏离每项扣1分，扣完为止。</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529" w:type="dxa"/>
            <w:noWrap w:val="0"/>
            <w:vAlign w:val="center"/>
          </w:tcPr>
          <w:p>
            <w:pPr>
              <w:adjustRightInd w:val="0"/>
              <w:snapToGrid w:val="0"/>
              <w:spacing w:line="360" w:lineRule="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信息化管理（</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6630" w:type="dxa"/>
            <w:noWrap w:val="0"/>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投标人承诺</w:t>
            </w:r>
            <w:r>
              <w:rPr>
                <w:rFonts w:hint="eastAsia" w:ascii="宋体" w:hAnsi="宋体" w:eastAsia="宋体" w:cs="宋体"/>
                <w:color w:val="auto"/>
                <w:sz w:val="24"/>
                <w:szCs w:val="24"/>
                <w:highlight w:val="none"/>
              </w:rPr>
              <w:t>利用电脑对儿童个案实行信息化管理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各类记录、报表应真实、准确、及时，符合招标文件要求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92" w:type="dxa"/>
            <w:vMerge w:val="restart"/>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1529" w:type="dxa"/>
            <w:vMerge w:val="restart"/>
            <w:noWrap w:val="0"/>
            <w:vAlign w:val="center"/>
          </w:tcPr>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应急</w:t>
            </w:r>
            <w:r>
              <w:rPr>
                <w:rFonts w:hint="eastAsia" w:ascii="宋体" w:hAnsi="宋体" w:eastAsia="宋体" w:cs="宋体"/>
                <w:color w:val="auto"/>
                <w:sz w:val="24"/>
                <w:szCs w:val="24"/>
                <w:highlight w:val="none"/>
              </w:rPr>
              <w:t>方案</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6630" w:type="dxa"/>
            <w:noWrap w:val="0"/>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应急</w:t>
            </w:r>
            <w:r>
              <w:rPr>
                <w:rFonts w:hint="eastAsia" w:ascii="宋体" w:hAnsi="宋体" w:eastAsia="宋体" w:cs="宋体"/>
                <w:color w:val="auto"/>
                <w:sz w:val="24"/>
                <w:szCs w:val="24"/>
                <w:highlight w:val="none"/>
              </w:rPr>
              <w:t>人员</w:t>
            </w:r>
            <w:r>
              <w:rPr>
                <w:rFonts w:hint="eastAsia" w:ascii="宋体" w:hAnsi="宋体" w:eastAsia="宋体" w:cs="宋体"/>
                <w:color w:val="auto"/>
                <w:sz w:val="24"/>
                <w:szCs w:val="24"/>
                <w:highlight w:val="none"/>
                <w:lang w:eastAsia="zh-CN"/>
              </w:rPr>
              <w:t>配备</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岗位安排分配</w:t>
            </w:r>
            <w:r>
              <w:rPr>
                <w:rFonts w:hint="eastAsia" w:ascii="宋体" w:hAnsi="宋体" w:eastAsia="宋体" w:cs="宋体"/>
                <w:color w:val="auto"/>
                <w:sz w:val="24"/>
                <w:szCs w:val="24"/>
                <w:highlight w:val="none"/>
                <w:lang w:val="en-US" w:eastAsia="zh-CN"/>
              </w:rPr>
              <w:t>情况</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应急人员配备及岗位安排合理，得3分；应急人员配备及岗位安排不够明确，得1分；内容不符合的不得分。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92" w:type="dxa"/>
            <w:vMerge w:val="continue"/>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eastAsia="zh-CN"/>
              </w:rPr>
            </w:pPr>
          </w:p>
        </w:tc>
        <w:tc>
          <w:tcPr>
            <w:tcW w:w="1529" w:type="dxa"/>
            <w:vMerge w:val="continue"/>
            <w:noWrap w:val="0"/>
            <w:vAlign w:val="center"/>
          </w:tcPr>
          <w:p>
            <w:pPr>
              <w:adjustRightInd w:val="0"/>
              <w:snapToGrid w:val="0"/>
              <w:spacing w:line="360" w:lineRule="auto"/>
              <w:rPr>
                <w:rFonts w:hint="eastAsia" w:ascii="宋体" w:hAnsi="宋体" w:eastAsia="宋体" w:cs="宋体"/>
                <w:color w:val="auto"/>
                <w:sz w:val="24"/>
                <w:szCs w:val="24"/>
                <w:highlight w:val="none"/>
              </w:rPr>
            </w:pPr>
          </w:p>
        </w:tc>
        <w:tc>
          <w:tcPr>
            <w:tcW w:w="6630" w:type="dxa"/>
            <w:noWrap w:val="0"/>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投标人对</w:t>
            </w:r>
            <w:r>
              <w:rPr>
                <w:rFonts w:hint="eastAsia" w:ascii="宋体" w:hAnsi="宋体" w:eastAsia="宋体" w:cs="宋体"/>
                <w:color w:val="auto"/>
                <w:sz w:val="24"/>
                <w:szCs w:val="24"/>
                <w:highlight w:val="none"/>
              </w:rPr>
              <w:t>突发事故</w:t>
            </w:r>
            <w:r>
              <w:rPr>
                <w:rFonts w:hint="eastAsia" w:ascii="宋体" w:hAnsi="宋体" w:eastAsia="宋体" w:cs="宋体"/>
                <w:color w:val="auto"/>
                <w:sz w:val="24"/>
                <w:szCs w:val="24"/>
                <w:highlight w:val="none"/>
                <w:lang w:val="en-US" w:eastAsia="zh-CN"/>
              </w:rPr>
              <w:t>制定的</w:t>
            </w:r>
            <w:r>
              <w:rPr>
                <w:rFonts w:hint="eastAsia" w:ascii="宋体" w:hAnsi="宋体" w:eastAsia="宋体" w:cs="宋体"/>
                <w:color w:val="auto"/>
                <w:sz w:val="24"/>
                <w:szCs w:val="24"/>
                <w:highlight w:val="none"/>
                <w:lang w:eastAsia="zh-CN"/>
              </w:rPr>
              <w:t>应急预案及相应的解决措施</w:t>
            </w:r>
            <w:r>
              <w:rPr>
                <w:rFonts w:hint="eastAsia" w:ascii="宋体" w:hAnsi="宋体" w:eastAsia="宋体" w:cs="宋体"/>
                <w:color w:val="auto"/>
                <w:sz w:val="24"/>
                <w:szCs w:val="24"/>
                <w:highlight w:val="none"/>
                <w:lang w:val="en-US" w:eastAsia="zh-CN"/>
              </w:rPr>
              <w:t>情况</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突发事故</w:t>
            </w:r>
            <w:r>
              <w:rPr>
                <w:rFonts w:hint="eastAsia" w:ascii="宋体" w:hAnsi="宋体" w:eastAsia="宋体" w:cs="宋体"/>
                <w:color w:val="auto"/>
                <w:sz w:val="24"/>
                <w:szCs w:val="24"/>
                <w:highlight w:val="none"/>
                <w:lang w:eastAsia="zh-CN"/>
              </w:rPr>
              <w:t>应急预案完善、解决措施具有较强针对性，得</w:t>
            </w:r>
            <w:r>
              <w:rPr>
                <w:rFonts w:hint="eastAsia" w:ascii="宋体" w:hAnsi="宋体" w:eastAsia="宋体" w:cs="宋体"/>
                <w:color w:val="auto"/>
                <w:sz w:val="24"/>
                <w:szCs w:val="24"/>
                <w:highlight w:val="none"/>
                <w:lang w:val="en-US" w:eastAsia="zh-CN"/>
              </w:rPr>
              <w:t>3分；</w:t>
            </w:r>
            <w:r>
              <w:rPr>
                <w:rFonts w:hint="eastAsia" w:ascii="宋体" w:hAnsi="宋体" w:eastAsia="宋体" w:cs="宋体"/>
                <w:color w:val="auto"/>
                <w:sz w:val="24"/>
                <w:szCs w:val="24"/>
                <w:highlight w:val="none"/>
              </w:rPr>
              <w:t>突发事故</w:t>
            </w:r>
            <w:r>
              <w:rPr>
                <w:rFonts w:hint="eastAsia" w:ascii="宋体" w:hAnsi="宋体" w:eastAsia="宋体" w:cs="宋体"/>
                <w:color w:val="auto"/>
                <w:sz w:val="24"/>
                <w:szCs w:val="24"/>
                <w:highlight w:val="none"/>
                <w:lang w:eastAsia="zh-CN"/>
              </w:rPr>
              <w:t>应急预案有瑕疵、解决措施</w:t>
            </w:r>
            <w:r>
              <w:rPr>
                <w:rFonts w:hint="eastAsia" w:ascii="宋体" w:hAnsi="宋体" w:eastAsia="宋体" w:cs="宋体"/>
                <w:color w:val="auto"/>
                <w:sz w:val="24"/>
                <w:szCs w:val="24"/>
                <w:highlight w:val="none"/>
                <w:lang w:val="en-US" w:eastAsia="zh-CN"/>
              </w:rPr>
              <w:t>针对性不强</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lang w:val="en-US" w:eastAsia="zh-CN"/>
              </w:rPr>
              <w:t>1分；内容不符合的不得分。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92" w:type="dxa"/>
            <w:vMerge w:val="restart"/>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1529" w:type="dxa"/>
            <w:vMerge w:val="restart"/>
            <w:noWrap w:val="0"/>
            <w:vAlign w:val="center"/>
          </w:tcPr>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项目队伍建设（6分）</w:t>
            </w:r>
          </w:p>
        </w:tc>
        <w:tc>
          <w:tcPr>
            <w:tcW w:w="6630" w:type="dxa"/>
            <w:noWrap w:val="0"/>
            <w:vAlign w:val="center"/>
          </w:tcPr>
          <w:p>
            <w:pPr>
              <w:pStyle w:val="2"/>
              <w:spacing w:line="360" w:lineRule="auto"/>
              <w:ind w:left="0" w:leftChars="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提供</w:t>
            </w:r>
            <w:r>
              <w:rPr>
                <w:rFonts w:hint="eastAsia" w:ascii="宋体" w:hAnsi="宋体" w:eastAsia="宋体" w:cs="宋体"/>
                <w:color w:val="auto"/>
                <w:kern w:val="2"/>
                <w:sz w:val="24"/>
                <w:szCs w:val="24"/>
                <w:highlight w:val="none"/>
                <w:lang w:val="en-US" w:eastAsia="zh-CN" w:bidi="ar-SA"/>
              </w:rPr>
              <w:t>项目队伍开展技能训练与考核的方案，</w:t>
            </w:r>
            <w:r>
              <w:rPr>
                <w:rFonts w:hint="eastAsia" w:ascii="宋体" w:hAnsi="宋体" w:eastAsia="宋体" w:cs="宋体"/>
                <w:snapToGrid w:val="0"/>
                <w:color w:val="auto"/>
                <w:sz w:val="24"/>
                <w:szCs w:val="24"/>
                <w:highlight w:val="none"/>
                <w:lang w:val="en-US" w:eastAsia="zh-CN"/>
              </w:rPr>
              <w:t>提供人员培训计划，</w:t>
            </w:r>
            <w:r>
              <w:rPr>
                <w:rFonts w:hint="eastAsia" w:ascii="宋体" w:hAnsi="宋体" w:eastAsia="宋体" w:cs="宋体"/>
                <w:color w:val="auto"/>
                <w:kern w:val="2"/>
                <w:sz w:val="24"/>
                <w:szCs w:val="24"/>
                <w:highlight w:val="none"/>
                <w:lang w:val="en-US" w:eastAsia="zh-CN" w:bidi="ar-SA"/>
              </w:rPr>
              <w:t>详细列明包括技能训练内容及考核方式，具备科学性、合理性。</w:t>
            </w:r>
          </w:p>
          <w:p>
            <w:pPr>
              <w:pStyle w:val="2"/>
              <w:spacing w:line="360" w:lineRule="auto"/>
              <w:ind w:left="0" w:leftChars="0" w:firstLine="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2"/>
                <w:sz w:val="24"/>
                <w:szCs w:val="24"/>
                <w:highlight w:val="none"/>
                <w:lang w:val="en-US" w:eastAsia="zh-CN" w:bidi="ar-SA"/>
              </w:rPr>
              <w:t>方案合理，具有较强针对性，得3分；方案有瑕疵，针对性不强，得1分；</w:t>
            </w:r>
            <w:r>
              <w:rPr>
                <w:rFonts w:hint="eastAsia" w:ascii="宋体" w:hAnsi="宋体" w:eastAsia="宋体" w:cs="宋体"/>
                <w:color w:val="auto"/>
                <w:sz w:val="24"/>
                <w:szCs w:val="24"/>
                <w:highlight w:val="none"/>
                <w:lang w:val="en-US" w:eastAsia="zh-CN"/>
              </w:rPr>
              <w:t>内容不符合的</w:t>
            </w:r>
            <w:r>
              <w:rPr>
                <w:rFonts w:hint="eastAsia" w:ascii="宋体" w:hAnsi="宋体" w:eastAsia="宋体" w:cs="宋体"/>
                <w:color w:val="auto"/>
                <w:kern w:val="2"/>
                <w:sz w:val="24"/>
                <w:szCs w:val="24"/>
                <w:highlight w:val="none"/>
                <w:lang w:val="en-US" w:eastAsia="zh-CN" w:bidi="ar-SA"/>
              </w:rPr>
              <w:t>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92" w:type="dxa"/>
            <w:vMerge w:val="continue"/>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1529" w:type="dxa"/>
            <w:vMerge w:val="continue"/>
            <w:noWrap w:val="0"/>
            <w:vAlign w:val="center"/>
          </w:tcPr>
          <w:p>
            <w:pPr>
              <w:adjustRightInd w:val="0"/>
              <w:snapToGrid w:val="0"/>
              <w:spacing w:line="360" w:lineRule="auto"/>
              <w:rPr>
                <w:rFonts w:hint="eastAsia" w:ascii="宋体" w:hAnsi="宋体" w:eastAsia="宋体" w:cs="宋体"/>
                <w:color w:val="auto"/>
                <w:kern w:val="2"/>
                <w:sz w:val="24"/>
                <w:szCs w:val="24"/>
                <w:highlight w:val="none"/>
                <w:lang w:val="en-US" w:eastAsia="zh-CN" w:bidi="ar-SA"/>
              </w:rPr>
            </w:pPr>
          </w:p>
        </w:tc>
        <w:tc>
          <w:tcPr>
            <w:tcW w:w="6630" w:type="dxa"/>
            <w:noWrap w:val="0"/>
            <w:vAlign w:val="center"/>
          </w:tcPr>
          <w:p>
            <w:pPr>
              <w:pStyle w:val="2"/>
              <w:spacing w:line="360" w:lineRule="auto"/>
              <w:ind w:left="0" w:leftChars="0" w:firstLine="0" w:firstLineChars="0"/>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提供保证服务团队稳定的激励措施情况。</w:t>
            </w:r>
          </w:p>
          <w:p>
            <w:pPr>
              <w:pStyle w:val="2"/>
              <w:spacing w:line="360" w:lineRule="auto"/>
              <w:ind w:left="0" w:leftChars="0" w:firstLine="0" w:firstLineChars="0"/>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措施完善、具有可操作性，得3分，措施不够完善，得1分；</w:t>
            </w:r>
            <w:r>
              <w:rPr>
                <w:rFonts w:hint="eastAsia" w:ascii="宋体" w:hAnsi="宋体" w:eastAsia="宋体" w:cs="宋体"/>
                <w:color w:val="auto"/>
                <w:sz w:val="24"/>
                <w:szCs w:val="24"/>
                <w:highlight w:val="none"/>
                <w:lang w:val="en-US" w:eastAsia="zh-CN"/>
              </w:rPr>
              <w:t>内容不符合的</w:t>
            </w:r>
            <w:r>
              <w:rPr>
                <w:rFonts w:hint="eastAsia" w:ascii="宋体" w:hAnsi="宋体" w:eastAsia="宋体" w:cs="宋体"/>
                <w:snapToGrid w:val="0"/>
                <w:color w:val="auto"/>
                <w:sz w:val="24"/>
                <w:szCs w:val="24"/>
                <w:highlight w:val="none"/>
                <w:lang w:val="en-US" w:eastAsia="zh-CN"/>
              </w:rPr>
              <w:t xml:space="preserve">不得分。 </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92" w:type="dxa"/>
            <w:vMerge w:val="restart"/>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529" w:type="dxa"/>
            <w:vMerge w:val="restart"/>
            <w:noWrap w:val="0"/>
            <w:vAlign w:val="center"/>
          </w:tcPr>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项目实施的人员安排情况（</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分）</w:t>
            </w:r>
          </w:p>
        </w:tc>
        <w:tc>
          <w:tcPr>
            <w:tcW w:w="6630" w:type="dxa"/>
            <w:noWrap w:val="0"/>
            <w:vAlign w:val="center"/>
          </w:tcPr>
          <w:p>
            <w:pPr>
              <w:adjustRightInd w:val="0"/>
              <w:snapToGrid w:val="0"/>
              <w:spacing w:line="360"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项目负责人：</w:t>
            </w:r>
          </w:p>
          <w:p>
            <w:pPr>
              <w:adjustRightInd w:val="0"/>
              <w:snapToGrid w:val="0"/>
              <w:spacing w:line="360" w:lineRule="auto"/>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lang w:val="zh-CN" w:eastAsia="zh-CN"/>
              </w:rPr>
              <w:t>具有医学类相关专业</w:t>
            </w:r>
            <w:r>
              <w:rPr>
                <w:rFonts w:hint="eastAsia" w:ascii="宋体" w:hAnsi="宋体" w:eastAsia="宋体" w:cs="宋体"/>
                <w:bCs/>
                <w:color w:val="auto"/>
                <w:kern w:val="0"/>
                <w:sz w:val="24"/>
                <w:szCs w:val="24"/>
                <w:highlight w:val="none"/>
                <w:lang w:val="en-US" w:eastAsia="zh-CN"/>
              </w:rPr>
              <w:t>本科</w:t>
            </w:r>
            <w:r>
              <w:rPr>
                <w:rFonts w:hint="eastAsia" w:ascii="宋体" w:hAnsi="宋体" w:eastAsia="宋体" w:cs="宋体"/>
                <w:bCs/>
                <w:color w:val="auto"/>
                <w:kern w:val="0"/>
                <w:sz w:val="24"/>
                <w:szCs w:val="24"/>
                <w:highlight w:val="none"/>
                <w:lang w:val="zh-CN" w:eastAsia="zh-CN"/>
              </w:rPr>
              <w:t>及以上学历，（需同时提供学历证书，学信网查询证明或其他证明材料，不符合不得分）；</w:t>
            </w: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lang w:val="zh-CN" w:eastAsia="zh-CN"/>
              </w:rPr>
              <w:t>持有</w:t>
            </w:r>
            <w:r>
              <w:rPr>
                <w:rFonts w:hint="eastAsia" w:ascii="宋体" w:hAnsi="宋体" w:eastAsia="宋体" w:cs="宋体"/>
                <w:bCs/>
                <w:color w:val="auto"/>
                <w:kern w:val="0"/>
                <w:sz w:val="24"/>
                <w:szCs w:val="24"/>
                <w:highlight w:val="none"/>
                <w:lang w:val="en-US" w:eastAsia="zh-CN"/>
              </w:rPr>
              <w:t>四级及以上</w:t>
            </w:r>
            <w:r>
              <w:rPr>
                <w:rFonts w:hint="eastAsia" w:ascii="宋体" w:hAnsi="宋体" w:eastAsia="宋体" w:cs="宋体"/>
                <w:bCs/>
                <w:color w:val="auto"/>
                <w:kern w:val="0"/>
                <w:sz w:val="24"/>
                <w:szCs w:val="24"/>
                <w:highlight w:val="none"/>
                <w:lang w:val="zh-CN" w:eastAsia="zh-CN"/>
              </w:rPr>
              <w:t>《</w:t>
            </w:r>
            <w:r>
              <w:rPr>
                <w:rFonts w:hint="eastAsia" w:ascii="宋体" w:hAnsi="宋体" w:eastAsia="宋体" w:cs="宋体"/>
                <w:bCs/>
                <w:color w:val="auto"/>
                <w:kern w:val="0"/>
                <w:sz w:val="24"/>
                <w:szCs w:val="24"/>
                <w:highlight w:val="none"/>
                <w:lang w:val="en-US" w:eastAsia="zh-CN"/>
              </w:rPr>
              <w:t>育婴</w:t>
            </w:r>
            <w:r>
              <w:rPr>
                <w:rFonts w:hint="eastAsia" w:ascii="宋体" w:hAnsi="宋体" w:eastAsia="宋体" w:cs="宋体"/>
                <w:bCs/>
                <w:color w:val="auto"/>
                <w:kern w:val="0"/>
                <w:sz w:val="24"/>
                <w:szCs w:val="24"/>
                <w:highlight w:val="none"/>
                <w:lang w:val="zh-CN" w:eastAsia="zh-CN"/>
              </w:rPr>
              <w:t>员》资格证书；</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zh-CN" w:eastAsia="zh-CN"/>
              </w:rPr>
              <w:t>持有高级（三级）《养老护理员》资格证书；</w:t>
            </w:r>
            <w:r>
              <w:rPr>
                <w:rFonts w:hint="eastAsia" w:ascii="宋体" w:hAnsi="宋体" w:eastAsia="宋体" w:cs="宋体"/>
                <w:b w:val="0"/>
                <w:bCs/>
                <w:color w:val="auto"/>
                <w:kern w:val="0"/>
                <w:sz w:val="24"/>
                <w:szCs w:val="24"/>
                <w:highlight w:val="none"/>
                <w:lang w:val="en-US" w:eastAsia="zh-CN" w:bidi="ar-SA"/>
              </w:rPr>
              <w:t>4）具有执业医师证。同时满足以上要求的得</w:t>
            </w:r>
            <w:r>
              <w:rPr>
                <w:rFonts w:hint="eastAsia" w:ascii="宋体" w:hAnsi="宋体" w:cs="宋体"/>
                <w:b w:val="0"/>
                <w:bCs/>
                <w:color w:val="auto"/>
                <w:kern w:val="0"/>
                <w:sz w:val="24"/>
                <w:szCs w:val="24"/>
                <w:highlight w:val="none"/>
                <w:lang w:val="en-US" w:eastAsia="zh-CN" w:bidi="ar-SA"/>
              </w:rPr>
              <w:t>6</w:t>
            </w:r>
            <w:r>
              <w:rPr>
                <w:rFonts w:hint="eastAsia" w:ascii="宋体" w:hAnsi="宋体" w:eastAsia="宋体" w:cs="宋体"/>
                <w:b w:val="0"/>
                <w:bCs/>
                <w:color w:val="auto"/>
                <w:kern w:val="0"/>
                <w:sz w:val="24"/>
                <w:szCs w:val="24"/>
                <w:highlight w:val="none"/>
                <w:lang w:val="en-US" w:eastAsia="zh-CN" w:bidi="ar-SA"/>
              </w:rPr>
              <w:t>分，有一项不满足的不得分。</w:t>
            </w:r>
          </w:p>
          <w:p>
            <w:pPr>
              <w:adjustRightInd w:val="0"/>
              <w:snapToGrid w:val="0"/>
              <w:spacing w:line="360"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提供相关证书以及证明材料等扫描件以及相关人员近12</w:t>
            </w:r>
            <w:r>
              <w:rPr>
                <w:rFonts w:hint="eastAsia" w:ascii="宋体" w:hAnsi="宋体" w:eastAsia="宋体" w:cs="宋体"/>
                <w:bCs/>
                <w:color w:val="auto"/>
                <w:kern w:val="0"/>
                <w:sz w:val="24"/>
                <w:szCs w:val="24"/>
                <w:highlight w:val="none"/>
                <w:lang w:val="en-US" w:eastAsia="zh-Hans"/>
              </w:rPr>
              <w:t>个月</w:t>
            </w:r>
            <w:r>
              <w:rPr>
                <w:rFonts w:hint="eastAsia" w:ascii="宋体" w:hAnsi="宋体" w:eastAsia="宋体" w:cs="宋体"/>
                <w:bCs/>
                <w:color w:val="auto"/>
                <w:kern w:val="0"/>
                <w:sz w:val="24"/>
                <w:szCs w:val="24"/>
                <w:highlight w:val="none"/>
                <w:lang w:val="en-US" w:eastAsia="zh-CN"/>
              </w:rPr>
              <w:t>在投标人单位的社保缴纳证明，未提供社保缴纳证明不得分。</w:t>
            </w:r>
          </w:p>
        </w:tc>
        <w:tc>
          <w:tcPr>
            <w:tcW w:w="655" w:type="dxa"/>
            <w:noWrap w:val="0"/>
            <w:vAlign w:val="center"/>
          </w:tcPr>
          <w:p>
            <w:pPr>
              <w:adjustRightInd w:val="0"/>
              <w:snapToGrid w:val="0"/>
              <w:spacing w:line="36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92" w:type="dxa"/>
            <w:vMerge w:val="continue"/>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529" w:type="dxa"/>
            <w:vMerge w:val="continue"/>
            <w:noWrap w:val="0"/>
            <w:vAlign w:val="center"/>
          </w:tcPr>
          <w:p>
            <w:pPr>
              <w:adjustRightInd w:val="0"/>
              <w:snapToGrid w:val="0"/>
              <w:spacing w:line="360" w:lineRule="auto"/>
              <w:rPr>
                <w:rFonts w:hint="eastAsia" w:ascii="宋体" w:hAnsi="宋体" w:eastAsia="宋体" w:cs="宋体"/>
                <w:color w:val="auto"/>
                <w:sz w:val="24"/>
                <w:szCs w:val="24"/>
                <w:highlight w:val="none"/>
              </w:rPr>
            </w:pPr>
          </w:p>
        </w:tc>
        <w:tc>
          <w:tcPr>
            <w:tcW w:w="6630" w:type="dxa"/>
            <w:noWrap w:val="0"/>
            <w:vAlign w:val="center"/>
          </w:tcPr>
          <w:p>
            <w:pPr>
              <w:adjustRightInd w:val="0"/>
              <w:snapToGrid w:val="0"/>
              <w:spacing w:line="360"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响应项目服务需求拟投入人员配备情况：</w:t>
            </w:r>
          </w:p>
          <w:p>
            <w:pPr>
              <w:adjustRightInd w:val="0"/>
              <w:snapToGrid w:val="0"/>
              <w:spacing w:line="360"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eastAsia" w:ascii="宋体" w:hAnsi="宋体" w:eastAsia="宋体" w:cs="宋体"/>
                <w:color w:val="auto"/>
                <w:sz w:val="24"/>
                <w:szCs w:val="24"/>
                <w:highlight w:val="none"/>
              </w:rPr>
              <w:t>护理服务人员</w:t>
            </w:r>
            <w:r>
              <w:rPr>
                <w:rFonts w:hint="eastAsia" w:ascii="宋体" w:hAnsi="宋体" w:eastAsia="宋体" w:cs="宋体"/>
                <w:b w:val="0"/>
                <w:bCs w:val="0"/>
                <w:color w:val="auto"/>
                <w:kern w:val="0"/>
                <w:sz w:val="24"/>
                <w:szCs w:val="24"/>
                <w:highlight w:val="none"/>
                <w:lang w:val="en-US" w:eastAsia="zh-CN"/>
              </w:rPr>
              <w:t>持有高级（三级）</w:t>
            </w:r>
            <w:r>
              <w:rPr>
                <w:rFonts w:hint="eastAsia" w:ascii="宋体" w:hAnsi="宋体" w:eastAsia="宋体" w:cs="宋体"/>
                <w:b w:val="0"/>
                <w:bCs w:val="0"/>
                <w:color w:val="auto"/>
                <w:kern w:val="0"/>
                <w:sz w:val="24"/>
                <w:szCs w:val="24"/>
                <w:highlight w:val="none"/>
                <w:lang w:val="zh-CN"/>
              </w:rPr>
              <w:t>护理员</w:t>
            </w:r>
            <w:r>
              <w:rPr>
                <w:rFonts w:hint="eastAsia" w:ascii="宋体" w:hAnsi="宋体" w:eastAsia="宋体" w:cs="宋体"/>
                <w:b w:val="0"/>
                <w:bCs w:val="0"/>
                <w:color w:val="auto"/>
                <w:kern w:val="0"/>
                <w:sz w:val="24"/>
                <w:szCs w:val="24"/>
                <w:highlight w:val="none"/>
                <w:lang w:val="en-US" w:eastAsia="zh-CN"/>
              </w:rPr>
              <w:t>证的不少于6人，得2</w:t>
            </w:r>
            <w:r>
              <w:rPr>
                <w:rFonts w:hint="eastAsia" w:ascii="宋体" w:hAnsi="宋体" w:eastAsia="宋体" w:cs="宋体"/>
                <w:b w:val="0"/>
                <w:bCs w:val="0"/>
                <w:color w:val="auto"/>
                <w:kern w:val="0"/>
                <w:sz w:val="24"/>
                <w:szCs w:val="24"/>
                <w:highlight w:val="none"/>
                <w:lang w:val="zh-CN"/>
              </w:rPr>
              <w:t>分，</w:t>
            </w:r>
            <w:r>
              <w:rPr>
                <w:rFonts w:hint="eastAsia" w:ascii="宋体" w:hAnsi="宋体" w:eastAsia="宋体" w:cs="宋体"/>
                <w:b w:val="0"/>
                <w:bCs w:val="0"/>
                <w:color w:val="auto"/>
                <w:kern w:val="0"/>
                <w:sz w:val="24"/>
                <w:szCs w:val="24"/>
                <w:highlight w:val="none"/>
                <w:lang w:val="en-US" w:eastAsia="zh-CN"/>
              </w:rPr>
              <w:t>少于6人的不得分</w:t>
            </w:r>
            <w:r>
              <w:rPr>
                <w:rFonts w:hint="eastAsia" w:ascii="宋体" w:hAnsi="宋体" w:eastAsia="宋体" w:cs="宋体"/>
                <w:bCs/>
                <w:color w:val="auto"/>
                <w:kern w:val="0"/>
                <w:sz w:val="24"/>
                <w:szCs w:val="24"/>
                <w:highlight w:val="none"/>
                <w:lang w:val="en-US" w:eastAsia="zh-CN"/>
              </w:rPr>
              <w:t>。</w:t>
            </w:r>
          </w:p>
          <w:p>
            <w:pPr>
              <w:adjustRightInd w:val="0"/>
              <w:snapToGrid w:val="0"/>
              <w:spacing w:line="360"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2）项目服务团队成员持有人力资源和社会保障部颁发的《社会工作师》证书（中级），得2分。</w:t>
            </w:r>
          </w:p>
          <w:p>
            <w:pPr>
              <w:adjustRightInd w:val="0"/>
              <w:snapToGrid w:val="0"/>
              <w:spacing w:line="360"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3）项目服务团队成员持有人力资源和社会保障部、国家卫健部门颁发的《心理治疗师》证书，得2分。</w:t>
            </w:r>
          </w:p>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4）项目服务团队成员持有</w:t>
            </w:r>
            <w:r>
              <w:rPr>
                <w:rFonts w:hint="eastAsia" w:ascii="宋体" w:hAnsi="宋体" w:eastAsia="宋体" w:cs="宋体"/>
                <w:b w:val="0"/>
                <w:bCs w:val="0"/>
                <w:color w:val="auto"/>
                <w:kern w:val="0"/>
                <w:sz w:val="24"/>
                <w:szCs w:val="24"/>
                <w:highlight w:val="none"/>
                <w:lang w:val="en-US" w:eastAsia="zh-CN"/>
              </w:rPr>
              <w:t>人力资源和社会保障局或其他具有职业技能鉴定资质机构颁发的</w:t>
            </w:r>
            <w:r>
              <w:rPr>
                <w:rFonts w:hint="eastAsia" w:ascii="宋体" w:hAnsi="宋体" w:eastAsia="宋体" w:cs="宋体"/>
                <w:bCs/>
                <w:color w:val="auto"/>
                <w:kern w:val="0"/>
                <w:sz w:val="24"/>
                <w:szCs w:val="24"/>
                <w:highlight w:val="none"/>
                <w:lang w:val="en-US" w:eastAsia="zh-CN"/>
              </w:rPr>
              <w:t>四级及以上《企业人力资源管理师》证书的不少于2人，得2分，少于2人的不得分。</w:t>
            </w:r>
          </w:p>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5）项目服务团队成员持有教育部颁发的《教师资格证》的不少于2人，得2分，少于2人的不得分。</w:t>
            </w:r>
          </w:p>
          <w:p>
            <w:pPr>
              <w:adjustRightInd w:val="0"/>
              <w:snapToGrid w:val="0"/>
              <w:spacing w:line="360" w:lineRule="auto"/>
              <w:rPr>
                <w:rFonts w:hint="eastAsia" w:ascii="宋体" w:hAnsi="宋体" w:eastAsia="宋体" w:cs="宋体"/>
                <w:color w:val="auto"/>
                <w:sz w:val="24"/>
                <w:szCs w:val="24"/>
                <w:highlight w:val="none"/>
                <w:lang w:val="zh-CN" w:eastAsia="zh-CN"/>
              </w:rPr>
            </w:pPr>
            <w:r>
              <w:rPr>
                <w:rFonts w:hint="eastAsia" w:ascii="宋体" w:hAnsi="宋体" w:eastAsia="宋体" w:cs="宋体"/>
                <w:bCs/>
                <w:color w:val="auto"/>
                <w:kern w:val="0"/>
                <w:sz w:val="24"/>
                <w:szCs w:val="24"/>
                <w:highlight w:val="none"/>
                <w:lang w:val="en-US" w:eastAsia="zh-CN"/>
              </w:rPr>
              <w:t>（投标文件中提供相关人员最近2</w:t>
            </w:r>
            <w:r>
              <w:rPr>
                <w:rFonts w:hint="eastAsia" w:ascii="宋体" w:hAnsi="宋体" w:eastAsia="宋体" w:cs="宋体"/>
                <w:bCs/>
                <w:color w:val="auto"/>
                <w:kern w:val="0"/>
                <w:sz w:val="24"/>
                <w:szCs w:val="24"/>
                <w:highlight w:val="none"/>
                <w:lang w:val="en-US" w:eastAsia="zh-Hans"/>
              </w:rPr>
              <w:t>个月</w:t>
            </w:r>
            <w:r>
              <w:rPr>
                <w:rFonts w:hint="eastAsia" w:ascii="宋体" w:hAnsi="宋体" w:eastAsia="宋体" w:cs="宋体"/>
                <w:bCs/>
                <w:color w:val="auto"/>
                <w:kern w:val="0"/>
                <w:sz w:val="24"/>
                <w:szCs w:val="24"/>
                <w:highlight w:val="none"/>
                <w:lang w:val="en-US" w:eastAsia="zh-CN"/>
              </w:rPr>
              <w:t>在投标人单位的社保缴纳证明及相关证书扫描件，否则不得分）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92" w:type="dxa"/>
            <w:vMerge w:val="continue"/>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1529" w:type="dxa"/>
            <w:vMerge w:val="continue"/>
            <w:noWrap w:val="0"/>
            <w:vAlign w:val="center"/>
          </w:tcPr>
          <w:p>
            <w:pPr>
              <w:spacing w:line="360" w:lineRule="auto"/>
              <w:jc w:val="center"/>
              <w:rPr>
                <w:rFonts w:hint="eastAsia" w:ascii="宋体" w:hAnsi="宋体" w:eastAsia="宋体" w:cs="宋体"/>
                <w:b w:val="0"/>
                <w:bCs w:val="0"/>
                <w:color w:val="auto"/>
                <w:sz w:val="24"/>
                <w:szCs w:val="24"/>
                <w:highlight w:val="none"/>
                <w:lang w:val="en-US" w:eastAsia="zh-CN"/>
              </w:rPr>
            </w:pPr>
          </w:p>
        </w:tc>
        <w:tc>
          <w:tcPr>
            <w:tcW w:w="6630" w:type="dxa"/>
            <w:noWrap w:val="0"/>
            <w:vAlign w:val="top"/>
          </w:tcPr>
          <w:p>
            <w:pPr>
              <w:spacing w:line="360" w:lineRule="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lang w:val="en-US" w:eastAsia="zh-CN" w:bidi="ar"/>
              </w:rPr>
              <w:t>投标单位人员具备</w:t>
            </w:r>
            <w:r>
              <w:rPr>
                <w:rFonts w:hint="eastAsia" w:ascii="宋体" w:hAnsi="宋体" w:eastAsia="宋体" w:cs="宋体"/>
                <w:b w:val="0"/>
                <w:bCs w:val="0"/>
                <w:color w:val="auto"/>
                <w:kern w:val="0"/>
                <w:sz w:val="24"/>
                <w:szCs w:val="24"/>
                <w:highlight w:val="none"/>
                <w:lang w:val="en-US" w:eastAsia="zh-CN"/>
              </w:rPr>
              <w:t>康复医学治疗师，提供人力资源和社会保障部、国家卫健部门颁发的康复医学治疗师不少于2人，</w:t>
            </w:r>
            <w:r>
              <w:rPr>
                <w:rFonts w:hint="eastAsia" w:ascii="宋体" w:hAnsi="宋体" w:eastAsia="宋体" w:cs="宋体"/>
                <w:b w:val="0"/>
                <w:bCs w:val="0"/>
                <w:color w:val="auto"/>
                <w:kern w:val="0"/>
                <w:sz w:val="24"/>
                <w:szCs w:val="24"/>
                <w:highlight w:val="none"/>
                <w:lang w:val="en-US" w:eastAsia="zh-CN" w:bidi="ar"/>
              </w:rPr>
              <w:t>得2分，少1人本项不得分。</w:t>
            </w:r>
          </w:p>
          <w:p>
            <w:pPr>
              <w:spacing w:line="360" w:lineRule="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2）投标单位人员具有护理专业中级职称不少于3人的，得3分，少1人本项不得分。</w:t>
            </w:r>
          </w:p>
          <w:p>
            <w:pPr>
              <w:spacing w:line="360" w:lineRule="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（提供人员名单及相关职称证书、</w:t>
            </w:r>
            <w:r>
              <w:rPr>
                <w:rFonts w:hint="eastAsia" w:ascii="宋体" w:hAnsi="宋体" w:eastAsia="宋体" w:cs="宋体"/>
                <w:bCs/>
                <w:color w:val="auto"/>
                <w:kern w:val="0"/>
                <w:sz w:val="24"/>
                <w:szCs w:val="24"/>
                <w:highlight w:val="none"/>
                <w:lang w:val="en-US" w:eastAsia="zh-CN"/>
              </w:rPr>
              <w:t>最近2</w:t>
            </w:r>
            <w:r>
              <w:rPr>
                <w:rFonts w:hint="eastAsia" w:ascii="宋体" w:hAnsi="宋体" w:eastAsia="宋体" w:cs="宋体"/>
                <w:bCs/>
                <w:color w:val="auto"/>
                <w:kern w:val="0"/>
                <w:sz w:val="24"/>
                <w:szCs w:val="24"/>
                <w:highlight w:val="none"/>
                <w:lang w:val="en-US" w:eastAsia="zh-Hans"/>
              </w:rPr>
              <w:t>个月</w:t>
            </w:r>
            <w:r>
              <w:rPr>
                <w:rFonts w:hint="eastAsia" w:ascii="宋体" w:hAnsi="宋体" w:eastAsia="宋体" w:cs="宋体"/>
                <w:b w:val="0"/>
                <w:bCs w:val="0"/>
                <w:color w:val="auto"/>
                <w:kern w:val="0"/>
                <w:sz w:val="24"/>
                <w:szCs w:val="24"/>
                <w:highlight w:val="none"/>
                <w:lang w:val="en-US" w:eastAsia="zh-CN" w:bidi="ar"/>
              </w:rPr>
              <w:t>薪资银行发放流水证明</w:t>
            </w:r>
            <w:r>
              <w:rPr>
                <w:rFonts w:hint="eastAsia" w:ascii="宋体" w:hAnsi="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en-US" w:eastAsia="zh-CN" w:bidi="ar"/>
              </w:rPr>
              <w:t>。</w:t>
            </w:r>
          </w:p>
        </w:tc>
        <w:tc>
          <w:tcPr>
            <w:tcW w:w="655"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92"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529"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体系认证</w:t>
            </w:r>
          </w:p>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c>
          <w:tcPr>
            <w:tcW w:w="6630" w:type="dxa"/>
            <w:noWrap w:val="0"/>
            <w:vAlign w:val="top"/>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投标人通过环境管理体系认证、培训管理体系认证</w:t>
            </w:r>
            <w:r>
              <w:rPr>
                <w:rFonts w:hint="eastAsia" w:ascii="宋体" w:hAnsi="宋体" w:eastAsia="宋体" w:cs="宋体"/>
                <w:color w:val="auto"/>
                <w:kern w:val="0"/>
                <w:sz w:val="24"/>
                <w:szCs w:val="24"/>
                <w:highlight w:val="none"/>
                <w:lang w:bidi="ar"/>
              </w:rPr>
              <w:t>的</w:t>
            </w:r>
            <w:r>
              <w:rPr>
                <w:rFonts w:hint="eastAsia" w:ascii="宋体" w:hAnsi="宋体" w:eastAsia="宋体" w:cs="宋体"/>
                <w:color w:val="auto"/>
                <w:kern w:val="0"/>
                <w:sz w:val="24"/>
                <w:szCs w:val="24"/>
                <w:highlight w:val="none"/>
                <w:lang w:val="en-US" w:eastAsia="zh-CN" w:bidi="ar"/>
              </w:rPr>
              <w:t>得3分，缺一项不得分</w:t>
            </w:r>
            <w:r>
              <w:rPr>
                <w:rFonts w:hint="eastAsia" w:ascii="宋体" w:hAnsi="宋体" w:eastAsia="宋体" w:cs="宋体"/>
                <w:color w:val="auto"/>
                <w:kern w:val="0"/>
                <w:sz w:val="24"/>
                <w:szCs w:val="24"/>
                <w:highlight w:val="none"/>
                <w:lang w:bidi="ar"/>
              </w:rPr>
              <w:t>。提供证书复印件及相关网站（中国国家认证认可监督管理委员会(http://www.cnca.gov.cn)或中国合格评定国家认可委员会(https://www.cnas.org.cn)</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查询网页的截图，</w:t>
            </w:r>
            <w:r>
              <w:rPr>
                <w:rFonts w:hint="eastAsia" w:ascii="宋体" w:hAnsi="宋体" w:eastAsia="宋体" w:cs="宋体"/>
                <w:color w:val="auto"/>
                <w:kern w:val="0"/>
                <w:sz w:val="24"/>
                <w:szCs w:val="24"/>
                <w:highlight w:val="none"/>
                <w:lang w:val="en-US" w:eastAsia="zh-CN" w:bidi="ar"/>
              </w:rPr>
              <w:t>即</w:t>
            </w:r>
            <w:r>
              <w:rPr>
                <w:rFonts w:hint="eastAsia" w:ascii="宋体" w:hAnsi="宋体" w:eastAsia="宋体" w:cs="宋体"/>
                <w:color w:val="auto"/>
                <w:kern w:val="0"/>
                <w:sz w:val="24"/>
                <w:szCs w:val="24"/>
                <w:highlight w:val="none"/>
                <w:lang w:bidi="ar"/>
              </w:rPr>
              <w:t>在“认证结果综合查询”中通过“证书编号”的查询结果，否则不得分。</w:t>
            </w:r>
          </w:p>
        </w:tc>
        <w:tc>
          <w:tcPr>
            <w:tcW w:w="655"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792" w:type="dxa"/>
            <w:noWrap w:val="0"/>
            <w:vAlign w:val="center"/>
          </w:tcPr>
          <w:p>
            <w:pPr>
              <w:adjustRightInd w:val="0"/>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9</w:t>
            </w:r>
          </w:p>
        </w:tc>
        <w:tc>
          <w:tcPr>
            <w:tcW w:w="1529" w:type="dxa"/>
            <w:noWrap w:val="0"/>
            <w:vAlign w:val="center"/>
          </w:tcPr>
          <w:p>
            <w:pPr>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地方标准制订（3分）</w:t>
            </w:r>
          </w:p>
        </w:tc>
        <w:tc>
          <w:tcPr>
            <w:tcW w:w="6630" w:type="dxa"/>
            <w:noWrap w:val="0"/>
            <w:vAlign w:val="top"/>
          </w:tcPr>
          <w:p>
            <w:pPr>
              <w:spacing w:line="360" w:lineRule="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投标人参与制订市级及以上护理服务规范地方标准的，得3分，（提供证明材料复印件，否则不得分）</w:t>
            </w:r>
          </w:p>
        </w:tc>
        <w:tc>
          <w:tcPr>
            <w:tcW w:w="655"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529" w:type="dxa"/>
            <w:noWrap w:val="0"/>
            <w:vAlign w:val="center"/>
          </w:tcPr>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投标人类似项目的成功经验（</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c>
          <w:tcPr>
            <w:tcW w:w="6630" w:type="dxa"/>
            <w:noWrap w:val="0"/>
            <w:vAlign w:val="center"/>
          </w:tcPr>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20</w:t>
            </w: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lang w:val="zh-CN"/>
              </w:rPr>
              <w:t>年以来投标人完成</w:t>
            </w:r>
            <w:r>
              <w:rPr>
                <w:rFonts w:hint="eastAsia" w:ascii="宋体" w:hAnsi="宋体" w:eastAsia="宋体" w:cs="宋体"/>
                <w:strike w:val="0"/>
                <w:color w:val="auto"/>
                <w:kern w:val="0"/>
                <w:sz w:val="24"/>
                <w:szCs w:val="24"/>
                <w:highlight w:val="none"/>
                <w:lang w:val="zh-CN"/>
              </w:rPr>
              <w:t>儿童护理</w:t>
            </w:r>
            <w:r>
              <w:rPr>
                <w:rFonts w:hint="eastAsia" w:ascii="宋体" w:hAnsi="宋体" w:eastAsia="宋体" w:cs="宋体"/>
                <w:strike w:val="0"/>
                <w:color w:val="auto"/>
                <w:kern w:val="0"/>
                <w:sz w:val="24"/>
                <w:szCs w:val="24"/>
                <w:highlight w:val="none"/>
                <w:lang w:val="en-US" w:eastAsia="zh-CN"/>
              </w:rPr>
              <w:t>或</w:t>
            </w:r>
            <w:r>
              <w:rPr>
                <w:rFonts w:hint="eastAsia" w:ascii="宋体" w:hAnsi="宋体" w:eastAsia="宋体" w:cs="宋体"/>
                <w:color w:val="auto"/>
                <w:kern w:val="0"/>
                <w:sz w:val="24"/>
                <w:szCs w:val="24"/>
                <w:highlight w:val="none"/>
                <w:lang w:val="en-US" w:eastAsia="zh-CN"/>
              </w:rPr>
              <w:t>护理外包</w:t>
            </w:r>
            <w:r>
              <w:rPr>
                <w:rFonts w:hint="eastAsia" w:ascii="宋体" w:hAnsi="宋体" w:eastAsia="宋体" w:cs="宋体"/>
                <w:strike w:val="0"/>
                <w:color w:val="auto"/>
                <w:kern w:val="0"/>
                <w:sz w:val="24"/>
                <w:szCs w:val="24"/>
                <w:highlight w:val="none"/>
                <w:lang w:val="zh-CN"/>
              </w:rPr>
              <w:t>等</w:t>
            </w:r>
            <w:r>
              <w:rPr>
                <w:rFonts w:hint="eastAsia" w:ascii="宋体" w:hAnsi="宋体" w:eastAsia="宋体" w:cs="宋体"/>
                <w:color w:val="auto"/>
                <w:kern w:val="0"/>
                <w:sz w:val="24"/>
                <w:szCs w:val="24"/>
                <w:highlight w:val="none"/>
                <w:lang w:val="en-US" w:eastAsia="zh-CN"/>
              </w:rPr>
              <w:t>项目</w:t>
            </w:r>
            <w:r>
              <w:rPr>
                <w:rFonts w:hint="eastAsia" w:ascii="宋体" w:hAnsi="宋体" w:eastAsia="宋体" w:cs="宋体"/>
                <w:color w:val="auto"/>
                <w:kern w:val="0"/>
                <w:sz w:val="24"/>
                <w:szCs w:val="24"/>
                <w:highlight w:val="none"/>
                <w:lang w:val="zh-CN"/>
              </w:rPr>
              <w:t>经验情况,每提供一个有效证明材料得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lang w:val="zh-CN"/>
              </w:rPr>
              <w:t>分（成功案例需提供合同复印件</w:t>
            </w:r>
            <w:r>
              <w:rPr>
                <w:rFonts w:hint="eastAsia" w:ascii="宋体" w:hAnsi="宋体" w:eastAsia="宋体" w:cs="宋体"/>
                <w:color w:val="auto"/>
                <w:kern w:val="0"/>
                <w:sz w:val="24"/>
                <w:szCs w:val="24"/>
                <w:highlight w:val="none"/>
                <w:lang w:val="en-US" w:eastAsia="zh-CN"/>
              </w:rPr>
              <w:t>和中标通知书</w:t>
            </w:r>
            <w:r>
              <w:rPr>
                <w:rFonts w:hint="eastAsia" w:ascii="宋体" w:hAnsi="宋体" w:eastAsia="宋体" w:cs="宋体"/>
                <w:color w:val="auto"/>
                <w:sz w:val="24"/>
                <w:szCs w:val="24"/>
                <w:highlight w:val="none"/>
              </w:rPr>
              <w:t>），最高</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c>
          <w:tcPr>
            <w:tcW w:w="655"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r>
    </w:tbl>
    <w:p>
      <w:pPr>
        <w:snapToGrid w:val="0"/>
        <w:spacing w:line="360" w:lineRule="auto"/>
        <w:rPr>
          <w:rFonts w:hint="eastAsia"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报价部分（权重为10分）</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有效投标报价的最低价作为评标基准价，其最低报价为满分；按［投标报价得分=（评标基准价/投标报价）*权重］的计算公式计算。</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评标过程中，不得去掉报价中的最高报价和最低报价。</w:t>
      </w:r>
    </w:p>
    <w:p>
      <w:pPr>
        <w:snapToGrid w:val="0"/>
        <w:spacing w:line="360" w:lineRule="auto"/>
        <w:rPr>
          <w:rFonts w:ascii="宋体" w:hAnsi="宋体" w:cs="宋体"/>
          <w:b/>
          <w:color w:val="auto"/>
          <w:sz w:val="32"/>
          <w:highlight w:val="none"/>
        </w:rPr>
      </w:pP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2"/>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b/>
          <w:color w:val="auto"/>
          <w:szCs w:val="21"/>
          <w:highlight w:val="none"/>
        </w:rPr>
      </w:pPr>
      <w:r>
        <w:rPr>
          <w:rFonts w:hint="eastAsia" w:cs="宋体"/>
          <w:b/>
          <w:color w:val="auto"/>
          <w:kern w:val="0"/>
          <w:highlight w:val="none"/>
        </w:rPr>
        <w:t>4.2投标无效。</w:t>
      </w:r>
      <w:r>
        <w:rPr>
          <w:rFonts w:hint="eastAsia" w:cs="宋体"/>
          <w:b/>
          <w:color w:val="auto"/>
          <w:szCs w:val="21"/>
          <w:highlight w:val="none"/>
        </w:rPr>
        <w:t>有下列情况之一的，投标无效：</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4.2.2投标文件未按照招标文件要求签署、盖章的；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4.2.4投标文件含有采购人不能接受的附加条件的；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b/>
          <w:color w:val="auto"/>
          <w:kern w:val="0"/>
          <w:sz w:val="24"/>
          <w:highlight w:val="none"/>
        </w:rPr>
      </w:pPr>
      <w:r>
        <w:rPr>
          <w:rFonts w:hint="eastAsia" w:ascii="宋体" w:hAnsi="宋体" w:cs="宋体"/>
          <w:b/>
          <w:color w:val="auto"/>
          <w:kern w:val="0"/>
          <w:sz w:val="24"/>
          <w:highlight w:val="none"/>
        </w:rPr>
        <w:t xml:space="preserve">   4.2.6投标文件出现不是唯一的、有选择性投标报价的;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4.2.7投标报价超过招标文件中规定的预算金额或者最高限价的;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4.2.9投标人对根据修正原则修正后的报价不确认的；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4.2.10投标人提供虚假材料投标的；</w:t>
      </w:r>
    </w:p>
    <w:p>
      <w:pPr>
        <w:spacing w:line="360" w:lineRule="auto"/>
        <w:ind w:firstLine="241" w:firstLineChars="100"/>
        <w:rPr>
          <w:rFonts w:ascii="宋体" w:hAnsi="宋体" w:cs="宋体"/>
          <w:b/>
          <w:color w:val="auto"/>
          <w:kern w:val="0"/>
          <w:sz w:val="24"/>
          <w:highlight w:val="none"/>
        </w:rPr>
      </w:pPr>
      <w:r>
        <w:rPr>
          <w:rFonts w:hint="eastAsia" w:ascii="宋体" w:hAnsi="宋体" w:cs="宋体"/>
          <w:b/>
          <w:color w:val="auto"/>
          <w:kern w:val="0"/>
          <w:sz w:val="24"/>
          <w:highlight w:val="none"/>
        </w:rPr>
        <w:t xml:space="preserve">  4.2.11投标人有恶意串通、妨碍其他投标人的竞争行为、损害采购人或者其他投标人的合法权益情形的；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4.2.12投标人仅提交备份投标文件，没有在电子交易平台传输递交投标文件的，投标无效；</w:t>
      </w:r>
    </w:p>
    <w:p>
      <w:pPr>
        <w:pStyle w:val="5"/>
        <w:ind w:left="862" w:leftChars="205"/>
        <w:rPr>
          <w:rFonts w:ascii="宋体" w:hAnsi="宋体" w:eastAsia="宋体" w:cs="宋体"/>
          <w:bCs w:val="0"/>
          <w:color w:val="auto"/>
          <w:kern w:val="0"/>
          <w:sz w:val="24"/>
          <w:szCs w:val="24"/>
          <w:highlight w:val="none"/>
          <w:lang w:val="en-US"/>
        </w:rPr>
      </w:pPr>
      <w:r>
        <w:rPr>
          <w:rFonts w:hint="eastAsia" w:ascii="宋体" w:hAnsi="宋体" w:eastAsia="宋体" w:cs="宋体"/>
          <w:bCs w:val="0"/>
          <w:color w:val="auto"/>
          <w:kern w:val="0"/>
          <w:sz w:val="24"/>
          <w:szCs w:val="24"/>
          <w:highlight w:val="none"/>
          <w:lang w:val="en-US"/>
        </w:rPr>
        <w:t>4.2.13 投标文件不满足招标文件的其它实质性要求的；</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cs="宋体"/>
          <w:color w:val="auto"/>
          <w:highlight w:val="none"/>
        </w:rPr>
      </w:pPr>
      <w:r>
        <w:rPr>
          <w:rFonts w:hint="eastAsia" w:cs="宋体"/>
          <w:color w:val="auto"/>
          <w:highlight w:val="none"/>
        </w:rPr>
        <w:t>7.1未确定中标或者中标人的，终止本次政府采购活动，重新开展政府采购活动。</w:t>
      </w:r>
    </w:p>
    <w:p>
      <w:pPr>
        <w:pStyle w:val="25"/>
        <w:snapToGrid w:val="0"/>
        <w:spacing w:line="360" w:lineRule="auto"/>
        <w:ind w:firstLine="600" w:firstLineChars="250"/>
        <w:rPr>
          <w:rFonts w:cs="宋体"/>
          <w:color w:val="auto"/>
          <w:highlight w:val="none"/>
        </w:rPr>
      </w:pPr>
      <w:r>
        <w:rPr>
          <w:rFonts w:hint="eastAsia"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宋体"/>
          <w:color w:val="auto"/>
          <w:highlight w:val="none"/>
        </w:rPr>
      </w:pPr>
      <w:r>
        <w:rPr>
          <w:rFonts w:hint="eastAsia"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cs="宋体"/>
          <w:color w:val="auto"/>
          <w:highlight w:val="none"/>
        </w:rPr>
      </w:pPr>
      <w:r>
        <w:rPr>
          <w:rFonts w:hint="eastAsia" w:cs="宋体"/>
          <w:color w:val="auto"/>
          <w:highlight w:val="none"/>
        </w:rPr>
        <w:t>7.5政府采购当事人有其他违反政府采购法</w:t>
      </w:r>
      <w:r>
        <w:rPr>
          <w:rFonts w:hint="eastAsia" w:cs="宋体"/>
          <w:color w:val="auto"/>
          <w:kern w:val="0"/>
          <w:highlight w:val="none"/>
        </w:rPr>
        <w:t>或者政府采购法实施条例等法律法规规定</w:t>
      </w:r>
      <w:r>
        <w:rPr>
          <w:rFonts w:hint="eastAsia" w:cs="宋体"/>
          <w:color w:val="auto"/>
          <w:highlight w:val="none"/>
        </w:rPr>
        <w:t>的行为，经改正后仍然影响或者可能影响中标、成交结果或者依法被认定为中标、成交无效的，依照7.1-7.4规定处理。</w:t>
      </w:r>
    </w:p>
    <w:bookmarkEnd w:id="25"/>
    <w:p>
      <w:pPr>
        <w:spacing w:line="360" w:lineRule="auto"/>
        <w:ind w:left="720" w:leftChars="343" w:firstLine="1084" w:firstLineChars="300"/>
        <w:outlineLvl w:val="0"/>
        <w:rPr>
          <w:rFonts w:ascii="宋体" w:hAnsi="宋体" w:cs="宋体"/>
          <w:b/>
          <w:color w:val="auto"/>
          <w:sz w:val="36"/>
          <w:szCs w:val="36"/>
          <w:highlight w:val="none"/>
        </w:rPr>
        <w:sectPr>
          <w:pgSz w:w="11906" w:h="16838"/>
          <w:pgMar w:top="1276" w:right="1418" w:bottom="1247" w:left="1418" w:header="851" w:footer="992" w:gutter="0"/>
          <w:cols w:space="720" w:num="1"/>
          <w:titlePg/>
          <w:docGrid w:linePitch="312" w:charSpace="0"/>
        </w:sectPr>
      </w:pPr>
      <w:bookmarkStart w:id="392" w:name="第五部分"/>
      <w:bookmarkStart w:id="393"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根据《中华人民共和国政府采购法》和《中华人民共和国民法典》、地方有关抚育等法律、法规和政策，在平等、自愿、协商一致的基础上，就甲方（杭州市儿童福利院（杭州市儿童福利指导中心））委托乙方（</w:t>
      </w:r>
      <w:r>
        <w:rPr>
          <w:rFonts w:hint="eastAsia" w:ascii="宋体" w:hAnsi="宋体" w:cs="宋体"/>
          <w:color w:val="auto"/>
          <w:kern w:val="0"/>
          <w:sz w:val="24"/>
          <w:highlight w:val="none"/>
          <w:lang w:val="zh-CN"/>
        </w:rPr>
        <w:t>经评审最终确定的中标人</w:t>
      </w:r>
      <w:r>
        <w:rPr>
          <w:rFonts w:hint="eastAsia" w:ascii="宋体" w:hAnsi="宋体" w:cs="宋体"/>
          <w:color w:val="auto"/>
          <w:sz w:val="24"/>
          <w:highlight w:val="none"/>
        </w:rPr>
        <w:t>）实行专业化、一体化的抚育等订立本合同。</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第一条 定义</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lang w:val="zh-CN"/>
        </w:rPr>
        <w:t>合同”</w:t>
      </w:r>
      <w:r>
        <w:rPr>
          <w:rFonts w:hint="eastAsia" w:ascii="宋体" w:hAnsi="宋体" w:cs="宋体"/>
          <w:color w:val="auto"/>
          <w:sz w:val="24"/>
          <w:highlight w:val="none"/>
        </w:rPr>
        <w:t>即由</w:t>
      </w:r>
      <w:r>
        <w:rPr>
          <w:rFonts w:hint="eastAsia" w:ascii="宋体" w:hAnsi="宋体" w:cs="宋体"/>
          <w:color w:val="auto"/>
          <w:kern w:val="0"/>
          <w:sz w:val="24"/>
          <w:highlight w:val="none"/>
          <w:lang w:val="zh-CN"/>
        </w:rPr>
        <w:t>甲乙方</w:t>
      </w:r>
      <w:r>
        <w:rPr>
          <w:rFonts w:hint="eastAsia" w:ascii="宋体" w:hAnsi="宋体" w:cs="宋体"/>
          <w:color w:val="auto"/>
          <w:sz w:val="24"/>
          <w:highlight w:val="none"/>
        </w:rPr>
        <w:t>双方签订的合同格式中的文件，包括所有的附件、附录和组成合同部分的所有其他文件。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合同将由杭州市儿童福利院（杭州市儿童福利指导中心）（以下简称甲方）与经评审最终确定的中标人（以下简称乙方）结合本项目具体情况协商后签订</w:t>
      </w:r>
      <w:r>
        <w:rPr>
          <w:rFonts w:hint="eastAsia" w:ascii="宋体" w:hAnsi="宋体" w:cs="宋体"/>
          <w:color w:val="auto"/>
          <w:kern w:val="0"/>
          <w:sz w:val="24"/>
          <w:highlight w:val="none"/>
          <w:lang w:val="zh-CN"/>
        </w:rPr>
        <w:t>。以下为甲方提出涉及乙方的主要条款，乙方在投标文件中应对其进行确认或拒绝。如乙方在其投标文件中未做拒绝或提出修改要求的，甲方将视作认同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2、“合同价格”系指根据合同规定，在乙方全面正确地履行合同义务时，甲方应支付给乙方的款项。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3、“管理服务” 系指为杭州市儿童福利院内孤、残、弃婴（幼儿）、困境儿童提供日常生活照料及与儿童生活相关的康复教育、协助治疗等各项工作。乙方应按法律法规、行业标准、儿童福利院要求和儿童生长发育需求，在甲方组织指导下实施各项服务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4、“甲方”系指通过招标接受合同及服务的杭州市儿童福利院。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5、“乙方”系指</w:t>
      </w:r>
      <w:r>
        <w:rPr>
          <w:rFonts w:hint="eastAsia" w:ascii="宋体" w:hAnsi="宋体" w:cs="宋体"/>
          <w:color w:val="auto"/>
          <w:kern w:val="0"/>
          <w:sz w:val="24"/>
          <w:highlight w:val="none"/>
          <w:lang w:val="zh-CN"/>
        </w:rPr>
        <w:t>经评审最终确定的</w:t>
      </w:r>
      <w:r>
        <w:rPr>
          <w:rFonts w:hint="eastAsia" w:ascii="宋体" w:hAnsi="宋体" w:cs="宋体"/>
          <w:color w:val="auto"/>
          <w:kern w:val="0"/>
          <w:sz w:val="24"/>
          <w:highlight w:val="none"/>
        </w:rPr>
        <w:t>中标人</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6、“现场”系指将要提供抚育等与服务的地点。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7、“验收”系指招标人依据国家有关规定接受合同所依据的程序和条件。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第二条</w:t>
      </w:r>
      <w:r>
        <w:rPr>
          <w:rFonts w:hint="eastAsia" w:ascii="宋体" w:hAnsi="宋体" w:cs="宋体"/>
          <w:color w:val="auto"/>
          <w:sz w:val="24"/>
          <w:highlight w:val="none"/>
        </w:rPr>
        <w:t xml:space="preserve"> </w:t>
      </w:r>
      <w:r>
        <w:rPr>
          <w:rFonts w:hint="eastAsia" w:ascii="宋体" w:hAnsi="宋体" w:cs="宋体"/>
          <w:b/>
          <w:color w:val="auto"/>
          <w:sz w:val="24"/>
          <w:highlight w:val="none"/>
        </w:rPr>
        <w:t>适用范围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本合同条款适用于本次采购活动。项目实施范围详见附件——招标文件和投标文件及补充文件、承诺书等。</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第三条</w:t>
      </w:r>
      <w:r>
        <w:rPr>
          <w:rFonts w:hint="eastAsia" w:ascii="宋体" w:hAnsi="宋体" w:cs="宋体"/>
          <w:color w:val="auto"/>
          <w:sz w:val="24"/>
          <w:highlight w:val="none"/>
        </w:rPr>
        <w:t xml:space="preserve"> </w:t>
      </w:r>
      <w:r>
        <w:rPr>
          <w:rFonts w:hint="eastAsia" w:ascii="宋体" w:hAnsi="宋体" w:cs="宋体"/>
          <w:b/>
          <w:color w:val="auto"/>
          <w:sz w:val="24"/>
          <w:highlight w:val="none"/>
        </w:rPr>
        <w:t>委托管理事项</w:t>
      </w:r>
    </w:p>
    <w:p>
      <w:pPr>
        <w:adjustRightInd/>
        <w:spacing w:line="360" w:lineRule="auto"/>
        <w:ind w:firstLine="480" w:firstLineChars="200"/>
        <w:rPr>
          <w:color w:val="auto"/>
          <w:highlight w:val="none"/>
        </w:rPr>
      </w:pPr>
      <w:r>
        <w:rPr>
          <w:rFonts w:hint="eastAsia" w:ascii="宋体" w:hAnsi="宋体" w:eastAsia="宋体" w:cs="宋体"/>
          <w:color w:val="auto"/>
          <w:sz w:val="24"/>
          <w:highlight w:val="none"/>
          <w:lang w:val="en-US" w:eastAsia="zh-CN"/>
        </w:rPr>
        <w:t>本项目主要为杭州市儿童福利院孤困儿童提供日常生活照料和护理，并协助专业人员进行康复、教育、身心保健等服务。服务儿童人数预计年均292人左右（呈动态变化）。中标人应按法律法规、行业标准、儿童福利院要求和儿童身心发展需求，在招标人组织指导下保质保量地实施各项服务工作。</w:t>
      </w:r>
    </w:p>
    <w:p>
      <w:pPr>
        <w:pStyle w:val="33"/>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第四条 合同金额</w:t>
      </w:r>
    </w:p>
    <w:p>
      <w:pPr>
        <w:pStyle w:val="33"/>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本合同金额为（大写）：</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元）人民币。</w:t>
      </w:r>
    </w:p>
    <w:p>
      <w:pPr>
        <w:pStyle w:val="129"/>
        <w:snapToGrid w:val="0"/>
        <w:spacing w:before="0"/>
        <w:ind w:left="271" w:leftChars="129" w:firstLine="240" w:firstLineChars="100"/>
        <w:rPr>
          <w:rFonts w:ascii="宋体" w:hAnsi="宋体" w:cs="宋体"/>
          <w:color w:val="auto"/>
          <w:szCs w:val="24"/>
          <w:highlight w:val="none"/>
        </w:rPr>
      </w:pPr>
      <w:r>
        <w:rPr>
          <w:rFonts w:hint="eastAsia" w:ascii="宋体" w:hAnsi="宋体" w:cs="宋体"/>
          <w:color w:val="auto"/>
          <w:szCs w:val="24"/>
          <w:highlight w:val="none"/>
        </w:rPr>
        <w:t xml:space="preserve">注：项目内每天综合服务费用为： </w:t>
      </w:r>
      <w:r>
        <w:rPr>
          <w:rFonts w:hint="eastAsia" w:ascii="宋体" w:hAnsi="宋体" w:cs="宋体"/>
          <w:color w:val="auto"/>
          <w:szCs w:val="24"/>
          <w:highlight w:val="none"/>
          <w:u w:val="single"/>
        </w:rPr>
        <w:t xml:space="preserve">_     </w:t>
      </w:r>
      <w:r>
        <w:rPr>
          <w:rFonts w:hint="eastAsia" w:ascii="宋体" w:hAnsi="宋体" w:cs="宋体"/>
          <w:color w:val="auto"/>
          <w:szCs w:val="24"/>
          <w:highlight w:val="none"/>
        </w:rPr>
        <w:t>元。</w:t>
      </w:r>
    </w:p>
    <w:p>
      <w:pPr>
        <w:spacing w:line="360" w:lineRule="auto"/>
        <w:rPr>
          <w:rFonts w:ascii="宋体" w:hAnsi="宋体" w:cs="宋体"/>
          <w:color w:val="auto"/>
          <w:sz w:val="24"/>
          <w:highlight w:val="none"/>
        </w:rPr>
      </w:pPr>
      <w:r>
        <w:rPr>
          <w:rFonts w:hint="eastAsia" w:ascii="宋体" w:hAnsi="宋体" w:cs="宋体"/>
          <w:b/>
          <w:color w:val="auto"/>
          <w:sz w:val="24"/>
          <w:highlight w:val="none"/>
        </w:rPr>
        <w:t>第五条</w:t>
      </w:r>
      <w:r>
        <w:rPr>
          <w:rFonts w:hint="eastAsia" w:ascii="宋体" w:hAnsi="宋体" w:cs="宋体"/>
          <w:color w:val="auto"/>
          <w:sz w:val="24"/>
          <w:highlight w:val="none"/>
        </w:rPr>
        <w:t xml:space="preserve"> </w:t>
      </w:r>
      <w:r>
        <w:rPr>
          <w:rFonts w:hint="eastAsia" w:ascii="宋体" w:hAnsi="宋体" w:cs="宋体"/>
          <w:b/>
          <w:color w:val="auto"/>
          <w:sz w:val="24"/>
          <w:highlight w:val="none"/>
        </w:rPr>
        <w:t>合同期限</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本合同期限为</w:t>
      </w:r>
      <w:r>
        <w:rPr>
          <w:rFonts w:hint="eastAsia" w:ascii="宋体" w:hAnsi="宋体" w:cs="宋体"/>
          <w:color w:val="auto"/>
          <w:sz w:val="24"/>
          <w:highlight w:val="none"/>
          <w:u w:val="single"/>
        </w:rPr>
        <w:t xml:space="preserve"> 壹 </w:t>
      </w:r>
      <w:r>
        <w:rPr>
          <w:rFonts w:hint="eastAsia" w:ascii="宋体" w:hAnsi="宋体" w:cs="宋体"/>
          <w:color w:val="auto"/>
          <w:sz w:val="24"/>
          <w:highlight w:val="none"/>
        </w:rPr>
        <w:t>年。自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日起至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在本项目结束后，下一轮招标完成签订合同前，为保持连续性，经甲乙双方友好协商，可延长乙方的服务时间至甲方下一年度招标并实际签约止</w:t>
      </w:r>
      <w:r>
        <w:rPr>
          <w:rFonts w:hint="eastAsia" w:ascii="宋体" w:hAnsi="宋体" w:cs="宋体"/>
          <w:color w:val="auto"/>
          <w:sz w:val="24"/>
          <w:highlight w:val="none"/>
          <w:lang w:eastAsia="zh-CN"/>
        </w:rPr>
        <w:t>。</w:t>
      </w:r>
    </w:p>
    <w:p>
      <w:pPr>
        <w:snapToGrid w:val="0"/>
        <w:spacing w:line="360" w:lineRule="auto"/>
        <w:rPr>
          <w:rFonts w:ascii="宋体" w:hAnsi="宋体" w:cs="宋体"/>
          <w:snapToGrid w:val="0"/>
          <w:color w:val="auto"/>
          <w:kern w:val="0"/>
          <w:sz w:val="24"/>
          <w:highlight w:val="none"/>
        </w:rPr>
      </w:pPr>
      <w:r>
        <w:rPr>
          <w:rFonts w:hint="eastAsia" w:ascii="宋体" w:hAnsi="宋体" w:cs="宋体"/>
          <w:b/>
          <w:color w:val="auto"/>
          <w:sz w:val="24"/>
          <w:highlight w:val="none"/>
        </w:rPr>
        <w:t>第六条 费用结算方式</w:t>
      </w:r>
    </w:p>
    <w:p>
      <w:pPr>
        <w:spacing w:line="360" w:lineRule="auto"/>
        <w:ind w:firstLine="480" w:firstLineChars="200"/>
        <w:rPr>
          <w:rFonts w:hint="eastAsia" w:ascii="宋体" w:hAnsi="宋体" w:eastAsia="宋体" w:cs="宋体"/>
          <w:snapToGrid/>
          <w:color w:val="auto"/>
          <w:kern w:val="2"/>
          <w:sz w:val="24"/>
          <w:szCs w:val="24"/>
          <w:highlight w:val="none"/>
          <w:lang w:val="zh-CN" w:eastAsia="zh-CN" w:bidi="ar-SA"/>
        </w:rPr>
      </w:pPr>
      <w:r>
        <w:rPr>
          <w:rFonts w:hint="eastAsia" w:ascii="宋体" w:hAnsi="宋体" w:eastAsia="宋体" w:cs="宋体"/>
          <w:snapToGrid/>
          <w:color w:val="auto"/>
          <w:kern w:val="2"/>
          <w:sz w:val="24"/>
          <w:szCs w:val="24"/>
          <w:highlight w:val="none"/>
          <w:lang w:val="zh-CN" w:eastAsia="zh-CN" w:bidi="ar-SA"/>
        </w:rPr>
        <w:t>1、合同生效且具备实施条件后10个工作日内，采购人向中标人支付合同金额的20%作为预付款，实际以预算下达为准（中标人承诺无需采购人支付预付款的或愿意降低预付款支付比例的，可不予支付或降低标准）。</w:t>
      </w:r>
    </w:p>
    <w:p>
      <w:pPr>
        <w:spacing w:line="360" w:lineRule="auto"/>
        <w:ind w:firstLine="480" w:firstLineChars="200"/>
        <w:rPr>
          <w:rFonts w:hint="eastAsia" w:ascii="宋体" w:hAnsi="宋体" w:eastAsia="宋体" w:cs="宋体"/>
          <w:snapToGrid/>
          <w:color w:val="auto"/>
          <w:kern w:val="2"/>
          <w:sz w:val="24"/>
          <w:szCs w:val="24"/>
          <w:highlight w:val="none"/>
          <w:lang w:val="zh-CN" w:eastAsia="zh-CN" w:bidi="ar-SA"/>
        </w:rPr>
      </w:pPr>
      <w:r>
        <w:rPr>
          <w:rFonts w:hint="eastAsia" w:ascii="宋体" w:hAnsi="宋体" w:eastAsia="宋体" w:cs="宋体"/>
          <w:snapToGrid/>
          <w:color w:val="auto"/>
          <w:kern w:val="2"/>
          <w:sz w:val="24"/>
          <w:szCs w:val="24"/>
          <w:highlight w:val="none"/>
          <w:lang w:val="zh-CN" w:eastAsia="zh-CN" w:bidi="ar-SA"/>
        </w:rPr>
        <w:t>2、此项目分4次验收（2024年3月、6月、9月，2025年1月），每次验收通过中标方提供发票后支付合同款的20%。</w:t>
      </w:r>
      <w:r>
        <w:rPr>
          <w:rFonts w:hint="eastAsia" w:ascii="宋体" w:hAnsi="宋体" w:cs="宋体"/>
          <w:snapToGrid/>
          <w:color w:val="auto"/>
          <w:kern w:val="2"/>
          <w:sz w:val="24"/>
          <w:szCs w:val="24"/>
          <w:highlight w:val="none"/>
          <w:lang w:val="zh-CN" w:eastAsia="zh-CN" w:bidi="ar-SA"/>
        </w:rPr>
        <w:t>（</w:t>
      </w:r>
    </w:p>
    <w:p>
      <w:pPr>
        <w:spacing w:line="360" w:lineRule="auto"/>
        <w:ind w:firstLine="480" w:firstLineChars="200"/>
        <w:rPr>
          <w:rFonts w:hint="eastAsia" w:ascii="宋体" w:hAnsi="宋体" w:eastAsia="宋体" w:cs="宋体"/>
          <w:snapToGrid/>
          <w:color w:val="auto"/>
          <w:kern w:val="2"/>
          <w:sz w:val="24"/>
          <w:szCs w:val="24"/>
          <w:highlight w:val="none"/>
          <w:lang w:val="zh-CN" w:eastAsia="zh-CN" w:bidi="ar-SA"/>
        </w:rPr>
      </w:pPr>
      <w:r>
        <w:rPr>
          <w:rFonts w:hint="eastAsia" w:ascii="宋体" w:hAnsi="宋体" w:eastAsia="宋体" w:cs="宋体"/>
          <w:snapToGrid/>
          <w:color w:val="auto"/>
          <w:kern w:val="2"/>
          <w:sz w:val="24"/>
          <w:szCs w:val="24"/>
          <w:highlight w:val="none"/>
          <w:lang w:val="zh-CN" w:eastAsia="zh-CN" w:bidi="ar-SA"/>
        </w:rPr>
        <w:t>实际支付金额以履约验收报告确认最终支付金额为准。</w:t>
      </w:r>
    </w:p>
    <w:p>
      <w:pPr>
        <w:pStyle w:val="2"/>
        <w:ind w:firstLine="480" w:firstLineChars="200"/>
        <w:rPr>
          <w:rFonts w:hAnsi="宋体" w:cs="宋体"/>
          <w:color w:val="auto"/>
          <w:szCs w:val="24"/>
          <w:highlight w:val="none"/>
        </w:rPr>
      </w:pPr>
      <w:r>
        <w:rPr>
          <w:rFonts w:hint="eastAsia" w:ascii="宋体" w:hAnsi="宋体" w:eastAsia="宋体" w:cs="宋体"/>
          <w:snapToGrid/>
          <w:color w:val="auto"/>
          <w:kern w:val="2"/>
          <w:sz w:val="24"/>
          <w:szCs w:val="24"/>
          <w:highlight w:val="none"/>
          <w:lang w:val="zh-CN" w:eastAsia="zh-CN" w:bidi="ar-SA"/>
        </w:rPr>
        <w:t>注：本项目实施周期为一年。202</w:t>
      </w:r>
      <w:r>
        <w:rPr>
          <w:rFonts w:hint="eastAsia" w:ascii="宋体" w:hAnsi="宋体" w:eastAsia="宋体" w:cs="宋体"/>
          <w:snapToGrid/>
          <w:color w:val="auto"/>
          <w:kern w:val="2"/>
          <w:sz w:val="24"/>
          <w:szCs w:val="24"/>
          <w:highlight w:val="none"/>
          <w:lang w:val="en-US" w:eastAsia="zh-CN" w:bidi="ar-SA"/>
        </w:rPr>
        <w:t>4</w:t>
      </w:r>
      <w:r>
        <w:rPr>
          <w:rFonts w:hint="eastAsia" w:ascii="宋体" w:hAnsi="宋体" w:eastAsia="宋体" w:cs="宋体"/>
          <w:snapToGrid/>
          <w:color w:val="auto"/>
          <w:kern w:val="2"/>
          <w:sz w:val="24"/>
          <w:szCs w:val="24"/>
          <w:highlight w:val="none"/>
          <w:lang w:val="zh-CN" w:eastAsia="zh-CN" w:bidi="ar-SA"/>
        </w:rPr>
        <w:t>年1月1日至本</w:t>
      </w:r>
      <w:r>
        <w:rPr>
          <w:rFonts w:hint="eastAsia" w:hAnsi="宋体" w:cs="宋体"/>
          <w:color w:val="auto"/>
          <w:szCs w:val="24"/>
          <w:highlight w:val="none"/>
        </w:rPr>
        <w:t>项目采购完成乙方入场提供服务之日期间的服务费已含在本项目采购总费用内，乙方无需提供服务。乙方须向现服务单位代为支付202</w:t>
      </w:r>
      <w:r>
        <w:rPr>
          <w:rFonts w:hint="eastAsia" w:hAnsi="宋体" w:cs="宋体"/>
          <w:color w:val="auto"/>
          <w:szCs w:val="24"/>
          <w:highlight w:val="none"/>
          <w:lang w:val="en-US" w:eastAsia="zh-CN"/>
        </w:rPr>
        <w:t>4</w:t>
      </w:r>
      <w:r>
        <w:rPr>
          <w:rFonts w:hint="eastAsia" w:hAnsi="宋体" w:cs="宋体"/>
          <w:color w:val="auto"/>
          <w:szCs w:val="24"/>
          <w:highlight w:val="none"/>
        </w:rPr>
        <w:t>年1月1日至本项目采购完成乙方入场提供服务之日止的服务费用。</w:t>
      </w:r>
    </w:p>
    <w:p>
      <w:pPr>
        <w:numPr>
          <w:ilvl w:val="0"/>
          <w:numId w:val="9"/>
        </w:numPr>
        <w:spacing w:line="360" w:lineRule="auto"/>
        <w:rPr>
          <w:rFonts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履约保证金：</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w:t>
      </w:r>
      <w:r>
        <w:rPr>
          <w:rFonts w:hint="eastAsia" w:ascii="宋体" w:hAnsi="宋体" w:cs="宋体"/>
          <w:color w:val="auto"/>
          <w:sz w:val="24"/>
          <w:highlight w:val="none"/>
        </w:rPr>
        <w:t>签订合同后7个工作日内，</w:t>
      </w:r>
      <w:r>
        <w:rPr>
          <w:rFonts w:hint="eastAsia" w:ascii="宋体" w:hAnsi="宋体" w:cs="宋体"/>
          <w:snapToGrid w:val="0"/>
          <w:color w:val="auto"/>
          <w:kern w:val="0"/>
          <w:sz w:val="24"/>
          <w:highlight w:val="none"/>
        </w:rPr>
        <w:t>乙方</w:t>
      </w:r>
      <w:r>
        <w:rPr>
          <w:rFonts w:hint="eastAsia" w:ascii="宋体" w:hAnsi="宋体" w:cs="宋体"/>
          <w:color w:val="auto"/>
          <w:sz w:val="24"/>
          <w:highlight w:val="none"/>
        </w:rPr>
        <w:t>须向</w:t>
      </w:r>
      <w:r>
        <w:rPr>
          <w:rFonts w:hint="eastAsia" w:ascii="宋体" w:hAnsi="宋体" w:cs="宋体"/>
          <w:snapToGrid w:val="0"/>
          <w:color w:val="auto"/>
          <w:kern w:val="0"/>
          <w:sz w:val="24"/>
          <w:highlight w:val="none"/>
        </w:rPr>
        <w:t>甲方</w:t>
      </w:r>
      <w:r>
        <w:rPr>
          <w:rFonts w:hint="eastAsia" w:ascii="宋体" w:hAnsi="宋体" w:cs="宋体"/>
          <w:color w:val="auto"/>
          <w:sz w:val="24"/>
          <w:highlight w:val="none"/>
        </w:rPr>
        <w:t>交纳相当于合同总额1%的履约保证金</w:t>
      </w:r>
      <w:r>
        <w:rPr>
          <w:rFonts w:hint="eastAsia" w:ascii="宋体" w:hAnsi="宋体" w:eastAsia="宋体" w:cs="宋体"/>
          <w:color w:val="auto"/>
          <w:kern w:val="2"/>
          <w:sz w:val="24"/>
          <w:szCs w:val="24"/>
          <w:highlight w:val="none"/>
          <w:lang w:val="en-US" w:eastAsia="zh-CN" w:bidi="ar"/>
        </w:rPr>
        <w:t>（乙方履约验收评价总分为100分的，可以免收履约保证金）</w:t>
      </w:r>
      <w:r>
        <w:rPr>
          <w:rFonts w:hint="eastAsia" w:ascii="宋体" w:hAnsi="宋体" w:cs="宋体"/>
          <w:color w:val="auto"/>
          <w:sz w:val="24"/>
          <w:highlight w:val="none"/>
        </w:rPr>
        <w:t>，</w:t>
      </w:r>
      <w:r>
        <w:rPr>
          <w:rFonts w:hint="eastAsia" w:ascii="宋体" w:hAnsi="宋体" w:cs="宋体"/>
          <w:snapToGrid w:val="0"/>
          <w:color w:val="auto"/>
          <w:kern w:val="0"/>
          <w:sz w:val="24"/>
          <w:highlight w:val="none"/>
        </w:rPr>
        <w:t>以保证乙方遵守本合同的一切条款、条件和承诺，该保证金在甲方的规定存续期间不计息。</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甲方有权从履约保证金中扣除用于修复乙方损坏甲方的设备、设施、场地或因乙方违约等而导致损失的金额和违约金，且乙方应在接到扣除履约保证金通知后一周内补足扣除差额，保证承包期间履约保证金的完整。否则甲方有权自行在应支付给乙方的合同款中自行扣除。</w:t>
      </w:r>
    </w:p>
    <w:p>
      <w:pPr>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甲方认为乙方在服务期内没有涉及甲方的应付而未付金额或违约行为，保质保量地履行合同义务的，甲方在服务期满后或提前终止承包后且双方结算完毕一个月内全额无息退还履约保证金，否则，甲方将在扣除乙方应付金额或违约金后退还保证金余额。</w:t>
      </w:r>
    </w:p>
    <w:p>
      <w:pPr>
        <w:pStyle w:val="2"/>
        <w:rPr>
          <w:rFonts w:hAnsi="宋体" w:cs="宋体"/>
          <w:snapToGrid w:val="0"/>
          <w:color w:val="auto"/>
          <w:szCs w:val="24"/>
          <w:highlight w:val="none"/>
          <w:lang w:val="en-US"/>
        </w:rPr>
      </w:pPr>
      <w:r>
        <w:rPr>
          <w:rFonts w:hint="eastAsia" w:hAnsi="宋体" w:cs="宋体"/>
          <w:snapToGrid w:val="0"/>
          <w:color w:val="auto"/>
          <w:szCs w:val="24"/>
          <w:highlight w:val="none"/>
          <w:lang w:val="en-US"/>
        </w:rPr>
        <w:t>4、本项要求乙方提交履约保证金的，乙方应以支票、汇票、本票或者金融机构、担保机构出具的保函等非现金形式，提交履约保证金。</w:t>
      </w:r>
    </w:p>
    <w:p>
      <w:pPr>
        <w:snapToGrid w:val="0"/>
        <w:spacing w:line="360" w:lineRule="auto"/>
        <w:rPr>
          <w:rFonts w:ascii="宋体" w:hAnsi="宋体" w:cs="宋体"/>
          <w:snapToGrid w:val="0"/>
          <w:color w:val="auto"/>
          <w:kern w:val="0"/>
          <w:sz w:val="24"/>
          <w:highlight w:val="none"/>
        </w:rPr>
      </w:pPr>
      <w:r>
        <w:rPr>
          <w:rFonts w:hint="eastAsia" w:ascii="宋体" w:hAnsi="宋体" w:cs="宋体"/>
          <w:b/>
          <w:color w:val="auto"/>
          <w:sz w:val="24"/>
          <w:highlight w:val="none"/>
        </w:rPr>
        <w:t>第八条</w:t>
      </w:r>
      <w:r>
        <w:rPr>
          <w:rFonts w:hint="eastAsia" w:ascii="宋体" w:hAnsi="宋体" w:cs="宋体"/>
          <w:color w:val="auto"/>
          <w:sz w:val="24"/>
          <w:highlight w:val="none"/>
        </w:rPr>
        <w:t xml:space="preserve"> </w:t>
      </w:r>
      <w:r>
        <w:rPr>
          <w:rFonts w:hint="eastAsia" w:ascii="宋体" w:hAnsi="宋体" w:cs="宋体"/>
          <w:b/>
          <w:snapToGrid w:val="0"/>
          <w:color w:val="auto"/>
          <w:kern w:val="0"/>
          <w:sz w:val="24"/>
          <w:highlight w:val="none"/>
        </w:rPr>
        <w:t>验收</w:t>
      </w:r>
    </w:p>
    <w:p>
      <w:pPr>
        <w:spacing w:line="360" w:lineRule="auto"/>
        <w:ind w:firstLine="480" w:firstLineChars="200"/>
        <w:contextualSpacing/>
        <w:rPr>
          <w:rFonts w:ascii="宋体" w:hAnsi="宋体" w:cs="宋体"/>
          <w:b/>
          <w:color w:val="auto"/>
          <w:sz w:val="24"/>
          <w:highlight w:val="none"/>
        </w:rPr>
      </w:pPr>
      <w:r>
        <w:rPr>
          <w:rFonts w:hint="eastAsia" w:ascii="宋体" w:hAnsi="宋体" w:cs="宋体"/>
          <w:color w:val="auto"/>
          <w:sz w:val="24"/>
          <w:highlight w:val="none"/>
        </w:rPr>
        <w:t>根据《杭州市政府采购履约验收暂行办法》杭财采监〔2019〕10 号文，进行履约验收，验收合格报告作为项目支付的依据。具体如下（最终按验收文件执行）：</w:t>
      </w:r>
    </w:p>
    <w:p>
      <w:pPr>
        <w:spacing w:line="360" w:lineRule="auto"/>
        <w:ind w:firstLine="480" w:firstLineChars="200"/>
        <w:contextualSpacing/>
        <w:rPr>
          <w:rFonts w:ascii="宋体" w:hAnsi="宋体" w:cs="宋体"/>
          <w:b/>
          <w:color w:val="auto"/>
          <w:sz w:val="24"/>
          <w:highlight w:val="none"/>
        </w:rPr>
      </w:pPr>
      <w:r>
        <w:rPr>
          <w:rFonts w:hint="eastAsia" w:ascii="宋体" w:hAnsi="宋体" w:cs="宋体"/>
          <w:bCs/>
          <w:color w:val="auto"/>
          <w:sz w:val="24"/>
          <w:highlight w:val="none"/>
        </w:rPr>
        <w:t>1、验收方法</w:t>
      </w:r>
      <w:r>
        <w:rPr>
          <w:rFonts w:hint="eastAsia" w:ascii="宋体" w:hAnsi="宋体" w:cs="宋体"/>
          <w:b/>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由代理公司制定项目验收方案，验收方案应当包括项目基本情况、验收组织主体、验收小组组建方式、验收方法、验收流程、验收指标和标准等要素。</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2、验收小组：</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由代理公司组织</w:t>
      </w:r>
      <w:r>
        <w:rPr>
          <w:rFonts w:hint="eastAsia" w:ascii="宋体" w:hAnsi="宋体" w:cs="宋体"/>
          <w:color w:val="auto"/>
          <w:sz w:val="24"/>
          <w:highlight w:val="none"/>
        </w:rPr>
        <w:t>验收小组，到现场进行验收。验收小组负责实施具体的验收活动。验收小组由1名业主代表和4名专家组成。</w:t>
      </w:r>
    </w:p>
    <w:p>
      <w:pPr>
        <w:pStyle w:val="7"/>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3、验收费用：</w:t>
      </w:r>
    </w:p>
    <w:p>
      <w:pPr>
        <w:pStyle w:val="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本项目实行分期验收，共4次，具体时间由采购单位通知为准。初次验收费用由采购单位支付，在验收通过后5个工作日内向代理公司支付。</w:t>
      </w:r>
    </w:p>
    <w:p>
      <w:pPr>
        <w:pStyle w:val="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如初次验收未通过，后续验收费用由项目单位支付（所产生的专家费需项目单位另行支付），至到验收合格。</w:t>
      </w:r>
    </w:p>
    <w:p>
      <w:pPr>
        <w:pStyle w:val="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4、验收指标和标准：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根据采购文件确定的技术指标或者服务要求确定验收指标和标准。未进行相应约定的，应当符合国家强制性规定、政策要求、安全标准、行业或企业有关标准等。</w:t>
      </w:r>
    </w:p>
    <w:p>
      <w:pPr>
        <w:snapToGrid w:val="0"/>
        <w:spacing w:line="360" w:lineRule="auto"/>
        <w:rPr>
          <w:rFonts w:ascii="宋体" w:hAnsi="宋体" w:cs="宋体"/>
          <w:snapToGrid w:val="0"/>
          <w:color w:val="auto"/>
          <w:kern w:val="0"/>
          <w:sz w:val="24"/>
          <w:highlight w:val="none"/>
        </w:rPr>
      </w:pPr>
      <w:r>
        <w:rPr>
          <w:rFonts w:hint="eastAsia" w:ascii="宋体" w:hAnsi="宋体" w:cs="宋体"/>
          <w:b/>
          <w:color w:val="auto"/>
          <w:sz w:val="24"/>
          <w:highlight w:val="none"/>
        </w:rPr>
        <w:t>第九条</w:t>
      </w:r>
      <w:r>
        <w:rPr>
          <w:rFonts w:hint="eastAsia" w:ascii="宋体" w:hAnsi="宋体" w:cs="宋体"/>
          <w:color w:val="auto"/>
          <w:sz w:val="24"/>
          <w:highlight w:val="none"/>
        </w:rPr>
        <w:t xml:space="preserve"> </w:t>
      </w:r>
      <w:r>
        <w:rPr>
          <w:rFonts w:hint="eastAsia" w:ascii="宋体" w:hAnsi="宋体" w:cs="宋体"/>
          <w:b/>
          <w:bCs/>
          <w:snapToGrid w:val="0"/>
          <w:color w:val="auto"/>
          <w:kern w:val="0"/>
          <w:sz w:val="24"/>
          <w:highlight w:val="none"/>
        </w:rPr>
        <w:t>项目人员要求</w:t>
      </w:r>
      <w:r>
        <w:rPr>
          <w:rFonts w:hint="eastAsia" w:ascii="宋体" w:hAnsi="宋体" w:cs="宋体"/>
          <w:b/>
          <w:bCs/>
          <w:snapToGrid w:val="0"/>
          <w:color w:val="auto"/>
          <w:kern w:val="0"/>
          <w:sz w:val="24"/>
          <w:highlight w:val="none"/>
          <w:lang w:val="en-US" w:eastAsia="zh-CN"/>
        </w:rPr>
        <w:t>以及</w:t>
      </w:r>
      <w:r>
        <w:rPr>
          <w:rFonts w:hint="eastAsia" w:ascii="宋体" w:hAnsi="宋体" w:cs="宋体"/>
          <w:b/>
          <w:snapToGrid w:val="0"/>
          <w:color w:val="auto"/>
          <w:kern w:val="0"/>
          <w:sz w:val="24"/>
          <w:highlight w:val="none"/>
        </w:rPr>
        <w:t>抚育等服务质量要求</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乙方须按下列约定，实现目标管理，除下列要求之外，如双方认为需要进一步细化的，可以通过附件形式进行进一步明确：</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lang w:val="en-US" w:eastAsia="zh-CN"/>
        </w:rPr>
        <w:t>1</w:t>
      </w: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rPr>
        <w:t xml:space="preserve"> </w:t>
      </w:r>
      <w:r>
        <w:rPr>
          <w:rFonts w:hint="eastAsia" w:ascii="宋体" w:hAnsi="宋体" w:cs="宋体"/>
          <w:b w:val="0"/>
          <w:bCs/>
          <w:color w:val="auto"/>
          <w:sz w:val="24"/>
          <w:highlight w:val="none"/>
          <w:lang w:val="en-US" w:eastAsia="zh-CN"/>
        </w:rPr>
        <w:t>工作人员配备</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遵循因事设岗，按岗配人，分层分类，结构合理的原则，要求项目在册人数总数与服务对象配比不低于1:3，即项目在册服务人数平均不低于98人，当月在岗人数不低于90人。</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w:t>
      </w:r>
      <w:r>
        <w:rPr>
          <w:rFonts w:hint="eastAsia" w:ascii="宋体" w:hAnsi="宋体" w:cs="宋体"/>
          <w:b w:val="0"/>
          <w:bCs/>
          <w:color w:val="auto"/>
          <w:sz w:val="24"/>
          <w:highlight w:val="none"/>
          <w:lang w:eastAsia="zh-CN"/>
        </w:rPr>
        <w:t>管理岗位：全面负责项目运行管理与综合协调，建议</w:t>
      </w:r>
      <w:r>
        <w:rPr>
          <w:rFonts w:hint="eastAsia" w:ascii="宋体" w:hAnsi="宋体" w:cs="宋体"/>
          <w:b w:val="0"/>
          <w:bCs/>
          <w:color w:val="auto"/>
          <w:sz w:val="24"/>
          <w:highlight w:val="none"/>
          <w:lang w:val="en-US" w:eastAsia="zh-CN"/>
        </w:rPr>
        <w:t>配备2人。工作日作息时间8:30—16:30，夜间、周末和节假日按要求实行轮班制。</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2.专业技术</w:t>
      </w:r>
      <w:r>
        <w:rPr>
          <w:rFonts w:hint="eastAsia" w:ascii="宋体" w:hAnsi="宋体" w:cs="宋体"/>
          <w:b w:val="0"/>
          <w:bCs/>
          <w:color w:val="auto"/>
          <w:sz w:val="24"/>
          <w:highlight w:val="none"/>
          <w:lang w:eastAsia="zh-CN"/>
        </w:rPr>
        <w:t>岗位：负责楼层日常管理、质量控制和专业指导，建议配备</w:t>
      </w:r>
      <w:r>
        <w:rPr>
          <w:rFonts w:hint="eastAsia" w:ascii="宋体" w:hAnsi="宋体" w:cs="宋体"/>
          <w:b w:val="0"/>
          <w:bCs/>
          <w:color w:val="auto"/>
          <w:sz w:val="24"/>
          <w:highlight w:val="none"/>
          <w:lang w:val="en-US" w:eastAsia="zh-CN"/>
        </w:rPr>
        <w:t>10人。工作日作息时间8:30—16:30，夜间、周末和节假日按要求实行轮班制。</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工勤技能岗位：负责为不同年龄和不同残疾类型的孤残儿童24小时生活照料和护理，包括儿童护理、配奶和儿童区清洁、洗衣、缝纫及上下学接送岗位。建议配备86人，其中儿童护理一线岗位不少于76人。根据工作需要，实行全天24小时轮班制。</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1）标准班次：按照护理特点和护理难度分区分级护理，按照工作任务和工作量分时分类配岗。儿童活动期间，当班人员与儿童比例不低于1：5；儿童睡眠时间，当班护理人员与儿童比例不低于1：12。</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2）弹性班次：对于儿童患病、隔离、送医、住院等特殊需要的，按需配备护理人员。</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（2）工作人员管理要求</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1.</w:t>
      </w:r>
      <w:r>
        <w:rPr>
          <w:rFonts w:hint="eastAsia" w:ascii="宋体" w:hAnsi="宋体" w:cs="宋体"/>
          <w:b w:val="0"/>
          <w:bCs/>
          <w:color w:val="auto"/>
          <w:sz w:val="24"/>
          <w:highlight w:val="none"/>
          <w:lang w:eastAsia="zh-CN"/>
        </w:rPr>
        <w:t>项目单位应保证所录用人员身体健康、无传染性疾病，无刑事违法或处分犯罪记录，符合岗位要求。如项目单位配备的人员不符合本合同约定的要求，视为项目单位未配置，项目单位应承担相应的违约责任。</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2.</w:t>
      </w:r>
      <w:r>
        <w:rPr>
          <w:rFonts w:hint="eastAsia" w:ascii="宋体" w:hAnsi="宋体" w:cs="宋体"/>
          <w:b w:val="0"/>
          <w:bCs/>
          <w:color w:val="auto"/>
          <w:sz w:val="24"/>
          <w:highlight w:val="none"/>
          <w:lang w:eastAsia="zh-CN"/>
        </w:rPr>
        <w:t>建立项目内部管理体系，项目主管负责本项目的实施和管理，其他服务人员按所在班组、岗位建立管理层级，层层压实责任，确保工作落细落实。</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3.</w:t>
      </w:r>
      <w:r>
        <w:rPr>
          <w:rFonts w:hint="eastAsia" w:ascii="宋体" w:hAnsi="宋体" w:cs="宋体"/>
          <w:b w:val="0"/>
          <w:bCs/>
          <w:color w:val="auto"/>
          <w:sz w:val="24"/>
          <w:highlight w:val="none"/>
          <w:lang w:eastAsia="zh-CN"/>
        </w:rPr>
        <w:t>所有项目人员须持证上岗，按岗位统一工作服，思想素质好、爱岗敬业、身体健康、无不良行为记录。</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4.</w:t>
      </w:r>
      <w:r>
        <w:rPr>
          <w:rFonts w:hint="eastAsia" w:ascii="宋体" w:hAnsi="宋体" w:cs="宋体"/>
          <w:b w:val="0"/>
          <w:bCs/>
          <w:color w:val="auto"/>
          <w:sz w:val="24"/>
          <w:highlight w:val="none"/>
          <w:lang w:eastAsia="zh-CN"/>
        </w:rPr>
        <w:t>所有项目人员</w:t>
      </w:r>
      <w:r>
        <w:rPr>
          <w:rFonts w:hint="eastAsia" w:ascii="宋体" w:hAnsi="宋体" w:cs="宋体"/>
          <w:b w:val="0"/>
          <w:bCs/>
          <w:color w:val="auto"/>
          <w:sz w:val="24"/>
          <w:highlight w:val="none"/>
        </w:rPr>
        <w:t>必须</w:t>
      </w:r>
      <w:r>
        <w:rPr>
          <w:rFonts w:hint="eastAsia" w:ascii="宋体" w:hAnsi="宋体" w:cs="宋体"/>
          <w:b w:val="0"/>
          <w:bCs/>
          <w:color w:val="auto"/>
          <w:sz w:val="24"/>
          <w:highlight w:val="none"/>
          <w:lang w:eastAsia="zh-CN"/>
        </w:rPr>
        <w:t>执行报备制度，由采购单位面试、考评通过项目单位方可录用。</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5.</w:t>
      </w:r>
      <w:r>
        <w:rPr>
          <w:rFonts w:hint="eastAsia" w:ascii="宋体" w:hAnsi="宋体" w:cs="宋体"/>
          <w:b w:val="0"/>
          <w:bCs/>
          <w:color w:val="auto"/>
          <w:sz w:val="24"/>
          <w:highlight w:val="none"/>
          <w:lang w:eastAsia="zh-CN"/>
        </w:rPr>
        <w:t>所有项目人员的住宿及用餐等均由项目单位自行解决。</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6.</w:t>
      </w:r>
      <w:r>
        <w:rPr>
          <w:rFonts w:hint="eastAsia" w:ascii="宋体" w:hAnsi="宋体" w:cs="宋体"/>
          <w:b w:val="0"/>
          <w:bCs/>
          <w:color w:val="auto"/>
          <w:sz w:val="24"/>
          <w:highlight w:val="none"/>
          <w:lang w:eastAsia="zh-CN"/>
        </w:rPr>
        <w:t>项目单位提供的所有人员均须按投标文件要求提供相应的证明材料（学历、资格证书、职称证书、经验与业绩证明、健康证明、</w:t>
      </w:r>
      <w:r>
        <w:rPr>
          <w:rFonts w:hint="eastAsia" w:ascii="宋体" w:hAnsi="宋体" w:cs="宋体"/>
          <w:b w:val="0"/>
          <w:bCs/>
          <w:color w:val="auto"/>
          <w:sz w:val="24"/>
          <w:highlight w:val="none"/>
          <w:lang w:val="en-US" w:eastAsia="zh-CN"/>
        </w:rPr>
        <w:t>无犯罪记录证明</w:t>
      </w:r>
      <w:r>
        <w:rPr>
          <w:rFonts w:hint="eastAsia" w:ascii="宋体" w:hAnsi="宋体" w:cs="宋体"/>
          <w:b w:val="0"/>
          <w:bCs/>
          <w:color w:val="auto"/>
          <w:sz w:val="24"/>
          <w:highlight w:val="none"/>
          <w:lang w:eastAsia="zh-CN"/>
        </w:rPr>
        <w:t>等），签订合同前提供不低于50%人员的全部证明材料，签订合同后</w:t>
      </w:r>
      <w:r>
        <w:rPr>
          <w:rFonts w:hint="eastAsia" w:ascii="宋体" w:hAnsi="宋体" w:cs="宋体"/>
          <w:b w:val="0"/>
          <w:bCs/>
          <w:color w:val="auto"/>
          <w:sz w:val="24"/>
          <w:highlight w:val="none"/>
          <w:lang w:val="en-US" w:eastAsia="zh-CN"/>
        </w:rPr>
        <w:t>人员到岗前</w:t>
      </w:r>
      <w:r>
        <w:rPr>
          <w:rFonts w:hint="eastAsia" w:ascii="宋体" w:hAnsi="宋体" w:cs="宋体"/>
          <w:b w:val="0"/>
          <w:bCs/>
          <w:color w:val="auto"/>
          <w:sz w:val="24"/>
          <w:highlight w:val="none"/>
          <w:lang w:eastAsia="zh-CN"/>
        </w:rPr>
        <w:t>提供全部人员的相关证明材料。</w:t>
      </w:r>
    </w:p>
    <w:p>
      <w:pPr>
        <w:widowControl/>
        <w:numPr>
          <w:ilvl w:val="0"/>
          <w:numId w:val="0"/>
        </w:numPr>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7.</w:t>
      </w:r>
      <w:r>
        <w:rPr>
          <w:rFonts w:hint="eastAsia" w:ascii="宋体" w:hAnsi="宋体" w:eastAsia="宋体" w:cs="宋体"/>
          <w:color w:val="auto"/>
          <w:sz w:val="24"/>
          <w:szCs w:val="24"/>
          <w:highlight w:val="none"/>
          <w:lang w:eastAsia="zh-CN"/>
        </w:rPr>
        <w:t>项目人员结构合理，按照人员配备比例，落实服务团队人数。</w:t>
      </w:r>
      <w:r>
        <w:rPr>
          <w:rFonts w:hint="eastAsia" w:ascii="宋体" w:hAnsi="宋体" w:eastAsia="宋体" w:cs="宋体"/>
          <w:color w:val="auto"/>
          <w:sz w:val="24"/>
          <w:szCs w:val="24"/>
          <w:highlight w:val="none"/>
          <w:lang w:val="en-US" w:eastAsia="zh-CN"/>
        </w:rPr>
        <w:t>55周</w:t>
      </w:r>
      <w:r>
        <w:rPr>
          <w:rFonts w:hint="eastAsia" w:ascii="宋体" w:hAnsi="宋体" w:eastAsia="宋体" w:cs="宋体"/>
          <w:color w:val="auto"/>
          <w:sz w:val="24"/>
          <w:szCs w:val="24"/>
          <w:highlight w:val="none"/>
          <w:lang w:eastAsia="zh-CN"/>
        </w:rPr>
        <w:t>岁</w:t>
      </w:r>
      <w:r>
        <w:rPr>
          <w:rFonts w:hint="eastAsia" w:ascii="宋体" w:hAnsi="宋体" w:cs="宋体"/>
          <w:color w:val="auto"/>
          <w:sz w:val="24"/>
          <w:szCs w:val="24"/>
          <w:highlight w:val="none"/>
          <w:lang w:val="en-US" w:eastAsia="zh-CN"/>
        </w:rPr>
        <w:t>以下</w:t>
      </w:r>
      <w:r>
        <w:rPr>
          <w:rFonts w:hint="eastAsia" w:ascii="宋体" w:hAnsi="宋体" w:eastAsia="宋体" w:cs="宋体"/>
          <w:color w:val="auto"/>
          <w:sz w:val="24"/>
          <w:szCs w:val="24"/>
          <w:highlight w:val="none"/>
          <w:lang w:eastAsia="zh-CN"/>
        </w:rPr>
        <w:t>不少于</w:t>
      </w:r>
      <w:r>
        <w:rPr>
          <w:rFonts w:hint="eastAsia" w:ascii="宋体" w:hAnsi="宋体" w:cs="宋体"/>
          <w:color w:val="auto"/>
          <w:sz w:val="24"/>
          <w:szCs w:val="24"/>
          <w:highlight w:val="none"/>
          <w:lang w:val="en-US" w:eastAsia="zh-CN"/>
        </w:rPr>
        <w:t>70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55周</w:t>
      </w:r>
      <w:r>
        <w:rPr>
          <w:rFonts w:hint="eastAsia" w:ascii="宋体" w:hAnsi="宋体" w:eastAsia="宋体" w:cs="宋体"/>
          <w:color w:val="auto"/>
          <w:sz w:val="24"/>
          <w:szCs w:val="24"/>
          <w:highlight w:val="none"/>
          <w:lang w:eastAsia="zh-CN"/>
        </w:rPr>
        <w:t>岁以上不超过</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%；初中及以上文化一半以上。</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8.</w:t>
      </w:r>
      <w:r>
        <w:rPr>
          <w:rFonts w:hint="eastAsia" w:ascii="宋体" w:hAnsi="宋体" w:cs="宋体"/>
          <w:b w:val="0"/>
          <w:bCs/>
          <w:color w:val="auto"/>
          <w:sz w:val="24"/>
          <w:highlight w:val="none"/>
          <w:lang w:eastAsia="zh-CN"/>
        </w:rPr>
        <w:t>新进员工必须在入职后</w:t>
      </w:r>
      <w:r>
        <w:rPr>
          <w:rFonts w:hint="eastAsia" w:ascii="宋体" w:hAnsi="宋体" w:cs="宋体"/>
          <w:b w:val="0"/>
          <w:bCs/>
          <w:color w:val="auto"/>
          <w:sz w:val="24"/>
          <w:highlight w:val="none"/>
          <w:lang w:val="en-US" w:eastAsia="zh-CN"/>
        </w:rPr>
        <w:t>到岗前</w:t>
      </w:r>
      <w:r>
        <w:rPr>
          <w:rFonts w:hint="eastAsia" w:ascii="宋体" w:hAnsi="宋体" w:cs="宋体"/>
          <w:b w:val="0"/>
          <w:bCs/>
          <w:color w:val="auto"/>
          <w:sz w:val="24"/>
          <w:highlight w:val="none"/>
          <w:lang w:eastAsia="zh-CN"/>
        </w:rPr>
        <w:t>按以上标准提供相应的证明材料。所有人员必须专职为杭州市儿童福利院服务，不得兼职，有项目组成员如需要更换，须提前</w:t>
      </w:r>
      <w:r>
        <w:rPr>
          <w:rFonts w:hint="eastAsia" w:ascii="宋体" w:hAnsi="宋体" w:cs="宋体"/>
          <w:b w:val="0"/>
          <w:bCs/>
          <w:color w:val="auto"/>
          <w:sz w:val="24"/>
          <w:highlight w:val="none"/>
          <w:lang w:val="en-US" w:eastAsia="zh-CN"/>
        </w:rPr>
        <w:t>3天</w:t>
      </w:r>
      <w:r>
        <w:rPr>
          <w:rFonts w:hint="eastAsia" w:ascii="宋体" w:hAnsi="宋体" w:cs="宋体"/>
          <w:b w:val="0"/>
          <w:bCs/>
          <w:color w:val="auto"/>
          <w:sz w:val="24"/>
          <w:highlight w:val="none"/>
          <w:lang w:eastAsia="zh-CN"/>
        </w:rPr>
        <w:t>上报采购单位，经采购单位书面同意认可后更换。</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9.</w:t>
      </w:r>
      <w:r>
        <w:rPr>
          <w:rFonts w:hint="eastAsia" w:ascii="宋体" w:hAnsi="宋体" w:cs="宋体"/>
          <w:b w:val="0"/>
          <w:bCs/>
          <w:color w:val="auto"/>
          <w:sz w:val="24"/>
          <w:highlight w:val="none"/>
          <w:lang w:eastAsia="zh-CN"/>
        </w:rPr>
        <w:t>为提高服务方护理服务水平，所有服务人员需进行孤残儿童护理知识培训。除项目单位对服务人员的培训外，还需接受采购单位对服务人员的相关业务培训。</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10.</w:t>
      </w:r>
      <w:r>
        <w:rPr>
          <w:rFonts w:hint="eastAsia" w:ascii="宋体" w:hAnsi="宋体" w:cs="宋体"/>
          <w:b w:val="0"/>
          <w:bCs/>
          <w:color w:val="auto"/>
          <w:sz w:val="24"/>
          <w:highlight w:val="none"/>
          <w:lang w:eastAsia="zh-CN"/>
        </w:rPr>
        <w:t>项目单位应严格遵守采购单位的各项规定和管理要求，保证不泄漏或以任何方式向第三方予以暗示、披露或擅自使用在服务管理中获得的任何儿童信息、单位信息；未经采购单位书面同意，项目单位不得利用与采购单位有关的音像资料、数据进行对外宣传。此条款长期有效，不因本合同的终止而失效。否则，</w:t>
      </w:r>
      <w:r>
        <w:rPr>
          <w:rFonts w:hint="eastAsia" w:asciiTheme="majorEastAsia" w:hAnsiTheme="majorEastAsia" w:eastAsiaTheme="majorEastAsia" w:cstheme="majorEastAsia"/>
          <w:color w:val="auto"/>
          <w:sz w:val="24"/>
          <w:szCs w:val="24"/>
          <w:highlight w:val="none"/>
          <w:lang w:eastAsia="zh-CN"/>
        </w:rPr>
        <w:t>项目单位应向采购单位承担1000</w:t>
      </w:r>
      <w:r>
        <w:rPr>
          <w:rFonts w:hint="eastAsia" w:asciiTheme="majorEastAsia" w:hAnsiTheme="majorEastAsia" w:eastAsiaTheme="majorEastAsia" w:cstheme="majorEastAsia"/>
          <w:color w:val="auto"/>
          <w:sz w:val="24"/>
          <w:szCs w:val="24"/>
          <w:highlight w:val="none"/>
          <w:lang w:val="en-US" w:eastAsia="zh-CN"/>
        </w:rPr>
        <w:t>0</w:t>
      </w:r>
      <w:r>
        <w:rPr>
          <w:rFonts w:hint="eastAsia" w:asciiTheme="majorEastAsia" w:hAnsiTheme="majorEastAsia" w:eastAsiaTheme="majorEastAsia" w:cstheme="majorEastAsia"/>
          <w:color w:val="auto"/>
          <w:sz w:val="24"/>
          <w:szCs w:val="24"/>
          <w:highlight w:val="none"/>
          <w:lang w:eastAsia="zh-CN"/>
        </w:rPr>
        <w:t>元</w:t>
      </w:r>
      <w:r>
        <w:rPr>
          <w:rFonts w:hint="eastAsia" w:asciiTheme="majorEastAsia" w:hAnsiTheme="majorEastAsia" w:eastAsiaTheme="majorEastAsia" w:cstheme="majorEastAsia"/>
          <w:color w:val="auto"/>
          <w:sz w:val="24"/>
          <w:szCs w:val="24"/>
          <w:highlight w:val="none"/>
          <w:lang w:val="en-US" w:eastAsia="zh-CN"/>
        </w:rPr>
        <w:t>到50000元不等</w:t>
      </w:r>
      <w:r>
        <w:rPr>
          <w:rFonts w:hint="eastAsia" w:asciiTheme="majorEastAsia" w:hAnsiTheme="majorEastAsia" w:eastAsiaTheme="majorEastAsia" w:cstheme="majorEastAsia"/>
          <w:color w:val="auto"/>
          <w:sz w:val="24"/>
          <w:szCs w:val="24"/>
          <w:highlight w:val="none"/>
          <w:lang w:eastAsia="zh-CN"/>
        </w:rPr>
        <w:t>的违约金，</w:t>
      </w:r>
      <w:r>
        <w:rPr>
          <w:rFonts w:hint="eastAsia" w:asciiTheme="majorEastAsia" w:hAnsiTheme="majorEastAsia" w:eastAsiaTheme="majorEastAsia" w:cstheme="majorEastAsia"/>
          <w:color w:val="auto"/>
          <w:sz w:val="24"/>
          <w:szCs w:val="24"/>
          <w:highlight w:val="none"/>
          <w:lang w:val="en-US" w:eastAsia="zh-CN"/>
        </w:rPr>
        <w:t>具体金额视情节而定，</w:t>
      </w:r>
      <w:r>
        <w:rPr>
          <w:rFonts w:hint="eastAsia" w:ascii="宋体" w:hAnsi="宋体" w:cs="宋体"/>
          <w:b w:val="0"/>
          <w:bCs/>
          <w:color w:val="auto"/>
          <w:sz w:val="24"/>
          <w:highlight w:val="none"/>
          <w:lang w:eastAsia="zh-CN"/>
        </w:rPr>
        <w:t>并赔偿采购单位由此造成的一切损失。</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11.</w:t>
      </w:r>
      <w:r>
        <w:rPr>
          <w:rFonts w:hint="eastAsia" w:ascii="宋体" w:hAnsi="宋体" w:cs="宋体"/>
          <w:b w:val="0"/>
          <w:bCs/>
          <w:color w:val="auto"/>
          <w:sz w:val="24"/>
          <w:highlight w:val="none"/>
          <w:lang w:eastAsia="zh-CN"/>
        </w:rPr>
        <w:t>项目单位应利用电脑对儿童个案实行信息化管理。各类记录、报表应真实、准确、及时，符合采购单位要求。</w:t>
      </w:r>
    </w:p>
    <w:p>
      <w:pPr>
        <w:snapToGrid w:val="0"/>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val="en-US" w:eastAsia="zh-CN"/>
        </w:rPr>
        <w:t>12.</w:t>
      </w:r>
      <w:r>
        <w:rPr>
          <w:rFonts w:hint="eastAsia" w:ascii="宋体" w:hAnsi="宋体" w:cs="宋体"/>
          <w:b w:val="0"/>
          <w:bCs/>
          <w:color w:val="auto"/>
          <w:sz w:val="24"/>
          <w:highlight w:val="none"/>
          <w:lang w:eastAsia="zh-CN"/>
        </w:rPr>
        <w:t>项目单位应有风险管理措施和应急预案，认真做好各类事故的预防工作，确保安全无事故。</w:t>
      </w:r>
    </w:p>
    <w:p>
      <w:pPr>
        <w:pageBreakBefore w:val="0"/>
        <w:numPr>
          <w:ilvl w:val="0"/>
          <w:numId w:val="0"/>
        </w:numPr>
        <w:kinsoku/>
        <w:wordWrap/>
        <w:overflowPunct/>
        <w:topLinePunct w:val="0"/>
        <w:bidi w:val="0"/>
        <w:spacing w:line="360" w:lineRule="auto"/>
        <w:ind w:firstLine="480" w:firstLineChars="200"/>
        <w:textAlignment w:val="auto"/>
        <w:rPr>
          <w:rFonts w:hint="default"/>
          <w:color w:val="auto"/>
          <w:highlight w:val="none"/>
          <w:lang w:val="en-US" w:eastAsia="zh-CN"/>
        </w:rPr>
      </w:pPr>
      <w:r>
        <w:rPr>
          <w:rFonts w:hint="eastAsia" w:hAnsi="宋体" w:cs="宋体"/>
          <w:b w:val="0"/>
          <w:bCs/>
          <w:color w:val="auto"/>
          <w:sz w:val="24"/>
          <w:highlight w:val="none"/>
          <w:lang w:val="en-US" w:eastAsia="zh-CN"/>
        </w:rPr>
        <w:t>13.</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单位拟派服务人员须严格遵守</w:t>
      </w:r>
      <w:r>
        <w:rPr>
          <w:rFonts w:hint="eastAsia" w:ascii="宋体" w:hAnsi="宋体" w:eastAsia="宋体" w:cs="宋体"/>
          <w:color w:val="auto"/>
          <w:sz w:val="24"/>
          <w:szCs w:val="24"/>
          <w:highlight w:val="none"/>
          <w:lang w:val="en-US" w:eastAsia="zh-CN"/>
        </w:rPr>
        <w:t>浙江省</w:t>
      </w:r>
      <w:r>
        <w:rPr>
          <w:rFonts w:hint="eastAsia" w:ascii="宋体" w:hAnsi="宋体" w:eastAsia="宋体" w:cs="宋体"/>
          <w:color w:val="auto"/>
          <w:sz w:val="24"/>
          <w:szCs w:val="24"/>
          <w:highlight w:val="none"/>
        </w:rPr>
        <w:t>疾控中心和甲方的</w:t>
      </w:r>
      <w:r>
        <w:rPr>
          <w:rFonts w:hint="eastAsia" w:ascii="宋体" w:hAnsi="宋体" w:eastAsia="宋体" w:cs="宋体"/>
          <w:color w:val="auto"/>
          <w:sz w:val="24"/>
          <w:szCs w:val="24"/>
          <w:highlight w:val="none"/>
          <w:lang w:eastAsia="zh-CN"/>
        </w:rPr>
        <w:t>关于传染性疾病防控的所有</w:t>
      </w:r>
      <w:r>
        <w:rPr>
          <w:rFonts w:hint="eastAsia" w:ascii="宋体" w:hAnsi="宋体" w:eastAsia="宋体" w:cs="宋体"/>
          <w:color w:val="auto"/>
          <w:sz w:val="24"/>
          <w:szCs w:val="24"/>
          <w:highlight w:val="none"/>
        </w:rPr>
        <w:t>要求</w:t>
      </w:r>
      <w:r>
        <w:rPr>
          <w:rFonts w:hint="eastAsia" w:ascii="宋体" w:hAnsi="宋体" w:eastAsia="宋体" w:cs="宋体"/>
          <w:color w:val="auto"/>
          <w:sz w:val="24"/>
          <w:szCs w:val="24"/>
          <w:highlight w:val="none"/>
          <w:lang w:eastAsia="zh-CN"/>
        </w:rPr>
        <w:t>（包括封闭管理），</w:t>
      </w:r>
      <w:r>
        <w:rPr>
          <w:rFonts w:hint="eastAsia" w:ascii="宋体" w:hAnsi="宋体" w:eastAsia="宋体" w:cs="宋体"/>
          <w:color w:val="auto"/>
          <w:sz w:val="24"/>
          <w:szCs w:val="24"/>
          <w:highlight w:val="none"/>
        </w:rPr>
        <w:t>如有特殊情况另行规定</w:t>
      </w:r>
      <w:r>
        <w:rPr>
          <w:rFonts w:hint="eastAsia" w:ascii="宋体" w:hAnsi="宋体" w:eastAsia="宋体" w:cs="宋体"/>
          <w:color w:val="auto"/>
          <w:sz w:val="24"/>
          <w:szCs w:val="24"/>
          <w:highlight w:val="none"/>
          <w:lang w:val="en-US" w:eastAsia="zh-CN"/>
        </w:rPr>
        <w:t>。</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（3）岗位职责与要求</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1.管理岗位</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首聘年龄&lt;45周岁，</w:t>
      </w:r>
      <w:r>
        <w:rPr>
          <w:rFonts w:hint="eastAsia" w:ascii="宋体" w:hAnsi="宋体" w:cs="宋体"/>
          <w:b w:val="0"/>
          <w:bCs/>
          <w:color w:val="auto"/>
          <w:sz w:val="24"/>
          <w:highlight w:val="none"/>
        </w:rPr>
        <w:t>大专及以上学历，</w:t>
      </w:r>
      <w:r>
        <w:rPr>
          <w:rFonts w:hint="eastAsia" w:ascii="宋体" w:hAnsi="宋体" w:cs="宋体"/>
          <w:b w:val="0"/>
          <w:bCs/>
          <w:color w:val="auto"/>
          <w:sz w:val="24"/>
          <w:highlight w:val="none"/>
          <w:lang w:val="en-US" w:eastAsia="zh-CN"/>
        </w:rPr>
        <w:t>具有（护理/康复/教育/心理/社会工作等)</w:t>
      </w:r>
      <w:r>
        <w:rPr>
          <w:rFonts w:hint="eastAsia" w:ascii="宋体" w:hAnsi="宋体" w:cs="宋体"/>
          <w:b w:val="0"/>
          <w:bCs/>
          <w:color w:val="auto"/>
          <w:sz w:val="24"/>
          <w:highlight w:val="none"/>
        </w:rPr>
        <w:t>相关专业资格</w:t>
      </w:r>
      <w:r>
        <w:rPr>
          <w:rFonts w:hint="eastAsia" w:ascii="宋体" w:hAnsi="宋体" w:cs="宋体"/>
          <w:b w:val="0"/>
          <w:bCs/>
          <w:color w:val="auto"/>
          <w:sz w:val="24"/>
          <w:highlight w:val="none"/>
          <w:lang w:val="en-US" w:eastAsia="zh-CN"/>
        </w:rPr>
        <w:t>,两年及以上护理管理经验</w:t>
      </w: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rPr>
        <w:t>身体健康，熟悉</w:t>
      </w:r>
      <w:r>
        <w:rPr>
          <w:rFonts w:hint="eastAsia" w:ascii="宋体" w:hAnsi="宋体" w:cs="宋体"/>
          <w:b w:val="0"/>
          <w:bCs/>
          <w:color w:val="auto"/>
          <w:sz w:val="24"/>
          <w:highlight w:val="none"/>
          <w:lang w:eastAsia="zh-CN"/>
        </w:rPr>
        <w:t>护理</w:t>
      </w:r>
      <w:r>
        <w:rPr>
          <w:rFonts w:hint="eastAsia" w:ascii="宋体" w:hAnsi="宋体" w:cs="宋体"/>
          <w:b w:val="0"/>
          <w:bCs/>
          <w:color w:val="auto"/>
          <w:sz w:val="24"/>
          <w:highlight w:val="none"/>
        </w:rPr>
        <w:t>行业政策法规；热爱儿童，工作责任心强，有较强的服务意识。</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1.1在采购方的指导下，负责优育项目的日常管理与运行。</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1.2负责项目统筹协调，制定项目服务计划并组织实施，定期检查回顾，按时总结汇报。</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1.3负责项目行政管理，拟定和规范护理工作制度、护理人员职责、护理常规等，不折不扣抓好制度执行。</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1.4负责项目人事管理，统筹做好人员招聘、分工、考核等，根据工作量合理分配护理人力资源。</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1.5负责项目安全管理，建立健全应急预案，严防护理差错事故，严格履行护理安全事件与隐患缺陷报告制度。</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1.6负责项目质量管理，建立、实施并保持质量管理体系，指导并参与特殊儿童护理，保持护理质量持续改进。</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1.7负责项目业务管理，建立护理查房制度，引导督促项目人员履职尽责，严格执行各项规章制度和技术操作规程。</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1.8负责项目队伍建设，定期组织业务学习、开展技能训练与考核，促进护理团队成长。</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1.9定期召开工作会议，每天参加晨会交班，每周一次工作例会，每月一次组长会议，每季度一次质量分析会，每年一次护理员大会。</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1.10加强协调配合，保质保量完成采购方交办的其他工作任务。</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2.专业技术岗位</w:t>
      </w:r>
    </w:p>
    <w:p>
      <w:pPr>
        <w:snapToGrid w:val="0"/>
        <w:spacing w:line="360" w:lineRule="auto"/>
        <w:ind w:firstLine="480" w:firstLineChars="200"/>
        <w:rPr>
          <w:rFonts w:hint="eastAsia" w:ascii="宋体" w:hAnsi="宋体" w:cs="宋体"/>
          <w:b w:val="0"/>
          <w:bCs/>
          <w:color w:val="auto"/>
          <w:sz w:val="24"/>
          <w:highlight w:val="none"/>
        </w:rPr>
      </w:pPr>
      <w:r>
        <w:rPr>
          <w:rFonts w:hint="eastAsia" w:ascii="宋体" w:hAnsi="宋体" w:cs="宋体"/>
          <w:b w:val="0"/>
          <w:bCs/>
          <w:color w:val="auto"/>
          <w:sz w:val="24"/>
          <w:highlight w:val="none"/>
          <w:lang w:val="en-US" w:eastAsia="zh-CN"/>
        </w:rPr>
        <w:t>首聘年龄&lt;45周岁，</w:t>
      </w:r>
      <w:r>
        <w:rPr>
          <w:rFonts w:hint="eastAsia" w:ascii="宋体" w:hAnsi="宋体" w:cs="宋体"/>
          <w:b w:val="0"/>
          <w:bCs/>
          <w:color w:val="auto"/>
          <w:sz w:val="24"/>
          <w:highlight w:val="none"/>
          <w:lang w:eastAsia="zh-CN"/>
        </w:rPr>
        <w:t>中专</w:t>
      </w:r>
      <w:r>
        <w:rPr>
          <w:rFonts w:hint="eastAsia" w:ascii="宋体" w:hAnsi="宋体" w:cs="宋体"/>
          <w:b w:val="0"/>
          <w:bCs/>
          <w:color w:val="auto"/>
          <w:sz w:val="24"/>
          <w:highlight w:val="none"/>
        </w:rPr>
        <w:t>及以上学历，</w:t>
      </w:r>
      <w:r>
        <w:rPr>
          <w:rFonts w:hint="eastAsia" w:ascii="宋体" w:hAnsi="宋体" w:cs="宋体"/>
          <w:b w:val="0"/>
          <w:bCs/>
          <w:color w:val="auto"/>
          <w:sz w:val="24"/>
          <w:highlight w:val="none"/>
          <w:lang w:val="en-US" w:eastAsia="zh-CN"/>
        </w:rPr>
        <w:t>具有（护理/康复/教育/心理/社会工作等)</w:t>
      </w:r>
      <w:r>
        <w:rPr>
          <w:rFonts w:hint="eastAsia" w:ascii="宋体" w:hAnsi="宋体" w:cs="宋体"/>
          <w:b w:val="0"/>
          <w:bCs/>
          <w:color w:val="auto"/>
          <w:sz w:val="24"/>
          <w:highlight w:val="none"/>
        </w:rPr>
        <w:t>相关专业资格</w:t>
      </w: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rPr>
        <w:t>身体健康，熟悉</w:t>
      </w:r>
      <w:r>
        <w:rPr>
          <w:rFonts w:hint="eastAsia" w:ascii="宋体" w:hAnsi="宋体" w:cs="宋体"/>
          <w:b w:val="0"/>
          <w:bCs/>
          <w:color w:val="auto"/>
          <w:sz w:val="24"/>
          <w:highlight w:val="none"/>
          <w:lang w:eastAsia="zh-CN"/>
        </w:rPr>
        <w:t>护理</w:t>
      </w:r>
      <w:r>
        <w:rPr>
          <w:rFonts w:hint="eastAsia" w:ascii="宋体" w:hAnsi="宋体" w:cs="宋体"/>
          <w:b w:val="0"/>
          <w:bCs/>
          <w:color w:val="auto"/>
          <w:sz w:val="24"/>
          <w:highlight w:val="none"/>
        </w:rPr>
        <w:t>行业政策法规；热爱儿童，工作</w:t>
      </w:r>
      <w:r>
        <w:rPr>
          <w:rFonts w:hint="eastAsia" w:ascii="宋体" w:hAnsi="宋体" w:cs="宋体"/>
          <w:b w:val="0"/>
          <w:bCs/>
          <w:color w:val="auto"/>
          <w:sz w:val="24"/>
          <w:highlight w:val="none"/>
          <w:lang w:eastAsia="zh-CN"/>
        </w:rPr>
        <w:t>细致严谨、</w:t>
      </w:r>
      <w:r>
        <w:rPr>
          <w:rFonts w:hint="eastAsia" w:ascii="宋体" w:hAnsi="宋体" w:cs="宋体"/>
          <w:b w:val="0"/>
          <w:bCs/>
          <w:color w:val="auto"/>
          <w:sz w:val="24"/>
          <w:highlight w:val="none"/>
        </w:rPr>
        <w:t>责任心强，有较强的服务意识</w:t>
      </w:r>
      <w:r>
        <w:rPr>
          <w:rFonts w:hint="eastAsia" w:ascii="宋体" w:hAnsi="宋体" w:cs="宋体"/>
          <w:b w:val="0"/>
          <w:bCs/>
          <w:color w:val="auto"/>
          <w:sz w:val="24"/>
          <w:highlight w:val="none"/>
          <w:lang w:eastAsia="zh-CN"/>
        </w:rPr>
        <w:t>和应变能力</w:t>
      </w:r>
      <w:r>
        <w:rPr>
          <w:rFonts w:hint="eastAsia" w:ascii="宋体" w:hAnsi="宋体" w:cs="宋体"/>
          <w:b w:val="0"/>
          <w:bCs/>
          <w:color w:val="auto"/>
          <w:sz w:val="24"/>
          <w:highlight w:val="none"/>
          <w:lang w:val="en-US" w:eastAsia="zh-CN"/>
        </w:rPr>
        <w:t>，</w:t>
      </w:r>
      <w:r>
        <w:rPr>
          <w:rFonts w:hint="eastAsia" w:ascii="宋体" w:hAnsi="宋体" w:cs="宋体"/>
          <w:b w:val="0"/>
          <w:bCs/>
          <w:color w:val="auto"/>
          <w:sz w:val="24"/>
          <w:highlight w:val="none"/>
        </w:rPr>
        <w:t>相关工作经验者优先考虑。</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2.1在采购方的指导和项目主管的领导下，负责责任楼层的日常管理、业务指导和内外协调工作。</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2.2制定并实施护理工作计划，按期总结汇报，做到有计划、有安排、有重点、有成效。</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2.3负责楼内护理员分工排班和考核评优，制定岗位流程和考核标准，抓好护理员政治思想工作和职业道德教育。</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2.4教育和引导护理员持续改善服务态度，督促各项规章制度和技术操作规程执行到位，严防安全事故。</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2.5主持晨会定时巡查，指导并参与特殊儿童护理，经常深入班组检查并改进护理质量。</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2.6坚持面向全体、突出个体，围绕儿童需求开展儿童抚育照护、生活康复和游戏活动，协助专业服务。</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2.7在医务人员的指导下，严格执行消毒隔离制度，配合卫生保健、饮食安全等知识宣教，落实患病儿童观察护理。</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2.8负责楼层各类物资、设备仪器的申领与管理，做好设备使用维护与故障报修，保证工作有序开展。</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 xml:space="preserve">2.9定期组织护理员业务学习和技能培训，参加院部、科室组织的培训，不断提高护理人员业务素质和服务水平。 </w:t>
      </w:r>
    </w:p>
    <w:p>
      <w:pPr>
        <w:snapToGrid w:val="0"/>
        <w:spacing w:line="360" w:lineRule="auto"/>
        <w:ind w:firstLine="480" w:firstLineChars="200"/>
        <w:rPr>
          <w:rFonts w:hint="eastAsia" w:ascii="宋体" w:hAnsi="宋体" w:cs="宋体"/>
          <w:b w:val="0"/>
          <w:bCs/>
          <w:color w:val="auto"/>
          <w:sz w:val="24"/>
          <w:highlight w:val="none"/>
        </w:rPr>
      </w:pPr>
      <w:r>
        <w:rPr>
          <w:rFonts w:hint="eastAsia" w:ascii="宋体" w:hAnsi="宋体" w:cs="宋体"/>
          <w:b w:val="0"/>
          <w:bCs/>
          <w:color w:val="auto"/>
          <w:sz w:val="24"/>
          <w:highlight w:val="none"/>
          <w:lang w:val="en-US" w:eastAsia="zh-CN"/>
        </w:rPr>
        <w:t xml:space="preserve">2.10完成上级交办的其他工作任务，服从部门统一管理和安排。 </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（3）护理岗位</w:t>
      </w:r>
    </w:p>
    <w:p>
      <w:pPr>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女性&lt;55周岁，男性&lt;60周岁，具有(育婴员/护理员等)照护类证书，</w:t>
      </w:r>
      <w:r>
        <w:rPr>
          <w:rFonts w:hint="eastAsia" w:asciiTheme="minorEastAsia" w:hAnsiTheme="minorEastAsia" w:eastAsiaTheme="minorEastAsia" w:cstheme="minorEastAsia"/>
          <w:color w:val="auto"/>
          <w:kern w:val="2"/>
          <w:sz w:val="24"/>
          <w:szCs w:val="24"/>
          <w:highlight w:val="none"/>
          <w:lang w:val="en-US" w:eastAsia="zh-CN" w:bidi="ar-SA"/>
        </w:rPr>
        <w:t>一年以上护理工作经验者年龄可适当放宽，（根据甲方配备需求B照驾驶员，具有两年以上驾驶经验，接到甲方通知后10个工作日内到岗）</w:t>
      </w:r>
      <w:r>
        <w:rPr>
          <w:rFonts w:hint="eastAsia" w:ascii="宋体" w:hAnsi="宋体" w:eastAsia="宋体" w:cs="宋体"/>
          <w:color w:val="auto"/>
          <w:kern w:val="2"/>
          <w:sz w:val="24"/>
          <w:szCs w:val="24"/>
          <w:highlight w:val="none"/>
          <w:lang w:val="en-US" w:eastAsia="zh-CN" w:bidi="ar-SA"/>
        </w:rPr>
        <w:t>；热爱儿童，身体健康，无犯罪记录，能吃苦耐劳，经培训合格后能独立上岗，独立完成护理记录。</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3.1在项目单位的领导和采购方的指导下，为儿童提供24小时全天候照护服务。</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3.2严格遵守各项规章制度，认真执行护理操作规程，按照护理等级为不同年龄、不同能力的儿童实施分级护理，做好台账记录。</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3.3负责儿童日常生活照料，根据儿童身心特点实施针对性护理，包括亲情关爱、饮食起居照料、个人清洁卫生和睡眠照料等。</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3.4采取安全防护措施，预防儿童意外伤害，配合处理儿童突发状况，杜绝差错事故。</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3.5负责儿童区域清洁卫生，做好内务整理、清扫保洁和日常消毒等，保持儿童生活环境整洁有序。</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3.6负责儿童衣物清洗消毒晾晒缝纫，严格执行消毒隔离制度，衣物、被褥随脏随洗，玩具、用具、辅具定期消毒清洗。</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3.7负责儿童配奶配餐服务,严格按照儿童饮食表调制配方奶、制作水果泥，保障食品安全卫生。</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3.8负责生病儿童陪护照料（包括住院），护送儿童外出体检、就医就学等，给予情感支持，促进儿童健康。</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3.9协助早教康复，按照康复计划实施生活康复训练，组织儿童闲暇活动，支持儿童参与各类活动，提供现场护理。</w:t>
      </w:r>
    </w:p>
    <w:p>
      <w:pPr>
        <w:snapToGrid w:val="0"/>
        <w:spacing w:line="360" w:lineRule="auto"/>
        <w:ind w:firstLine="480" w:firstLineChars="200"/>
        <w:rPr>
          <w:color w:val="auto"/>
          <w:sz w:val="24"/>
          <w:szCs w:val="32"/>
          <w:highlight w:val="none"/>
        </w:rPr>
      </w:pPr>
      <w:r>
        <w:rPr>
          <w:rFonts w:hint="eastAsia" w:ascii="宋体" w:hAnsi="宋体" w:cs="宋体"/>
          <w:b w:val="0"/>
          <w:bCs/>
          <w:color w:val="auto"/>
          <w:sz w:val="24"/>
          <w:highlight w:val="none"/>
          <w:lang w:val="en-US" w:eastAsia="zh-CN"/>
        </w:rPr>
        <w:t>3.10</w:t>
      </w:r>
      <w:r>
        <w:rPr>
          <w:rFonts w:hint="eastAsia" w:asciiTheme="minorEastAsia" w:hAnsiTheme="minorEastAsia" w:eastAsiaTheme="minorEastAsia" w:cstheme="minorEastAsia"/>
          <w:color w:val="auto"/>
          <w:sz w:val="24"/>
          <w:szCs w:val="24"/>
          <w:highlight w:val="none"/>
          <w:lang w:val="en-US" w:eastAsia="zh-CN"/>
        </w:rPr>
        <w:t>根据甲方需求，服从工作安排，完成交办的的其他工作任务</w:t>
      </w:r>
      <w:r>
        <w:rPr>
          <w:rFonts w:hint="eastAsia" w:ascii="宋体" w:hAnsi="宋体" w:cs="宋体"/>
          <w:b w:val="0"/>
          <w:bCs/>
          <w:color w:val="auto"/>
          <w:sz w:val="24"/>
          <w:highlight w:val="none"/>
          <w:lang w:val="en-US" w:eastAsia="zh-CN"/>
        </w:rPr>
        <w:t>。</w:t>
      </w:r>
    </w:p>
    <w:p>
      <w:pPr>
        <w:spacing w:line="360" w:lineRule="auto"/>
        <w:jc w:val="left"/>
        <w:rPr>
          <w:rFonts w:ascii="宋体" w:hAnsi="宋体" w:cs="宋体"/>
          <w:snapToGrid w:val="0"/>
          <w:color w:val="auto"/>
          <w:kern w:val="0"/>
          <w:sz w:val="24"/>
          <w:highlight w:val="none"/>
        </w:rPr>
      </w:pPr>
      <w:r>
        <w:rPr>
          <w:rFonts w:hint="eastAsia" w:ascii="宋体" w:hAnsi="宋体" w:cs="宋体"/>
          <w:b/>
          <w:color w:val="auto"/>
          <w:sz w:val="24"/>
          <w:highlight w:val="none"/>
        </w:rPr>
        <w:t>第十条</w:t>
      </w:r>
      <w:r>
        <w:rPr>
          <w:rFonts w:hint="eastAsia" w:ascii="宋体" w:hAnsi="宋体" w:cs="宋体"/>
          <w:color w:val="auto"/>
          <w:sz w:val="24"/>
          <w:highlight w:val="none"/>
        </w:rPr>
        <w:t xml:space="preserve"> </w:t>
      </w:r>
      <w:r>
        <w:rPr>
          <w:rFonts w:hint="eastAsia" w:ascii="宋体" w:hAnsi="宋体" w:cs="宋体"/>
          <w:b/>
          <w:snapToGrid w:val="0"/>
          <w:color w:val="auto"/>
          <w:kern w:val="0"/>
          <w:sz w:val="24"/>
          <w:highlight w:val="none"/>
        </w:rPr>
        <w:t>经营制约</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pPr>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2、乙方不得以甲方的名义从事任何经济活动，且由此发生的一切债权、债务与甲方无关。</w:t>
      </w:r>
    </w:p>
    <w:p>
      <w:pPr>
        <w:spacing w:line="360" w:lineRule="auto"/>
        <w:rPr>
          <w:rFonts w:ascii="宋体" w:hAnsi="宋体" w:cs="宋体"/>
          <w:snapToGrid w:val="0"/>
          <w:color w:val="auto"/>
          <w:kern w:val="0"/>
          <w:sz w:val="24"/>
          <w:highlight w:val="none"/>
        </w:rPr>
      </w:pPr>
      <w:r>
        <w:rPr>
          <w:rFonts w:hint="eastAsia" w:ascii="宋体" w:hAnsi="宋体" w:cs="宋体"/>
          <w:b/>
          <w:color w:val="auto"/>
          <w:sz w:val="24"/>
          <w:highlight w:val="none"/>
        </w:rPr>
        <w:t>第十</w:t>
      </w:r>
      <w:r>
        <w:rPr>
          <w:rFonts w:hint="eastAsia" w:ascii="宋体" w:hAnsi="宋体" w:cs="宋体"/>
          <w:b/>
          <w:color w:val="auto"/>
          <w:sz w:val="24"/>
          <w:highlight w:val="none"/>
          <w:lang w:val="en-US" w:eastAsia="zh-CN"/>
        </w:rPr>
        <w:t>一</w:t>
      </w:r>
      <w:r>
        <w:rPr>
          <w:rFonts w:hint="eastAsia" w:ascii="宋体" w:hAnsi="宋体" w:cs="宋体"/>
          <w:b/>
          <w:color w:val="auto"/>
          <w:sz w:val="24"/>
          <w:highlight w:val="none"/>
        </w:rPr>
        <w:t>条</w:t>
      </w:r>
      <w:r>
        <w:rPr>
          <w:rFonts w:hint="eastAsia" w:ascii="宋体" w:hAnsi="宋体" w:cs="宋体"/>
          <w:color w:val="auto"/>
          <w:sz w:val="24"/>
          <w:highlight w:val="none"/>
        </w:rPr>
        <w:t xml:space="preserve"> </w:t>
      </w:r>
      <w:r>
        <w:rPr>
          <w:rFonts w:hint="eastAsia" w:ascii="宋体" w:hAnsi="宋体" w:cs="宋体"/>
          <w:b/>
          <w:snapToGrid w:val="0"/>
          <w:color w:val="auto"/>
          <w:kern w:val="0"/>
          <w:sz w:val="24"/>
          <w:highlight w:val="none"/>
        </w:rPr>
        <w:t>乙方对甲方作出如下承诺</w:t>
      </w:r>
      <w:r>
        <w:rPr>
          <w:rFonts w:hint="eastAsia" w:ascii="宋体" w:hAnsi="宋体" w:cs="宋体"/>
          <w:snapToGrid w:val="0"/>
          <w:color w:val="auto"/>
          <w:kern w:val="0"/>
          <w:sz w:val="24"/>
          <w:highlight w:val="none"/>
        </w:rPr>
        <w:t>：</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不以任何形式转租、转让、抵押承包区域，在承包区域只从事甲方认可的服务工作。在承包期间，乙方的任何股份配置变动应及时书面通知采购单位。未经甲方书面批准，任何股份转让都将视为乙方出租、转让的行为。</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2、乙方允许甲方或其授权的人员对承包项目内各项服务质量控制进行检查，有关费用由乙方承担。</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3、在承包项目的各项服务，其工作时间必须满足采购单位的工作要求，包括星期天及公众假期。如遇特殊情况，甲方可要求乙方调整工作时间。乙方应无条件配合。</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4、乙方必须聘请(或指定)一位经理(负责人)，全权代表乙方与采甲方保持密切联系并保证承包区域服务工作。根据综合考评或工作情况，甲方有权要求乙方在一个星期内更换经理（负责人）、相关骨干人员直至符合采购单位要求。乙方应无条件配合。</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color w:val="auto"/>
          <w:sz w:val="24"/>
          <w:highlight w:val="none"/>
        </w:rPr>
        <w:t>5、本项目配置工作人员以满足儿童实际服务需求为准，</w:t>
      </w:r>
      <w:r>
        <w:rPr>
          <w:rFonts w:hint="eastAsia" w:ascii="宋体" w:hAnsi="宋体" w:cs="宋体"/>
          <w:snapToGrid w:val="0"/>
          <w:color w:val="auto"/>
          <w:kern w:val="0"/>
          <w:sz w:val="24"/>
          <w:highlight w:val="none"/>
        </w:rPr>
        <w:t>如果发现项目单位投入的</w:t>
      </w:r>
      <w:r>
        <w:rPr>
          <w:rFonts w:hint="eastAsia" w:ascii="宋体" w:hAnsi="宋体" w:cs="宋体"/>
          <w:color w:val="auto"/>
          <w:sz w:val="24"/>
          <w:highlight w:val="none"/>
        </w:rPr>
        <w:t>直接服务该抚育项目人员</w:t>
      </w:r>
      <w:r>
        <w:rPr>
          <w:rFonts w:hint="eastAsia" w:ascii="宋体" w:hAnsi="宋体" w:cs="宋体"/>
          <w:snapToGrid w:val="0"/>
          <w:color w:val="auto"/>
          <w:kern w:val="0"/>
          <w:sz w:val="24"/>
          <w:highlight w:val="none"/>
        </w:rPr>
        <w:t>数量少于合同约定的数量或低于人员配比（含人员离职等原因），乙方应在2周内补齐人员，否则采购单位按考核标准扣除当月合同款。项目单位聘用的工作人员必须符合劳动部门有关用工规定，并经项目单位相关专业考核合格后持证上岗，甲方有权进行审核，该类费用开支由乙方负担。</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6、在承包期间，乙方所有人员仅与乙方建立劳动合同关系，且所有人员使用须符合《劳动合同法》的有关规定。乙方所有人员与甲方不存在劳动合同关系。乙方人员发生任何事故或与甲方发生劳动争议等均由乙方自行全权负责，相关费用乙方自行承担，乙方保证甲方在项目单位人员索赔时不受任何责任的约束。否则由此给甲方造成的一切损失均由项目单位承担。</w:t>
      </w:r>
    </w:p>
    <w:p>
      <w:pPr>
        <w:pStyle w:val="2"/>
        <w:ind w:firstLine="480" w:firstLineChars="200"/>
        <w:rPr>
          <w:rFonts w:hAnsi="宋体" w:cs="宋体"/>
          <w:snapToGrid w:val="0"/>
          <w:color w:val="auto"/>
          <w:szCs w:val="24"/>
          <w:highlight w:val="none"/>
          <w:lang w:val="en-US"/>
        </w:rPr>
      </w:pPr>
      <w:r>
        <w:rPr>
          <w:rFonts w:hint="eastAsia" w:hAnsi="宋体" w:cs="宋体"/>
          <w:snapToGrid w:val="0"/>
          <w:color w:val="auto"/>
          <w:szCs w:val="24"/>
          <w:highlight w:val="none"/>
          <w:lang w:val="en-US"/>
        </w:rPr>
        <w:t>7、要求</w:t>
      </w:r>
      <w:r>
        <w:rPr>
          <w:rFonts w:hint="eastAsia" w:hAnsi="宋体" w:cs="宋体"/>
          <w:snapToGrid w:val="0"/>
          <w:color w:val="auto"/>
          <w:kern w:val="0"/>
          <w:szCs w:val="24"/>
          <w:highlight w:val="none"/>
        </w:rPr>
        <w:t>乙方</w:t>
      </w:r>
      <w:r>
        <w:rPr>
          <w:rFonts w:hint="eastAsia" w:hAnsi="宋体" w:cs="宋体"/>
          <w:snapToGrid w:val="0"/>
          <w:color w:val="auto"/>
          <w:szCs w:val="24"/>
          <w:highlight w:val="none"/>
          <w:lang w:val="en-US"/>
        </w:rPr>
        <w:t>提供人员培训计划，具有完整性、规范性、可操作性。要求</w:t>
      </w:r>
      <w:r>
        <w:rPr>
          <w:rFonts w:hint="eastAsia" w:hAnsi="宋体" w:cs="宋体"/>
          <w:snapToGrid w:val="0"/>
          <w:color w:val="auto"/>
          <w:kern w:val="0"/>
          <w:szCs w:val="24"/>
          <w:highlight w:val="none"/>
        </w:rPr>
        <w:t>乙方</w:t>
      </w:r>
      <w:r>
        <w:rPr>
          <w:rFonts w:hint="eastAsia" w:hAnsi="宋体" w:cs="宋体"/>
          <w:snapToGrid w:val="0"/>
          <w:color w:val="auto"/>
          <w:szCs w:val="24"/>
          <w:highlight w:val="none"/>
          <w:lang w:val="en-US"/>
        </w:rPr>
        <w:t>具有相关培训资质及相关人员培训基地，提供相关证明材料。</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8、乙方工作人员上岗穿着由甲方确认的制服及甲方许可的装饰物品，费用和制作均由乙方负担。</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9、乙方必须出具或办妥法律及采购单位规定的与承包项目经营业务有关的执照和许可证，方可从事经营并在经营中遵守一切有关条例和规定。自行缴纳有关税、费。</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10、乙方必须确保为甲方提供优质、高效的专业服务，并根据甲方要求整改不满意的服务状况。接受有关部门监督与检查。同时，乙方自觉积极参加甲方认为有助提高甲方形象的宣传活动。</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11、在承包期内乙方应保证承包区域内的设施、设备良好的运营状况和环境状况，并接受甲方或其授权人员的检查，对由乙方引起或造成设施、设备的损坏状况，甲方将书面通知乙方修复或整改，在书面通知下达一周后，仍未按要求修复或整改完毕，甲方将负责完成这一工作，所需费用连同15%行政附加费全部由乙方承担。甲方有权自行在应支付给乙方的款项或履约保证金中扣除。</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12、意外情况处理：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以下情况由乙方承担责任：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（1)由于护理员工作不到位而引起的班组儿童走失、跌倒、坠床、烫伤、噎食、皮肤压疮、火灾等意外，以及其他由于护理人员工作不到位而引起的儿童伤害及可能引发的不良后果。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（2)若发生其他事故，乙方应及时给予应急帮助，事后分清责任，由责任方承担。</w:t>
      </w:r>
    </w:p>
    <w:p>
      <w:pPr>
        <w:snapToGrid w:val="0"/>
        <w:spacing w:line="360" w:lineRule="auto"/>
        <w:ind w:firstLine="482" w:firstLineChars="200"/>
        <w:rPr>
          <w:rFonts w:ascii="宋体" w:hAnsi="宋体" w:cs="宋体"/>
          <w:b/>
          <w:bCs/>
          <w:snapToGrid w:val="0"/>
          <w:color w:val="auto"/>
          <w:kern w:val="0"/>
          <w:sz w:val="24"/>
          <w:highlight w:val="none"/>
        </w:rPr>
      </w:pPr>
      <w:r>
        <w:rPr>
          <w:rFonts w:hint="eastAsia" w:ascii="宋体" w:hAnsi="宋体" w:cs="宋体"/>
          <w:b/>
          <w:bCs/>
          <w:snapToGrid w:val="0"/>
          <w:color w:val="auto"/>
          <w:kern w:val="0"/>
          <w:sz w:val="24"/>
          <w:highlight w:val="none"/>
        </w:rPr>
        <w:t>13、禁止事项</w:t>
      </w:r>
    </w:p>
    <w:p>
      <w:pPr>
        <w:spacing w:line="360" w:lineRule="auto"/>
        <w:ind w:firstLine="360" w:firstLineChars="15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w:t>
      </w:r>
      <w:r>
        <w:rPr>
          <w:rFonts w:hint="eastAsia" w:ascii="宋体" w:hAnsi="宋体" w:cs="宋体"/>
          <w:color w:val="auto"/>
          <w:sz w:val="24"/>
          <w:highlight w:val="none"/>
        </w:rPr>
        <w:t>乙方</w:t>
      </w:r>
      <w:r>
        <w:rPr>
          <w:rFonts w:hint="eastAsia" w:ascii="宋体" w:hAnsi="宋体" w:cs="宋体"/>
          <w:snapToGrid w:val="0"/>
          <w:color w:val="auto"/>
          <w:kern w:val="0"/>
          <w:sz w:val="24"/>
          <w:highlight w:val="none"/>
        </w:rPr>
        <w:t>不得以任何理由向甲方工作人员支付小费或赠送实物，违者将终止合同。</w:t>
      </w:r>
      <w:r>
        <w:rPr>
          <w:rFonts w:hint="eastAsia" w:ascii="宋体" w:hAnsi="宋体" w:cs="宋体"/>
          <w:color w:val="auto"/>
          <w:sz w:val="24"/>
          <w:highlight w:val="none"/>
        </w:rPr>
        <w:t>乙方</w:t>
      </w:r>
      <w:r>
        <w:rPr>
          <w:rFonts w:hint="eastAsia" w:ascii="宋体" w:hAnsi="宋体" w:cs="宋体"/>
          <w:snapToGrid w:val="0"/>
          <w:color w:val="auto"/>
          <w:kern w:val="0"/>
          <w:sz w:val="24"/>
          <w:highlight w:val="none"/>
        </w:rPr>
        <w:t>人员也不得以任何形式向甲方工作人员索取小费或钱物等。</w:t>
      </w:r>
    </w:p>
    <w:p>
      <w:pPr>
        <w:spacing w:line="360" w:lineRule="auto"/>
        <w:ind w:firstLine="360" w:firstLineChars="15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w:t>
      </w:r>
      <w:r>
        <w:rPr>
          <w:rFonts w:hint="eastAsia" w:ascii="宋体" w:hAnsi="宋体" w:cs="宋体"/>
          <w:color w:val="auto"/>
          <w:sz w:val="24"/>
          <w:highlight w:val="none"/>
        </w:rPr>
        <w:t>乙方</w:t>
      </w:r>
      <w:r>
        <w:rPr>
          <w:rFonts w:hint="eastAsia" w:ascii="宋体" w:hAnsi="宋体" w:cs="宋体"/>
          <w:snapToGrid w:val="0"/>
          <w:color w:val="auto"/>
          <w:kern w:val="0"/>
          <w:sz w:val="24"/>
          <w:highlight w:val="none"/>
        </w:rPr>
        <w:t>不得在承包项目期间从事非法活动，也不得从事有损甲方利益的活动，同时不允许在承包项目期间对甲方经营活动进行滋扰性的行为，以及其他甲方不允许的行为。</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14、</w:t>
      </w:r>
      <w:r>
        <w:rPr>
          <w:rFonts w:hint="eastAsia" w:ascii="宋体" w:hAnsi="宋体" w:cs="宋体"/>
          <w:b/>
          <w:snapToGrid w:val="0"/>
          <w:color w:val="auto"/>
          <w:kern w:val="0"/>
          <w:sz w:val="24"/>
          <w:highlight w:val="none"/>
        </w:rPr>
        <w:t>保险</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（1）第三者责任保险</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乙方应对乙方人员以及第三方全权负责(如乙方应投保第三责任险)，在乙方的责任区内由于乙方原因导致自己员工或第三方的事故由乙方负责，甲方不承担任何责任。</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（2）员工人身意外</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在承包期内，乙方所有人员的事故由乙方自行全权负责(如乙方应对其员工投保人身意外险)，以保证甲方在乙方工作人员索赔时不受任何责任的约束。</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（3）其他保险及费用</w:t>
      </w:r>
    </w:p>
    <w:p>
      <w:pPr>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乙方须按《劳动合同法》和政府有关各部门规定为全体服务人员交纳所有相关的社会保险及其他相关费用。乙方对此全权负责。</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15、乙方及其员工遵守行政大楼内的一切行政管理、消防安全等规定和制度，保证承包区域的消防设施能正常使用，消防通道畅通，同时承担违规责任。</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16、遇突发事件或安全检查时，乙方必须配合有关部门执行任务，并指定专职人员协助工作，直至完成。</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17、乙方保证在承包期满当天下午五时前撤离现场。</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18、乙方须积极配合甲方对其进行的抚育服务综合考评。</w:t>
      </w:r>
    </w:p>
    <w:p>
      <w:pPr>
        <w:spacing w:line="360" w:lineRule="auto"/>
        <w:rPr>
          <w:rFonts w:ascii="宋体" w:hAnsi="宋体" w:cs="宋体"/>
          <w:b/>
          <w:snapToGrid w:val="0"/>
          <w:color w:val="auto"/>
          <w:kern w:val="0"/>
          <w:sz w:val="24"/>
          <w:highlight w:val="none"/>
        </w:rPr>
      </w:pPr>
      <w:r>
        <w:rPr>
          <w:rFonts w:hint="eastAsia" w:ascii="宋体" w:hAnsi="宋体" w:cs="宋体"/>
          <w:b/>
          <w:color w:val="auto"/>
          <w:sz w:val="24"/>
          <w:highlight w:val="none"/>
        </w:rPr>
        <w:t>第十</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rPr>
        <w:t>条</w:t>
      </w:r>
      <w:r>
        <w:rPr>
          <w:rFonts w:hint="eastAsia" w:ascii="宋体" w:hAnsi="宋体" w:cs="宋体"/>
          <w:color w:val="auto"/>
          <w:sz w:val="24"/>
          <w:highlight w:val="none"/>
        </w:rPr>
        <w:t xml:space="preserve"> </w:t>
      </w:r>
      <w:r>
        <w:rPr>
          <w:rFonts w:hint="eastAsia" w:ascii="宋体" w:hAnsi="宋体" w:cs="宋体"/>
          <w:b/>
          <w:snapToGrid w:val="0"/>
          <w:color w:val="auto"/>
          <w:kern w:val="0"/>
          <w:sz w:val="24"/>
          <w:highlight w:val="none"/>
        </w:rPr>
        <w:t>甲方对乙方作出如下承诺：</w:t>
      </w:r>
    </w:p>
    <w:p>
      <w:pPr>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1、甲方在职权范围内保证乙方的正常经营不受干扰。</w:t>
      </w:r>
    </w:p>
    <w:p>
      <w:pPr>
        <w:spacing w:line="360" w:lineRule="auto"/>
        <w:ind w:firstLine="480" w:firstLineChars="200"/>
        <w:rPr>
          <w:rFonts w:ascii="宋体" w:hAnsi="宋体" w:cs="宋体"/>
          <w:b/>
          <w:color w:val="auto"/>
          <w:sz w:val="24"/>
          <w:highlight w:val="none"/>
        </w:rPr>
      </w:pPr>
      <w:r>
        <w:rPr>
          <w:rFonts w:hint="eastAsia" w:ascii="宋体" w:hAnsi="宋体" w:cs="宋体"/>
          <w:snapToGrid w:val="0"/>
          <w:color w:val="auto"/>
          <w:kern w:val="0"/>
          <w:sz w:val="24"/>
          <w:highlight w:val="none"/>
        </w:rPr>
        <w:t>2、保证乙方的员工按规定正常进入承包区域开展服务工作。</w:t>
      </w:r>
    </w:p>
    <w:p>
      <w:pPr>
        <w:spacing w:line="360" w:lineRule="auto"/>
        <w:rPr>
          <w:rFonts w:ascii="宋体" w:hAnsi="宋体" w:cs="宋体"/>
          <w:color w:val="auto"/>
          <w:sz w:val="24"/>
          <w:highlight w:val="none"/>
        </w:rPr>
      </w:pPr>
      <w:r>
        <w:rPr>
          <w:rFonts w:hint="eastAsia" w:ascii="宋体" w:hAnsi="宋体" w:cs="宋体"/>
          <w:b/>
          <w:color w:val="auto"/>
          <w:sz w:val="24"/>
          <w:highlight w:val="none"/>
        </w:rPr>
        <w:t>第十</w:t>
      </w:r>
      <w:r>
        <w:rPr>
          <w:rFonts w:hint="eastAsia" w:ascii="宋体" w:hAnsi="宋体" w:cs="宋体"/>
          <w:b/>
          <w:color w:val="auto"/>
          <w:sz w:val="24"/>
          <w:highlight w:val="none"/>
          <w:lang w:val="en-US" w:eastAsia="zh-CN"/>
        </w:rPr>
        <w:t>三</w:t>
      </w:r>
      <w:r>
        <w:rPr>
          <w:rFonts w:hint="eastAsia" w:ascii="宋体" w:hAnsi="宋体" w:cs="宋体"/>
          <w:b/>
          <w:color w:val="auto"/>
          <w:sz w:val="24"/>
          <w:highlight w:val="none"/>
        </w:rPr>
        <w:t xml:space="preserve">条 </w:t>
      </w:r>
      <w:r>
        <w:rPr>
          <w:rFonts w:hint="eastAsia" w:ascii="宋体" w:hAnsi="宋体" w:cs="宋体"/>
          <w:b/>
          <w:snapToGrid w:val="0"/>
          <w:color w:val="auto"/>
          <w:kern w:val="0"/>
          <w:sz w:val="24"/>
          <w:highlight w:val="none"/>
        </w:rPr>
        <w:t>合同生效和终止</w:t>
      </w:r>
      <w:r>
        <w:rPr>
          <w:rFonts w:hint="eastAsia" w:ascii="宋体" w:hAnsi="宋体" w:cs="宋体"/>
          <w:color w:val="auto"/>
          <w:sz w:val="24"/>
          <w:highlight w:val="none"/>
        </w:rPr>
        <w:t>：</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w:t>
      </w:r>
      <w:r>
        <w:rPr>
          <w:rFonts w:hint="eastAsia" w:ascii="宋体" w:hAnsi="宋体" w:cs="宋体"/>
          <w:color w:val="auto"/>
          <w:sz w:val="24"/>
          <w:highlight w:val="none"/>
        </w:rPr>
        <w:t>本合同经甲乙双方法定代表人或其委托人签字盖章，</w:t>
      </w:r>
      <w:r>
        <w:rPr>
          <w:rFonts w:hint="eastAsia" w:ascii="宋体" w:hAnsi="宋体" w:cs="宋体"/>
          <w:color w:val="auto"/>
          <w:sz w:val="24"/>
          <w:highlight w:val="none"/>
          <w:lang w:val="zh-CN"/>
        </w:rPr>
        <w:t>市政府采购办备案后生效</w:t>
      </w:r>
      <w:r>
        <w:rPr>
          <w:rFonts w:hint="eastAsia" w:ascii="宋体" w:hAnsi="宋体" w:cs="宋体"/>
          <w:snapToGrid w:val="0"/>
          <w:color w:val="auto"/>
          <w:kern w:val="0"/>
          <w:sz w:val="24"/>
          <w:highlight w:val="none"/>
        </w:rPr>
        <w:t>。</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w:t>
      </w:r>
      <w:r>
        <w:rPr>
          <w:rFonts w:hint="eastAsia" w:ascii="宋体" w:hAnsi="宋体" w:cs="宋体"/>
          <w:b/>
          <w:snapToGrid w:val="0"/>
          <w:color w:val="auto"/>
          <w:kern w:val="0"/>
          <w:sz w:val="24"/>
          <w:highlight w:val="none"/>
        </w:rPr>
        <w:t>终止</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w:t>
      </w:r>
      <w:r>
        <w:rPr>
          <w:rFonts w:hint="eastAsia" w:ascii="宋体" w:hAnsi="宋体" w:cs="宋体"/>
          <w:b/>
          <w:snapToGrid w:val="0"/>
          <w:color w:val="auto"/>
          <w:kern w:val="0"/>
          <w:sz w:val="24"/>
          <w:highlight w:val="none"/>
        </w:rPr>
        <w:t>提前终止</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1）如果甲方在服务期内无理由终止合同，甲方须提前一个月向乙方发出书面通知终止承包，甲方支付给乙方月度承包服务款二倍金额的赔偿金。</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2）因乙方在服务期内超过两次抚育服务综合考评未达标，甲方可以单方面终止承包，且乙方须支付给甲方月度承包服务款二倍金额的赔偿金。</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3）如甲方发现乙方出现转租、转让、抵押承包等情况，甲方可以单方面终止承包，且乙方须支付给甲方月度承包服务款二倍金额的赔偿金。</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4）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5）如果乙方在服务期内由于乙方原因造成重大责任事故或安全事故，甲方可以单方面终止承包，且乙方须赔偿给甲方造成的经济损失，并须支付给甲方月度承包服务款五倍金额的赔偿金。</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6）提前终止承包期早于月底最后一天，应视为月底最后一天期满，此条适用于上述1）至5）五条。</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7）乙方未能履行合同和遵守有关规定，在甲方发出书面警告后一周内乙方仍无采取补救措施，甲方可立即终止承包。</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8）乙方破产清</w:t>
      </w:r>
      <w:r>
        <w:rPr>
          <w:rFonts w:hint="eastAsia" w:ascii="宋体" w:hAnsi="宋体" w:cs="宋体"/>
          <w:snapToGrid w:val="0"/>
          <w:color w:val="auto"/>
          <w:kern w:val="0"/>
          <w:sz w:val="24"/>
          <w:highlight w:val="none"/>
          <w:lang w:val="en-US" w:eastAsia="zh-CN"/>
        </w:rPr>
        <w:t>算</w:t>
      </w:r>
      <w:r>
        <w:rPr>
          <w:rFonts w:hint="eastAsia" w:ascii="宋体" w:hAnsi="宋体" w:cs="宋体"/>
          <w:snapToGrid w:val="0"/>
          <w:color w:val="auto"/>
          <w:kern w:val="0"/>
          <w:sz w:val="24"/>
          <w:highlight w:val="none"/>
        </w:rPr>
        <w:t>、重组及兼并等事实发生，或被债权人接管经营，甲方不必通知乙方即可终止承包。</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（2） </w:t>
      </w:r>
      <w:r>
        <w:rPr>
          <w:rFonts w:hint="eastAsia" w:ascii="宋体" w:hAnsi="宋体" w:cs="宋体"/>
          <w:b/>
          <w:snapToGrid w:val="0"/>
          <w:color w:val="auto"/>
          <w:kern w:val="0"/>
          <w:sz w:val="24"/>
          <w:highlight w:val="none"/>
        </w:rPr>
        <w:t>协议终止</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经双方协商同意，可在任何时候终止承包。</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（3） </w:t>
      </w:r>
      <w:r>
        <w:rPr>
          <w:rFonts w:hint="eastAsia" w:ascii="宋体" w:hAnsi="宋体" w:cs="宋体"/>
          <w:b/>
          <w:snapToGrid w:val="0"/>
          <w:color w:val="auto"/>
          <w:kern w:val="0"/>
          <w:sz w:val="24"/>
          <w:highlight w:val="none"/>
        </w:rPr>
        <w:t>自然终止</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合同规定的承包服务期满，承包自然终止。在承包服务期内乙方服务通过甲方有关评分标准并得到甲方认可，双方可协商在下一年度续约。</w:t>
      </w:r>
    </w:p>
    <w:p>
      <w:pPr>
        <w:spacing w:line="360" w:lineRule="auto"/>
        <w:ind w:firstLine="556"/>
        <w:rPr>
          <w:rFonts w:ascii="宋体" w:hAnsi="宋体" w:cs="宋体"/>
          <w:snapToGrid w:val="0"/>
          <w:color w:val="auto"/>
          <w:kern w:val="0"/>
          <w:sz w:val="24"/>
          <w:highlight w:val="none"/>
        </w:rPr>
      </w:pPr>
      <w:r>
        <w:rPr>
          <w:rFonts w:hint="eastAsia" w:ascii="宋体" w:hAnsi="宋体" w:cs="宋体"/>
          <w:b/>
          <w:snapToGrid w:val="0"/>
          <w:color w:val="auto"/>
          <w:kern w:val="0"/>
          <w:sz w:val="24"/>
          <w:highlight w:val="none"/>
        </w:rPr>
        <w:t>3、承包终止后果</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（1）终止承包，不影响根据合同规定进行的赔偿、补偿，也不影响履约保证金的效力。</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（2）上述6）、7）二条的终止，乙方的履约保证金作为违约金支付给甲方。</w:t>
      </w:r>
    </w:p>
    <w:p>
      <w:pPr>
        <w:spacing w:line="360" w:lineRule="auto"/>
        <w:ind w:firstLine="556"/>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（3）承包终止时，双方应进行结算，甲方同时进行乙方承包区域设施、设备状况检查并要求乙方三天内将乙方物品撤离承包区域，否则甲方将代理处理，乙方支付甲方代理费及10%的手续费。</w:t>
      </w:r>
    </w:p>
    <w:p>
      <w:pPr>
        <w:spacing w:line="360" w:lineRule="auto"/>
        <w:ind w:firstLine="556"/>
        <w:rPr>
          <w:rFonts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4、不放弃权利</w:t>
      </w:r>
    </w:p>
    <w:p>
      <w:pPr>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甲方接受乙方的服务，但不放弃对乙方违约行为进行追究的权利；同时，若甲方对乙方某一违约行为放弃进行追究的权利，但不放弃对乙方其他违约行为进行追究的权利。</w:t>
      </w:r>
    </w:p>
    <w:p>
      <w:pPr>
        <w:snapToGrid w:val="0"/>
        <w:spacing w:line="360" w:lineRule="auto"/>
        <w:rPr>
          <w:rFonts w:ascii="宋体" w:hAnsi="宋体" w:cs="宋体"/>
          <w:b/>
          <w:snapToGrid w:val="0"/>
          <w:color w:val="auto"/>
          <w:kern w:val="0"/>
          <w:sz w:val="24"/>
          <w:highlight w:val="none"/>
        </w:rPr>
      </w:pPr>
      <w:r>
        <w:rPr>
          <w:rFonts w:hint="eastAsia" w:ascii="宋体" w:hAnsi="宋体" w:cs="宋体"/>
          <w:b/>
          <w:color w:val="auto"/>
          <w:sz w:val="24"/>
          <w:highlight w:val="none"/>
        </w:rPr>
        <w:t>第十</w:t>
      </w: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 xml:space="preserve">条 </w:t>
      </w:r>
      <w:r>
        <w:rPr>
          <w:rFonts w:hint="eastAsia" w:ascii="宋体" w:hAnsi="宋体" w:cs="宋体"/>
          <w:b/>
          <w:snapToGrid w:val="0"/>
          <w:color w:val="auto"/>
          <w:kern w:val="0"/>
          <w:sz w:val="24"/>
          <w:highlight w:val="none"/>
        </w:rPr>
        <w:t>双方权利义务</w:t>
      </w:r>
    </w:p>
    <w:p>
      <w:pPr>
        <w:snapToGrid w:val="0"/>
        <w:spacing w:line="360" w:lineRule="auto"/>
        <w:ind w:firstLine="482" w:firstLineChars="200"/>
        <w:rPr>
          <w:rFonts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1、甲方权利义务</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（1）代表和维护产权人、使用人的合法权益；</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（2）依据《儿童福利机构基本规范》审定乙方拟定的抚育等制度；</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（3）检查监督乙方管理工作的实施及制度的执行情况；</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（4）审定乙方提出的抚育等服务年度计划、财务预算及决算；</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（5）按期支付抚育等费用；</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（6）在不可预见的情况下，如发生漏电、火灾、救助人命、协助公安机关执行任务等突发事件的，甲方应积极配合乙方采取必要的紧急避险措施；</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（7）提供乙方所需的办公用房；</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（8）甲方监督乙方依照本合同规定内容进行的管理和服务活动，组织对乙方工作综合考评，如出现乙方管理不善造成甲方重大损失和伤害的情况，甲方有权终止合同并要求乙方给予赔偿。</w:t>
      </w:r>
    </w:p>
    <w:p>
      <w:pPr>
        <w:pStyle w:val="2"/>
        <w:rPr>
          <w:rFonts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rPr>
        <w:t>9</w:t>
      </w:r>
      <w:r>
        <w:rPr>
          <w:rFonts w:hint="eastAsia" w:hAnsi="宋体" w:cs="宋体"/>
          <w:color w:val="auto"/>
          <w:szCs w:val="24"/>
          <w:highlight w:val="none"/>
        </w:rPr>
        <w:t>）甲方不参与乙方的内部管理工作，但对发生工作差错屡教不改的派遣劳动者甲方有权提出处理建议，并督促乙方落实整改措施；</w:t>
      </w:r>
    </w:p>
    <w:p>
      <w:pPr>
        <w:spacing w:line="360" w:lineRule="auto"/>
        <w:ind w:firstLine="556"/>
        <w:rPr>
          <w:rFonts w:ascii="宋体" w:hAnsi="宋体" w:cs="宋体"/>
          <w:color w:val="auto"/>
          <w:sz w:val="24"/>
          <w:highlight w:val="none"/>
        </w:rPr>
      </w:pPr>
      <w:r>
        <w:rPr>
          <w:rFonts w:hint="eastAsia" w:ascii="宋体" w:hAnsi="宋体" w:cs="宋体"/>
          <w:color w:val="auto"/>
          <w:sz w:val="24"/>
          <w:highlight w:val="none"/>
        </w:rPr>
        <w:t>（10）负责提供进入任务包干的服务对象所需的硬件设施，对正常使用下的设施设备进行日常检修和维修，确保日常使用需要；</w:t>
      </w:r>
    </w:p>
    <w:p>
      <w:pPr>
        <w:spacing w:line="360" w:lineRule="auto"/>
        <w:ind w:firstLine="556"/>
        <w:rPr>
          <w:rFonts w:hAnsi="宋体" w:cs="宋体"/>
          <w:color w:val="auto"/>
          <w:szCs w:val="24"/>
          <w:highlight w:val="none"/>
        </w:rPr>
      </w:pPr>
      <w:r>
        <w:rPr>
          <w:rFonts w:hint="eastAsia" w:ascii="宋体" w:hAnsi="宋体" w:cs="宋体"/>
          <w:color w:val="auto"/>
          <w:sz w:val="24"/>
          <w:highlight w:val="none"/>
        </w:rPr>
        <w:t>（11）尊重乙方派遣劳动者的劳动，尽力协助乙方解决他们生活中的困难和问题，在甲方能力范围内让他们享受院区内的相关服务项目；</w:t>
      </w:r>
    </w:p>
    <w:p>
      <w:pPr>
        <w:snapToGrid w:val="0"/>
        <w:spacing w:line="360" w:lineRule="auto"/>
        <w:ind w:firstLine="482" w:firstLineChars="200"/>
        <w:rPr>
          <w:rFonts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2、乙方权利义务</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color w:val="auto"/>
          <w:sz w:val="24"/>
          <w:highlight w:val="none"/>
        </w:rPr>
        <w:t>（1）</w:t>
      </w:r>
      <w:r>
        <w:rPr>
          <w:rFonts w:hint="eastAsia" w:ascii="宋体" w:hAnsi="宋体" w:cs="宋体"/>
          <w:snapToGrid w:val="0"/>
          <w:color w:val="auto"/>
          <w:kern w:val="0"/>
          <w:sz w:val="24"/>
          <w:highlight w:val="none"/>
        </w:rPr>
        <w:t>根据有关法律法规及本合同的约定，制订抚育等制度、方案，根据甲方核定的抚育等制度、方案日常管理服务活动；</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（2）按甲方要求及时如实向甲方报告抚育等服务实施情况；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乙方应对所派遣的劳动者在上岗前进行为期15天的岗位业务培训，待培训合格后经甲方确认方能上岗。上岗后甲方可以不定期地对劳动者进行岗位业务更新培训，不定期地对派遣劳动者的工作质量进行检查和考核，并及时向乙方反应检查结果，同时针对检查中存在的问题对乙方提出整改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（4）在任务包干期限内，乙方的日常服务质量应接受甲方的督导和检查，乙方项目负责人应做好沟通和联络，友好协商解决工作中遇到的困难和问题，做好与院内各部门之间的协调工作；</w:t>
      </w:r>
    </w:p>
    <w:p>
      <w:pPr>
        <w:spacing w:line="360" w:lineRule="auto"/>
        <w:ind w:firstLine="556"/>
        <w:rPr>
          <w:rFonts w:ascii="宋体" w:hAnsi="宋体" w:cs="宋体"/>
          <w:color w:val="auto"/>
          <w:sz w:val="24"/>
          <w:highlight w:val="none"/>
        </w:rPr>
      </w:pPr>
      <w:r>
        <w:rPr>
          <w:rFonts w:hint="eastAsia" w:ascii="宋体" w:hAnsi="宋体" w:cs="宋体"/>
          <w:color w:val="auto"/>
          <w:sz w:val="24"/>
          <w:highlight w:val="none"/>
        </w:rPr>
        <w:t>（5）若新入院儿童更换留观地点，甲方提前15日通知乙方，乙方应无条件派工作人员前往医院病房完成该项工作任务，其服务费用、工作要求、考核内容等都不变；</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（6）因乙方在管理中的过错或违反本合同的约定进行管理造成甲方或第三人损失或伤害的，乙方应承担赔偿责任；</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（7）本合同终止时，乙方必须向甲方移交该抚育项目记录的全部档案资料，确保移交的资料详细完好无缺。</w:t>
      </w:r>
    </w:p>
    <w:p>
      <w:pPr>
        <w:snapToGrid w:val="0"/>
        <w:spacing w:line="360" w:lineRule="auto"/>
        <w:rPr>
          <w:rFonts w:ascii="宋体" w:hAnsi="宋体" w:cs="宋体"/>
          <w:snapToGrid w:val="0"/>
          <w:color w:val="auto"/>
          <w:kern w:val="0"/>
          <w:sz w:val="24"/>
          <w:highlight w:val="none"/>
        </w:rPr>
      </w:pPr>
      <w:r>
        <w:rPr>
          <w:rFonts w:hint="eastAsia" w:ascii="宋体" w:hAnsi="宋体" w:cs="宋体"/>
          <w:b/>
          <w:color w:val="auto"/>
          <w:sz w:val="24"/>
          <w:highlight w:val="none"/>
        </w:rPr>
        <w:t>第十</w:t>
      </w: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 xml:space="preserve">条 </w:t>
      </w:r>
      <w:r>
        <w:rPr>
          <w:rFonts w:hint="eastAsia" w:ascii="宋体" w:hAnsi="宋体" w:cs="宋体"/>
          <w:b/>
          <w:snapToGrid w:val="0"/>
          <w:color w:val="auto"/>
          <w:kern w:val="0"/>
          <w:sz w:val="24"/>
          <w:highlight w:val="none"/>
        </w:rPr>
        <w:t>乙方的人员配置</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w:t>
      </w:r>
      <w:r>
        <w:rPr>
          <w:rFonts w:hint="eastAsia" w:ascii="宋体" w:hAnsi="宋体" w:cs="宋体"/>
          <w:b/>
          <w:snapToGrid w:val="0"/>
          <w:color w:val="auto"/>
          <w:kern w:val="0"/>
          <w:sz w:val="24"/>
          <w:highlight w:val="none"/>
        </w:rPr>
        <w:t>乙方的人员配置</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（1）乙方的项目总负责人             ，身份证号码：                     </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（2）乙方必须采取措施，确保乙方人员稳定，特别是骨干人员。骨干人员变动须经甲方同意，其他人员变动须甲方备案；</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（3）乙方项目总负责人及部门负责人须及时与甲方沟通，第一时间报告重大、紧急事件；每月须向甲方汇报上月工作情况，并提供相关报告。</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w:t>
      </w:r>
      <w:r>
        <w:rPr>
          <w:rFonts w:hint="eastAsia" w:ascii="宋体" w:hAnsi="宋体" w:cs="宋体"/>
          <w:b/>
          <w:snapToGrid w:val="0"/>
          <w:color w:val="auto"/>
          <w:kern w:val="0"/>
          <w:sz w:val="24"/>
          <w:highlight w:val="none"/>
        </w:rPr>
        <w:t>护理人员要求</w:t>
      </w:r>
      <w:r>
        <w:rPr>
          <w:rFonts w:hint="eastAsia" w:ascii="宋体" w:hAnsi="宋体" w:cs="宋体"/>
          <w:snapToGrid w:val="0"/>
          <w:color w:val="auto"/>
          <w:kern w:val="0"/>
          <w:sz w:val="24"/>
          <w:highlight w:val="none"/>
        </w:rPr>
        <w:t>：</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（1）所有相关人员的配备须获得相关主管部门认证的，须配证并持证上岗，且根据不同岗位统一着装。</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（2）所有相关人员要求政治上可靠，身体素质好，无不良行为记录。</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（3）重要岗位人员必须由甲方人事部门考核、政治审查通过方可录用。</w:t>
      </w:r>
    </w:p>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0"/>
          <w:sz w:val="24"/>
          <w:highlight w:val="none"/>
        </w:rPr>
        <w:t>（4）为提高抚育等水平，所有护理人员还需进专业的培训。除乙方对服务人员的培训外，需接受甲方对服务人员的集中进行培训，培训费用由乙方承担。</w:t>
      </w:r>
    </w:p>
    <w:p>
      <w:pPr>
        <w:autoSpaceDE w:val="0"/>
        <w:autoSpaceDN w:val="0"/>
        <w:spacing w:line="360" w:lineRule="auto"/>
        <w:jc w:val="left"/>
        <w:rPr>
          <w:rFonts w:ascii="宋体" w:hAnsi="宋体" w:cs="宋体"/>
          <w:b/>
          <w:color w:val="auto"/>
          <w:kern w:val="0"/>
          <w:sz w:val="24"/>
          <w:highlight w:val="none"/>
          <w:lang w:val="zh-CN"/>
        </w:rPr>
      </w:pPr>
      <w:r>
        <w:rPr>
          <w:rFonts w:hint="eastAsia" w:ascii="宋体" w:hAnsi="宋体" w:cs="宋体"/>
          <w:b/>
          <w:color w:val="auto"/>
          <w:sz w:val="24"/>
          <w:highlight w:val="none"/>
        </w:rPr>
        <w:t>第十</w:t>
      </w: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 xml:space="preserve">条 </w:t>
      </w:r>
      <w:r>
        <w:rPr>
          <w:rFonts w:hint="eastAsia" w:ascii="宋体" w:hAnsi="宋体" w:cs="宋体"/>
          <w:b/>
          <w:color w:val="auto"/>
          <w:kern w:val="0"/>
          <w:sz w:val="24"/>
          <w:highlight w:val="none"/>
          <w:lang w:val="zh-CN"/>
        </w:rPr>
        <w:t>争议处理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sz w:val="24"/>
          <w:highlight w:val="none"/>
        </w:rPr>
        <w:t>1、</w:t>
      </w:r>
      <w:r>
        <w:rPr>
          <w:rFonts w:hint="eastAsia" w:ascii="宋体" w:hAnsi="宋体" w:cs="宋体"/>
          <w:color w:val="auto"/>
          <w:kern w:val="0"/>
          <w:sz w:val="24"/>
          <w:highlight w:val="none"/>
          <w:lang w:val="zh-CN"/>
        </w:rPr>
        <w:t>合同在履行过程中发生争议时，甲方与乙方及时协商解决。协商不成时，</w:t>
      </w:r>
      <w:r>
        <w:rPr>
          <w:rFonts w:hint="eastAsia" w:ascii="宋体" w:hAnsi="宋体" w:cs="宋体"/>
          <w:color w:val="auto"/>
          <w:kern w:val="0"/>
          <w:sz w:val="24"/>
          <w:highlight w:val="none"/>
          <w:lang w:val="en-US" w:eastAsia="zh-CN"/>
        </w:rPr>
        <w:t>可向甲方所在地法院起诉</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sz w:val="24"/>
          <w:highlight w:val="none"/>
        </w:rPr>
        <w:t>2、</w:t>
      </w:r>
      <w:r>
        <w:rPr>
          <w:rFonts w:hint="eastAsia" w:ascii="宋体" w:hAnsi="宋体" w:cs="宋体"/>
          <w:color w:val="auto"/>
          <w:kern w:val="0"/>
          <w:sz w:val="24"/>
          <w:highlight w:val="none"/>
          <w:lang w:val="zh-CN"/>
        </w:rPr>
        <w:t>对于因违反或终止合同而引起的损失、损害的赔偿，由甲方与乙方友好协商</w:t>
      </w:r>
    </w:p>
    <w:p>
      <w:pPr>
        <w:autoSpaceDE/>
        <w:autoSpaceDN/>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解决，经协商仍未能达成一致的，</w:t>
      </w:r>
      <w:r>
        <w:rPr>
          <w:rFonts w:hint="eastAsia" w:ascii="宋体" w:hAnsi="宋体" w:cs="宋体"/>
          <w:color w:val="auto"/>
          <w:kern w:val="0"/>
          <w:sz w:val="24"/>
          <w:highlight w:val="none"/>
          <w:lang w:val="en-US" w:eastAsia="zh-CN"/>
        </w:rPr>
        <w:t>可向甲方所在地法院起诉。</w:t>
      </w:r>
    </w:p>
    <w:p>
      <w:pPr>
        <w:pStyle w:val="33"/>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第十</w:t>
      </w:r>
      <w:r>
        <w:rPr>
          <w:rFonts w:hint="eastAsia" w:hAnsi="宋体" w:cs="宋体"/>
          <w:b/>
          <w:color w:val="auto"/>
          <w:sz w:val="24"/>
          <w:szCs w:val="24"/>
          <w:highlight w:val="none"/>
          <w:lang w:val="en-US" w:eastAsia="zh-CN"/>
        </w:rPr>
        <w:t>七</w:t>
      </w:r>
      <w:r>
        <w:rPr>
          <w:rFonts w:hint="eastAsia" w:hAnsi="宋体" w:cs="宋体"/>
          <w:b/>
          <w:color w:val="auto"/>
          <w:sz w:val="24"/>
          <w:szCs w:val="24"/>
          <w:highlight w:val="none"/>
        </w:rPr>
        <w:t>条 合同生效及其它</w:t>
      </w:r>
    </w:p>
    <w:p>
      <w:pPr>
        <w:pStyle w:val="33"/>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1、合同经双方法定代表人或授权代表签字并加盖单位公章后生效。</w:t>
      </w:r>
    </w:p>
    <w:p>
      <w:pPr>
        <w:pStyle w:val="33"/>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3、招标文件、投标文件及评标过程中形成的文字资料、询标纪要均作为本合同的组成部分，具有同等效力。本合同未尽事宜，遵照《民法典》有关条文执行。</w:t>
      </w:r>
    </w:p>
    <w:p>
      <w:pPr>
        <w:pStyle w:val="33"/>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4、本合同一式肆份，具有同等法律效力，甲乙双方各执两份。</w:t>
      </w:r>
    </w:p>
    <w:p>
      <w:pPr>
        <w:pStyle w:val="481"/>
        <w:spacing w:line="360" w:lineRule="auto"/>
        <w:ind w:left="-134" w:leftChars="-64"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甲方（盖章）：                            乙方（盖章）：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法定代表人：                              法定代表人：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或受委托人（签字）：                      或受委托人（签字）：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                                  联系人：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地址：                                    地址：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电话：                                    电话：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传真：                                    传真：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帐号：                                    帐号：</w:t>
      </w:r>
    </w:p>
    <w:p>
      <w:pPr>
        <w:shd w:val="clear" w:color="auto" w:fill="FFFFFF"/>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签订日期：                                签订日期：</w:t>
      </w:r>
    </w:p>
    <w:p>
      <w:pPr>
        <w:pStyle w:val="25"/>
        <w:spacing w:line="360" w:lineRule="auto"/>
        <w:rPr>
          <w:rFonts w:cs="宋体"/>
          <w:color w:val="auto"/>
          <w:highlight w:val="none"/>
        </w:rPr>
      </w:pPr>
    </w:p>
    <w:p>
      <w:pPr>
        <w:rPr>
          <w:rFonts w:ascii="宋体" w:hAnsi="宋体" w:cs="宋体"/>
          <w:color w:val="auto"/>
          <w:sz w:val="24"/>
          <w:highlight w:val="none"/>
        </w:rPr>
        <w:sectPr>
          <w:pgSz w:w="11906" w:h="16838"/>
          <w:pgMar w:top="1276" w:right="1418" w:bottom="1247" w:left="1418" w:header="851" w:footer="992" w:gutter="0"/>
          <w:cols w:space="720" w:num="1"/>
          <w:titlePg/>
          <w:docGrid w:linePitch="312" w:charSpace="0"/>
        </w:sectPr>
      </w:pPr>
    </w:p>
    <w:p>
      <w:pPr>
        <w:pStyle w:val="2"/>
        <w:rPr>
          <w:color w:val="auto"/>
          <w:highlight w:val="none"/>
        </w:rPr>
      </w:pP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2"/>
      <w:r>
        <w:rPr>
          <w:rFonts w:hint="eastAsia" w:ascii="宋体" w:hAnsi="宋体" w:cs="宋体"/>
          <w:b/>
          <w:color w:val="auto"/>
          <w:sz w:val="36"/>
          <w:szCs w:val="20"/>
          <w:highlight w:val="none"/>
        </w:rPr>
        <w:t xml:space="preserve"> </w:t>
      </w:r>
      <w:bookmarkEnd w:id="393"/>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杭州市儿童福利院（杭州市未成年人救助保护中心）、浙江中诺招标代理有限公司：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u w:val="single"/>
        </w:rPr>
        <w:t>杭州市儿童福利院（杭州市未成年人救助保护中心）</w:t>
      </w:r>
      <w:r>
        <w:rPr>
          <w:rFonts w:hint="eastAsia" w:ascii="宋体" w:hAnsi="宋体" w:cs="宋体"/>
          <w:color w:val="auto"/>
          <w:sz w:val="24"/>
          <w:highlight w:val="none"/>
          <w:u w:val="single"/>
          <w:lang w:eastAsia="zh-CN"/>
        </w:rPr>
        <w:t>2024年儿童优育服务项目</w:t>
      </w:r>
      <w:r>
        <w:rPr>
          <w:rFonts w:hint="eastAsia" w:ascii="宋体" w:hAnsi="宋体" w:cs="宋体"/>
          <w:color w:val="auto"/>
          <w:sz w:val="24"/>
          <w:highlight w:val="none"/>
        </w:rPr>
        <w:t>【招标编号：</w:t>
      </w:r>
      <w:r>
        <w:rPr>
          <w:rFonts w:hint="eastAsia" w:ascii="宋体" w:hAnsi="宋体" w:cs="宋体"/>
          <w:color w:val="auto"/>
          <w:sz w:val="24"/>
          <w:highlight w:val="none"/>
          <w:u w:val="single"/>
        </w:rPr>
        <w:t>ZJZN-</w:t>
      </w:r>
      <w:r>
        <w:rPr>
          <w:rFonts w:hint="eastAsia" w:ascii="宋体" w:hAnsi="宋体" w:cs="宋体"/>
          <w:color w:val="auto"/>
          <w:sz w:val="24"/>
          <w:highlight w:val="none"/>
          <w:u w:val="single"/>
          <w:lang w:eastAsia="zh-CN"/>
        </w:rPr>
        <w:t>23185</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pStyle w:val="25"/>
        <w:rPr>
          <w:rFonts w:cs="宋体"/>
          <w:color w:val="auto"/>
          <w:highlight w:val="none"/>
        </w:rPr>
      </w:pPr>
    </w:p>
    <w:p>
      <w:pPr>
        <w:rPr>
          <w:color w:val="auto"/>
          <w:highlight w:val="none"/>
        </w:rPr>
      </w:pP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宋体"/>
          <w:color w:val="auto"/>
          <w:sz w:val="24"/>
          <w:highlight w:val="none"/>
        </w:rPr>
        <w:sectPr>
          <w:pgSz w:w="11906" w:h="16838"/>
          <w:pgMar w:top="1276" w:right="1418" w:bottom="1247" w:left="1418" w:header="851" w:footer="992" w:gutter="0"/>
          <w:cols w:space="720" w:num="1"/>
          <w:titlePg/>
          <w:docGrid w:linePitch="312" w:charSpace="0"/>
        </w:sectPr>
      </w:pP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pacing w:line="360" w:lineRule="auto"/>
        <w:jc w:val="center"/>
        <w:outlineLvl w:val="0"/>
        <w:rPr>
          <w:rFonts w:ascii="宋体" w:hAnsi="宋体" w:cs="宋体"/>
          <w:b/>
          <w:color w:val="auto"/>
          <w:kern w:val="0"/>
          <w:sz w:val="36"/>
          <w:szCs w:val="36"/>
          <w:highlight w:val="none"/>
        </w:rPr>
      </w:pPr>
    </w:p>
    <w:p>
      <w:pPr>
        <w:snapToGrid w:val="0"/>
        <w:spacing w:line="360" w:lineRule="auto"/>
        <w:ind w:right="480"/>
        <w:jc w:val="center"/>
        <w:rPr>
          <w:rFonts w:ascii="宋体" w:hAnsi="宋体" w:cs="宋体"/>
          <w:b/>
          <w:color w:val="auto"/>
          <w:kern w:val="0"/>
          <w:sz w:val="32"/>
          <w:szCs w:val="32"/>
          <w:highlight w:val="none"/>
        </w:rPr>
      </w:pPr>
    </w:p>
    <w:p>
      <w:pPr>
        <w:spacing w:line="360" w:lineRule="auto"/>
        <w:jc w:val="center"/>
        <w:outlineLvl w:val="0"/>
        <w:rPr>
          <w:rFonts w:ascii="宋体" w:hAnsi="宋体" w:cs="宋体"/>
          <w:b/>
          <w:color w:val="auto"/>
          <w:kern w:val="0"/>
          <w:sz w:val="36"/>
          <w:szCs w:val="36"/>
          <w:highlight w:val="none"/>
        </w:rPr>
      </w:pPr>
    </w:p>
    <w:p>
      <w:pPr>
        <w:snapToGrid w:val="0"/>
        <w:spacing w:line="360" w:lineRule="auto"/>
        <w:ind w:right="480"/>
        <w:jc w:val="center"/>
        <w:rPr>
          <w:rFonts w:ascii="宋体" w:hAnsi="宋体" w:cs="宋体"/>
          <w:b/>
          <w:color w:val="auto"/>
          <w:kern w:val="0"/>
          <w:sz w:val="32"/>
          <w:szCs w:val="32"/>
          <w:highlight w:val="none"/>
        </w:rPr>
      </w:pPr>
    </w:p>
    <w:p>
      <w:pPr>
        <w:spacing w:line="360" w:lineRule="auto"/>
        <w:jc w:val="center"/>
        <w:outlineLvl w:val="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sectPr>
          <w:pgSz w:w="11906" w:h="16838"/>
          <w:pgMar w:top="1276" w:right="1418" w:bottom="1247" w:left="1418" w:header="851" w:footer="992" w:gutter="0"/>
          <w:cols w:space="720" w:num="1"/>
          <w:titlePg/>
          <w:docGrid w:linePitch="312" w:charSpace="0"/>
        </w:sectPr>
      </w:pP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（3）联合协议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（4）分包意向协议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（5）符合性审查资料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（6）评标标准相应的商务技术资料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（7）商务技术偏离表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numPr>
          <w:ilvl w:val="0"/>
          <w:numId w:val="10"/>
        </w:num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投标</w:t>
      </w:r>
      <w:r>
        <w:rPr>
          <w:rFonts w:hint="eastAsia" w:ascii="宋体" w:hAnsi="宋体" w:cs="宋体"/>
          <w:b/>
          <w:color w:val="auto"/>
          <w:sz w:val="32"/>
          <w:szCs w:val="32"/>
          <w:highlight w:val="none"/>
        </w:rPr>
        <w:t>函</w:t>
      </w:r>
    </w:p>
    <w:p>
      <w:pPr>
        <w:pStyle w:val="25"/>
        <w:ind w:firstLine="0" w:firstLineChars="0"/>
        <w:rPr>
          <w:color w:val="auto"/>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杭州市儿童福利院（杭州市未成年人救助保护中心）、浙江中诺招标代理有限公司：</w:t>
      </w:r>
    </w:p>
    <w:p>
      <w:pPr>
        <w:pStyle w:val="25"/>
        <w:rPr>
          <w:color w:val="auto"/>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u w:val="single"/>
        </w:rPr>
        <w:t>杭州市儿童福利院（杭州市未成年人救助保护中心）</w:t>
      </w:r>
      <w:r>
        <w:rPr>
          <w:rFonts w:hint="eastAsia" w:ascii="宋体" w:hAnsi="宋体" w:cs="宋体"/>
          <w:color w:val="auto"/>
          <w:sz w:val="24"/>
          <w:highlight w:val="none"/>
          <w:u w:val="single"/>
          <w:lang w:eastAsia="zh-CN"/>
        </w:rPr>
        <w:t>2024年儿童优育服务项目</w:t>
      </w:r>
      <w:r>
        <w:rPr>
          <w:rFonts w:hint="eastAsia" w:ascii="宋体" w:hAnsi="宋体" w:cs="宋体"/>
          <w:color w:val="auto"/>
          <w:sz w:val="24"/>
          <w:highlight w:val="none"/>
        </w:rPr>
        <w:t>【招标编号：</w:t>
      </w:r>
      <w:r>
        <w:rPr>
          <w:rFonts w:hint="eastAsia" w:ascii="宋体" w:hAnsi="宋体" w:cs="宋体"/>
          <w:color w:val="auto"/>
          <w:sz w:val="24"/>
          <w:highlight w:val="none"/>
          <w:u w:val="single"/>
        </w:rPr>
        <w:t>ZJZN-</w:t>
      </w:r>
      <w:r>
        <w:rPr>
          <w:rFonts w:hint="eastAsia" w:ascii="宋体" w:hAnsi="宋体" w:cs="宋体"/>
          <w:color w:val="auto"/>
          <w:sz w:val="24"/>
          <w:highlight w:val="none"/>
          <w:u w:val="single"/>
          <w:lang w:eastAsia="zh-CN"/>
        </w:rPr>
        <w:t>23185</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2.1.3本项目的特定资格要求（如果有）。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2.2.3联合协议（如果有）；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2.2.4分包意向协议（如果有）；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2.2.5符合性审查资料；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2.2.7商务技术偏离表；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p>
    <w:p>
      <w:pPr>
        <w:spacing w:line="360" w:lineRule="auto"/>
        <w:ind w:firstLine="3600" w:firstLineChars="1500"/>
        <w:rPr>
          <w:rFonts w:ascii="宋体" w:hAnsi="宋体" w:cs="宋体"/>
          <w:color w:val="auto"/>
          <w:sz w:val="24"/>
          <w:highlight w:val="none"/>
        </w:rPr>
      </w:pPr>
    </w:p>
    <w:p>
      <w:pPr>
        <w:spacing w:line="360" w:lineRule="auto"/>
        <w:ind w:firstLine="3600" w:firstLineChars="1500"/>
        <w:rPr>
          <w:rFonts w:ascii="宋体" w:hAnsi="宋体" w:cs="宋体"/>
          <w:color w:val="auto"/>
          <w:sz w:val="24"/>
          <w:highlight w:val="none"/>
        </w:rPr>
      </w:pP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杭州市儿童福利院（杭州市未成年人救助保护中心）、浙江中诺招标代理有限公司：</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杭州市儿童福利院（杭州市未成年人救助保护中心）</w:t>
      </w:r>
      <w:r>
        <w:rPr>
          <w:rFonts w:hint="eastAsia" w:ascii="宋体" w:hAnsi="宋体" w:cs="宋体"/>
          <w:color w:val="auto"/>
          <w:sz w:val="24"/>
          <w:highlight w:val="none"/>
          <w:lang w:eastAsia="zh-CN"/>
        </w:rPr>
        <w:t>2024年儿童优育服务项目</w:t>
      </w:r>
      <w:r>
        <w:rPr>
          <w:rFonts w:hint="eastAsia" w:ascii="宋体" w:hAnsi="宋体" w:cs="宋体"/>
          <w:color w:val="auto"/>
          <w:sz w:val="24"/>
          <w:highlight w:val="none"/>
        </w:rPr>
        <w:t>【招标编号：</w:t>
      </w:r>
      <w:r>
        <w:rPr>
          <w:rFonts w:hint="eastAsia" w:ascii="宋体" w:hAnsi="宋体" w:cs="宋体"/>
          <w:color w:val="auto"/>
          <w:sz w:val="24"/>
          <w:highlight w:val="none"/>
          <w:u w:val="single"/>
        </w:rPr>
        <w:t>ZJZN-</w:t>
      </w:r>
      <w:r>
        <w:rPr>
          <w:rFonts w:hint="eastAsia" w:ascii="宋体" w:hAnsi="宋体" w:cs="宋体"/>
          <w:color w:val="auto"/>
          <w:sz w:val="24"/>
          <w:highlight w:val="none"/>
          <w:u w:val="single"/>
          <w:lang w:eastAsia="zh-CN"/>
        </w:rPr>
        <w:t>23185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snapToGrid w:val="0"/>
        <w:spacing w:line="360" w:lineRule="auto"/>
        <w:rPr>
          <w:rFonts w:ascii="宋体" w:hAnsi="宋体" w:cs="宋体"/>
          <w:b/>
          <w:color w:val="auto"/>
          <w:kern w:val="0"/>
          <w:sz w:val="32"/>
          <w:szCs w:val="32"/>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三</w:t>
      </w:r>
      <w:r>
        <w:rPr>
          <w:rFonts w:hint="eastAsia" w:ascii="宋体" w:hAnsi="宋体" w:cs="宋体"/>
          <w:b/>
          <w:color w:val="auto"/>
          <w:kern w:val="0"/>
          <w:sz w:val="32"/>
          <w:szCs w:val="32"/>
          <w:highlight w:val="none"/>
        </w:rPr>
        <w:t>、符合性审查资料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center"/>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c>
          <w:tcPr>
            <w:tcW w:w="1418" w:type="dxa"/>
            <w:vAlign w:val="center"/>
          </w:tcPr>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pStyle w:val="5"/>
              <w:jc w:val="both"/>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center"/>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4</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center"/>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四、评标标准相应的商务技术资料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五、商务技术偏离表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bCs/>
          <w:color w:val="auto"/>
          <w:sz w:val="32"/>
          <w:szCs w:val="32"/>
          <w:highlight w:val="none"/>
        </w:rPr>
      </w:pPr>
    </w:p>
    <w:p>
      <w:pPr>
        <w:ind w:firstLine="2891" w:firstLineChars="900"/>
        <w:rPr>
          <w:rFonts w:ascii="宋体" w:hAnsi="宋体" w:cs="宋体"/>
          <w:b/>
          <w:bCs/>
          <w:color w:val="auto"/>
          <w:sz w:val="32"/>
          <w:szCs w:val="32"/>
          <w:highlight w:val="none"/>
        </w:rPr>
      </w:pPr>
    </w:p>
    <w:p>
      <w:pPr>
        <w:ind w:firstLine="2891" w:firstLineChars="900"/>
        <w:rPr>
          <w:rFonts w:ascii="宋体" w:hAnsi="宋体" w:cs="宋体"/>
          <w:b/>
          <w:bCs/>
          <w:color w:val="auto"/>
          <w:sz w:val="32"/>
          <w:szCs w:val="32"/>
          <w:highlight w:val="none"/>
        </w:rPr>
      </w:pPr>
    </w:p>
    <w:p>
      <w:pPr>
        <w:ind w:firstLine="2891" w:firstLineChars="900"/>
        <w:rPr>
          <w:rFonts w:ascii="宋体" w:hAnsi="宋体" w:cs="宋体"/>
          <w:b/>
          <w:bCs/>
          <w:color w:val="auto"/>
          <w:sz w:val="32"/>
          <w:szCs w:val="32"/>
          <w:highlight w:val="none"/>
        </w:rPr>
      </w:pPr>
    </w:p>
    <w:p>
      <w:pPr>
        <w:ind w:firstLine="2891" w:firstLineChars="900"/>
        <w:rPr>
          <w:rFonts w:ascii="宋体" w:hAnsi="宋体" w:cs="宋体"/>
          <w:b/>
          <w:bCs/>
          <w:color w:val="auto"/>
          <w:sz w:val="32"/>
          <w:szCs w:val="32"/>
          <w:highlight w:val="none"/>
        </w:rPr>
      </w:pPr>
    </w:p>
    <w:p>
      <w:pPr>
        <w:ind w:firstLine="2891" w:firstLineChars="900"/>
        <w:rPr>
          <w:rFonts w:ascii="宋体" w:hAnsi="宋体" w:cs="宋体"/>
          <w:b/>
          <w:bCs/>
          <w:color w:val="auto"/>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1911" w:firstLineChars="595"/>
        <w:rPr>
          <w:rFonts w:ascii="宋体" w:hAnsi="宋体" w:cs="宋体"/>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ind w:firstLine="1911" w:firstLineChars="595"/>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八、</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杭州市儿童福利院（杭州市未成年人救助保护中心）、浙江中诺招标代理有限公司：</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jc w:val="center"/>
        <w:rPr>
          <w:rFonts w:ascii="宋体" w:hAnsi="宋体" w:cs="宋体"/>
          <w:b/>
          <w:bCs/>
          <w:color w:val="auto"/>
          <w:sz w:val="24"/>
          <w:highlight w:val="none"/>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杭州市儿童福利院（杭州市未成年人救助保护中心）、浙江中诺招标代理有限公司：</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杭州市儿童福利院（杭州市未成年人救助保护中心）</w:t>
      </w:r>
      <w:r>
        <w:rPr>
          <w:rFonts w:hint="eastAsia" w:ascii="宋体" w:hAnsi="宋体" w:cs="宋体"/>
          <w:color w:val="auto"/>
          <w:sz w:val="24"/>
          <w:highlight w:val="none"/>
          <w:lang w:eastAsia="zh-CN"/>
        </w:rPr>
        <w:t>2024年儿童优育服务项目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 xml:space="preserve">            】的实施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pacing w:line="360" w:lineRule="auto"/>
        <w:ind w:firstLine="482" w:firstLineChars="200"/>
        <w:rPr>
          <w:rFonts w:ascii="宋体" w:hAnsi="宋体" w:cs="宋体"/>
          <w:b/>
          <w:color w:val="auto"/>
          <w:kern w:val="0"/>
          <w:sz w:val="24"/>
          <w:highlight w:val="none"/>
          <w:lang w:val="zh-CN"/>
        </w:rPr>
      </w:pP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szCs w:val="22"/>
          <w:highlight w:val="none"/>
          <w:lang w:val="zh-CN"/>
        </w:rPr>
        <w:t>4、</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ascii="宋体" w:hAnsi="宋体" w:cs="宋体"/>
          <w:color w:val="auto"/>
          <w:kern w:val="0"/>
          <w:sz w:val="24"/>
          <w:highlight w:val="none"/>
          <w:lang w:val="zh-CN"/>
        </w:rPr>
      </w:pPr>
    </w:p>
    <w:p>
      <w:pPr>
        <w:spacing w:line="360" w:lineRule="auto"/>
        <w:ind w:firstLine="482" w:firstLineChars="200"/>
        <w:rPr>
          <w:rFonts w:ascii="宋体" w:hAnsi="宋体" w:cs="宋体"/>
          <w:b/>
          <w:color w:val="auto"/>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中小企业声明函（服务）</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5"/>
        <w:rPr>
          <w:rFonts w:ascii="宋体" w:hAnsi="宋体" w:eastAsia="宋体" w:cs="宋体"/>
          <w:color w:val="auto"/>
          <w:sz w:val="24"/>
          <w:highlight w:val="none"/>
        </w:rPr>
      </w:pPr>
    </w:p>
    <w:p>
      <w:pPr>
        <w:spacing w:line="360" w:lineRule="auto"/>
        <w:rPr>
          <w:rFonts w:ascii="宋体" w:hAnsi="宋体" w:cs="宋体"/>
          <w:color w:val="auto"/>
          <w:highlight w:val="none"/>
        </w:rPr>
      </w:pPr>
    </w:p>
    <w:p>
      <w:pPr>
        <w:tabs>
          <w:tab w:val="left" w:pos="8085"/>
        </w:tabs>
        <w:spacing w:line="360" w:lineRule="auto"/>
        <w:ind w:firstLine="1285" w:firstLineChars="400"/>
        <w:jc w:val="left"/>
        <w:rPr>
          <w:rFonts w:ascii="宋体" w:hAnsi="宋体" w:cs="宋体"/>
          <w:b/>
          <w:color w:val="auto"/>
          <w:sz w:val="32"/>
          <w:szCs w:val="32"/>
          <w:highlight w:val="none"/>
        </w:rPr>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pPr>
    </w:p>
    <w:p>
      <w:pPr>
        <w:tabs>
          <w:tab w:val="left" w:pos="8085"/>
        </w:tabs>
        <w:spacing w:line="360" w:lineRule="auto"/>
        <w:ind w:firstLine="1285" w:firstLineChars="400"/>
        <w:jc w:val="left"/>
        <w:rPr>
          <w:rFonts w:ascii="宋体" w:hAns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一、适用对象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二、相关信息获取方式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　政府采购信用融资操作流程：</w:t>
      </w:r>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（一）线上融资模式：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1.供应商根据合作银行提供的方案，自行选择金融产品，并办理开户等手续；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2.供应商中标后，可通过杭州市政府采购网或“浙里办”测算授信额度；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3.采购合同签订后，供应商在杭州市政府采购网或“浙里办”向合作银行发出融资申请；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4.审批通过后，在线办理放贷手续。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（二）线下融资模式：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2.采购合同签订后，供应商在杭州市政府采购网或“浙里办”向合作银行发出融资申请；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4.审批通过后，合作银行应按照合作备忘录中约定的审批放款期限和优惠利率及时予以放款。</w:t>
      </w:r>
    </w:p>
    <w:p>
      <w:pPr>
        <w:pStyle w:val="5"/>
        <w:numPr>
          <w:ilvl w:val="255"/>
          <w:numId w:val="0"/>
        </w:numPr>
        <w:ind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5"/>
        <w:numPr>
          <w:ilvl w:val="255"/>
          <w:numId w:val="0"/>
        </w:numPr>
        <w:ind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四、注意事项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color w:val="auto"/>
          <w:kern w:val="0"/>
          <w:sz w:val="24"/>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394" w:name="_Toc465665161"/>
      <w:r>
        <w:rPr>
          <w:rFonts w:hint="eastAsia" w:ascii="宋体" w:hAnsi="宋体" w:cs="宋体"/>
          <w:color w:val="auto"/>
          <w:highlight w:val="none"/>
        </w:rPr>
        <w:t>附件</w:t>
      </w:r>
      <w:bookmarkEnd w:id="394"/>
    </w:p>
    <w:p>
      <w:pPr>
        <w:spacing w:line="360" w:lineRule="auto"/>
        <w:jc w:val="center"/>
        <w:rPr>
          <w:rFonts w:ascii="宋体" w:hAnsi="宋体" w:cs="宋体"/>
          <w:b/>
          <w:color w:val="auto"/>
          <w:spacing w:val="6"/>
          <w:sz w:val="32"/>
          <w:szCs w:val="32"/>
          <w:highlight w:val="none"/>
        </w:rPr>
      </w:pPr>
      <w:bookmarkStart w:id="395" w:name="OLE_LINK14"/>
      <w:bookmarkStart w:id="396" w:name="OLE_LINK13"/>
      <w:r>
        <w:rPr>
          <w:rFonts w:hint="eastAsia" w:ascii="宋体" w:hAnsi="宋体" w:cs="宋体"/>
          <w:b/>
          <w:color w:val="auto"/>
          <w:spacing w:val="6"/>
          <w:sz w:val="32"/>
          <w:szCs w:val="32"/>
          <w:highlight w:val="none"/>
        </w:rPr>
        <w:t>残疾人福利性单位声明函</w:t>
      </w:r>
    </w:p>
    <w:bookmarkEnd w:id="395"/>
    <w:bookmarkEnd w:id="396"/>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rPr>
          <w:rFonts w:ascii="宋体" w:hAnsi="宋体" w:cs="宋体"/>
          <w:color w:val="auto"/>
          <w:highlight w:val="none"/>
        </w:rPr>
      </w:pPr>
    </w:p>
    <w:p>
      <w:pPr>
        <w:spacing w:line="360" w:lineRule="auto"/>
        <w:jc w:val="left"/>
        <w:rPr>
          <w:rFonts w:ascii="宋体" w:hAnsi="宋体" w:cs="宋体"/>
          <w:b/>
          <w:color w:val="auto"/>
          <w:spacing w:val="6"/>
          <w:sz w:val="32"/>
          <w:szCs w:val="32"/>
          <w:highlight w:val="none"/>
        </w:rPr>
        <w:sectPr>
          <w:pgSz w:w="11906" w:h="16838"/>
          <w:pgMar w:top="1276" w:right="1418" w:bottom="1247" w:left="1418" w:header="851" w:footer="992" w:gutter="0"/>
          <w:cols w:space="720" w:num="1"/>
          <w:titlePg/>
          <w:docGrid w:linePitch="312" w:charSpace="0"/>
        </w:sect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b/>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sectPr>
          <w:pgSz w:w="11906" w:h="16838"/>
          <w:pgMar w:top="1276" w:right="1418" w:bottom="1247" w:left="1418" w:header="851" w:footer="992" w:gutter="0"/>
          <w:cols w:space="720" w:num="1"/>
          <w:titlePg/>
          <w:docGrid w:linePitch="312" w:charSpace="0"/>
        </w:sectPr>
      </w:pPr>
    </w:p>
    <w:p>
      <w:pPr>
        <w:pStyle w:val="79"/>
        <w:ind w:firstLine="560"/>
        <w:rPr>
          <w:rFonts w:ascii="宋体" w:hAnsi="宋体" w:eastAsia="宋体" w:cs="宋体"/>
          <w:color w:val="auto"/>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pStyle w:val="2"/>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你方组织的杭州市儿童福利院（杭州市未成年人救助保护中心）</w:t>
      </w:r>
      <w:r>
        <w:rPr>
          <w:rFonts w:hint="eastAsia" w:ascii="宋体" w:hAnsi="宋体" w:cs="宋体"/>
          <w:color w:val="auto"/>
          <w:sz w:val="24"/>
          <w:highlight w:val="none"/>
          <w:lang w:eastAsia="zh-CN"/>
        </w:rPr>
        <w:t>2024年儿童优育服务项目</w:t>
      </w:r>
      <w:r>
        <w:rPr>
          <w:rFonts w:hint="eastAsia" w:ascii="宋体" w:hAnsi="宋体" w:cs="宋体"/>
          <w:color w:val="auto"/>
          <w:sz w:val="24"/>
          <w:highlight w:val="none"/>
        </w:rPr>
        <w:t>【招标编号：（采购编号）】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附件5：</w:t>
      </w:r>
      <w:r>
        <w:rPr>
          <w:rFonts w:hint="eastAsia" w:ascii="宋体" w:hAnsi="宋体" w:cs="宋体"/>
          <w:b/>
          <w:color w:val="auto"/>
          <w:sz w:val="32"/>
          <w:szCs w:val="32"/>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pStyle w:val="42"/>
        <w:spacing w:line="360" w:lineRule="auto"/>
        <w:ind w:firstLine="960" w:firstLineChars="400"/>
        <w:jc w:val="both"/>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 （采购人） 的</w:t>
      </w:r>
      <w:r>
        <w:rPr>
          <w:rFonts w:hint="eastAsia" w:ascii="宋体" w:hAnsi="宋体" w:cs="宋体"/>
          <w:color w:val="auto"/>
          <w:sz w:val="24"/>
          <w:highlight w:val="none"/>
          <w:u w:val="single"/>
        </w:rPr>
        <w:t xml:space="preserve"> 杭州市儿童福利院（杭州市未成年人救助保护中心）</w:t>
      </w:r>
      <w:r>
        <w:rPr>
          <w:rFonts w:hint="eastAsia" w:ascii="宋体" w:hAnsi="宋体" w:cs="宋体"/>
          <w:color w:val="auto"/>
          <w:sz w:val="24"/>
          <w:highlight w:val="none"/>
          <w:u w:val="single"/>
          <w:lang w:eastAsia="zh-CN"/>
        </w:rPr>
        <w:t>2024年儿童优育服务项目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pStyle w:val="79"/>
        <w:spacing w:line="360" w:lineRule="auto"/>
        <w:ind w:firstLine="480"/>
        <w:rPr>
          <w:rFonts w:ascii="宋体" w:hAnsi="宋体" w:eastAsia="宋体" w:cs="宋体"/>
          <w:color w:val="auto"/>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Futura Bk">
    <w:altName w:val="Segoe Print"/>
    <w:panose1 w:val="020B0602020204020303"/>
    <w:charset w:val="B1"/>
    <w:family w:val="swiss"/>
    <w:pitch w:val="default"/>
    <w:sig w:usb0="00000000" w:usb1="00000000" w:usb2="00000000" w:usb3="00000000" w:csb0="000001FB"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604020202020204"/>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Microsoft YaHei UI"/>
    <w:panose1 w:val="020B0604020202020204"/>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20B0604020202020204"/>
    <w:charset w:val="86"/>
    <w:family w:val="swiss"/>
    <w:pitch w:val="default"/>
    <w:sig w:usb0="00000000" w:usb1="00000000" w:usb2="00000010" w:usb3="00000000" w:csb0="00040000" w:csb1="00000000"/>
  </w:font>
  <w:font w:name="Arial (W1)">
    <w:altName w:val="Arial"/>
    <w:panose1 w:val="020B0604020202020204"/>
    <w:charset w:val="00"/>
    <w:family w:val="swiss"/>
    <w:pitch w:val="default"/>
    <w:sig w:usb0="00000000" w:usb1="00000000" w:usb2="00000008" w:usb3="00000000" w:csb0="000001FF" w:csb1="00000000"/>
  </w:font>
  <w:font w:name="Arial Unicode MS">
    <w:altName w:val="Arial"/>
    <w:panose1 w:val="020B0604020202020204"/>
    <w:charset w:val="80"/>
    <w:family w:val="swiss"/>
    <w:pitch w:val="default"/>
    <w:sig w:usb0="00000000" w:usb1="00000000" w:usb2="0000003F" w:usb3="00000000" w:csb0="603F01FF" w:csb1="FFFF0000"/>
  </w:font>
  <w:font w:name="Helvetica">
    <w:panose1 w:val="020B0604020202020204"/>
    <w:charset w:val="00"/>
    <w:family w:val="auto"/>
    <w:pitch w:val="default"/>
    <w:sig w:usb0="00000000" w:usb1="00000000" w:usb2="00000000" w:usb3="00000000" w:csb0="00000000" w:csb1="00000000"/>
  </w:font>
  <w:font w:name="Cumberland">
    <w:altName w:val="Microsoft YaHei UI"/>
    <w:panose1 w:val="020B0604020202020204"/>
    <w:charset w:val="00"/>
    <w:family w:val="modern"/>
    <w:pitch w:val="default"/>
    <w:sig w:usb0="00000000" w:usb1="00000000" w:usb2="00000000" w:usb3="00000000" w:csb0="00040001" w:csb1="00000000"/>
  </w:font>
  <w:font w:name="方正宋体">
    <w:altName w:val="宋体"/>
    <w:panose1 w:val="020B0604020202020204"/>
    <w:charset w:val="00"/>
    <w:family w:val="auto"/>
    <w:pitch w:val="default"/>
    <w:sig w:usb0="00000000" w:usb1="00000000" w:usb2="00000000" w:usb3="00000000" w:csb0="00040001" w:csb1="00000000"/>
  </w:font>
  <w:font w:name="Futura Hv">
    <w:altName w:val="Segoe Print"/>
    <w:panose1 w:val="020B0602020204020303"/>
    <w:charset w:val="B1"/>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20B0604020202020204"/>
    <w:charset w:val="00"/>
    <w:family w:val="roman"/>
    <w:pitch w:val="default"/>
    <w:sig w:usb0="00000000" w:usb1="00000000" w:usb2="00000000" w:usb3="00000000" w:csb0="00000011" w:csb1="00000000"/>
  </w:font>
  <w:font w:name=".PingFang SC">
    <w:altName w:val="宋体"/>
    <w:panose1 w:val="020B0604020202020204"/>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59</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70</w:t>
                          </w:r>
                          <w:r>
                            <w:rPr>
                              <w:rFonts w:hint="eastAsia" w:ascii="宋体" w:hAnsi="宋体" w:cs="宋体"/>
                              <w:kern w:val="0"/>
                            </w:rPr>
                            <w:fldChar w:fldCharType="end"/>
                          </w:r>
                          <w:r>
                            <w:rPr>
                              <w:rFonts w:hint="eastAsia" w:ascii="宋体" w:hAnsi="宋体" w:cs="宋体"/>
                              <w:kern w:val="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59</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70</w:t>
                    </w:r>
                    <w:r>
                      <w:rPr>
                        <w:rFonts w:hint="eastAsia" w:ascii="宋体" w:hAnsi="宋体" w:cs="宋体"/>
                        <w:kern w:val="0"/>
                      </w:rPr>
                      <w:fldChar w:fldCharType="end"/>
                    </w:r>
                    <w:r>
                      <w:rPr>
                        <w:rFonts w:hint="eastAsia" w:ascii="宋体" w:hAnsi="宋体" w:cs="宋体"/>
                        <w:kern w:val="0"/>
                      </w:rPr>
                      <w:t xml:space="preserve"> 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58</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70</w:t>
                          </w:r>
                          <w:r>
                            <w:rPr>
                              <w:rFonts w:hint="eastAsia" w:ascii="宋体" w:hAnsi="宋体" w:cs="宋体"/>
                              <w:kern w:val="0"/>
                            </w:rPr>
                            <w:fldChar w:fldCharType="end"/>
                          </w:r>
                          <w:r>
                            <w:rPr>
                              <w:rFonts w:hint="eastAsia" w:ascii="宋体" w:hAnsi="宋体" w:cs="宋体"/>
                              <w:kern w:val="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58</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70</w:t>
                    </w:r>
                    <w:r>
                      <w:rPr>
                        <w:rFonts w:hint="eastAsia" w:ascii="宋体" w:hAnsi="宋体" w:cs="宋体"/>
                        <w:kern w:val="0"/>
                      </w:rPr>
                      <w:fldChar w:fldCharType="end"/>
                    </w:r>
                    <w:r>
                      <w:rPr>
                        <w:rFonts w:hint="eastAsia" w:ascii="宋体" w:hAnsi="宋体" w:cs="宋体"/>
                        <w:kern w:val="0"/>
                      </w:rPr>
                      <w:t xml:space="preserve"> 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szCs w:val="24"/>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szCs w:val="21"/>
                            </w:rPr>
                            <w:t xml:space="preserve">第 </w:t>
                          </w:r>
                          <w:r>
                            <w:rPr>
                              <w:rFonts w:hint="eastAsia" w:ascii="宋体" w:hAnsi="宋体" w:cs="宋体"/>
                              <w:kern w:val="0"/>
                              <w:szCs w:val="21"/>
                            </w:rPr>
                            <w:fldChar w:fldCharType="begin"/>
                          </w:r>
                          <w:r>
                            <w:rPr>
                              <w:rFonts w:hint="eastAsia" w:ascii="宋体" w:hAnsi="宋体" w:cs="宋体"/>
                              <w:kern w:val="0"/>
                              <w:szCs w:val="21"/>
                            </w:rPr>
                            <w:instrText xml:space="preserve"> PAGE </w:instrText>
                          </w:r>
                          <w:r>
                            <w:rPr>
                              <w:rFonts w:hint="eastAsia" w:ascii="宋体" w:hAnsi="宋体" w:cs="宋体"/>
                              <w:kern w:val="0"/>
                              <w:szCs w:val="21"/>
                            </w:rPr>
                            <w:fldChar w:fldCharType="separate"/>
                          </w:r>
                          <w:r>
                            <w:rPr>
                              <w:rFonts w:hint="eastAsia" w:ascii="宋体" w:hAnsi="宋体" w:cs="宋体"/>
                              <w:kern w:val="0"/>
                              <w:szCs w:val="21"/>
                            </w:rPr>
                            <w:t>67</w:t>
                          </w:r>
                          <w:r>
                            <w:rPr>
                              <w:rFonts w:hint="eastAsia" w:ascii="宋体" w:hAnsi="宋体" w:cs="宋体"/>
                              <w:kern w:val="0"/>
                              <w:szCs w:val="21"/>
                            </w:rPr>
                            <w:fldChar w:fldCharType="end"/>
                          </w:r>
                          <w:r>
                            <w:rPr>
                              <w:rFonts w:hint="eastAsia" w:ascii="宋体" w:hAnsi="宋体" w:cs="宋体"/>
                              <w:kern w:val="0"/>
                              <w:szCs w:val="21"/>
                            </w:rPr>
                            <w:t xml:space="preserve"> 页 共 </w:t>
                          </w:r>
                          <w:r>
                            <w:rPr>
                              <w:rFonts w:hint="eastAsia" w:ascii="宋体" w:hAnsi="宋体" w:cs="宋体"/>
                              <w:kern w:val="0"/>
                              <w:szCs w:val="21"/>
                            </w:rPr>
                            <w:fldChar w:fldCharType="begin"/>
                          </w:r>
                          <w:r>
                            <w:rPr>
                              <w:rFonts w:hint="eastAsia" w:ascii="宋体" w:hAnsi="宋体" w:cs="宋体"/>
                              <w:kern w:val="0"/>
                              <w:szCs w:val="21"/>
                            </w:rPr>
                            <w:instrText xml:space="preserve"> NUMPAGES </w:instrText>
                          </w:r>
                          <w:r>
                            <w:rPr>
                              <w:rFonts w:hint="eastAsia" w:ascii="宋体" w:hAnsi="宋体" w:cs="宋体"/>
                              <w:kern w:val="0"/>
                              <w:szCs w:val="21"/>
                            </w:rPr>
                            <w:fldChar w:fldCharType="separate"/>
                          </w:r>
                          <w:r>
                            <w:rPr>
                              <w:rFonts w:hint="eastAsia" w:ascii="宋体" w:hAnsi="宋体" w:cs="宋体"/>
                              <w:kern w:val="0"/>
                              <w:szCs w:val="21"/>
                            </w:rPr>
                            <w:t>70</w:t>
                          </w:r>
                          <w:r>
                            <w:rPr>
                              <w:rFonts w:hint="eastAsia" w:ascii="宋体" w:hAnsi="宋体" w:cs="宋体"/>
                              <w:kern w:val="0"/>
                              <w:szCs w:val="21"/>
                            </w:rPr>
                            <w:fldChar w:fldCharType="end"/>
                          </w:r>
                          <w:r>
                            <w:rPr>
                              <w:rFonts w:hint="eastAsia" w:ascii="宋体" w:hAnsi="宋体" w:cs="宋体"/>
                              <w:kern w:val="0"/>
                              <w:szCs w:val="21"/>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szCs w:val="21"/>
                      </w:rPr>
                      <w:t xml:space="preserve">第 </w:t>
                    </w:r>
                    <w:r>
                      <w:rPr>
                        <w:rFonts w:hint="eastAsia" w:ascii="宋体" w:hAnsi="宋体" w:cs="宋体"/>
                        <w:kern w:val="0"/>
                        <w:szCs w:val="21"/>
                      </w:rPr>
                      <w:fldChar w:fldCharType="begin"/>
                    </w:r>
                    <w:r>
                      <w:rPr>
                        <w:rFonts w:hint="eastAsia" w:ascii="宋体" w:hAnsi="宋体" w:cs="宋体"/>
                        <w:kern w:val="0"/>
                        <w:szCs w:val="21"/>
                      </w:rPr>
                      <w:instrText xml:space="preserve"> PAGE </w:instrText>
                    </w:r>
                    <w:r>
                      <w:rPr>
                        <w:rFonts w:hint="eastAsia" w:ascii="宋体" w:hAnsi="宋体" w:cs="宋体"/>
                        <w:kern w:val="0"/>
                        <w:szCs w:val="21"/>
                      </w:rPr>
                      <w:fldChar w:fldCharType="separate"/>
                    </w:r>
                    <w:r>
                      <w:rPr>
                        <w:rFonts w:hint="eastAsia" w:ascii="宋体" w:hAnsi="宋体" w:cs="宋体"/>
                        <w:kern w:val="0"/>
                        <w:szCs w:val="21"/>
                      </w:rPr>
                      <w:t>67</w:t>
                    </w:r>
                    <w:r>
                      <w:rPr>
                        <w:rFonts w:hint="eastAsia" w:ascii="宋体" w:hAnsi="宋体" w:cs="宋体"/>
                        <w:kern w:val="0"/>
                        <w:szCs w:val="21"/>
                      </w:rPr>
                      <w:fldChar w:fldCharType="end"/>
                    </w:r>
                    <w:r>
                      <w:rPr>
                        <w:rFonts w:hint="eastAsia" w:ascii="宋体" w:hAnsi="宋体" w:cs="宋体"/>
                        <w:kern w:val="0"/>
                        <w:szCs w:val="21"/>
                      </w:rPr>
                      <w:t xml:space="preserve"> 页 共 </w:t>
                    </w:r>
                    <w:r>
                      <w:rPr>
                        <w:rFonts w:hint="eastAsia" w:ascii="宋体" w:hAnsi="宋体" w:cs="宋体"/>
                        <w:kern w:val="0"/>
                        <w:szCs w:val="21"/>
                      </w:rPr>
                      <w:fldChar w:fldCharType="begin"/>
                    </w:r>
                    <w:r>
                      <w:rPr>
                        <w:rFonts w:hint="eastAsia" w:ascii="宋体" w:hAnsi="宋体" w:cs="宋体"/>
                        <w:kern w:val="0"/>
                        <w:szCs w:val="21"/>
                      </w:rPr>
                      <w:instrText xml:space="preserve"> NUMPAGES </w:instrText>
                    </w:r>
                    <w:r>
                      <w:rPr>
                        <w:rFonts w:hint="eastAsia" w:ascii="宋体" w:hAnsi="宋体" w:cs="宋体"/>
                        <w:kern w:val="0"/>
                        <w:szCs w:val="21"/>
                      </w:rPr>
                      <w:fldChar w:fldCharType="separate"/>
                    </w:r>
                    <w:r>
                      <w:rPr>
                        <w:rFonts w:hint="eastAsia" w:ascii="宋体" w:hAnsi="宋体" w:cs="宋体"/>
                        <w:kern w:val="0"/>
                        <w:szCs w:val="21"/>
                      </w:rPr>
                      <w:t>70</w:t>
                    </w:r>
                    <w:r>
                      <w:rPr>
                        <w:rFonts w:hint="eastAsia" w:ascii="宋体" w:hAnsi="宋体" w:cs="宋体"/>
                        <w:kern w:val="0"/>
                        <w:szCs w:val="21"/>
                      </w:rPr>
                      <w:fldChar w:fldCharType="end"/>
                    </w:r>
                    <w:r>
                      <w:rPr>
                        <w:rFonts w:hint="eastAsia" w:ascii="宋体" w:hAnsi="宋体" w:cs="宋体"/>
                        <w:kern w:val="0"/>
                        <w:szCs w:val="21"/>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szCs w:val="21"/>
                            </w:rPr>
                            <w:t xml:space="preserve">第 </w:t>
                          </w:r>
                          <w:r>
                            <w:rPr>
                              <w:rFonts w:hint="eastAsia" w:ascii="宋体" w:hAnsi="宋体" w:cs="宋体"/>
                              <w:kern w:val="0"/>
                              <w:szCs w:val="21"/>
                            </w:rPr>
                            <w:fldChar w:fldCharType="begin"/>
                          </w:r>
                          <w:r>
                            <w:rPr>
                              <w:rFonts w:hint="eastAsia" w:ascii="宋体" w:hAnsi="宋体" w:cs="宋体"/>
                              <w:kern w:val="0"/>
                              <w:szCs w:val="21"/>
                            </w:rPr>
                            <w:instrText xml:space="preserve"> PAGE </w:instrText>
                          </w:r>
                          <w:r>
                            <w:rPr>
                              <w:rFonts w:hint="eastAsia" w:ascii="宋体" w:hAnsi="宋体" w:cs="宋体"/>
                              <w:kern w:val="0"/>
                              <w:szCs w:val="21"/>
                            </w:rPr>
                            <w:fldChar w:fldCharType="separate"/>
                          </w:r>
                          <w:r>
                            <w:rPr>
                              <w:rFonts w:hint="eastAsia" w:ascii="宋体" w:hAnsi="宋体" w:cs="宋体"/>
                              <w:kern w:val="0"/>
                              <w:szCs w:val="21"/>
                            </w:rPr>
                            <w:t>60</w:t>
                          </w:r>
                          <w:r>
                            <w:rPr>
                              <w:rFonts w:hint="eastAsia" w:ascii="宋体" w:hAnsi="宋体" w:cs="宋体"/>
                              <w:kern w:val="0"/>
                              <w:szCs w:val="21"/>
                            </w:rPr>
                            <w:fldChar w:fldCharType="end"/>
                          </w:r>
                          <w:r>
                            <w:rPr>
                              <w:rFonts w:hint="eastAsia" w:ascii="宋体" w:hAnsi="宋体" w:cs="宋体"/>
                              <w:kern w:val="0"/>
                              <w:szCs w:val="21"/>
                            </w:rPr>
                            <w:t xml:space="preserve"> 页 共 </w:t>
                          </w:r>
                          <w:r>
                            <w:rPr>
                              <w:rFonts w:hint="eastAsia" w:ascii="宋体" w:hAnsi="宋体" w:cs="宋体"/>
                              <w:kern w:val="0"/>
                              <w:szCs w:val="21"/>
                            </w:rPr>
                            <w:fldChar w:fldCharType="begin"/>
                          </w:r>
                          <w:r>
                            <w:rPr>
                              <w:rFonts w:hint="eastAsia" w:ascii="宋体" w:hAnsi="宋体" w:cs="宋体"/>
                              <w:kern w:val="0"/>
                              <w:szCs w:val="21"/>
                            </w:rPr>
                            <w:instrText xml:space="preserve"> NUMPAGES </w:instrText>
                          </w:r>
                          <w:r>
                            <w:rPr>
                              <w:rFonts w:hint="eastAsia" w:ascii="宋体" w:hAnsi="宋体" w:cs="宋体"/>
                              <w:kern w:val="0"/>
                              <w:szCs w:val="21"/>
                            </w:rPr>
                            <w:fldChar w:fldCharType="separate"/>
                          </w:r>
                          <w:r>
                            <w:rPr>
                              <w:rFonts w:hint="eastAsia" w:ascii="宋体" w:hAnsi="宋体" w:cs="宋体"/>
                              <w:kern w:val="0"/>
                              <w:szCs w:val="21"/>
                            </w:rPr>
                            <w:t>70</w:t>
                          </w:r>
                          <w:r>
                            <w:rPr>
                              <w:rFonts w:hint="eastAsia" w:ascii="宋体" w:hAnsi="宋体" w:cs="宋体"/>
                              <w:kern w:val="0"/>
                              <w:szCs w:val="21"/>
                            </w:rPr>
                            <w:fldChar w:fldCharType="end"/>
                          </w:r>
                          <w:bookmarkStart w:id="397" w:name="_Toc36110187"/>
                          <w:bookmarkStart w:id="398" w:name="_Toc164085800"/>
                          <w:bookmarkStart w:id="399" w:name="_Toc91899912"/>
                          <w:bookmarkStart w:id="400" w:name="_Toc131845147"/>
                          <w:r>
                            <w:rPr>
                              <w:rFonts w:hint="eastAsia" w:ascii="宋体" w:hAnsi="宋体" w:cs="宋体"/>
                              <w:kern w:val="0"/>
                              <w:szCs w:val="21"/>
                            </w:rPr>
                            <w:t xml:space="preserve"> 页</w:t>
                          </w:r>
                          <w:bookmarkEnd w:id="397"/>
                          <w:bookmarkEnd w:id="398"/>
                          <w:bookmarkEnd w:id="399"/>
                          <w:bookmarkEnd w:id="400"/>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szCs w:val="21"/>
                      </w:rPr>
                      <w:t xml:space="preserve">第 </w:t>
                    </w:r>
                    <w:r>
                      <w:rPr>
                        <w:rFonts w:hint="eastAsia" w:ascii="宋体" w:hAnsi="宋体" w:cs="宋体"/>
                        <w:kern w:val="0"/>
                        <w:szCs w:val="21"/>
                      </w:rPr>
                      <w:fldChar w:fldCharType="begin"/>
                    </w:r>
                    <w:r>
                      <w:rPr>
                        <w:rFonts w:hint="eastAsia" w:ascii="宋体" w:hAnsi="宋体" w:cs="宋体"/>
                        <w:kern w:val="0"/>
                        <w:szCs w:val="21"/>
                      </w:rPr>
                      <w:instrText xml:space="preserve"> PAGE </w:instrText>
                    </w:r>
                    <w:r>
                      <w:rPr>
                        <w:rFonts w:hint="eastAsia" w:ascii="宋体" w:hAnsi="宋体" w:cs="宋体"/>
                        <w:kern w:val="0"/>
                        <w:szCs w:val="21"/>
                      </w:rPr>
                      <w:fldChar w:fldCharType="separate"/>
                    </w:r>
                    <w:r>
                      <w:rPr>
                        <w:rFonts w:hint="eastAsia" w:ascii="宋体" w:hAnsi="宋体" w:cs="宋体"/>
                        <w:kern w:val="0"/>
                        <w:szCs w:val="21"/>
                      </w:rPr>
                      <w:t>60</w:t>
                    </w:r>
                    <w:r>
                      <w:rPr>
                        <w:rFonts w:hint="eastAsia" w:ascii="宋体" w:hAnsi="宋体" w:cs="宋体"/>
                        <w:kern w:val="0"/>
                        <w:szCs w:val="21"/>
                      </w:rPr>
                      <w:fldChar w:fldCharType="end"/>
                    </w:r>
                    <w:r>
                      <w:rPr>
                        <w:rFonts w:hint="eastAsia" w:ascii="宋体" w:hAnsi="宋体" w:cs="宋体"/>
                        <w:kern w:val="0"/>
                        <w:szCs w:val="21"/>
                      </w:rPr>
                      <w:t xml:space="preserve"> 页 共 </w:t>
                    </w:r>
                    <w:r>
                      <w:rPr>
                        <w:rFonts w:hint="eastAsia" w:ascii="宋体" w:hAnsi="宋体" w:cs="宋体"/>
                        <w:kern w:val="0"/>
                        <w:szCs w:val="21"/>
                      </w:rPr>
                      <w:fldChar w:fldCharType="begin"/>
                    </w:r>
                    <w:r>
                      <w:rPr>
                        <w:rFonts w:hint="eastAsia" w:ascii="宋体" w:hAnsi="宋体" w:cs="宋体"/>
                        <w:kern w:val="0"/>
                        <w:szCs w:val="21"/>
                      </w:rPr>
                      <w:instrText xml:space="preserve"> NUMPAGES </w:instrText>
                    </w:r>
                    <w:r>
                      <w:rPr>
                        <w:rFonts w:hint="eastAsia" w:ascii="宋体" w:hAnsi="宋体" w:cs="宋体"/>
                        <w:kern w:val="0"/>
                        <w:szCs w:val="21"/>
                      </w:rPr>
                      <w:fldChar w:fldCharType="separate"/>
                    </w:r>
                    <w:r>
                      <w:rPr>
                        <w:rFonts w:hint="eastAsia" w:ascii="宋体" w:hAnsi="宋体" w:cs="宋体"/>
                        <w:kern w:val="0"/>
                        <w:szCs w:val="21"/>
                      </w:rPr>
                      <w:t>70</w:t>
                    </w:r>
                    <w:r>
                      <w:rPr>
                        <w:rFonts w:hint="eastAsia" w:ascii="宋体" w:hAnsi="宋体" w:cs="宋体"/>
                        <w:kern w:val="0"/>
                        <w:szCs w:val="21"/>
                      </w:rPr>
                      <w:fldChar w:fldCharType="end"/>
                    </w:r>
                    <w:bookmarkStart w:id="397" w:name="_Toc36110187"/>
                    <w:bookmarkStart w:id="398" w:name="_Toc164085800"/>
                    <w:bookmarkStart w:id="399" w:name="_Toc91899912"/>
                    <w:bookmarkStart w:id="400" w:name="_Toc131845147"/>
                    <w:r>
                      <w:rPr>
                        <w:rFonts w:hint="eastAsia" w:ascii="宋体" w:hAnsi="宋体" w:cs="宋体"/>
                        <w:kern w:val="0"/>
                        <w:szCs w:val="21"/>
                      </w:rPr>
                      <w:t xml:space="preserve"> 页</w:t>
                    </w:r>
                    <w:bookmarkEnd w:id="397"/>
                    <w:bookmarkEnd w:id="398"/>
                    <w:bookmarkEnd w:id="399"/>
                    <w:bookmarkEnd w:id="400"/>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29</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71</w:t>
                          </w:r>
                          <w:r>
                            <w:rPr>
                              <w:rFonts w:hint="eastAsia" w:ascii="宋体" w:hAnsi="宋体" w:cs="宋体"/>
                              <w:kern w:val="0"/>
                            </w:rPr>
                            <w:fldChar w:fldCharType="end"/>
                          </w:r>
                          <w:r>
                            <w:rPr>
                              <w:rFonts w:hint="eastAsia" w:ascii="宋体" w:hAnsi="宋体" w:cs="宋体"/>
                              <w:kern w:val="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29</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71</w:t>
                    </w:r>
                    <w:r>
                      <w:rPr>
                        <w:rFonts w:hint="eastAsia" w:ascii="宋体" w:hAnsi="宋体" w:cs="宋体"/>
                        <w:kern w:val="0"/>
                      </w:rPr>
                      <w:fldChar w:fldCharType="end"/>
                    </w:r>
                    <w:r>
                      <w:rPr>
                        <w:rFonts w:hint="eastAsia" w:ascii="宋体" w:hAnsi="宋体" w:cs="宋体"/>
                        <w:kern w:val="0"/>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1</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72</w:t>
                          </w:r>
                          <w:r>
                            <w:rPr>
                              <w:rFonts w:hint="eastAsia" w:ascii="宋体" w:hAnsi="宋体" w:cs="宋体"/>
                              <w:kern w:val="0"/>
                            </w:rPr>
                            <w:fldChar w:fldCharType="end"/>
                          </w:r>
                          <w:r>
                            <w:rPr>
                              <w:rFonts w:hint="eastAsia" w:ascii="宋体" w:hAnsi="宋体" w:cs="宋体"/>
                              <w:kern w:val="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1</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72</w:t>
                    </w:r>
                    <w:r>
                      <w:rPr>
                        <w:rFonts w:hint="eastAsia" w:ascii="宋体" w:hAnsi="宋体" w:cs="宋体"/>
                        <w:kern w:val="0"/>
                      </w:rPr>
                      <w:fldChar w:fldCharType="end"/>
                    </w:r>
                    <w:r>
                      <w:rPr>
                        <w:rFonts w:hint="eastAsia" w:ascii="宋体" w:hAnsi="宋体" w:cs="宋体"/>
                        <w:kern w:val="0"/>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51</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70</w:t>
                          </w:r>
                          <w:r>
                            <w:rPr>
                              <w:rFonts w:hint="eastAsia" w:ascii="宋体" w:hAnsi="宋体" w:cs="宋体"/>
                              <w:kern w:val="0"/>
                            </w:rPr>
                            <w:fldChar w:fldCharType="end"/>
                          </w:r>
                          <w:r>
                            <w:rPr>
                              <w:rFonts w:hint="eastAsia" w:ascii="宋体" w:hAnsi="宋体" w:cs="宋体"/>
                              <w:kern w:val="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51</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70</w:t>
                    </w:r>
                    <w:r>
                      <w:rPr>
                        <w:rFonts w:hint="eastAsia" w:ascii="宋体" w:hAnsi="宋体" w:cs="宋体"/>
                        <w:kern w:val="0"/>
                      </w:rPr>
                      <w:fldChar w:fldCharType="end"/>
                    </w:r>
                    <w:r>
                      <w:rPr>
                        <w:rFonts w:hint="eastAsia" w:ascii="宋体" w:hAnsi="宋体" w:cs="宋体"/>
                        <w:kern w:val="0"/>
                      </w:rP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30</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71</w:t>
                          </w:r>
                          <w:r>
                            <w:rPr>
                              <w:rFonts w:hint="eastAsia" w:ascii="宋体" w:hAnsi="宋体" w:cs="宋体"/>
                              <w:kern w:val="0"/>
                            </w:rPr>
                            <w:fldChar w:fldCharType="end"/>
                          </w:r>
                          <w:r>
                            <w:rPr>
                              <w:rFonts w:hint="eastAsia" w:ascii="宋体" w:hAnsi="宋体" w:cs="宋体"/>
                              <w:kern w:val="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30</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71</w:t>
                    </w:r>
                    <w:r>
                      <w:rPr>
                        <w:rFonts w:hint="eastAsia" w:ascii="宋体" w:hAnsi="宋体" w:cs="宋体"/>
                        <w:kern w:val="0"/>
                      </w:rPr>
                      <w:fldChar w:fldCharType="end"/>
                    </w:r>
                    <w:r>
                      <w:rPr>
                        <w:rFonts w:hint="eastAsia" w:ascii="宋体" w:hAnsi="宋体" w:cs="宋体"/>
                        <w:kern w:val="0"/>
                      </w:rP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宋体" w:hAnsi="宋体" w:cs="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52</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70</w:t>
                          </w:r>
                          <w:r>
                            <w:rPr>
                              <w:rFonts w:hint="eastAsia" w:ascii="宋体" w:hAnsi="宋体" w:cs="宋体"/>
                              <w:kern w:val="0"/>
                            </w:rPr>
                            <w:fldChar w:fldCharType="end"/>
                          </w:r>
                          <w:r>
                            <w:rPr>
                              <w:rFonts w:hint="eastAsia" w:ascii="宋体" w:hAnsi="宋体" w:cs="宋体"/>
                              <w:kern w:val="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1"/>
                      <w:jc w:val="center"/>
                    </w:pPr>
                    <w:r>
                      <w:rPr>
                        <w:rFonts w:hint="eastAsia" w:ascii="宋体" w:hAnsi="宋体" w:cs="宋体"/>
                        <w:kern w:val="0"/>
                      </w:rPr>
                      <w:t xml:space="preserve">第 </w:t>
                    </w:r>
                    <w:r>
                      <w:rPr>
                        <w:rFonts w:hint="eastAsia" w:ascii="宋体" w:hAnsi="宋体" w:cs="宋体"/>
                        <w:kern w:val="0"/>
                      </w:rPr>
                      <w:fldChar w:fldCharType="begin"/>
                    </w:r>
                    <w:r>
                      <w:rPr>
                        <w:rFonts w:hint="eastAsia" w:ascii="宋体" w:hAnsi="宋体" w:cs="宋体"/>
                        <w:kern w:val="0"/>
                      </w:rPr>
                      <w:instrText xml:space="preserve"> PAGE </w:instrText>
                    </w:r>
                    <w:r>
                      <w:rPr>
                        <w:rFonts w:hint="eastAsia" w:ascii="宋体" w:hAnsi="宋体" w:cs="宋体"/>
                        <w:kern w:val="0"/>
                      </w:rPr>
                      <w:fldChar w:fldCharType="separate"/>
                    </w:r>
                    <w:r>
                      <w:rPr>
                        <w:rFonts w:hint="eastAsia" w:ascii="宋体" w:hAnsi="宋体" w:cs="宋体"/>
                        <w:kern w:val="0"/>
                      </w:rPr>
                      <w:t>52</w:t>
                    </w:r>
                    <w:r>
                      <w:rPr>
                        <w:rFonts w:hint="eastAsia" w:ascii="宋体" w:hAnsi="宋体" w:cs="宋体"/>
                        <w:kern w:val="0"/>
                      </w:rPr>
                      <w:fldChar w:fldCharType="end"/>
                    </w:r>
                    <w:r>
                      <w:rPr>
                        <w:rFonts w:hint="eastAsia" w:ascii="宋体" w:hAnsi="宋体" w:cs="宋体"/>
                        <w:kern w:val="0"/>
                      </w:rPr>
                      <w:t xml:space="preserve"> 页 共 </w:t>
                    </w:r>
                    <w:r>
                      <w:rPr>
                        <w:rFonts w:hint="eastAsia" w:ascii="宋体" w:hAnsi="宋体" w:cs="宋体"/>
                        <w:kern w:val="0"/>
                      </w:rPr>
                      <w:fldChar w:fldCharType="begin"/>
                    </w:r>
                    <w:r>
                      <w:rPr>
                        <w:rFonts w:hint="eastAsia" w:ascii="宋体" w:hAnsi="宋体" w:cs="宋体"/>
                        <w:kern w:val="0"/>
                      </w:rPr>
                      <w:instrText xml:space="preserve"> NUMPAGES </w:instrText>
                    </w:r>
                    <w:r>
                      <w:rPr>
                        <w:rFonts w:hint="eastAsia" w:ascii="宋体" w:hAnsi="宋体" w:cs="宋体"/>
                        <w:kern w:val="0"/>
                      </w:rPr>
                      <w:fldChar w:fldCharType="separate"/>
                    </w:r>
                    <w:r>
                      <w:rPr>
                        <w:rFonts w:hint="eastAsia" w:ascii="宋体" w:hAnsi="宋体" w:cs="宋体"/>
                        <w:kern w:val="0"/>
                      </w:rPr>
                      <w:t>70</w:t>
                    </w:r>
                    <w:r>
                      <w:rPr>
                        <w:rFonts w:hint="eastAsia" w:ascii="宋体" w:hAnsi="宋体" w:cs="宋体"/>
                        <w:kern w:val="0"/>
                      </w:rPr>
                      <w:fldChar w:fldCharType="end"/>
                    </w:r>
                    <w:r>
                      <w:rPr>
                        <w:rFonts w:hint="eastAsia" w:ascii="宋体" w:hAnsi="宋体" w:cs="宋体"/>
                        <w:kern w:val="0"/>
                      </w:rP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rPr>
        <w:rFonts w:ascii="仿宋_GB2312" w:eastAsia="仿宋_GB2312"/>
        <w:i/>
        <w:u w:val="single"/>
      </w:rPr>
    </w:pPr>
    <w:r>
      <w:rPr>
        <w:rFonts w:hint="eastAsia" w:ascii="宋体" w:hAnsi="宋体" w:cs="宋体"/>
      </w:rPr>
      <w:t>杭州市儿童福利院（杭州市未成年人救助保护中心）</w:t>
    </w:r>
    <w:r>
      <w:rPr>
        <w:rFonts w:hint="eastAsia" w:ascii="宋体" w:hAnsi="宋体" w:cs="宋体"/>
        <w:lang w:eastAsia="zh-CN"/>
      </w:rPr>
      <w:t>2024年儿童优育服务项目</w:t>
    </w:r>
    <w:r>
      <w:rPr>
        <w:rFonts w:hint="eastAsia" w:ascii="宋体" w:hAnsi="宋体" w:cs="宋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ascii="仿宋" w:hAnsi="仿宋" w:eastAsia="仿宋" w:cs="仿宋"/>
        <w:sz w:val="21"/>
        <w:szCs w:val="21"/>
      </w:rPr>
      <w:t xml:space="preserve"> </w:t>
    </w:r>
    <w:r>
      <w:rPr>
        <w:rFonts w:hint="eastAsia" w:ascii="宋体" w:hAnsi="宋体" w:cs="宋体"/>
        <w:sz w:val="21"/>
        <w:szCs w:val="21"/>
      </w:rPr>
      <w:t xml:space="preserve"> </w:t>
    </w:r>
    <w:r>
      <w:t></w:t>
    </w:r>
    <w:r>
      <w:rPr>
        <w:rFonts w:hint="eastAsia"/>
      </w:rPr>
      <w:t>杭州市儿童福利院（杭州市未成年人救助保护中心）</w:t>
    </w:r>
    <w:r>
      <w:rPr>
        <w:rFonts w:hint="eastAsia"/>
        <w:lang w:eastAsia="zh-CN"/>
      </w:rPr>
      <w:t>2024年儿童优育服务项目</w:t>
    </w:r>
    <w:r>
      <w:rPr>
        <w:rFonts w:hint="eastAsia" w:ascii="宋体" w:hAnsi="宋体" w:cs="宋体"/>
      </w:rPr>
      <w:t xml:space="preserve">     </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left"/>
    </w:pPr>
    <w:r>
      <w:t></w:t>
    </w:r>
    <w:r>
      <w:rPr>
        <w:rFonts w:hint="eastAsia"/>
      </w:rPr>
      <w:t xml:space="preserve">     杭州市儿童福利院（杭州市未成年人救助保护中心）</w:t>
    </w:r>
    <w:r>
      <w:rPr>
        <w:rFonts w:hint="eastAsia"/>
        <w:lang w:eastAsia="zh-CN"/>
      </w:rPr>
      <w:t>2024年儿童优育服务项目</w:t>
    </w:r>
    <w:r>
      <w:rPr>
        <w:rFonts w:hint="eastAsia" w:ascii="宋体" w:hAnsi="宋体" w:cs="宋体"/>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b/>
        <w:i/>
        <w:sz w:val="18"/>
        <w:u w:val="single"/>
      </w:rPr>
    </w:pPr>
    <w:r>
      <w:rPr>
        <w:rFonts w:hint="eastAsia"/>
        <w:sz w:val="18"/>
        <w:szCs w:val="18"/>
        <w:u w:val="single"/>
      </w:rPr>
      <w:t>杭州市儿童福利院（杭州市未成年人救助保护中心）</w:t>
    </w:r>
    <w:r>
      <w:rPr>
        <w:rFonts w:hint="eastAsia"/>
        <w:sz w:val="18"/>
        <w:szCs w:val="18"/>
        <w:u w:val="single"/>
        <w:lang w:eastAsia="zh-CN"/>
      </w:rPr>
      <w:t>2024年儿童优育服务项目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ascii="宋体" w:hAnsi="宋体" w:cs="宋体"/>
        <w:sz w:val="21"/>
        <w:szCs w:val="21"/>
      </w:rPr>
      <w:t xml:space="preserve"> </w:t>
    </w:r>
    <w:r>
      <w:rPr>
        <w:rFonts w:hint="eastAsia"/>
      </w:rPr>
      <w:t xml:space="preserve">  杭州市儿童福利院（杭州市未成年人救助保护中心）</w:t>
    </w:r>
    <w:r>
      <w:rPr>
        <w:rFonts w:hint="eastAsia"/>
        <w:lang w:eastAsia="zh-CN"/>
      </w:rPr>
      <w:t>2024年儿童优育服务项目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ascii="宋体" w:hAnsi="宋体" w:cs="宋体"/>
        <w:sz w:val="21"/>
        <w:szCs w:val="21"/>
      </w:rPr>
      <w:t xml:space="preserve"> </w:t>
    </w:r>
    <w:r>
      <w:rPr>
        <w:rFonts w:hint="eastAsia"/>
      </w:rPr>
      <w:t>杭州市儿童福利院（杭州市未成年人救助保护中心）</w:t>
    </w:r>
    <w:r>
      <w:rPr>
        <w:rFonts w:hint="eastAsia"/>
        <w:lang w:eastAsia="zh-CN"/>
      </w:rPr>
      <w:t>2024年儿童优育服务项目</w:t>
    </w:r>
    <w:r>
      <w:rPr>
        <w:rFonts w:hint="eastAsia" w:ascii="宋体" w:hAnsi="宋体" w:cs="宋体"/>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杭州市儿童福利院（杭州市未成年人救助保护中心）</w:t>
    </w:r>
    <w:r>
      <w:rPr>
        <w:rFonts w:hint="eastAsia"/>
        <w:lang w:eastAsia="zh-CN"/>
      </w:rPr>
      <w:t>2024年儿童优育服务项目</w:t>
    </w:r>
    <w:r>
      <w:rPr>
        <w:rFonts w:hint="eastAsia" w:ascii="宋体" w:hAnsi="宋体" w:cs="宋体"/>
      </w:rPr>
      <w:t xml:space="preserve"> </w:t>
    </w:r>
    <w:r>
      <w:rPr>
        <w:rFonts w:hint="eastAsia" w:ascii="宋体" w:hAnsi="宋体" w:cs="宋体"/>
        <w:bCs/>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杭州市儿童福利院（杭州市未成年人救助保护中心）</w:t>
    </w:r>
    <w:r>
      <w:rPr>
        <w:rFonts w:hint="eastAsia"/>
        <w:lang w:eastAsia="zh-CN"/>
      </w:rPr>
      <w:t>2024年儿童优育服务项目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ascii="宋体" w:hAnsi="宋体" w:cs="宋体"/>
        <w:sz w:val="21"/>
        <w:szCs w:val="21"/>
      </w:rPr>
      <w:t xml:space="preserve"> </w:t>
    </w:r>
    <w:r>
      <w:rPr>
        <w:rFonts w:hint="eastAsia"/>
      </w:rPr>
      <w:t xml:space="preserve">  杭州市儿童福利院（杭州市未成年人救助保护中心）</w:t>
    </w:r>
    <w:r>
      <w:rPr>
        <w:rFonts w:hint="eastAsia"/>
        <w:lang w:eastAsia="zh-CN"/>
      </w:rPr>
      <w:t>2024年儿童优育服务项目</w:t>
    </w:r>
    <w:r>
      <w:rPr>
        <w:rFonts w:hint="eastAsia" w:ascii="宋体" w:hAnsi="宋体" w:cs="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0DA7D"/>
    <w:multiLevelType w:val="singleLevel"/>
    <w:tmpl w:val="97F0DA7D"/>
    <w:lvl w:ilvl="0" w:tentative="0">
      <w:start w:val="1"/>
      <w:numFmt w:val="chineseCounting"/>
      <w:suff w:val="nothing"/>
      <w:lvlText w:val="（%1）"/>
      <w:lvlJc w:val="left"/>
      <w:pPr>
        <w:ind w:left="0" w:firstLine="420"/>
      </w:pPr>
      <w:rPr>
        <w:rFonts w:hint="eastAsia" w:ascii="楷体" w:hAnsi="楷体" w:eastAsia="楷体" w:cs="楷体"/>
      </w:rPr>
    </w:lvl>
  </w:abstractNum>
  <w:abstractNum w:abstractNumId="1">
    <w:nsid w:val="DED0192A"/>
    <w:multiLevelType w:val="singleLevel"/>
    <w:tmpl w:val="DED0192A"/>
    <w:lvl w:ilvl="0" w:tentative="0">
      <w:start w:val="1"/>
      <w:numFmt w:val="decimal"/>
      <w:suff w:val="nothing"/>
      <w:lvlText w:val="%1．"/>
      <w:lvlJc w:val="left"/>
      <w:pPr>
        <w:ind w:left="0" w:firstLine="400"/>
      </w:pPr>
      <w:rPr>
        <w:rFonts w:hint="default"/>
      </w:rPr>
    </w:lvl>
  </w:abstractNum>
  <w:abstractNum w:abstractNumId="2">
    <w:nsid w:val="199186E1"/>
    <w:multiLevelType w:val="singleLevel"/>
    <w:tmpl w:val="199186E1"/>
    <w:lvl w:ilvl="0" w:tentative="0">
      <w:start w:val="1"/>
      <w:numFmt w:val="chineseCounting"/>
      <w:suff w:val="space"/>
      <w:lvlText w:val="第%1部分"/>
      <w:lvlJc w:val="left"/>
      <w:rPr>
        <w:rFonts w:hint="eastAsia"/>
      </w:rPr>
    </w:lvl>
  </w:abstractNum>
  <w:abstractNum w:abstractNumId="3">
    <w:nsid w:val="25929FCF"/>
    <w:multiLevelType w:val="singleLevel"/>
    <w:tmpl w:val="25929FCF"/>
    <w:lvl w:ilvl="0" w:tentative="0">
      <w:start w:val="1"/>
      <w:numFmt w:val="decimal"/>
      <w:suff w:val="nothing"/>
      <w:lvlText w:val="%1．"/>
      <w:lvlJc w:val="left"/>
      <w:pPr>
        <w:ind w:left="-10" w:firstLine="400"/>
      </w:pPr>
      <w:rPr>
        <w:rFonts w:hint="default"/>
      </w:rPr>
    </w:lvl>
  </w:abstractNum>
  <w:abstractNum w:abstractNumId="4">
    <w:nsid w:val="3A026109"/>
    <w:multiLevelType w:val="singleLevel"/>
    <w:tmpl w:val="3A026109"/>
    <w:lvl w:ilvl="0" w:tentative="0">
      <w:start w:val="7"/>
      <w:numFmt w:val="chineseCounting"/>
      <w:suff w:val="space"/>
      <w:lvlText w:val="第%1条"/>
      <w:lvlJc w:val="left"/>
      <w:rPr>
        <w:rFonts w:hint="eastAsia"/>
      </w:rPr>
    </w:lvl>
  </w:abstractNum>
  <w:abstractNum w:abstractNumId="5">
    <w:nsid w:val="4442E884"/>
    <w:multiLevelType w:val="singleLevel"/>
    <w:tmpl w:val="4442E884"/>
    <w:lvl w:ilvl="0" w:tentative="0">
      <w:start w:val="1"/>
      <w:numFmt w:val="decimal"/>
      <w:suff w:val="nothing"/>
      <w:lvlText w:val="%1、"/>
      <w:lvlJc w:val="left"/>
    </w:lvl>
  </w:abstractNum>
  <w:abstractNum w:abstractNumId="6">
    <w:nsid w:val="5C6555C1"/>
    <w:multiLevelType w:val="singleLevel"/>
    <w:tmpl w:val="5C6555C1"/>
    <w:lvl w:ilvl="0" w:tentative="0">
      <w:start w:val="1"/>
      <w:numFmt w:val="decimal"/>
      <w:suff w:val="nothing"/>
      <w:lvlText w:val="%1．"/>
      <w:lvlJc w:val="left"/>
      <w:pPr>
        <w:ind w:left="0" w:firstLine="400"/>
      </w:pPr>
      <w:rPr>
        <w:rFonts w:hint="default"/>
      </w:rPr>
    </w:lvl>
  </w:abstractNum>
  <w:abstractNum w:abstractNumId="7">
    <w:nsid w:val="6353A25D"/>
    <w:multiLevelType w:val="singleLevel"/>
    <w:tmpl w:val="6353A25D"/>
    <w:lvl w:ilvl="0" w:tentative="0">
      <w:start w:val="1"/>
      <w:numFmt w:val="chineseCounting"/>
      <w:suff w:val="nothing"/>
      <w:lvlText w:val="%1、"/>
      <w:lvlJc w:val="left"/>
      <w:rPr>
        <w:rFonts w:hint="eastAsia"/>
      </w:rPr>
    </w:lvl>
  </w:abstractNum>
  <w:abstractNum w:abstractNumId="8">
    <w:nsid w:val="657FF699"/>
    <w:multiLevelType w:val="singleLevel"/>
    <w:tmpl w:val="657FF699"/>
    <w:lvl w:ilvl="0" w:tentative="0">
      <w:start w:val="1"/>
      <w:numFmt w:val="decimal"/>
      <w:suff w:val="nothing"/>
      <w:lvlText w:val="%1．"/>
      <w:lvlJc w:val="left"/>
      <w:pPr>
        <w:ind w:left="0" w:firstLine="400"/>
      </w:pPr>
      <w:rPr>
        <w:rFonts w:hint="default"/>
      </w:rPr>
    </w:lvl>
  </w:abstractNum>
  <w:abstractNum w:abstractNumId="9">
    <w:nsid w:val="77107721"/>
    <w:multiLevelType w:val="singleLevel"/>
    <w:tmpl w:val="77107721"/>
    <w:lvl w:ilvl="0" w:tentative="0">
      <w:start w:val="1"/>
      <w:numFmt w:val="chineseCounting"/>
      <w:suff w:val="nothing"/>
      <w:lvlText w:val="%1、"/>
      <w:lvlJc w:val="left"/>
      <w:pPr>
        <w:ind w:left="0" w:firstLine="420"/>
      </w:pPr>
      <w:rPr>
        <w:rFonts w:hint="eastAsia"/>
      </w:rPr>
    </w:lvl>
  </w:abstractNum>
  <w:num w:numId="1">
    <w:abstractNumId w:val="2"/>
  </w:num>
  <w:num w:numId="2">
    <w:abstractNumId w:val="5"/>
  </w:num>
  <w:num w:numId="3">
    <w:abstractNumId w:val="9"/>
  </w:num>
  <w:num w:numId="4">
    <w:abstractNumId w:val="1"/>
  </w:num>
  <w:num w:numId="5">
    <w:abstractNumId w:val="0"/>
  </w:num>
  <w:num w:numId="6">
    <w:abstractNumId w:val="6"/>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4YzBjNGNiNjk1MjlkODQ5ZTlmZTllYTg0YmFjMj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B7D"/>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523"/>
    <w:rsid w:val="00090243"/>
    <w:rsid w:val="000904F6"/>
    <w:rsid w:val="000906A2"/>
    <w:rsid w:val="00090918"/>
    <w:rsid w:val="00090ED8"/>
    <w:rsid w:val="00090F9F"/>
    <w:rsid w:val="0009145F"/>
    <w:rsid w:val="0009184E"/>
    <w:rsid w:val="00091B4E"/>
    <w:rsid w:val="00091DC0"/>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7BF"/>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4BA"/>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5AE"/>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8B6"/>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5CD"/>
    <w:rsid w:val="00374677"/>
    <w:rsid w:val="00374AFE"/>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E3D"/>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57A"/>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AC5"/>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119"/>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195E"/>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27F80"/>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819"/>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D90"/>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741"/>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2FB9"/>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A76"/>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1E3"/>
    <w:rsid w:val="008E58A3"/>
    <w:rsid w:val="008E5938"/>
    <w:rsid w:val="008E6109"/>
    <w:rsid w:val="008E6A39"/>
    <w:rsid w:val="008E76BB"/>
    <w:rsid w:val="008F1764"/>
    <w:rsid w:val="008F1E3D"/>
    <w:rsid w:val="008F235C"/>
    <w:rsid w:val="008F25E3"/>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33"/>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0C97"/>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395"/>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6F6C"/>
    <w:rsid w:val="00A176DD"/>
    <w:rsid w:val="00A20908"/>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6FE5"/>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C5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AEB"/>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E0"/>
    <w:rsid w:val="00E726F2"/>
    <w:rsid w:val="00E728E2"/>
    <w:rsid w:val="00E738FA"/>
    <w:rsid w:val="00E739B6"/>
    <w:rsid w:val="00E74A2B"/>
    <w:rsid w:val="00E75667"/>
    <w:rsid w:val="00E756D3"/>
    <w:rsid w:val="00E75A5A"/>
    <w:rsid w:val="00E76004"/>
    <w:rsid w:val="00E7608F"/>
    <w:rsid w:val="00E760D7"/>
    <w:rsid w:val="00E76722"/>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8DA"/>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5F32"/>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B30"/>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844"/>
    <w:rsid w:val="00FF49B4"/>
    <w:rsid w:val="00FF49F4"/>
    <w:rsid w:val="00FF5C6A"/>
    <w:rsid w:val="00FF651D"/>
    <w:rsid w:val="00FF6843"/>
    <w:rsid w:val="00FF6C25"/>
    <w:rsid w:val="010651D9"/>
    <w:rsid w:val="011F6449"/>
    <w:rsid w:val="01236AFB"/>
    <w:rsid w:val="01485783"/>
    <w:rsid w:val="019F7441"/>
    <w:rsid w:val="01B37585"/>
    <w:rsid w:val="01D55165"/>
    <w:rsid w:val="01DF6BF8"/>
    <w:rsid w:val="01EC2C57"/>
    <w:rsid w:val="024B2C29"/>
    <w:rsid w:val="02640B6F"/>
    <w:rsid w:val="026B2E25"/>
    <w:rsid w:val="02824D4D"/>
    <w:rsid w:val="02DC4B10"/>
    <w:rsid w:val="02DD76CE"/>
    <w:rsid w:val="02F36323"/>
    <w:rsid w:val="02F5619C"/>
    <w:rsid w:val="0326446A"/>
    <w:rsid w:val="032D5555"/>
    <w:rsid w:val="036634D2"/>
    <w:rsid w:val="03B33560"/>
    <w:rsid w:val="03DD35E4"/>
    <w:rsid w:val="04076900"/>
    <w:rsid w:val="041A5A3B"/>
    <w:rsid w:val="042311BA"/>
    <w:rsid w:val="042B157A"/>
    <w:rsid w:val="048F763B"/>
    <w:rsid w:val="049F330E"/>
    <w:rsid w:val="04AA775C"/>
    <w:rsid w:val="04AF1889"/>
    <w:rsid w:val="04F66F48"/>
    <w:rsid w:val="05000FE9"/>
    <w:rsid w:val="05251E14"/>
    <w:rsid w:val="05A16594"/>
    <w:rsid w:val="05A7762D"/>
    <w:rsid w:val="060E5941"/>
    <w:rsid w:val="06110FAF"/>
    <w:rsid w:val="06351D42"/>
    <w:rsid w:val="06493CA7"/>
    <w:rsid w:val="065A6178"/>
    <w:rsid w:val="066F1CF3"/>
    <w:rsid w:val="0671445A"/>
    <w:rsid w:val="06930BB8"/>
    <w:rsid w:val="07245D42"/>
    <w:rsid w:val="07264C62"/>
    <w:rsid w:val="0779354C"/>
    <w:rsid w:val="08061376"/>
    <w:rsid w:val="08452D77"/>
    <w:rsid w:val="086401F8"/>
    <w:rsid w:val="08751CAA"/>
    <w:rsid w:val="087E4C40"/>
    <w:rsid w:val="08CF6E9E"/>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317AF"/>
    <w:rsid w:val="0AA374A5"/>
    <w:rsid w:val="0AAB7649"/>
    <w:rsid w:val="0ABC5606"/>
    <w:rsid w:val="0B30404E"/>
    <w:rsid w:val="0B4C6C14"/>
    <w:rsid w:val="0B631A88"/>
    <w:rsid w:val="0B683D45"/>
    <w:rsid w:val="0B7F3F11"/>
    <w:rsid w:val="0B884417"/>
    <w:rsid w:val="0BCB2034"/>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40EFE"/>
    <w:rsid w:val="0EB803EE"/>
    <w:rsid w:val="0EEE76B5"/>
    <w:rsid w:val="0EF30EEB"/>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335200"/>
    <w:rsid w:val="117A6C21"/>
    <w:rsid w:val="118963A1"/>
    <w:rsid w:val="11AB2B79"/>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2704F4"/>
    <w:rsid w:val="146D271E"/>
    <w:rsid w:val="14982588"/>
    <w:rsid w:val="149A5AD9"/>
    <w:rsid w:val="14A7619D"/>
    <w:rsid w:val="150536C3"/>
    <w:rsid w:val="150C1963"/>
    <w:rsid w:val="151447A0"/>
    <w:rsid w:val="154A6454"/>
    <w:rsid w:val="15762120"/>
    <w:rsid w:val="15BF7CF2"/>
    <w:rsid w:val="16A8729C"/>
    <w:rsid w:val="16B33777"/>
    <w:rsid w:val="16BC70A7"/>
    <w:rsid w:val="16C6339E"/>
    <w:rsid w:val="172F2D79"/>
    <w:rsid w:val="17557BEF"/>
    <w:rsid w:val="17D349C1"/>
    <w:rsid w:val="1830729E"/>
    <w:rsid w:val="18406443"/>
    <w:rsid w:val="1870062C"/>
    <w:rsid w:val="18817102"/>
    <w:rsid w:val="18830A15"/>
    <w:rsid w:val="18852B28"/>
    <w:rsid w:val="188B5321"/>
    <w:rsid w:val="18F05270"/>
    <w:rsid w:val="19932372"/>
    <w:rsid w:val="19A20DD5"/>
    <w:rsid w:val="19AE03F1"/>
    <w:rsid w:val="1A071A03"/>
    <w:rsid w:val="1A1F16AE"/>
    <w:rsid w:val="1A394B2B"/>
    <w:rsid w:val="1A3B5C77"/>
    <w:rsid w:val="1A984BAD"/>
    <w:rsid w:val="1AB8220E"/>
    <w:rsid w:val="1AE4166C"/>
    <w:rsid w:val="1AF06CFB"/>
    <w:rsid w:val="1AF11B8D"/>
    <w:rsid w:val="1B11359C"/>
    <w:rsid w:val="1B187109"/>
    <w:rsid w:val="1B2A271F"/>
    <w:rsid w:val="1B530544"/>
    <w:rsid w:val="1B713184"/>
    <w:rsid w:val="1BA209CF"/>
    <w:rsid w:val="1BB4777D"/>
    <w:rsid w:val="1BD75AB8"/>
    <w:rsid w:val="1C0459C2"/>
    <w:rsid w:val="1C1B3B4A"/>
    <w:rsid w:val="1C88086E"/>
    <w:rsid w:val="1C8947CA"/>
    <w:rsid w:val="1CB404D1"/>
    <w:rsid w:val="1D266CE1"/>
    <w:rsid w:val="1D3963AF"/>
    <w:rsid w:val="1D45306A"/>
    <w:rsid w:val="1D6A673C"/>
    <w:rsid w:val="1D9247AE"/>
    <w:rsid w:val="1D98067A"/>
    <w:rsid w:val="1DB567EC"/>
    <w:rsid w:val="1DF51A98"/>
    <w:rsid w:val="1E3D060F"/>
    <w:rsid w:val="1E3F7D2E"/>
    <w:rsid w:val="1E4134E4"/>
    <w:rsid w:val="1E5062B3"/>
    <w:rsid w:val="1E523514"/>
    <w:rsid w:val="1E714A66"/>
    <w:rsid w:val="1E802593"/>
    <w:rsid w:val="1EA703CC"/>
    <w:rsid w:val="1EB7330C"/>
    <w:rsid w:val="1F0A0FF3"/>
    <w:rsid w:val="1F1D72D7"/>
    <w:rsid w:val="1F3F469C"/>
    <w:rsid w:val="1F5771FF"/>
    <w:rsid w:val="1F79D08D"/>
    <w:rsid w:val="1FCB0DC9"/>
    <w:rsid w:val="1FE868A9"/>
    <w:rsid w:val="20034907"/>
    <w:rsid w:val="20173E4B"/>
    <w:rsid w:val="202427E9"/>
    <w:rsid w:val="204E48BC"/>
    <w:rsid w:val="208921B3"/>
    <w:rsid w:val="20973DEB"/>
    <w:rsid w:val="20B26522"/>
    <w:rsid w:val="20B44310"/>
    <w:rsid w:val="20F42F73"/>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1612F1"/>
    <w:rsid w:val="2628662C"/>
    <w:rsid w:val="262D45DE"/>
    <w:rsid w:val="269D7D2D"/>
    <w:rsid w:val="26A53EF9"/>
    <w:rsid w:val="26A94201"/>
    <w:rsid w:val="26AC274F"/>
    <w:rsid w:val="27044A29"/>
    <w:rsid w:val="271D34C8"/>
    <w:rsid w:val="273F1C60"/>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5E48A2"/>
    <w:rsid w:val="2DD15014"/>
    <w:rsid w:val="2DF72DE4"/>
    <w:rsid w:val="2E0220AF"/>
    <w:rsid w:val="2E4B082A"/>
    <w:rsid w:val="2E5D4E86"/>
    <w:rsid w:val="2E5D790B"/>
    <w:rsid w:val="2E9A3C18"/>
    <w:rsid w:val="2EBB0FEE"/>
    <w:rsid w:val="2EC45F7C"/>
    <w:rsid w:val="2EC63002"/>
    <w:rsid w:val="2F0A6B38"/>
    <w:rsid w:val="2F946CCB"/>
    <w:rsid w:val="2FD25781"/>
    <w:rsid w:val="2FFD7934"/>
    <w:rsid w:val="306B39DB"/>
    <w:rsid w:val="30733ACD"/>
    <w:rsid w:val="308C3862"/>
    <w:rsid w:val="309379D8"/>
    <w:rsid w:val="30A270F7"/>
    <w:rsid w:val="30DF1478"/>
    <w:rsid w:val="30EC586F"/>
    <w:rsid w:val="319C6071"/>
    <w:rsid w:val="31AC537E"/>
    <w:rsid w:val="31AD61DD"/>
    <w:rsid w:val="31AF0BD9"/>
    <w:rsid w:val="31E3679B"/>
    <w:rsid w:val="31E732FD"/>
    <w:rsid w:val="32517576"/>
    <w:rsid w:val="32BE5C2C"/>
    <w:rsid w:val="32FB6478"/>
    <w:rsid w:val="33263B3F"/>
    <w:rsid w:val="336963EB"/>
    <w:rsid w:val="33816EEB"/>
    <w:rsid w:val="33D67846"/>
    <w:rsid w:val="33EB55CD"/>
    <w:rsid w:val="33EC4C02"/>
    <w:rsid w:val="340D2360"/>
    <w:rsid w:val="3410665D"/>
    <w:rsid w:val="34211214"/>
    <w:rsid w:val="342E63AB"/>
    <w:rsid w:val="343868FB"/>
    <w:rsid w:val="34950E68"/>
    <w:rsid w:val="34986E94"/>
    <w:rsid w:val="34AF62C9"/>
    <w:rsid w:val="34CB4388"/>
    <w:rsid w:val="34FA6E12"/>
    <w:rsid w:val="358D5588"/>
    <w:rsid w:val="359054A1"/>
    <w:rsid w:val="363A3B40"/>
    <w:rsid w:val="365302AE"/>
    <w:rsid w:val="36607A0A"/>
    <w:rsid w:val="366E227C"/>
    <w:rsid w:val="366F2E0D"/>
    <w:rsid w:val="367B6A5C"/>
    <w:rsid w:val="36A74ADA"/>
    <w:rsid w:val="36AD60D5"/>
    <w:rsid w:val="36B224F9"/>
    <w:rsid w:val="36EC0CC9"/>
    <w:rsid w:val="37053332"/>
    <w:rsid w:val="373D070E"/>
    <w:rsid w:val="373F410B"/>
    <w:rsid w:val="37EE7094"/>
    <w:rsid w:val="38296C89"/>
    <w:rsid w:val="383002EB"/>
    <w:rsid w:val="38586797"/>
    <w:rsid w:val="38BC0149"/>
    <w:rsid w:val="38D87D1C"/>
    <w:rsid w:val="39456DEC"/>
    <w:rsid w:val="39636459"/>
    <w:rsid w:val="396B7F6C"/>
    <w:rsid w:val="39B417A9"/>
    <w:rsid w:val="39FC5695"/>
    <w:rsid w:val="3A006D8E"/>
    <w:rsid w:val="3A0D7484"/>
    <w:rsid w:val="3A3651E5"/>
    <w:rsid w:val="3A744481"/>
    <w:rsid w:val="3A8C7BEF"/>
    <w:rsid w:val="3A906246"/>
    <w:rsid w:val="3B2349B7"/>
    <w:rsid w:val="3B616CFF"/>
    <w:rsid w:val="3B6259F6"/>
    <w:rsid w:val="3B6D1BAE"/>
    <w:rsid w:val="3B937DC9"/>
    <w:rsid w:val="3B976654"/>
    <w:rsid w:val="3BC01EFC"/>
    <w:rsid w:val="3BCA786A"/>
    <w:rsid w:val="3BD31E2F"/>
    <w:rsid w:val="3BE57435"/>
    <w:rsid w:val="3BF15831"/>
    <w:rsid w:val="3C105946"/>
    <w:rsid w:val="3C471448"/>
    <w:rsid w:val="3C5F759A"/>
    <w:rsid w:val="3C6C525A"/>
    <w:rsid w:val="3CCE23CB"/>
    <w:rsid w:val="3CD17D17"/>
    <w:rsid w:val="3D3C7F39"/>
    <w:rsid w:val="3D440F09"/>
    <w:rsid w:val="3D4504A0"/>
    <w:rsid w:val="3D6511A8"/>
    <w:rsid w:val="3D8734BB"/>
    <w:rsid w:val="3D9A11D4"/>
    <w:rsid w:val="3DA16D89"/>
    <w:rsid w:val="3DA364BE"/>
    <w:rsid w:val="3DE041CB"/>
    <w:rsid w:val="3E0D48F6"/>
    <w:rsid w:val="3E1868B4"/>
    <w:rsid w:val="3E34434E"/>
    <w:rsid w:val="3E377251"/>
    <w:rsid w:val="3E42664B"/>
    <w:rsid w:val="3E4E0709"/>
    <w:rsid w:val="3E5A7334"/>
    <w:rsid w:val="3E7B5D6B"/>
    <w:rsid w:val="3E843E66"/>
    <w:rsid w:val="3E8F51FE"/>
    <w:rsid w:val="3E926F87"/>
    <w:rsid w:val="3E9A59DE"/>
    <w:rsid w:val="3EAF4836"/>
    <w:rsid w:val="3EC33DFA"/>
    <w:rsid w:val="3F0062A9"/>
    <w:rsid w:val="3F060E16"/>
    <w:rsid w:val="3F1D1096"/>
    <w:rsid w:val="3F2F0234"/>
    <w:rsid w:val="3F6363FE"/>
    <w:rsid w:val="3F756B8F"/>
    <w:rsid w:val="3F95482B"/>
    <w:rsid w:val="4019356B"/>
    <w:rsid w:val="40592157"/>
    <w:rsid w:val="406E1CAE"/>
    <w:rsid w:val="40A0133A"/>
    <w:rsid w:val="40C31A53"/>
    <w:rsid w:val="40FF545D"/>
    <w:rsid w:val="410067C8"/>
    <w:rsid w:val="418710F4"/>
    <w:rsid w:val="418F0D2A"/>
    <w:rsid w:val="41D01505"/>
    <w:rsid w:val="42131ABE"/>
    <w:rsid w:val="42474939"/>
    <w:rsid w:val="424C3C57"/>
    <w:rsid w:val="42613FF3"/>
    <w:rsid w:val="42660D96"/>
    <w:rsid w:val="428667D2"/>
    <w:rsid w:val="42CD1CE0"/>
    <w:rsid w:val="42E1381E"/>
    <w:rsid w:val="42EC2E94"/>
    <w:rsid w:val="42ED6459"/>
    <w:rsid w:val="42FE58DD"/>
    <w:rsid w:val="43174B3D"/>
    <w:rsid w:val="434B790E"/>
    <w:rsid w:val="4360274F"/>
    <w:rsid w:val="43977AB6"/>
    <w:rsid w:val="43A3342B"/>
    <w:rsid w:val="43C77C27"/>
    <w:rsid w:val="43DE09EE"/>
    <w:rsid w:val="44002FAD"/>
    <w:rsid w:val="449101DD"/>
    <w:rsid w:val="44BA7B87"/>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123744"/>
    <w:rsid w:val="484B7BE0"/>
    <w:rsid w:val="4850247A"/>
    <w:rsid w:val="487A3E25"/>
    <w:rsid w:val="488B5503"/>
    <w:rsid w:val="48937E21"/>
    <w:rsid w:val="489A0361"/>
    <w:rsid w:val="48B9363C"/>
    <w:rsid w:val="48B94FF3"/>
    <w:rsid w:val="48E37AAB"/>
    <w:rsid w:val="48EA3204"/>
    <w:rsid w:val="48FD4B4C"/>
    <w:rsid w:val="490A68E0"/>
    <w:rsid w:val="491055FE"/>
    <w:rsid w:val="495F5B3E"/>
    <w:rsid w:val="496F77D7"/>
    <w:rsid w:val="497654FD"/>
    <w:rsid w:val="49B64211"/>
    <w:rsid w:val="49F6167F"/>
    <w:rsid w:val="49FF7D91"/>
    <w:rsid w:val="4A064FA0"/>
    <w:rsid w:val="4A16615C"/>
    <w:rsid w:val="4A300E22"/>
    <w:rsid w:val="4A4424D7"/>
    <w:rsid w:val="4AB82D0F"/>
    <w:rsid w:val="4AEB7664"/>
    <w:rsid w:val="4AFD7C19"/>
    <w:rsid w:val="4B0567D1"/>
    <w:rsid w:val="4B236AAE"/>
    <w:rsid w:val="4B707271"/>
    <w:rsid w:val="4B9739F7"/>
    <w:rsid w:val="4BEE2503"/>
    <w:rsid w:val="4C245A30"/>
    <w:rsid w:val="4C341A39"/>
    <w:rsid w:val="4CB6685F"/>
    <w:rsid w:val="4CC367FE"/>
    <w:rsid w:val="4D077F3C"/>
    <w:rsid w:val="4D123355"/>
    <w:rsid w:val="4D2A3B31"/>
    <w:rsid w:val="4D312C52"/>
    <w:rsid w:val="4D905305"/>
    <w:rsid w:val="4D964A72"/>
    <w:rsid w:val="4D9C1254"/>
    <w:rsid w:val="4E0560BD"/>
    <w:rsid w:val="4E5E18AA"/>
    <w:rsid w:val="4E6C00BC"/>
    <w:rsid w:val="4E6D323E"/>
    <w:rsid w:val="4E793892"/>
    <w:rsid w:val="4E800872"/>
    <w:rsid w:val="4EC569ED"/>
    <w:rsid w:val="4ED50EA1"/>
    <w:rsid w:val="4EEC050C"/>
    <w:rsid w:val="4F104EC3"/>
    <w:rsid w:val="4F47354A"/>
    <w:rsid w:val="4F5648C6"/>
    <w:rsid w:val="4F911C54"/>
    <w:rsid w:val="4FE625E0"/>
    <w:rsid w:val="4FEB2184"/>
    <w:rsid w:val="5021480F"/>
    <w:rsid w:val="50962ECB"/>
    <w:rsid w:val="50A42E38"/>
    <w:rsid w:val="50A4577F"/>
    <w:rsid w:val="50B73D1F"/>
    <w:rsid w:val="50BD5BC9"/>
    <w:rsid w:val="50C11EEE"/>
    <w:rsid w:val="50E97CFC"/>
    <w:rsid w:val="50FA4028"/>
    <w:rsid w:val="510D65B7"/>
    <w:rsid w:val="511157AB"/>
    <w:rsid w:val="5139578C"/>
    <w:rsid w:val="5142540C"/>
    <w:rsid w:val="518832C8"/>
    <w:rsid w:val="51A0432A"/>
    <w:rsid w:val="51A86090"/>
    <w:rsid w:val="51B7396D"/>
    <w:rsid w:val="51E32597"/>
    <w:rsid w:val="522E4CC3"/>
    <w:rsid w:val="5244713B"/>
    <w:rsid w:val="52615633"/>
    <w:rsid w:val="52977FD4"/>
    <w:rsid w:val="52A25790"/>
    <w:rsid w:val="52A96B6F"/>
    <w:rsid w:val="52B45975"/>
    <w:rsid w:val="52BA119C"/>
    <w:rsid w:val="52D94AA4"/>
    <w:rsid w:val="52EA3A62"/>
    <w:rsid w:val="52F50BB8"/>
    <w:rsid w:val="52FB3923"/>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26137B"/>
    <w:rsid w:val="566B6D1E"/>
    <w:rsid w:val="57032A2C"/>
    <w:rsid w:val="570F5219"/>
    <w:rsid w:val="575D12B5"/>
    <w:rsid w:val="57610A87"/>
    <w:rsid w:val="577B1140"/>
    <w:rsid w:val="577B7F21"/>
    <w:rsid w:val="577F181B"/>
    <w:rsid w:val="578A336C"/>
    <w:rsid w:val="57921984"/>
    <w:rsid w:val="579737F0"/>
    <w:rsid w:val="57AB7B30"/>
    <w:rsid w:val="57AF5251"/>
    <w:rsid w:val="57B26373"/>
    <w:rsid w:val="57B63F04"/>
    <w:rsid w:val="57CD20C2"/>
    <w:rsid w:val="57D675AB"/>
    <w:rsid w:val="57D95FDD"/>
    <w:rsid w:val="58917D2F"/>
    <w:rsid w:val="5894085C"/>
    <w:rsid w:val="58AE4F0C"/>
    <w:rsid w:val="58B85899"/>
    <w:rsid w:val="58BA12E8"/>
    <w:rsid w:val="58E363A9"/>
    <w:rsid w:val="595E1678"/>
    <w:rsid w:val="596D5BD4"/>
    <w:rsid w:val="596E60FE"/>
    <w:rsid w:val="597E3DD8"/>
    <w:rsid w:val="59F80043"/>
    <w:rsid w:val="5A09252F"/>
    <w:rsid w:val="5A0B2778"/>
    <w:rsid w:val="5A2A7C7B"/>
    <w:rsid w:val="5A3E2560"/>
    <w:rsid w:val="5A5D3B6E"/>
    <w:rsid w:val="5A637A76"/>
    <w:rsid w:val="5A6821A3"/>
    <w:rsid w:val="5A6D33BA"/>
    <w:rsid w:val="5A792B1F"/>
    <w:rsid w:val="5A874767"/>
    <w:rsid w:val="5AAD6F28"/>
    <w:rsid w:val="5AD63A24"/>
    <w:rsid w:val="5B2E1A1D"/>
    <w:rsid w:val="5B724340"/>
    <w:rsid w:val="5B731965"/>
    <w:rsid w:val="5B843A1C"/>
    <w:rsid w:val="5B873E3F"/>
    <w:rsid w:val="5BDD55BC"/>
    <w:rsid w:val="5C02690E"/>
    <w:rsid w:val="5C196DA7"/>
    <w:rsid w:val="5C2A048C"/>
    <w:rsid w:val="5C80234E"/>
    <w:rsid w:val="5C8A680C"/>
    <w:rsid w:val="5CCB3F43"/>
    <w:rsid w:val="5CE54002"/>
    <w:rsid w:val="5CE55F84"/>
    <w:rsid w:val="5D0C4701"/>
    <w:rsid w:val="5D0F0395"/>
    <w:rsid w:val="5D221076"/>
    <w:rsid w:val="5D397964"/>
    <w:rsid w:val="5D476FA7"/>
    <w:rsid w:val="5D5A391C"/>
    <w:rsid w:val="5D5F10C0"/>
    <w:rsid w:val="5D891B7B"/>
    <w:rsid w:val="5DAD38EE"/>
    <w:rsid w:val="5E006862"/>
    <w:rsid w:val="5E0207B9"/>
    <w:rsid w:val="5E1834A1"/>
    <w:rsid w:val="5E261785"/>
    <w:rsid w:val="5E4A7017"/>
    <w:rsid w:val="5E552BBA"/>
    <w:rsid w:val="5E611C10"/>
    <w:rsid w:val="5EFC7377"/>
    <w:rsid w:val="5F06174D"/>
    <w:rsid w:val="5F3A3602"/>
    <w:rsid w:val="5F5D781D"/>
    <w:rsid w:val="5F6277C6"/>
    <w:rsid w:val="5F6D0B1D"/>
    <w:rsid w:val="5F8D0B82"/>
    <w:rsid w:val="5FCC5339"/>
    <w:rsid w:val="5FE34A5B"/>
    <w:rsid w:val="5FFCBF2F"/>
    <w:rsid w:val="5FFE1E36"/>
    <w:rsid w:val="60232584"/>
    <w:rsid w:val="607330CE"/>
    <w:rsid w:val="60825176"/>
    <w:rsid w:val="609F2AC4"/>
    <w:rsid w:val="60FA2EE8"/>
    <w:rsid w:val="61054A27"/>
    <w:rsid w:val="610A52BC"/>
    <w:rsid w:val="611D2366"/>
    <w:rsid w:val="61421856"/>
    <w:rsid w:val="61504D7E"/>
    <w:rsid w:val="615227C4"/>
    <w:rsid w:val="61654E3F"/>
    <w:rsid w:val="6182292A"/>
    <w:rsid w:val="619F7F92"/>
    <w:rsid w:val="61F94C26"/>
    <w:rsid w:val="62000E56"/>
    <w:rsid w:val="624F3E49"/>
    <w:rsid w:val="625077C9"/>
    <w:rsid w:val="62632286"/>
    <w:rsid w:val="62885958"/>
    <w:rsid w:val="62F40B65"/>
    <w:rsid w:val="62FC2CFE"/>
    <w:rsid w:val="63024505"/>
    <w:rsid w:val="635B1DB5"/>
    <w:rsid w:val="63711FED"/>
    <w:rsid w:val="63880DDC"/>
    <w:rsid w:val="638D750D"/>
    <w:rsid w:val="63AC6CC0"/>
    <w:rsid w:val="64055776"/>
    <w:rsid w:val="64240056"/>
    <w:rsid w:val="643E143A"/>
    <w:rsid w:val="643E4D15"/>
    <w:rsid w:val="64704607"/>
    <w:rsid w:val="648B6EEF"/>
    <w:rsid w:val="64C158BF"/>
    <w:rsid w:val="64CE2EAA"/>
    <w:rsid w:val="65002335"/>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D75998"/>
    <w:rsid w:val="69FD55B8"/>
    <w:rsid w:val="6A0B1C62"/>
    <w:rsid w:val="6A2406C8"/>
    <w:rsid w:val="6ADE0BD1"/>
    <w:rsid w:val="6AE96859"/>
    <w:rsid w:val="6B147746"/>
    <w:rsid w:val="6B24787C"/>
    <w:rsid w:val="6B573233"/>
    <w:rsid w:val="6B5B6274"/>
    <w:rsid w:val="6B935D53"/>
    <w:rsid w:val="6BE43C9C"/>
    <w:rsid w:val="6C196F71"/>
    <w:rsid w:val="6C226FCB"/>
    <w:rsid w:val="6C31226F"/>
    <w:rsid w:val="6C552F0B"/>
    <w:rsid w:val="6C7A5BD0"/>
    <w:rsid w:val="6C8C67B7"/>
    <w:rsid w:val="6C9D744C"/>
    <w:rsid w:val="6D132505"/>
    <w:rsid w:val="6D167928"/>
    <w:rsid w:val="6D26299B"/>
    <w:rsid w:val="6D27277D"/>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AE5CD7"/>
    <w:rsid w:val="6FD75BF8"/>
    <w:rsid w:val="700534D4"/>
    <w:rsid w:val="707723D0"/>
    <w:rsid w:val="70F5661B"/>
    <w:rsid w:val="71360107"/>
    <w:rsid w:val="713B688E"/>
    <w:rsid w:val="71D43752"/>
    <w:rsid w:val="71F1796A"/>
    <w:rsid w:val="72154626"/>
    <w:rsid w:val="72262B5D"/>
    <w:rsid w:val="72283FF7"/>
    <w:rsid w:val="722E7212"/>
    <w:rsid w:val="723A0474"/>
    <w:rsid w:val="725923E4"/>
    <w:rsid w:val="72864BF7"/>
    <w:rsid w:val="729023FC"/>
    <w:rsid w:val="72F92336"/>
    <w:rsid w:val="73C0646E"/>
    <w:rsid w:val="73DD1481"/>
    <w:rsid w:val="742222F5"/>
    <w:rsid w:val="74476126"/>
    <w:rsid w:val="74706664"/>
    <w:rsid w:val="747F3682"/>
    <w:rsid w:val="749C4185"/>
    <w:rsid w:val="75067759"/>
    <w:rsid w:val="752E6DCD"/>
    <w:rsid w:val="753FAA42"/>
    <w:rsid w:val="7551380D"/>
    <w:rsid w:val="75600BE5"/>
    <w:rsid w:val="7564475C"/>
    <w:rsid w:val="75660855"/>
    <w:rsid w:val="7583797F"/>
    <w:rsid w:val="75D20F1D"/>
    <w:rsid w:val="75DA2C18"/>
    <w:rsid w:val="75F54412"/>
    <w:rsid w:val="760C5CBF"/>
    <w:rsid w:val="761D08E0"/>
    <w:rsid w:val="765D347C"/>
    <w:rsid w:val="76826699"/>
    <w:rsid w:val="76C87133"/>
    <w:rsid w:val="76CD08D5"/>
    <w:rsid w:val="76DB4B92"/>
    <w:rsid w:val="77052AA4"/>
    <w:rsid w:val="77136511"/>
    <w:rsid w:val="77340A39"/>
    <w:rsid w:val="77351FD0"/>
    <w:rsid w:val="77472422"/>
    <w:rsid w:val="777F31F2"/>
    <w:rsid w:val="77D1700D"/>
    <w:rsid w:val="77EC04CC"/>
    <w:rsid w:val="78497D7E"/>
    <w:rsid w:val="78775729"/>
    <w:rsid w:val="78A42DB0"/>
    <w:rsid w:val="78A656AB"/>
    <w:rsid w:val="78B2245C"/>
    <w:rsid w:val="78E172CC"/>
    <w:rsid w:val="78EA1D1F"/>
    <w:rsid w:val="7904172F"/>
    <w:rsid w:val="790F7E27"/>
    <w:rsid w:val="792A231A"/>
    <w:rsid w:val="79316829"/>
    <w:rsid w:val="797E66A9"/>
    <w:rsid w:val="79A97383"/>
    <w:rsid w:val="79DE7BB1"/>
    <w:rsid w:val="79E27E8B"/>
    <w:rsid w:val="79F850CE"/>
    <w:rsid w:val="79FD443C"/>
    <w:rsid w:val="7A1D1975"/>
    <w:rsid w:val="7A2F703F"/>
    <w:rsid w:val="7A3E5150"/>
    <w:rsid w:val="7A4670D6"/>
    <w:rsid w:val="7A534B63"/>
    <w:rsid w:val="7A578108"/>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235866"/>
    <w:rsid w:val="7D491C6C"/>
    <w:rsid w:val="7D5429C0"/>
    <w:rsid w:val="7D6E6D43"/>
    <w:rsid w:val="7DB57A34"/>
    <w:rsid w:val="7DB62771"/>
    <w:rsid w:val="7DBE0468"/>
    <w:rsid w:val="7DE60973"/>
    <w:rsid w:val="7DEF0916"/>
    <w:rsid w:val="7E1E5218"/>
    <w:rsid w:val="7E9A4E1F"/>
    <w:rsid w:val="7EA7723A"/>
    <w:rsid w:val="7EC22BFC"/>
    <w:rsid w:val="7EF56FBB"/>
    <w:rsid w:val="7EF798EF"/>
    <w:rsid w:val="7F0768EB"/>
    <w:rsid w:val="7F143BEC"/>
    <w:rsid w:val="7F715AF2"/>
    <w:rsid w:val="7F886E69"/>
    <w:rsid w:val="7F8FF34D"/>
    <w:rsid w:val="7F995157"/>
    <w:rsid w:val="7FDE5326"/>
    <w:rsid w:val="7FF07699"/>
    <w:rsid w:val="7FF72596"/>
    <w:rsid w:val="7FF73843"/>
    <w:rsid w:val="7FFDD24C"/>
    <w:rsid w:val="8BBDE7EB"/>
    <w:rsid w:val="97F9355F"/>
    <w:rsid w:val="AF7B1A43"/>
    <w:rsid w:val="B9733BF5"/>
    <w:rsid w:val="BB7FA927"/>
    <w:rsid w:val="DFC4B8DB"/>
    <w:rsid w:val="DFEFC87D"/>
    <w:rsid w:val="E7F7720A"/>
    <w:rsid w:val="ED9A1D92"/>
    <w:rsid w:val="F5FFD31F"/>
    <w:rsid w:val="F76E7C06"/>
    <w:rsid w:val="F9D9AF98"/>
    <w:rsid w:val="FF5E60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19"/>
    <w:qFormat/>
    <w:uiPriority w:val="0"/>
    <w:pPr>
      <w:ind w:firstLine="420"/>
    </w:pPr>
    <w:rPr>
      <w:rFonts w:hAnsi="Calibri" w:cs="Times New Roman"/>
      <w:snapToGrid/>
      <w:szCs w:val="20"/>
    </w:rPr>
  </w:style>
  <w:style w:type="paragraph" w:styleId="3">
    <w:name w:val="Body Text"/>
    <w:basedOn w:val="1"/>
    <w:next w:val="2"/>
    <w:link w:val="428"/>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3"/>
    <w:qFormat/>
    <w:uiPriority w:val="0"/>
    <w:rPr>
      <w:rFonts w:ascii="宋体" w:hAnsi="Courier New" w:cs="Arial"/>
      <w:snapToGrid w:val="0"/>
      <w:szCs w:val="21"/>
    </w:rPr>
  </w:style>
  <w:style w:type="paragraph" w:styleId="34">
    <w:name w:val="toc 2"/>
    <w:basedOn w:val="1"/>
    <w:next w:val="1"/>
    <w:qFormat/>
    <w:uiPriority w:val="0"/>
    <w:pPr>
      <w:ind w:left="420" w:leftChars="200"/>
    </w:p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qFormat/>
    <w:uiPriority w:val="0"/>
    <w:rPr>
      <w:b/>
      <w:bCs/>
    </w:rPr>
  </w:style>
  <w:style w:type="paragraph" w:styleId="61">
    <w:name w:val="Body Text First Indent 2"/>
    <w:basedOn w:val="25"/>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_Style 1"/>
    <w:basedOn w:val="1"/>
    <w:qFormat/>
    <w:uiPriority w:val="34"/>
    <w:pPr>
      <w:adjustRightInd/>
      <w:ind w:firstLine="420" w:firstLineChars="200"/>
    </w:pPr>
    <w:rPr>
      <w:rFonts w:eastAsia="仿宋_GB2312"/>
      <w:sz w:val="28"/>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qFormat/>
    <w:uiPriority w:val="0"/>
    <w:rPr>
      <w:rFonts w:ascii="宋体" w:hAnsi="宋体"/>
      <w:kern w:val="2"/>
      <w:sz w:val="21"/>
      <w:szCs w:val="24"/>
    </w:rPr>
  </w:style>
  <w:style w:type="character" w:customStyle="1" w:styleId="120">
    <w:name w:val="font11"/>
    <w:basedOn w:val="69"/>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7"/>
    <w:qFormat/>
    <w:uiPriority w:val="0"/>
    <w:rPr>
      <w:rFonts w:ascii="宋体"/>
      <w:kern w:val="2"/>
      <w:sz w:val="24"/>
      <w:szCs w:val="21"/>
      <w:lang w:val="zh-CN"/>
    </w:rPr>
  </w:style>
  <w:style w:type="character" w:customStyle="1" w:styleId="180">
    <w:name w:val="标题 9 字符"/>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7"/>
    <w:qFormat/>
    <w:uiPriority w:val="0"/>
    <w:rPr>
      <w:rFonts w:ascii="黑体" w:hAnsi="Courier New" w:eastAsia="黑体"/>
    </w:rPr>
  </w:style>
  <w:style w:type="character" w:customStyle="1" w:styleId="300">
    <w:name w:val="正文文本 2 字符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11"/>
    <w:qFormat/>
    <w:uiPriority w:val="0"/>
    <w:rPr>
      <w:b/>
      <w:bCs/>
      <w:kern w:val="2"/>
      <w:sz w:val="24"/>
      <w:szCs w:val="24"/>
    </w:rPr>
  </w:style>
  <w:style w:type="character" w:customStyle="1" w:styleId="306">
    <w:name w:val="正文文本缩进 2 字符"/>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2"/>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21"/>
    <w:qFormat/>
    <w:uiPriority w:val="0"/>
    <w:rPr>
      <w:kern w:val="2"/>
      <w:sz w:val="21"/>
      <w:szCs w:val="24"/>
    </w:rPr>
  </w:style>
  <w:style w:type="character" w:customStyle="1" w:styleId="343">
    <w:name w:val="签名 字符"/>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表格 内容"/>
    <w:basedOn w:val="727"/>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bookmark-item"/>
    <w:qFormat/>
    <w:uiPriority w:val="0"/>
    <w:rPr>
      <w:rFonts w:ascii="Arial" w:hAnsi="Arial" w:eastAsia="黑体" w:cs="Arial"/>
      <w:snapToGrid w:val="0"/>
      <w:kern w:val="0"/>
      <w:szCs w:val="21"/>
    </w:rPr>
  </w:style>
  <w:style w:type="paragraph" w:customStyle="1" w:styleId="962">
    <w:name w:val="正文文字"/>
    <w:basedOn w:val="1"/>
    <w:qFormat/>
    <w:uiPriority w:val="0"/>
    <w:pPr>
      <w:widowControl/>
      <w:spacing w:line="952" w:lineRule="atLeast"/>
      <w:ind w:firstLine="419"/>
      <w:textAlignment w:val="baseline"/>
    </w:pPr>
    <w:rPr>
      <w:b/>
      <w:color w:val="000000"/>
      <w:sz w:val="44"/>
    </w:rPr>
  </w:style>
  <w:style w:type="character" w:customStyle="1" w:styleId="963">
    <w:name w:val="无 B"/>
    <w:qFormat/>
    <w:uiPriority w:val="0"/>
    <w:rPr>
      <w:lang w:val="zh-TW" w:eastAsia="zh-TW"/>
    </w:rPr>
  </w:style>
  <w:style w:type="paragraph" w:customStyle="1" w:styleId="964">
    <w:name w:val="CM26"/>
    <w:basedOn w:val="1"/>
    <w:next w:val="1"/>
    <w:qFormat/>
    <w:uiPriority w:val="0"/>
    <w:pPr>
      <w:autoSpaceDE w:val="0"/>
      <w:autoSpaceDN w:val="0"/>
      <w:spacing w:after="173"/>
      <w:jc w:val="left"/>
    </w:pPr>
    <w:rPr>
      <w:rFonts w:ascii="隶书" w:eastAsia="隶书"/>
      <w:kern w:val="0"/>
      <w:sz w:val="24"/>
    </w:rPr>
  </w:style>
  <w:style w:type="paragraph" w:customStyle="1" w:styleId="965">
    <w:name w:val="自动更正"/>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85</Pages>
  <Words>43202</Words>
  <Characters>45171</Characters>
  <Lines>368</Lines>
  <Paragraphs>103</Paragraphs>
  <TotalTime>1</TotalTime>
  <ScaleCrop>false</ScaleCrop>
  <LinksUpToDate>false</LinksUpToDate>
  <CharactersWithSpaces>49656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2021-08-01T16:22:00Z</dcterms:created>
  <dc:creator>玥</dc:creator>
  <cp:lastModifiedBy>Kizuna</cp:lastModifiedBy>
  <cp:lastPrinted>2021-12-29T19:06:00Z</cp:lastPrinted>
  <dcterms:modified xsi:type="dcterms:W3CDTF">2023-12-18T02:57:13Z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F028652BE4D64BF486A1B239D56AB693_13</vt:lpwstr>
  </property>
  <property fmtid="{D5CDD505-2E9C-101B-9397-08002B2CF9AE}" pid="5" name="woTemplateTypoMode" linkTarget="0">
    <vt:lpwstr>web</vt:lpwstr>
  </property>
  <property fmtid="{D5CDD505-2E9C-101B-9397-08002B2CF9AE}" pid="6" name="woTemplate" linkTarget="0">
    <vt:i4>1</vt:i4>
  </property>
</Properties>
</file>