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D189A">
      <w:pPr>
        <w:pStyle w:val="552"/>
        <w:jc w:val="center"/>
        <w:rPr>
          <w:rFonts w:hint="eastAsia" w:ascii="微软雅黑" w:hAnsi="微软雅黑" w:eastAsia="微软雅黑" w:cs="微软雅黑"/>
          <w:color w:val="auto"/>
          <w:sz w:val="48"/>
          <w:szCs w:val="48"/>
          <w:highlight w:val="none"/>
          <w:lang w:eastAsia="zh-CN"/>
        </w:rPr>
      </w:pPr>
    </w:p>
    <w:p w14:paraId="0EF6ED04">
      <w:pPr>
        <w:pStyle w:val="552"/>
        <w:jc w:val="center"/>
        <w:rPr>
          <w:rFonts w:hint="eastAsia" w:ascii="微软雅黑" w:hAnsi="微软雅黑" w:eastAsia="微软雅黑" w:cs="微软雅黑"/>
          <w:color w:val="auto"/>
          <w:sz w:val="48"/>
          <w:szCs w:val="48"/>
          <w:highlight w:val="none"/>
          <w:lang w:eastAsia="zh-CN"/>
        </w:rPr>
      </w:pPr>
    </w:p>
    <w:p w14:paraId="624429CD">
      <w:pPr>
        <w:pStyle w:val="552"/>
        <w:jc w:val="center"/>
        <w:rPr>
          <w:rFonts w:hint="eastAsia" w:ascii="微软雅黑" w:hAnsi="微软雅黑" w:eastAsia="微软雅黑" w:cs="微软雅黑"/>
          <w:color w:val="auto"/>
          <w:sz w:val="48"/>
          <w:szCs w:val="48"/>
          <w:highlight w:val="none"/>
          <w:lang w:eastAsia="zh-CN"/>
        </w:rPr>
      </w:pPr>
    </w:p>
    <w:p w14:paraId="210755C3">
      <w:pPr>
        <w:pStyle w:val="552"/>
        <w:jc w:val="center"/>
        <w:rPr>
          <w:rFonts w:hint="eastAsia" w:ascii="微软雅黑" w:hAnsi="微软雅黑" w:eastAsia="微软雅黑" w:cs="微软雅黑"/>
          <w:color w:val="auto"/>
          <w:sz w:val="48"/>
          <w:szCs w:val="48"/>
          <w:highlight w:val="none"/>
          <w:lang w:eastAsia="zh-CN"/>
        </w:rPr>
      </w:pPr>
      <w:r>
        <w:rPr>
          <w:rFonts w:hint="eastAsia" w:ascii="微软雅黑" w:hAnsi="微软雅黑" w:eastAsia="微软雅黑" w:cs="微软雅黑"/>
          <w:color w:val="auto"/>
          <w:sz w:val="48"/>
          <w:szCs w:val="48"/>
          <w:highlight w:val="none"/>
          <w:lang w:eastAsia="zh-CN"/>
        </w:rPr>
        <w:t xml:space="preserve">  嘉兴市实验小学2025年度教师疗休养项目</w:t>
      </w:r>
    </w:p>
    <w:p w14:paraId="2CFE8B5A">
      <w:pPr>
        <w:pStyle w:val="552"/>
        <w:jc w:val="center"/>
        <w:rPr>
          <w:rFonts w:hint="eastAsia" w:ascii="微软雅黑" w:hAnsi="微软雅黑" w:eastAsia="微软雅黑" w:cs="微软雅黑"/>
          <w:color w:val="auto"/>
          <w:sz w:val="48"/>
          <w:szCs w:val="48"/>
          <w:highlight w:val="none"/>
          <w:lang w:eastAsia="zh-CN"/>
        </w:rPr>
      </w:pPr>
    </w:p>
    <w:p w14:paraId="3FE21BBC">
      <w:pPr>
        <w:pStyle w:val="552"/>
        <w:jc w:val="center"/>
        <w:rPr>
          <w:rFonts w:ascii="微软雅黑" w:hAnsi="微软雅黑" w:eastAsia="微软雅黑" w:cs="微软雅黑"/>
          <w:color w:val="auto"/>
          <w:sz w:val="72"/>
          <w:szCs w:val="72"/>
          <w:highlight w:val="none"/>
        </w:rPr>
      </w:pPr>
      <w:r>
        <w:rPr>
          <w:rFonts w:hint="eastAsia" w:ascii="微软雅黑" w:hAnsi="微软雅黑" w:eastAsia="微软雅黑" w:cs="微软雅黑"/>
          <w:color w:val="auto"/>
          <w:sz w:val="72"/>
          <w:szCs w:val="72"/>
          <w:highlight w:val="none"/>
        </w:rPr>
        <w:t>竞争性磋商采购文件</w:t>
      </w:r>
    </w:p>
    <w:p w14:paraId="4FBC4967">
      <w:pPr>
        <w:pStyle w:val="552"/>
        <w:jc w:val="center"/>
        <w:rPr>
          <w:rFonts w:ascii="微软雅黑" w:hAnsi="微软雅黑" w:eastAsia="微软雅黑" w:cs="微软雅黑"/>
          <w:color w:val="auto"/>
          <w:szCs w:val="21"/>
          <w:highlight w:val="none"/>
        </w:rPr>
      </w:pPr>
    </w:p>
    <w:p w14:paraId="60A1D007">
      <w:pPr>
        <w:pStyle w:val="19"/>
        <w:rPr>
          <w:rFonts w:ascii="微软雅黑" w:hAnsi="微软雅黑" w:eastAsia="微软雅黑" w:cs="微软雅黑"/>
          <w:b/>
          <w:bCs/>
          <w:color w:val="auto"/>
          <w:szCs w:val="21"/>
          <w:highlight w:val="none"/>
        </w:rPr>
      </w:pPr>
    </w:p>
    <w:p w14:paraId="4CB4BD73">
      <w:pPr>
        <w:pStyle w:val="20"/>
        <w:rPr>
          <w:rFonts w:ascii="微软雅黑" w:hAnsi="微软雅黑" w:eastAsia="微软雅黑" w:cs="微软雅黑"/>
          <w:b/>
          <w:bCs/>
          <w:color w:val="auto"/>
          <w:szCs w:val="21"/>
          <w:highlight w:val="none"/>
        </w:rPr>
      </w:pPr>
    </w:p>
    <w:p w14:paraId="2CDF0DF2">
      <w:pPr>
        <w:pStyle w:val="73"/>
        <w:rPr>
          <w:rFonts w:ascii="微软雅黑" w:hAnsi="微软雅黑" w:eastAsia="微软雅黑" w:cs="微软雅黑"/>
          <w:b/>
          <w:bCs/>
          <w:color w:val="auto"/>
          <w:szCs w:val="21"/>
          <w:highlight w:val="none"/>
        </w:rPr>
      </w:pPr>
    </w:p>
    <w:p w14:paraId="4B04CBBE">
      <w:pPr>
        <w:pStyle w:val="19"/>
        <w:rPr>
          <w:rFonts w:ascii="微软雅黑" w:hAnsi="微软雅黑" w:eastAsia="微软雅黑" w:cs="微软雅黑"/>
          <w:b/>
          <w:bCs/>
          <w:color w:val="auto"/>
          <w:szCs w:val="21"/>
          <w:highlight w:val="none"/>
        </w:rPr>
      </w:pPr>
    </w:p>
    <w:p w14:paraId="5E9E4CB8">
      <w:pPr>
        <w:pStyle w:val="20"/>
        <w:rPr>
          <w:rFonts w:ascii="微软雅黑" w:hAnsi="微软雅黑" w:eastAsia="微软雅黑" w:cs="微软雅黑"/>
          <w:b/>
          <w:bCs/>
          <w:color w:val="auto"/>
          <w:szCs w:val="21"/>
          <w:highlight w:val="none"/>
        </w:rPr>
      </w:pPr>
    </w:p>
    <w:p w14:paraId="39B66F17">
      <w:pPr>
        <w:pStyle w:val="29"/>
        <w:spacing w:line="276" w:lineRule="auto"/>
        <w:jc w:val="left"/>
        <w:rPr>
          <w:rFonts w:hint="eastAsia" w:ascii="微软雅黑" w:hAnsi="微软雅黑" w:eastAsia="微软雅黑" w:cs="微软雅黑"/>
          <w:bCs/>
          <w:color w:val="auto"/>
          <w:w w:val="95"/>
          <w:sz w:val="28"/>
          <w:szCs w:val="28"/>
          <w:highlight w:val="none"/>
          <w:lang w:eastAsia="zh-CN"/>
        </w:rPr>
      </w:pPr>
      <w:r>
        <w:rPr>
          <w:rFonts w:hint="eastAsia" w:ascii="微软雅黑" w:hAnsi="微软雅黑" w:eastAsia="微软雅黑" w:cs="微软雅黑"/>
          <w:bCs/>
          <w:color w:val="auto"/>
          <w:w w:val="95"/>
          <w:sz w:val="28"/>
          <w:szCs w:val="28"/>
          <w:highlight w:val="none"/>
        </w:rPr>
        <w:t>招标编号：</w:t>
      </w:r>
      <w:r>
        <w:rPr>
          <w:rFonts w:hint="eastAsia" w:ascii="微软雅黑" w:hAnsi="微软雅黑" w:eastAsia="微软雅黑" w:cs="微软雅黑"/>
          <w:bCs/>
          <w:color w:val="auto"/>
          <w:w w:val="95"/>
          <w:sz w:val="28"/>
          <w:szCs w:val="28"/>
          <w:highlight w:val="none"/>
          <w:lang w:eastAsia="zh-CN"/>
        </w:rPr>
        <w:t>中际-ZJZJGC（2025）嘉11号</w:t>
      </w:r>
    </w:p>
    <w:p w14:paraId="4D439BE4">
      <w:pPr>
        <w:pStyle w:val="29"/>
        <w:spacing w:line="276" w:lineRule="auto"/>
        <w:jc w:val="left"/>
        <w:rPr>
          <w:rFonts w:hint="eastAsia" w:ascii="微软雅黑" w:hAnsi="微软雅黑" w:eastAsia="微软雅黑" w:cs="微软雅黑"/>
          <w:bCs/>
          <w:color w:val="auto"/>
          <w:w w:val="95"/>
          <w:sz w:val="28"/>
          <w:szCs w:val="28"/>
          <w:highlight w:val="none"/>
          <w:lang w:eastAsia="zh-CN"/>
        </w:rPr>
      </w:pPr>
      <w:r>
        <w:rPr>
          <w:rFonts w:hint="eastAsia" w:ascii="微软雅黑" w:hAnsi="微软雅黑" w:eastAsia="微软雅黑" w:cs="微软雅黑"/>
          <w:bCs/>
          <w:color w:val="auto"/>
          <w:w w:val="95"/>
          <w:sz w:val="28"/>
          <w:szCs w:val="28"/>
          <w:highlight w:val="none"/>
        </w:rPr>
        <w:t>采购单位：</w:t>
      </w:r>
      <w:r>
        <w:rPr>
          <w:rFonts w:hint="eastAsia" w:ascii="微软雅黑" w:hAnsi="微软雅黑" w:eastAsia="微软雅黑" w:cs="微软雅黑"/>
          <w:bCs/>
          <w:color w:val="auto"/>
          <w:w w:val="95"/>
          <w:sz w:val="28"/>
          <w:szCs w:val="28"/>
          <w:highlight w:val="none"/>
          <w:lang w:eastAsia="zh-CN"/>
        </w:rPr>
        <w:t>嘉兴市实验小学</w:t>
      </w:r>
    </w:p>
    <w:p w14:paraId="47756E32">
      <w:pPr>
        <w:pStyle w:val="29"/>
        <w:spacing w:line="276" w:lineRule="auto"/>
        <w:jc w:val="left"/>
        <w:rPr>
          <w:rFonts w:hint="eastAsia" w:ascii="微软雅黑" w:hAnsi="微软雅黑" w:eastAsia="微软雅黑" w:cs="微软雅黑"/>
          <w:bCs/>
          <w:color w:val="auto"/>
          <w:w w:val="95"/>
          <w:sz w:val="28"/>
          <w:szCs w:val="28"/>
          <w:highlight w:val="none"/>
          <w:lang w:eastAsia="zh-CN"/>
        </w:rPr>
      </w:pPr>
      <w:r>
        <w:rPr>
          <w:rFonts w:hint="eastAsia" w:ascii="微软雅黑" w:hAnsi="微软雅黑" w:eastAsia="微软雅黑" w:cs="微软雅黑"/>
          <w:bCs/>
          <w:color w:val="auto"/>
          <w:w w:val="95"/>
          <w:sz w:val="28"/>
          <w:szCs w:val="28"/>
          <w:highlight w:val="none"/>
        </w:rPr>
        <w:t>代理机构：</w:t>
      </w:r>
      <w:r>
        <w:rPr>
          <w:rFonts w:hint="eastAsia" w:ascii="微软雅黑" w:hAnsi="微软雅黑" w:eastAsia="微软雅黑" w:cs="微软雅黑"/>
          <w:bCs/>
          <w:color w:val="auto"/>
          <w:w w:val="95"/>
          <w:sz w:val="28"/>
          <w:szCs w:val="28"/>
          <w:highlight w:val="none"/>
          <w:lang w:eastAsia="zh-CN"/>
        </w:rPr>
        <w:t>浙江中际工程项目管理有限公司</w:t>
      </w:r>
    </w:p>
    <w:p w14:paraId="42B2405B">
      <w:pPr>
        <w:pStyle w:val="29"/>
        <w:spacing w:line="276" w:lineRule="auto"/>
        <w:jc w:val="left"/>
        <w:rPr>
          <w:rFonts w:ascii="微软雅黑" w:hAnsi="微软雅黑" w:eastAsia="微软雅黑" w:cs="微软雅黑"/>
          <w:bCs/>
          <w:color w:val="auto"/>
          <w:w w:val="95"/>
          <w:sz w:val="28"/>
          <w:szCs w:val="28"/>
          <w:highlight w:val="none"/>
        </w:rPr>
      </w:pPr>
      <w:bookmarkStart w:id="0" w:name="_Toc50012812"/>
      <w:r>
        <w:rPr>
          <w:rFonts w:hint="eastAsia" w:ascii="微软雅黑" w:hAnsi="微软雅黑" w:eastAsia="微软雅黑" w:cs="微软雅黑"/>
          <w:bCs/>
          <w:color w:val="auto"/>
          <w:w w:val="95"/>
          <w:sz w:val="28"/>
          <w:szCs w:val="28"/>
          <w:highlight w:val="none"/>
        </w:rPr>
        <w:t>日    期：202</w:t>
      </w:r>
      <w:r>
        <w:rPr>
          <w:rFonts w:hint="eastAsia" w:ascii="微软雅黑" w:hAnsi="微软雅黑" w:eastAsia="微软雅黑" w:cs="微软雅黑"/>
          <w:bCs/>
          <w:color w:val="auto"/>
          <w:w w:val="95"/>
          <w:sz w:val="28"/>
          <w:szCs w:val="28"/>
          <w:highlight w:val="none"/>
          <w:lang w:val="en-US" w:eastAsia="zh-CN"/>
        </w:rPr>
        <w:t>5</w:t>
      </w:r>
      <w:r>
        <w:rPr>
          <w:rFonts w:hint="eastAsia" w:ascii="微软雅黑" w:hAnsi="微软雅黑" w:eastAsia="微软雅黑" w:cs="微软雅黑"/>
          <w:bCs/>
          <w:color w:val="auto"/>
          <w:w w:val="95"/>
          <w:sz w:val="28"/>
          <w:szCs w:val="28"/>
          <w:highlight w:val="none"/>
        </w:rPr>
        <w:t>年</w:t>
      </w:r>
      <w:r>
        <w:rPr>
          <w:rFonts w:hint="eastAsia" w:ascii="微软雅黑" w:hAnsi="微软雅黑" w:eastAsia="微软雅黑" w:cs="微软雅黑"/>
          <w:bCs/>
          <w:color w:val="auto"/>
          <w:w w:val="95"/>
          <w:sz w:val="28"/>
          <w:szCs w:val="28"/>
          <w:highlight w:val="none"/>
          <w:lang w:val="en-US" w:eastAsia="zh-CN"/>
        </w:rPr>
        <w:t>6</w:t>
      </w:r>
      <w:r>
        <w:rPr>
          <w:rFonts w:hint="eastAsia" w:ascii="微软雅黑" w:hAnsi="微软雅黑" w:eastAsia="微软雅黑" w:cs="微软雅黑"/>
          <w:bCs/>
          <w:color w:val="auto"/>
          <w:w w:val="95"/>
          <w:sz w:val="28"/>
          <w:szCs w:val="28"/>
          <w:highlight w:val="none"/>
        </w:rPr>
        <w:t>月</w:t>
      </w:r>
      <w:r>
        <w:rPr>
          <w:rFonts w:hint="eastAsia" w:ascii="微软雅黑" w:hAnsi="微软雅黑" w:eastAsia="微软雅黑" w:cs="微软雅黑"/>
          <w:bCs/>
          <w:color w:val="auto"/>
          <w:w w:val="95"/>
          <w:sz w:val="28"/>
          <w:szCs w:val="28"/>
          <w:highlight w:val="none"/>
          <w:lang w:val="en-US" w:eastAsia="zh-CN"/>
        </w:rPr>
        <w:t>17</w:t>
      </w:r>
      <w:r>
        <w:rPr>
          <w:rFonts w:hint="eastAsia" w:ascii="微软雅黑" w:hAnsi="微软雅黑" w:eastAsia="微软雅黑" w:cs="微软雅黑"/>
          <w:bCs/>
          <w:color w:val="auto"/>
          <w:w w:val="95"/>
          <w:sz w:val="28"/>
          <w:szCs w:val="28"/>
          <w:highlight w:val="none"/>
        </w:rPr>
        <w:t>日</w:t>
      </w:r>
      <w:bookmarkEnd w:id="0"/>
    </w:p>
    <w:p w14:paraId="309C66E3">
      <w:pPr>
        <w:snapToGrid w:val="0"/>
        <w:spacing w:line="276" w:lineRule="auto"/>
        <w:ind w:left="-283" w:leftChars="-135"/>
        <w:jc w:val="center"/>
        <w:rPr>
          <w:rFonts w:ascii="微软雅黑" w:hAnsi="微软雅黑" w:eastAsia="微软雅黑" w:cs="微软雅黑"/>
          <w:color w:val="auto"/>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14:paraId="7100851A">
      <w:pPr>
        <w:rPr>
          <w:rFonts w:ascii="微软雅黑" w:hAnsi="微软雅黑" w:eastAsia="微软雅黑" w:cs="微软雅黑"/>
          <w:color w:val="auto"/>
          <w:sz w:val="28"/>
          <w:szCs w:val="28"/>
          <w:highlight w:val="none"/>
        </w:rPr>
      </w:pPr>
      <w:bookmarkStart w:id="1" w:name="_Toc192313098"/>
    </w:p>
    <w:p w14:paraId="3770C6DD">
      <w:pPr>
        <w:rPr>
          <w:rFonts w:ascii="微软雅黑" w:hAnsi="微软雅黑" w:eastAsia="微软雅黑" w:cs="微软雅黑"/>
          <w:color w:val="auto"/>
          <w:sz w:val="28"/>
          <w:szCs w:val="28"/>
          <w:highlight w:val="none"/>
          <w:lang w:val="zh-CN"/>
        </w:rPr>
      </w:pPr>
    </w:p>
    <w:sdt>
      <w:sdtPr>
        <w:rPr>
          <w:rFonts w:hint="eastAsia" w:ascii="微软雅黑" w:hAnsi="微软雅黑" w:eastAsia="微软雅黑" w:cs="微软雅黑"/>
          <w:color w:val="auto"/>
          <w:sz w:val="28"/>
          <w:szCs w:val="28"/>
          <w:highlight w:val="none"/>
        </w:rPr>
        <w:id w:val="147466644"/>
        <w:docPartObj>
          <w:docPartGallery w:val="Table of Contents"/>
          <w:docPartUnique/>
        </w:docPartObj>
      </w:sdtPr>
      <w:sdtEndPr>
        <w:rPr>
          <w:rFonts w:hint="eastAsia" w:ascii="微软雅黑" w:hAnsi="微软雅黑" w:eastAsia="微软雅黑" w:cs="微软雅黑"/>
          <w:color w:val="auto"/>
          <w:sz w:val="21"/>
          <w:szCs w:val="21"/>
          <w:highlight w:val="none"/>
        </w:rPr>
      </w:sdtEndPr>
      <w:sdtContent>
        <w:p w14:paraId="6E1097AE">
          <w:pPr>
            <w:spacing w:line="240" w:lineRule="auto"/>
            <w:jc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目录</w:t>
          </w:r>
        </w:p>
        <w:p w14:paraId="323812E2">
          <w:pPr>
            <w:pStyle w:val="554"/>
            <w:tabs>
              <w:tab w:val="right" w:leader="dot" w:pos="8551"/>
            </w:tabs>
            <w:spacing w:line="480" w:lineRule="auto"/>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TOC \o "1-1" \h \u </w:instrText>
          </w:r>
          <w:r>
            <w:rPr>
              <w:rFonts w:hint="eastAsia" w:ascii="微软雅黑" w:hAnsi="微软雅黑" w:eastAsia="微软雅黑" w:cs="微软雅黑"/>
              <w:color w:val="auto"/>
              <w:sz w:val="28"/>
              <w:szCs w:val="28"/>
              <w:highlight w:val="none"/>
            </w:rPr>
            <w:fldChar w:fldCharType="separate"/>
          </w:r>
          <w:r>
            <w:rPr>
              <w:color w:val="auto"/>
              <w:highlight w:val="none"/>
            </w:rPr>
            <w:fldChar w:fldCharType="begin"/>
          </w:r>
          <w:r>
            <w:rPr>
              <w:color w:val="auto"/>
              <w:highlight w:val="none"/>
            </w:rPr>
            <w:instrText xml:space="preserve"> HYPERLINK \l "_Toc3277" </w:instrText>
          </w:r>
          <w:r>
            <w:rPr>
              <w:color w:val="auto"/>
              <w:highlight w:val="none"/>
            </w:rPr>
            <w:fldChar w:fldCharType="separate"/>
          </w:r>
          <w:r>
            <w:rPr>
              <w:rFonts w:hint="eastAsia" w:ascii="微软雅黑" w:hAnsi="微软雅黑" w:eastAsia="微软雅黑" w:cs="微软雅黑"/>
              <w:color w:val="auto"/>
              <w:sz w:val="28"/>
              <w:szCs w:val="28"/>
              <w:highlight w:val="none"/>
            </w:rPr>
            <w:t>第一章 竞争性磋商采购公告</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_Toc3277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1E8D7D58">
          <w:pPr>
            <w:pStyle w:val="554"/>
            <w:tabs>
              <w:tab w:val="right" w:leader="dot" w:pos="8551"/>
            </w:tabs>
            <w:spacing w:line="480" w:lineRule="auto"/>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"_Toc14857" </w:instrText>
          </w:r>
          <w:r>
            <w:rPr>
              <w:color w:val="auto"/>
              <w:highlight w:val="none"/>
            </w:rPr>
            <w:fldChar w:fldCharType="separate"/>
          </w:r>
          <w:r>
            <w:rPr>
              <w:rFonts w:hint="eastAsia" w:ascii="微软雅黑" w:hAnsi="微软雅黑" w:eastAsia="微软雅黑" w:cs="微软雅黑"/>
              <w:color w:val="auto"/>
              <w:sz w:val="28"/>
              <w:szCs w:val="28"/>
              <w:highlight w:val="none"/>
            </w:rPr>
            <w:t>第二章 供应商须知</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_Toc14857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5</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04CFA2A4">
          <w:pPr>
            <w:pStyle w:val="554"/>
            <w:tabs>
              <w:tab w:val="right" w:leader="dot" w:pos="8551"/>
            </w:tabs>
            <w:spacing w:line="480" w:lineRule="auto"/>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"_Toc7218" </w:instrText>
          </w:r>
          <w:r>
            <w:rPr>
              <w:color w:val="auto"/>
              <w:highlight w:val="none"/>
            </w:rPr>
            <w:fldChar w:fldCharType="separate"/>
          </w:r>
          <w:r>
            <w:rPr>
              <w:rFonts w:hint="eastAsia" w:ascii="微软雅黑" w:hAnsi="微软雅黑" w:eastAsia="微软雅黑" w:cs="微软雅黑"/>
              <w:color w:val="auto"/>
              <w:kern w:val="44"/>
              <w:sz w:val="28"/>
              <w:szCs w:val="28"/>
              <w:highlight w:val="none"/>
            </w:rPr>
            <w:t>第三章 磋商项目要求</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_Toc7218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13</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6E4DE953">
          <w:pPr>
            <w:pStyle w:val="554"/>
            <w:tabs>
              <w:tab w:val="right" w:leader="dot" w:pos="8551"/>
            </w:tabs>
            <w:spacing w:line="480" w:lineRule="auto"/>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"_Toc7584" </w:instrText>
          </w:r>
          <w:r>
            <w:rPr>
              <w:color w:val="auto"/>
              <w:highlight w:val="none"/>
            </w:rPr>
            <w:fldChar w:fldCharType="separate"/>
          </w:r>
          <w:r>
            <w:rPr>
              <w:rFonts w:hint="eastAsia" w:ascii="微软雅黑" w:hAnsi="微软雅黑" w:eastAsia="微软雅黑" w:cs="微软雅黑"/>
              <w:color w:val="auto"/>
              <w:sz w:val="28"/>
              <w:szCs w:val="28"/>
              <w:highlight w:val="none"/>
            </w:rPr>
            <w:t>第四章 嘉兴市政府采购合同（指引）</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_Toc7584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16</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585C0A2E">
          <w:pPr>
            <w:pStyle w:val="554"/>
            <w:tabs>
              <w:tab w:val="right" w:leader="dot" w:pos="8551"/>
            </w:tabs>
            <w:spacing w:line="480" w:lineRule="auto"/>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"_Toc4326" </w:instrText>
          </w:r>
          <w:r>
            <w:rPr>
              <w:color w:val="auto"/>
              <w:highlight w:val="none"/>
            </w:rPr>
            <w:fldChar w:fldCharType="separate"/>
          </w:r>
          <w:r>
            <w:rPr>
              <w:rFonts w:hint="eastAsia" w:ascii="微软雅黑" w:hAnsi="微软雅黑" w:eastAsia="微软雅黑" w:cs="微软雅黑"/>
              <w:color w:val="auto"/>
              <w:sz w:val="28"/>
              <w:szCs w:val="28"/>
              <w:highlight w:val="none"/>
            </w:rPr>
            <w:t xml:space="preserve">第五章 </w:t>
          </w:r>
          <w:r>
            <w:rPr>
              <w:rFonts w:hint="eastAsia" w:ascii="微软雅黑" w:hAnsi="微软雅黑" w:eastAsia="微软雅黑" w:cs="微软雅黑"/>
              <w:bCs/>
              <w:color w:val="auto"/>
              <w:sz w:val="28"/>
              <w:szCs w:val="28"/>
              <w:highlight w:val="none"/>
            </w:rPr>
            <w:t>评标办法及评分标准</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_Toc4326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20</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0590EF53">
          <w:pPr>
            <w:pStyle w:val="554"/>
            <w:tabs>
              <w:tab w:val="right" w:leader="dot" w:pos="8551"/>
            </w:tabs>
            <w:spacing w:line="480" w:lineRule="auto"/>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"_Toc7380" </w:instrText>
          </w:r>
          <w:r>
            <w:rPr>
              <w:color w:val="auto"/>
              <w:highlight w:val="none"/>
            </w:rPr>
            <w:fldChar w:fldCharType="separate"/>
          </w:r>
          <w:r>
            <w:rPr>
              <w:rFonts w:hint="eastAsia" w:ascii="微软雅黑" w:hAnsi="微软雅黑" w:eastAsia="微软雅黑" w:cs="微软雅黑"/>
              <w:color w:val="auto"/>
              <w:sz w:val="28"/>
              <w:szCs w:val="28"/>
              <w:highlight w:val="none"/>
            </w:rPr>
            <w:t>第六章 磋商相关文件格式</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_Toc7380 \h </w:instrText>
          </w:r>
          <w:r>
            <w:rPr>
              <w:rFonts w:hint="eastAsia" w:ascii="微软雅黑" w:hAnsi="微软雅黑" w:eastAsia="微软雅黑" w:cs="微软雅黑"/>
              <w:color w:val="auto"/>
              <w:sz w:val="28"/>
              <w:szCs w:val="28"/>
              <w:highlight w:val="none"/>
            </w:rPr>
            <w:fldChar w:fldCharType="separate"/>
          </w:r>
          <w:r>
            <w:rPr>
              <w:rFonts w:hint="eastAsia" w:ascii="微软雅黑" w:hAnsi="微软雅黑" w:eastAsia="微软雅黑" w:cs="微软雅黑"/>
              <w:color w:val="auto"/>
              <w:sz w:val="28"/>
              <w:szCs w:val="28"/>
              <w:highlight w:val="none"/>
            </w:rPr>
            <w:t>23</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20EBFB3C">
          <w:pPr>
            <w:spacing w:after="0" w:line="48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 w:val="28"/>
              <w:szCs w:val="28"/>
              <w:highlight w:val="none"/>
            </w:rPr>
            <w:fldChar w:fldCharType="end"/>
          </w:r>
        </w:p>
      </w:sdtContent>
    </w:sdt>
    <w:p w14:paraId="1AA6C9E5">
      <w:pPr>
        <w:pStyle w:val="2"/>
        <w:numPr>
          <w:ilvl w:val="0"/>
          <w:numId w:val="19"/>
        </w:numPr>
        <w:spacing w:before="36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br w:type="page"/>
      </w:r>
      <w:bookmarkStart w:id="2" w:name="_Toc100764181"/>
      <w:bookmarkStart w:id="3" w:name="_Toc493699289"/>
      <w:bookmarkStart w:id="4" w:name="_Toc3277"/>
      <w:r>
        <w:rPr>
          <w:rFonts w:hint="eastAsia" w:ascii="微软雅黑" w:hAnsi="微软雅黑" w:cs="微软雅黑"/>
          <w:color w:val="auto"/>
          <w:szCs w:val="21"/>
          <w:highlight w:val="none"/>
        </w:rPr>
        <w:t>竞争性磋商采购公告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655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7" w:type="dxa"/>
          </w:tcPr>
          <w:p w14:paraId="396B7F6F">
            <w:pPr>
              <w:pStyle w:val="48"/>
              <w:spacing w:before="75" w:beforeAutospacing="0" w:after="150" w:afterAutospacing="0"/>
              <w:ind w:firstLine="400"/>
              <w:rPr>
                <w:rFonts w:ascii="微软雅黑" w:hAnsi="微软雅黑" w:eastAsia="微软雅黑" w:cs="Arial"/>
                <w:color w:val="auto"/>
                <w:sz w:val="21"/>
                <w:szCs w:val="21"/>
                <w:highlight w:val="none"/>
              </w:rPr>
            </w:pPr>
            <w:r>
              <w:rPr>
                <w:rFonts w:hint="eastAsia" w:ascii="微软雅黑" w:hAnsi="微软雅黑" w:eastAsia="微软雅黑" w:cs="Arial"/>
                <w:color w:val="auto"/>
                <w:sz w:val="21"/>
                <w:szCs w:val="21"/>
                <w:highlight w:val="none"/>
              </w:rPr>
              <w:t>项目概况</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p>
          <w:p w14:paraId="7C85F5F3">
            <w:pPr>
              <w:pStyle w:val="48"/>
              <w:spacing w:before="75" w:beforeAutospacing="0" w:after="150" w:afterAutospacing="0"/>
              <w:rPr>
                <w:rFonts w:ascii="微软雅黑" w:hAnsi="微软雅黑" w:eastAsia="微软雅黑" w:cs="Arial"/>
                <w:color w:val="auto"/>
                <w:sz w:val="21"/>
                <w:szCs w:val="21"/>
                <w:highlight w:val="none"/>
              </w:rPr>
            </w:pP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lang w:eastAsia="zh-CN"/>
              </w:rPr>
              <w:t xml:space="preserve">  嘉兴市实验小学2025年度教师疗休养项目采购项目的潜在供应商应在https://www.zcygov.cn/获取（下载）采购文件，并于2025年6月28日 </w:t>
            </w:r>
            <w:r>
              <w:rPr>
                <w:rFonts w:hint="eastAsia" w:ascii="微软雅黑" w:hAnsi="微软雅黑" w:eastAsia="微软雅黑" w:cs="Arial"/>
                <w:color w:val="auto"/>
                <w:sz w:val="21"/>
                <w:szCs w:val="21"/>
                <w:highlight w:val="none"/>
                <w:lang w:val="en-US" w:eastAsia="zh-CN"/>
              </w:rPr>
              <w:t>13:30</w:t>
            </w:r>
            <w:r>
              <w:rPr>
                <w:rFonts w:hint="eastAsia" w:ascii="微软雅黑" w:hAnsi="微软雅黑" w:eastAsia="微软雅黑" w:cs="Arial"/>
                <w:color w:val="auto"/>
                <w:sz w:val="21"/>
                <w:szCs w:val="21"/>
                <w:highlight w:val="none"/>
                <w:lang w:eastAsia="zh-CN"/>
              </w:rPr>
              <w:t>（北京时间）前提交（上传）响应文件。</w:t>
            </w:r>
          </w:p>
        </w:tc>
      </w:tr>
    </w:tbl>
    <w:p w14:paraId="7F9EA35C">
      <w:pPr>
        <w:widowControl/>
        <w:spacing w:before="255" w:after="255" w:line="450" w:lineRule="atLeast"/>
        <w:rPr>
          <w:rFonts w:hint="eastAsia"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一、项目基本情况</w:t>
      </w:r>
    </w:p>
    <w:p w14:paraId="723B42F1">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项目编号：</w:t>
      </w:r>
      <w:r>
        <w:rPr>
          <w:rFonts w:hint="eastAsia" w:ascii="微软雅黑" w:hAnsi="微软雅黑" w:eastAsia="微软雅黑" w:cs="Arial"/>
          <w:color w:val="auto"/>
          <w:kern w:val="0"/>
          <w:szCs w:val="21"/>
          <w:highlight w:val="none"/>
          <w:lang w:eastAsia="zh-CN"/>
        </w:rPr>
        <w:t>中际-ZJZJGC（2025）嘉11号</w:t>
      </w:r>
    </w:p>
    <w:p w14:paraId="24076718">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项目名称：</w:t>
      </w:r>
      <w:r>
        <w:rPr>
          <w:rFonts w:hint="eastAsia" w:ascii="微软雅黑" w:hAnsi="微软雅黑" w:eastAsia="微软雅黑" w:cs="Arial"/>
          <w:color w:val="auto"/>
          <w:kern w:val="0"/>
          <w:szCs w:val="21"/>
          <w:highlight w:val="none"/>
          <w:lang w:eastAsia="zh-CN"/>
        </w:rPr>
        <w:t xml:space="preserve">  嘉兴市实验小学2025年度教师疗休养项目</w:t>
      </w:r>
      <w:r>
        <w:rPr>
          <w:rFonts w:ascii="微软雅黑" w:hAnsi="微软雅黑" w:eastAsia="微软雅黑" w:cs="Calibri"/>
          <w:color w:val="auto"/>
          <w:kern w:val="0"/>
          <w:szCs w:val="21"/>
          <w:highlight w:val="none"/>
        </w:rPr>
        <w:t> </w:t>
      </w:r>
    </w:p>
    <w:p w14:paraId="103664DB">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采购方式：竞争性磋商</w:t>
      </w:r>
      <w:r>
        <w:rPr>
          <w:rFonts w:ascii="微软雅黑" w:hAnsi="微软雅黑" w:eastAsia="微软雅黑" w:cs="Calibri"/>
          <w:color w:val="auto"/>
          <w:kern w:val="0"/>
          <w:szCs w:val="21"/>
          <w:highlight w:val="none"/>
        </w:rPr>
        <w:t> </w:t>
      </w:r>
    </w:p>
    <w:p w14:paraId="5D10EABD">
      <w:pPr>
        <w:widowControl/>
        <w:spacing w:before="75" w:after="75" w:line="300" w:lineRule="atLeast"/>
        <w:ind w:firstLine="334"/>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rPr>
        <w:t>预算金额（元）：</w:t>
      </w:r>
      <w:r>
        <w:rPr>
          <w:rFonts w:hint="eastAsia" w:ascii="微软雅黑" w:hAnsi="微软雅黑" w:eastAsia="微软雅黑" w:cs="Arial"/>
          <w:color w:val="auto"/>
          <w:kern w:val="0"/>
          <w:szCs w:val="21"/>
          <w:highlight w:val="none"/>
          <w:lang w:val="en-US" w:eastAsia="zh-CN"/>
        </w:rPr>
        <w:t>1071000</w:t>
      </w:r>
    </w:p>
    <w:p w14:paraId="2AA19559">
      <w:pPr>
        <w:widowControl/>
        <w:spacing w:before="75" w:after="75" w:line="300" w:lineRule="atLeast"/>
        <w:ind w:firstLine="334"/>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rPr>
        <w:t>最高限价（元）：</w:t>
      </w:r>
      <w:r>
        <w:rPr>
          <w:rFonts w:hint="eastAsia" w:ascii="微软雅黑" w:hAnsi="微软雅黑" w:eastAsia="微软雅黑" w:cs="Arial"/>
          <w:color w:val="auto"/>
          <w:kern w:val="0"/>
          <w:szCs w:val="21"/>
          <w:highlight w:val="none"/>
          <w:lang w:val="en-US" w:eastAsia="zh-CN"/>
        </w:rPr>
        <w:t>321000；291000；459000</w:t>
      </w:r>
    </w:p>
    <w:p w14:paraId="62B1C19C">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采购需求：</w:t>
      </w:r>
    </w:p>
    <w:p w14:paraId="5A1CDB94">
      <w:pPr>
        <w:widowControl/>
        <w:spacing w:after="0" w:line="300" w:lineRule="atLeast"/>
        <w:jc w:val="left"/>
        <w:rPr>
          <w:rFonts w:hint="eastAsia" w:ascii="微软雅黑" w:hAnsi="微软雅黑" w:eastAsia="微软雅黑" w:cs="Calibri"/>
          <w:color w:val="auto"/>
          <w:kern w:val="0"/>
          <w:szCs w:val="21"/>
          <w:highlight w:val="none"/>
          <w:lang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标项一</w:t>
      </w:r>
      <w:r>
        <w:rPr>
          <w:rFonts w:ascii="微软雅黑" w:hAnsi="微软雅黑" w:eastAsia="微软雅黑" w:cs="Calibri"/>
          <w:color w:val="auto"/>
          <w:kern w:val="0"/>
          <w:szCs w:val="21"/>
          <w:highlight w:val="none"/>
        </w:rPr>
        <w:t> </w:t>
      </w:r>
    </w:p>
    <w:p w14:paraId="51658C1A">
      <w:pPr>
        <w:widowControl/>
        <w:spacing w:after="0"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数量：1</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p>
    <w:p w14:paraId="39BAF605">
      <w:pPr>
        <w:widowControl/>
        <w:spacing w:before="75" w:after="75" w:line="300" w:lineRule="atLeast"/>
        <w:jc w:val="left"/>
        <w:rPr>
          <w:rFonts w:hint="default" w:ascii="微软雅黑" w:hAnsi="微软雅黑" w:eastAsia="微软雅黑" w:cs="Arial"/>
          <w:color w:val="auto"/>
          <w:kern w:val="0"/>
          <w:szCs w:val="21"/>
          <w:highlight w:val="none"/>
          <w:lang w:val="en-US"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预算金额（元）：</w:t>
      </w:r>
      <w:r>
        <w:rPr>
          <w:rFonts w:hint="eastAsia" w:ascii="微软雅黑" w:hAnsi="微软雅黑" w:eastAsia="微软雅黑" w:cs="Arial"/>
          <w:color w:val="auto"/>
          <w:kern w:val="0"/>
          <w:szCs w:val="21"/>
          <w:highlight w:val="none"/>
          <w:lang w:val="en-US" w:eastAsia="zh-CN"/>
        </w:rPr>
        <w:t>321000</w:t>
      </w:r>
    </w:p>
    <w:p w14:paraId="6CCADAEF">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单位：批</w:t>
      </w:r>
      <w:r>
        <w:rPr>
          <w:rFonts w:ascii="微软雅黑" w:hAnsi="微软雅黑" w:eastAsia="微软雅黑" w:cs="Calibri"/>
          <w:color w:val="auto"/>
          <w:kern w:val="0"/>
          <w:szCs w:val="21"/>
          <w:highlight w:val="none"/>
        </w:rPr>
        <w:t> </w:t>
      </w:r>
    </w:p>
    <w:p w14:paraId="79010C76">
      <w:pPr>
        <w:widowControl/>
        <w:spacing w:before="75" w:after="75" w:line="300" w:lineRule="atLeast"/>
        <w:jc w:val="left"/>
        <w:rPr>
          <w:rFonts w:hint="eastAsia" w:ascii="微软雅黑" w:hAnsi="微软雅黑" w:eastAsia="微软雅黑" w:cs="Arial"/>
          <w:color w:val="auto"/>
          <w:kern w:val="0"/>
          <w:szCs w:val="21"/>
          <w:highlight w:val="none"/>
          <w:lang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简要规格描述：</w:t>
      </w:r>
      <w:r>
        <w:rPr>
          <w:rFonts w:hint="eastAsia" w:ascii="微软雅黑" w:hAnsi="微软雅黑" w:eastAsia="微软雅黑" w:cs="Arial"/>
          <w:color w:val="auto"/>
          <w:kern w:val="0"/>
          <w:szCs w:val="21"/>
          <w:highlight w:val="none"/>
          <w:lang w:eastAsia="zh-CN"/>
        </w:rPr>
        <w:t>线路一：嘉兴（开元森泊）五日游；</w:t>
      </w:r>
    </w:p>
    <w:p w14:paraId="3CCA77CE">
      <w:pPr>
        <w:widowControl/>
        <w:spacing w:before="75" w:after="75" w:line="300" w:lineRule="atLeast"/>
        <w:ind w:firstLine="1470" w:firstLineChars="7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线路二：舟山五日游；</w:t>
      </w:r>
    </w:p>
    <w:p w14:paraId="6AD21CE8">
      <w:pPr>
        <w:widowControl/>
        <w:spacing w:before="75" w:after="75" w:line="300" w:lineRule="atLeast"/>
        <w:ind w:firstLine="1470" w:firstLineChars="7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线路三：台州</w:t>
      </w:r>
      <w:r>
        <w:rPr>
          <w:rFonts w:hint="eastAsia" w:ascii="微软雅黑" w:hAnsi="微软雅黑" w:eastAsia="微软雅黑" w:cs="Arial"/>
          <w:color w:val="auto"/>
          <w:kern w:val="0"/>
          <w:szCs w:val="21"/>
          <w:highlight w:val="none"/>
          <w:lang w:val="en-US" w:eastAsia="zh-CN"/>
        </w:rPr>
        <w:t>五</w:t>
      </w:r>
      <w:r>
        <w:rPr>
          <w:rFonts w:hint="eastAsia" w:ascii="微软雅黑" w:hAnsi="微软雅黑" w:eastAsia="微软雅黑" w:cs="Arial"/>
          <w:color w:val="auto"/>
          <w:kern w:val="0"/>
          <w:szCs w:val="21"/>
          <w:highlight w:val="none"/>
          <w:lang w:eastAsia="zh-CN"/>
        </w:rPr>
        <w:t>日游；</w:t>
      </w:r>
    </w:p>
    <w:p w14:paraId="1A4C2D24">
      <w:pPr>
        <w:widowControl/>
        <w:spacing w:before="75" w:after="75" w:line="300" w:lineRule="atLeast"/>
        <w:ind w:firstLine="1470" w:firstLineChars="700"/>
        <w:jc w:val="left"/>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eastAsia="zh-CN"/>
        </w:rPr>
        <w:t>线路四：桐庐五日游</w:t>
      </w:r>
      <w:r>
        <w:rPr>
          <w:rFonts w:hint="eastAsia" w:ascii="微软雅黑" w:hAnsi="微软雅黑" w:eastAsia="微软雅黑" w:cs="Arial"/>
          <w:color w:val="auto"/>
          <w:kern w:val="0"/>
          <w:szCs w:val="21"/>
          <w:highlight w:val="none"/>
          <w:lang w:val="en-US" w:eastAsia="zh-CN"/>
        </w:rPr>
        <w:t>；</w:t>
      </w:r>
    </w:p>
    <w:p w14:paraId="3AB41C37">
      <w:pPr>
        <w:widowControl/>
        <w:spacing w:after="0" w:line="300" w:lineRule="atLeast"/>
        <w:jc w:val="left"/>
        <w:rPr>
          <w:rFonts w:hint="eastAsia" w:ascii="微软雅黑" w:hAnsi="微软雅黑" w:eastAsia="微软雅黑" w:cs="Arial"/>
          <w:color w:val="auto"/>
          <w:kern w:val="0"/>
          <w:szCs w:val="21"/>
          <w:highlight w:val="none"/>
        </w:rPr>
      </w:pPr>
      <w:r>
        <w:rPr>
          <w:rFonts w:hint="eastAsia" w:ascii="微软雅黑" w:hAnsi="微软雅黑" w:eastAsia="微软雅黑" w:cs="Calibri"/>
          <w:color w:val="auto"/>
          <w:kern w:val="0"/>
          <w:szCs w:val="21"/>
          <w:highlight w:val="none"/>
        </w:rPr>
        <w:t>人数按实际报名情况确定</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p>
    <w:p w14:paraId="7E013F28">
      <w:pPr>
        <w:widowControl/>
        <w:spacing w:after="0" w:line="300" w:lineRule="atLeast"/>
        <w:ind w:firstLine="630" w:firstLineChars="300"/>
        <w:jc w:val="left"/>
        <w:rPr>
          <w:rFonts w:hint="eastAsia" w:ascii="微软雅黑" w:hAnsi="微软雅黑" w:eastAsia="微软雅黑" w:cs="Calibri"/>
          <w:color w:val="auto"/>
          <w:kern w:val="0"/>
          <w:szCs w:val="21"/>
          <w:highlight w:val="none"/>
          <w:lang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标项</w:t>
      </w:r>
      <w:r>
        <w:rPr>
          <w:rFonts w:hint="eastAsia" w:ascii="微软雅黑" w:hAnsi="微软雅黑" w:eastAsia="微软雅黑" w:cs="Arial"/>
          <w:color w:val="auto"/>
          <w:kern w:val="0"/>
          <w:szCs w:val="21"/>
          <w:highlight w:val="none"/>
          <w:lang w:val="en-US" w:eastAsia="zh-CN"/>
        </w:rPr>
        <w:t>二</w:t>
      </w:r>
      <w:r>
        <w:rPr>
          <w:rFonts w:ascii="微软雅黑" w:hAnsi="微软雅黑" w:eastAsia="微软雅黑" w:cs="Calibri"/>
          <w:color w:val="auto"/>
          <w:kern w:val="0"/>
          <w:szCs w:val="21"/>
          <w:highlight w:val="none"/>
        </w:rPr>
        <w:t> </w:t>
      </w:r>
    </w:p>
    <w:p w14:paraId="225C076C">
      <w:pPr>
        <w:widowControl/>
        <w:spacing w:after="0"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数量：1</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p>
    <w:p w14:paraId="536A5B97">
      <w:pPr>
        <w:widowControl/>
        <w:spacing w:before="75" w:after="75" w:line="300" w:lineRule="atLeast"/>
        <w:jc w:val="left"/>
        <w:rPr>
          <w:rFonts w:hint="default" w:ascii="微软雅黑" w:hAnsi="微软雅黑" w:eastAsia="微软雅黑" w:cs="Arial"/>
          <w:color w:val="auto"/>
          <w:kern w:val="0"/>
          <w:szCs w:val="21"/>
          <w:highlight w:val="none"/>
          <w:lang w:val="en-US"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预算金额（元）：</w:t>
      </w:r>
      <w:r>
        <w:rPr>
          <w:rFonts w:hint="eastAsia" w:ascii="微软雅黑" w:hAnsi="微软雅黑" w:eastAsia="微软雅黑" w:cs="Arial"/>
          <w:color w:val="auto"/>
          <w:kern w:val="0"/>
          <w:szCs w:val="21"/>
          <w:highlight w:val="none"/>
          <w:lang w:val="en-US" w:eastAsia="zh-CN"/>
        </w:rPr>
        <w:t>291000</w:t>
      </w:r>
    </w:p>
    <w:p w14:paraId="74B8A5FC">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单位：批</w:t>
      </w:r>
      <w:r>
        <w:rPr>
          <w:rFonts w:ascii="微软雅黑" w:hAnsi="微软雅黑" w:eastAsia="微软雅黑" w:cs="Calibri"/>
          <w:color w:val="auto"/>
          <w:kern w:val="0"/>
          <w:szCs w:val="21"/>
          <w:highlight w:val="none"/>
        </w:rPr>
        <w:t> </w:t>
      </w:r>
    </w:p>
    <w:p w14:paraId="04CB2553">
      <w:pPr>
        <w:widowControl/>
        <w:spacing w:before="75" w:after="75" w:line="300" w:lineRule="atLeast"/>
        <w:jc w:val="left"/>
        <w:rPr>
          <w:rFonts w:hint="eastAsia" w:ascii="微软雅黑" w:hAnsi="微软雅黑" w:eastAsia="微软雅黑" w:cs="Arial"/>
          <w:color w:val="auto"/>
          <w:kern w:val="0"/>
          <w:szCs w:val="21"/>
          <w:highlight w:val="none"/>
          <w:lang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简要规格描述：</w:t>
      </w:r>
      <w:r>
        <w:rPr>
          <w:rFonts w:hint="eastAsia" w:ascii="微软雅黑" w:hAnsi="微软雅黑" w:eastAsia="微软雅黑" w:cs="Arial"/>
          <w:color w:val="auto"/>
          <w:kern w:val="0"/>
          <w:szCs w:val="21"/>
          <w:highlight w:val="none"/>
          <w:lang w:eastAsia="zh-CN"/>
        </w:rPr>
        <w:t>线路五：成都六日游；</w:t>
      </w:r>
    </w:p>
    <w:p w14:paraId="68A54605">
      <w:pPr>
        <w:widowControl/>
        <w:spacing w:before="75" w:after="75" w:line="300" w:lineRule="atLeast"/>
        <w:ind w:firstLine="1470" w:firstLineChars="7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线路六：成都六日游；</w:t>
      </w:r>
    </w:p>
    <w:p w14:paraId="08B04052">
      <w:pPr>
        <w:widowControl/>
        <w:spacing w:before="75" w:after="75" w:line="300" w:lineRule="atLeast"/>
        <w:ind w:firstLine="1470" w:firstLineChars="7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线路七：嘉兴（开元森泊）五日游；</w:t>
      </w:r>
    </w:p>
    <w:p w14:paraId="5B530C07">
      <w:pPr>
        <w:widowControl/>
        <w:spacing w:after="0" w:line="300" w:lineRule="atLeast"/>
        <w:ind w:firstLine="630" w:firstLineChars="300"/>
        <w:jc w:val="left"/>
        <w:rPr>
          <w:rFonts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人数按实际报名情况确定</w:t>
      </w:r>
      <w:r>
        <w:rPr>
          <w:rFonts w:ascii="微软雅黑" w:hAnsi="微软雅黑" w:eastAsia="微软雅黑" w:cs="Calibri"/>
          <w:color w:val="auto"/>
          <w:kern w:val="0"/>
          <w:szCs w:val="21"/>
          <w:highlight w:val="none"/>
        </w:rPr>
        <w:t>  </w:t>
      </w:r>
    </w:p>
    <w:p w14:paraId="297625E2">
      <w:pPr>
        <w:widowControl/>
        <w:spacing w:after="0" w:line="300" w:lineRule="atLeast"/>
        <w:ind w:firstLine="630" w:firstLineChars="300"/>
        <w:jc w:val="left"/>
        <w:rPr>
          <w:rFonts w:hint="eastAsia" w:ascii="微软雅黑" w:hAnsi="微软雅黑" w:eastAsia="微软雅黑" w:cs="Calibri"/>
          <w:color w:val="auto"/>
          <w:kern w:val="0"/>
          <w:szCs w:val="21"/>
          <w:highlight w:val="none"/>
          <w:lang w:eastAsia="zh-CN"/>
        </w:rPr>
      </w:pPr>
      <w:r>
        <w:rPr>
          <w:rFonts w:hint="eastAsia" w:ascii="微软雅黑" w:hAnsi="微软雅黑" w:eastAsia="微软雅黑" w:cs="Arial"/>
          <w:color w:val="auto"/>
          <w:kern w:val="0"/>
          <w:szCs w:val="21"/>
          <w:highlight w:val="none"/>
        </w:rPr>
        <w:t>标项</w:t>
      </w:r>
      <w:r>
        <w:rPr>
          <w:rFonts w:hint="eastAsia" w:ascii="微软雅黑" w:hAnsi="微软雅黑" w:eastAsia="微软雅黑" w:cs="Arial"/>
          <w:color w:val="auto"/>
          <w:kern w:val="0"/>
          <w:szCs w:val="21"/>
          <w:highlight w:val="none"/>
          <w:lang w:val="en-US" w:eastAsia="zh-CN"/>
        </w:rPr>
        <w:t>三</w:t>
      </w:r>
    </w:p>
    <w:p w14:paraId="5E38A02C">
      <w:pPr>
        <w:widowControl/>
        <w:spacing w:after="0"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数量：1</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p>
    <w:p w14:paraId="707A9E04">
      <w:pPr>
        <w:widowControl/>
        <w:spacing w:before="75" w:after="75" w:line="300" w:lineRule="atLeast"/>
        <w:jc w:val="left"/>
        <w:rPr>
          <w:rFonts w:hint="default" w:ascii="微软雅黑" w:hAnsi="微软雅黑" w:eastAsia="微软雅黑" w:cs="Arial"/>
          <w:color w:val="auto"/>
          <w:kern w:val="0"/>
          <w:szCs w:val="21"/>
          <w:highlight w:val="none"/>
          <w:lang w:val="en-US"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预算金额（元）：</w:t>
      </w:r>
      <w:r>
        <w:rPr>
          <w:rFonts w:hint="eastAsia" w:ascii="微软雅黑" w:hAnsi="微软雅黑" w:eastAsia="微软雅黑" w:cs="Arial"/>
          <w:color w:val="auto"/>
          <w:kern w:val="0"/>
          <w:szCs w:val="21"/>
          <w:highlight w:val="none"/>
          <w:lang w:val="en-US" w:eastAsia="zh-CN"/>
        </w:rPr>
        <w:t>459000</w:t>
      </w:r>
    </w:p>
    <w:p w14:paraId="6B97DE34">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单位：批</w:t>
      </w:r>
      <w:r>
        <w:rPr>
          <w:rFonts w:ascii="微软雅黑" w:hAnsi="微软雅黑" w:eastAsia="微软雅黑" w:cs="Calibri"/>
          <w:color w:val="auto"/>
          <w:kern w:val="0"/>
          <w:szCs w:val="21"/>
          <w:highlight w:val="none"/>
        </w:rPr>
        <w:t> </w:t>
      </w:r>
    </w:p>
    <w:p w14:paraId="289031D4">
      <w:pPr>
        <w:widowControl/>
        <w:spacing w:before="75" w:after="75" w:line="300" w:lineRule="atLeast"/>
        <w:jc w:val="left"/>
        <w:rPr>
          <w:rFonts w:hint="eastAsia" w:ascii="微软雅黑" w:hAnsi="微软雅黑" w:eastAsia="微软雅黑" w:cs="Arial"/>
          <w:color w:val="auto"/>
          <w:kern w:val="0"/>
          <w:szCs w:val="21"/>
          <w:highlight w:val="none"/>
          <w:lang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简要规格描述：</w:t>
      </w:r>
      <w:r>
        <w:rPr>
          <w:rFonts w:hint="eastAsia" w:ascii="微软雅黑" w:hAnsi="微软雅黑" w:eastAsia="微软雅黑" w:cs="Arial"/>
          <w:color w:val="auto"/>
          <w:kern w:val="0"/>
          <w:szCs w:val="21"/>
          <w:highlight w:val="none"/>
          <w:lang w:eastAsia="zh-CN"/>
        </w:rPr>
        <w:t>线路八：嘉兴红色之旅五日游；</w:t>
      </w:r>
    </w:p>
    <w:p w14:paraId="1DC3DCD8">
      <w:pPr>
        <w:widowControl/>
        <w:spacing w:before="75" w:after="75" w:line="300" w:lineRule="atLeast"/>
        <w:jc w:val="left"/>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Calibri"/>
          <w:color w:val="auto"/>
          <w:kern w:val="0"/>
          <w:szCs w:val="21"/>
          <w:highlight w:val="none"/>
        </w:rPr>
        <w:t>人数按实际报名情况确定</w:t>
      </w:r>
    </w:p>
    <w:p w14:paraId="4DF3AF9C">
      <w:pPr>
        <w:widowControl/>
        <w:spacing w:before="75" w:after="75" w:line="300" w:lineRule="atLeast"/>
        <w:jc w:val="left"/>
        <w:rPr>
          <w:rFonts w:hint="eastAsia" w:ascii="微软雅黑" w:hAnsi="微软雅黑" w:eastAsia="微软雅黑" w:cs="Arial"/>
          <w:color w:val="auto"/>
          <w:kern w:val="0"/>
          <w:szCs w:val="21"/>
          <w:highlight w:val="none"/>
          <w:lang w:val="en-US" w:eastAsia="zh-CN"/>
        </w:rPr>
      </w:pPr>
    </w:p>
    <w:p w14:paraId="221361ED">
      <w:pPr>
        <w:widowControl/>
        <w:spacing w:before="75" w:after="75" w:line="30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备注：</w:t>
      </w:r>
      <w:r>
        <w:rPr>
          <w:rFonts w:ascii="微软雅黑" w:hAnsi="微软雅黑" w:eastAsia="微软雅黑" w:cs="Calibri"/>
          <w:color w:val="auto"/>
          <w:kern w:val="0"/>
          <w:szCs w:val="21"/>
          <w:highlight w:val="none"/>
        </w:rPr>
        <w:t> </w:t>
      </w:r>
    </w:p>
    <w:p w14:paraId="4C383621">
      <w:pPr>
        <w:widowControl/>
        <w:spacing w:before="75" w:after="75" w:line="300" w:lineRule="atLeast"/>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合同履约期限：</w:t>
      </w:r>
      <w:r>
        <w:rPr>
          <w:rFonts w:hint="eastAsia" w:ascii="微软雅黑" w:hAnsi="微软雅黑" w:eastAsia="微软雅黑" w:cs="Arial"/>
          <w:color w:val="auto"/>
          <w:kern w:val="0"/>
          <w:szCs w:val="21"/>
          <w:highlight w:val="none"/>
          <w:lang w:val="en-US" w:eastAsia="zh-CN"/>
        </w:rPr>
        <w:t>标项1、2、3</w:t>
      </w:r>
      <w:r>
        <w:rPr>
          <w:rFonts w:hint="eastAsia" w:ascii="微软雅黑" w:hAnsi="微软雅黑" w:eastAsia="微软雅黑" w:cs="Arial"/>
          <w:color w:val="auto"/>
          <w:kern w:val="0"/>
          <w:szCs w:val="21"/>
          <w:highlight w:val="none"/>
        </w:rPr>
        <w:t>详见竞争性磋商文件</w:t>
      </w:r>
      <w:r>
        <w:rPr>
          <w:rFonts w:ascii="微软雅黑" w:hAnsi="微软雅黑" w:eastAsia="微软雅黑" w:cs="Calibri"/>
          <w:color w:val="auto"/>
          <w:kern w:val="0"/>
          <w:szCs w:val="21"/>
          <w:highlight w:val="none"/>
        </w:rPr>
        <w:t>  </w:t>
      </w:r>
    </w:p>
    <w:p w14:paraId="5CC5DC88">
      <w:pPr>
        <w:widowControl/>
        <w:spacing w:before="75" w:after="75" w:line="300" w:lineRule="atLeast"/>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本项目（否）接受联合体投标。</w:t>
      </w:r>
      <w:r>
        <w:rPr>
          <w:rFonts w:ascii="微软雅黑" w:hAnsi="微软雅黑" w:eastAsia="微软雅黑" w:cs="Calibri"/>
          <w:color w:val="auto"/>
          <w:kern w:val="0"/>
          <w:szCs w:val="21"/>
          <w:highlight w:val="none"/>
        </w:rPr>
        <w:t>  </w:t>
      </w:r>
    </w:p>
    <w:p w14:paraId="68ABDA9D">
      <w:pPr>
        <w:widowControl/>
        <w:spacing w:before="255" w:after="255" w:line="450" w:lineRule="atLeast"/>
        <w:rPr>
          <w:rFonts w:hint="eastAsia"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二、申请人的资格要求：</w:t>
      </w:r>
    </w:p>
    <w:p w14:paraId="20DE3C05">
      <w:pPr>
        <w:widowControl/>
        <w:spacing w:before="75" w:after="75" w:line="300" w:lineRule="atLeast"/>
        <w:jc w:val="left"/>
        <w:rPr>
          <w:rFonts w:hint="eastAsia"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D4111CD">
      <w:pPr>
        <w:widowControl/>
        <w:spacing w:before="75" w:after="75" w:line="300" w:lineRule="atLeast"/>
        <w:jc w:val="left"/>
        <w:rPr>
          <w:rFonts w:hint="eastAsia"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 xml:space="preserve"> </w:t>
      </w:r>
      <w:r>
        <w:rPr>
          <w:rFonts w:hint="eastAsia" w:ascii="微软雅黑" w:hAnsi="微软雅黑" w:eastAsia="微软雅黑" w:cs="Calibri"/>
          <w:color w:val="auto"/>
          <w:kern w:val="0"/>
          <w:szCs w:val="21"/>
          <w:highlight w:val="none"/>
          <w:lang w:val="en-US" w:eastAsia="zh-CN"/>
        </w:rPr>
        <w:t xml:space="preserve"> </w:t>
      </w:r>
      <w:r>
        <w:rPr>
          <w:rFonts w:hint="eastAsia" w:ascii="微软雅黑" w:hAnsi="微软雅黑" w:eastAsia="微软雅黑" w:cs="Calibri"/>
          <w:color w:val="auto"/>
          <w:kern w:val="0"/>
          <w:szCs w:val="21"/>
          <w:highlight w:val="none"/>
        </w:rPr>
        <w:t xml:space="preserve">2.落实政府采购政策需满足的资格要求：专门面向中小企业 </w:t>
      </w:r>
    </w:p>
    <w:p w14:paraId="02359BBB">
      <w:pPr>
        <w:widowControl/>
        <w:spacing w:before="75" w:after="75" w:line="300" w:lineRule="atLeast"/>
        <w:jc w:val="left"/>
        <w:rPr>
          <w:rFonts w:hint="eastAsia"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   3.本项目的特定资格要求：投标人具有有效的旅行社业务经营许可证 </w:t>
      </w:r>
    </w:p>
    <w:p w14:paraId="288E91ED">
      <w:pPr>
        <w:widowControl/>
        <w:spacing w:before="255" w:after="255" w:line="450" w:lineRule="atLeast"/>
        <w:rPr>
          <w:rFonts w:hint="eastAsia"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三、获取（下载）采购文件</w:t>
      </w:r>
    </w:p>
    <w:p w14:paraId="3B1D1885">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时间：/至</w:t>
      </w:r>
      <w:r>
        <w:rPr>
          <w:rFonts w:hint="eastAsia" w:ascii="微软雅黑" w:hAnsi="微软雅黑" w:eastAsia="微软雅黑" w:cs="Arial"/>
          <w:color w:val="auto"/>
          <w:kern w:val="0"/>
          <w:szCs w:val="21"/>
          <w:highlight w:val="none"/>
          <w:lang w:eastAsia="zh-CN"/>
        </w:rPr>
        <w:t>2025年6月28日</w:t>
      </w:r>
      <w:r>
        <w:rPr>
          <w:rFonts w:hint="eastAsia" w:ascii="微软雅黑" w:hAnsi="微软雅黑" w:eastAsia="微软雅黑" w:cs="Arial"/>
          <w:color w:val="auto"/>
          <w:kern w:val="0"/>
          <w:szCs w:val="21"/>
          <w:highlight w:val="none"/>
        </w:rPr>
        <w:t>，每天上午00:00至12:00，下午12:00至23:59（北京时间，线上获取法定节假日均可，线下获取文件法定节假日除外）</w:t>
      </w:r>
    </w:p>
    <w:p w14:paraId="129EFC75">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地点（网址）：https://www.zcygov.cn/</w:t>
      </w:r>
      <w:r>
        <w:rPr>
          <w:rFonts w:ascii="微软雅黑" w:hAnsi="微软雅黑" w:eastAsia="微软雅黑" w:cs="Calibri"/>
          <w:color w:val="auto"/>
          <w:kern w:val="0"/>
          <w:szCs w:val="21"/>
          <w:highlight w:val="none"/>
        </w:rPr>
        <w:t> </w:t>
      </w:r>
    </w:p>
    <w:p w14:paraId="67590AA7">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方式：供应商登录政采云平台https://www.zcygov.cn/在线申请获取采购文件（进入“项目采购”应用，在获取采购文件菜单中选择项目，申请获取采购文件）</w:t>
      </w:r>
      <w:r>
        <w:rPr>
          <w:rFonts w:ascii="微软雅黑" w:hAnsi="微软雅黑" w:eastAsia="微软雅黑" w:cs="Calibri"/>
          <w:color w:val="auto"/>
          <w:kern w:val="0"/>
          <w:szCs w:val="21"/>
          <w:highlight w:val="none"/>
        </w:rPr>
        <w:t> </w:t>
      </w:r>
    </w:p>
    <w:p w14:paraId="25FC1C98">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售价（元）：0</w:t>
      </w:r>
      <w:r>
        <w:rPr>
          <w:rFonts w:ascii="微软雅黑" w:hAnsi="微软雅黑" w:eastAsia="微软雅黑" w:cs="Calibri"/>
          <w:color w:val="auto"/>
          <w:kern w:val="0"/>
          <w:szCs w:val="21"/>
          <w:highlight w:val="none"/>
        </w:rPr>
        <w:t> </w:t>
      </w:r>
    </w:p>
    <w:p w14:paraId="2E83B46E">
      <w:pPr>
        <w:widowControl/>
        <w:spacing w:before="255" w:after="255" w:line="450" w:lineRule="atLeast"/>
        <w:rPr>
          <w:rFonts w:hint="eastAsia"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四、响应文件提交（上传）</w:t>
      </w:r>
      <w:r>
        <w:rPr>
          <w:rFonts w:ascii="微软雅黑" w:hAnsi="微软雅黑" w:eastAsia="微软雅黑" w:cs="Calibri"/>
          <w:color w:val="auto"/>
          <w:kern w:val="0"/>
          <w:szCs w:val="21"/>
          <w:highlight w:val="none"/>
        </w:rPr>
        <w:t> </w:t>
      </w:r>
    </w:p>
    <w:p w14:paraId="59597698">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截止时间：</w:t>
      </w:r>
      <w:r>
        <w:rPr>
          <w:rFonts w:hint="eastAsia" w:ascii="微软雅黑" w:hAnsi="微软雅黑" w:eastAsia="微软雅黑" w:cs="Arial"/>
          <w:color w:val="auto"/>
          <w:kern w:val="0"/>
          <w:szCs w:val="21"/>
          <w:highlight w:val="none"/>
          <w:lang w:eastAsia="zh-CN"/>
        </w:rPr>
        <w:t>2025年6月28日 13:30</w:t>
      </w:r>
      <w:r>
        <w:rPr>
          <w:rFonts w:hint="eastAsia" w:ascii="微软雅黑" w:hAnsi="微软雅黑" w:eastAsia="微软雅黑" w:cs="Arial"/>
          <w:color w:val="auto"/>
          <w:kern w:val="0"/>
          <w:szCs w:val="21"/>
          <w:highlight w:val="none"/>
        </w:rPr>
        <w:t>（北京时间）</w:t>
      </w:r>
    </w:p>
    <w:p w14:paraId="7E720998">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地点（网址）：请登录政采云投标客户端投标</w:t>
      </w:r>
      <w:r>
        <w:rPr>
          <w:rFonts w:ascii="微软雅黑" w:hAnsi="微软雅黑" w:eastAsia="微软雅黑" w:cs="Calibri"/>
          <w:color w:val="auto"/>
          <w:kern w:val="0"/>
          <w:szCs w:val="21"/>
          <w:highlight w:val="none"/>
        </w:rPr>
        <w:t>  </w:t>
      </w:r>
    </w:p>
    <w:p w14:paraId="5A25E557">
      <w:pPr>
        <w:widowControl/>
        <w:spacing w:before="255" w:after="255" w:line="450" w:lineRule="atLeast"/>
        <w:rPr>
          <w:rFonts w:hint="eastAsia"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五、响应文件开启</w:t>
      </w:r>
      <w:r>
        <w:rPr>
          <w:rFonts w:ascii="微软雅黑" w:hAnsi="微软雅黑" w:eastAsia="微软雅黑" w:cs="Calibri"/>
          <w:color w:val="auto"/>
          <w:kern w:val="0"/>
          <w:szCs w:val="21"/>
          <w:highlight w:val="none"/>
        </w:rPr>
        <w:t> </w:t>
      </w:r>
    </w:p>
    <w:p w14:paraId="5496C7DC">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开启时间：</w:t>
      </w:r>
      <w:r>
        <w:rPr>
          <w:rFonts w:hint="eastAsia" w:ascii="微软雅黑" w:hAnsi="微软雅黑" w:eastAsia="微软雅黑" w:cs="Arial"/>
          <w:color w:val="auto"/>
          <w:kern w:val="0"/>
          <w:szCs w:val="21"/>
          <w:highlight w:val="none"/>
          <w:lang w:eastAsia="zh-CN"/>
        </w:rPr>
        <w:t>2025年6月28日 13:30</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（北京时间）</w:t>
      </w:r>
    </w:p>
    <w:p w14:paraId="4F35FF41">
      <w:pPr>
        <w:widowControl/>
        <w:spacing w:before="75" w:after="75" w:line="30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地点（网址）：“政采云”平台电子投标</w:t>
      </w:r>
    </w:p>
    <w:p w14:paraId="2FBB8DA6">
      <w:pPr>
        <w:widowControl/>
        <w:spacing w:before="255" w:after="255" w:line="450" w:lineRule="atLeast"/>
        <w:rPr>
          <w:rFonts w:hint="eastAsia"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六、公告期限</w:t>
      </w:r>
    </w:p>
    <w:p w14:paraId="5DA70BE8">
      <w:pPr>
        <w:widowControl/>
        <w:spacing w:before="75" w:after="75" w:line="240" w:lineRule="auto"/>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自本公告发布之日起3个工作日。</w:t>
      </w:r>
    </w:p>
    <w:p w14:paraId="50C87A5A">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七、其他补充事宜</w:t>
      </w:r>
      <w:r>
        <w:rPr>
          <w:rFonts w:ascii="微软雅黑" w:hAnsi="微软雅黑" w:eastAsia="微软雅黑" w:cs="Calibri"/>
          <w:color w:val="auto"/>
          <w:kern w:val="0"/>
          <w:szCs w:val="21"/>
          <w:highlight w:val="none"/>
        </w:rPr>
        <w:t> </w:t>
      </w:r>
    </w:p>
    <w:p w14:paraId="713CAF8A">
      <w:pPr>
        <w:widowControl/>
        <w:spacing w:before="75" w:after="75" w:line="360" w:lineRule="atLeast"/>
        <w:jc w:val="left"/>
        <w:rPr>
          <w:rFonts w:hint="eastAsia" w:ascii="微软雅黑" w:hAnsi="微软雅黑" w:eastAsia="微软雅黑" w:cs="Arial"/>
          <w:color w:val="auto"/>
          <w:kern w:val="0"/>
          <w:szCs w:val="21"/>
          <w:highlight w:val="none"/>
          <w:lang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1.供应商认为采购文件使自己的权益受到损害的，可以自获取采购文件之日或者采购文件公告期限届满之日（公告期限届满后获取采购文件的，以公告期限届满之日为准）起7个工作日内，</w:t>
      </w:r>
      <w:r>
        <w:rPr>
          <w:rFonts w:hint="eastAsia" w:ascii="微软雅黑" w:hAnsi="微软雅黑" w:eastAsia="微软雅黑" w:cs="Arial"/>
          <w:color w:val="auto"/>
          <w:kern w:val="0"/>
          <w:szCs w:val="21"/>
          <w:highlight w:val="none"/>
          <w:shd w:val="clear" w:color="auto" w:fill="FFFFFF"/>
        </w:rPr>
        <w:t>对采购文件需求的以书面形式向采购人提出质疑，对其他内容的以书面形式向采购人和采购代理机构提出质疑。</w:t>
      </w:r>
      <w:r>
        <w:rPr>
          <w:rFonts w:hint="eastAsia" w:ascii="微软雅黑" w:hAnsi="微软雅黑" w:eastAsia="微软雅黑" w:cs="Arial"/>
          <w:color w:val="auto"/>
          <w:kern w:val="0"/>
          <w:szCs w:val="21"/>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523019">
      <w:pPr>
        <w:widowControl/>
        <w:spacing w:before="75" w:after="75" w:line="360" w:lineRule="atLeast"/>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2.其他事项：无</w:t>
      </w:r>
      <w:r>
        <w:rPr>
          <w:rFonts w:ascii="微软雅黑" w:hAnsi="微软雅黑" w:eastAsia="微软雅黑" w:cs="Calibri"/>
          <w:color w:val="auto"/>
          <w:kern w:val="0"/>
          <w:szCs w:val="21"/>
          <w:highlight w:val="none"/>
        </w:rPr>
        <w:t>  </w:t>
      </w:r>
    </w:p>
    <w:p w14:paraId="2CB9C2B4">
      <w:pPr>
        <w:widowControl/>
        <w:spacing w:before="255" w:after="255" w:line="48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八、凡对本次招标提出询问、质疑、投诉，请按以下方式联系</w:t>
      </w:r>
    </w:p>
    <w:p w14:paraId="75CB0CDF">
      <w:pPr>
        <w:widowControl/>
        <w:spacing w:before="75" w:after="75" w:line="240" w:lineRule="auto"/>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1.采购人信息</w:t>
      </w:r>
    </w:p>
    <w:p w14:paraId="7945F13F">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名称：</w:t>
      </w:r>
      <w:r>
        <w:rPr>
          <w:rFonts w:hint="eastAsia" w:ascii="微软雅黑" w:hAnsi="微软雅黑" w:eastAsia="微软雅黑" w:cs="Arial"/>
          <w:color w:val="auto"/>
          <w:kern w:val="0"/>
          <w:szCs w:val="21"/>
          <w:highlight w:val="none"/>
          <w:lang w:eastAsia="zh-CN"/>
        </w:rPr>
        <w:t>嘉兴市实验小学</w:t>
      </w:r>
      <w:r>
        <w:rPr>
          <w:rFonts w:hint="eastAsia" w:ascii="微软雅黑" w:hAnsi="微软雅黑" w:eastAsia="微软雅黑" w:cs="Arial"/>
          <w:color w:val="auto"/>
          <w:kern w:val="0"/>
          <w:szCs w:val="21"/>
          <w:highlight w:val="none"/>
        </w:rPr>
        <w:t> </w:t>
      </w:r>
    </w:p>
    <w:p w14:paraId="5FD0920B">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rPr>
        <w:t>地址：</w:t>
      </w:r>
      <w:r>
        <w:rPr>
          <w:rFonts w:hint="eastAsia" w:ascii="微软雅黑" w:hAnsi="微软雅黑" w:eastAsia="微软雅黑" w:cs="Arial"/>
          <w:color w:val="auto"/>
          <w:kern w:val="0"/>
          <w:szCs w:val="21"/>
          <w:highlight w:val="none"/>
          <w:lang w:eastAsia="zh-CN"/>
        </w:rPr>
        <w:t>嘉兴市百墅路318号</w:t>
      </w:r>
    </w:p>
    <w:p w14:paraId="729FBAED">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传真： </w:t>
      </w:r>
    </w:p>
    <w:p w14:paraId="30094137">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项目联系人（询问）：范</w:t>
      </w:r>
      <w:r>
        <w:rPr>
          <w:rFonts w:hint="eastAsia" w:ascii="微软雅黑" w:hAnsi="微软雅黑" w:eastAsia="微软雅黑" w:cs="Arial"/>
          <w:color w:val="auto"/>
          <w:kern w:val="0"/>
          <w:szCs w:val="21"/>
          <w:highlight w:val="none"/>
          <w:lang w:val="en-US" w:eastAsia="zh-CN"/>
        </w:rPr>
        <w:t>老师</w:t>
      </w:r>
    </w:p>
    <w:p w14:paraId="25AFE67C">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项目联系方式（询问）：</w:t>
      </w:r>
      <w:r>
        <w:rPr>
          <w:rFonts w:hint="eastAsia" w:ascii="微软雅黑" w:hAnsi="微软雅黑" w:eastAsia="微软雅黑" w:cs="Arial"/>
          <w:color w:val="auto"/>
          <w:kern w:val="0"/>
          <w:szCs w:val="21"/>
          <w:highlight w:val="none"/>
          <w:lang w:val="en-US" w:eastAsia="zh-CN"/>
        </w:rPr>
        <w:t>0573-82838892</w:t>
      </w:r>
      <w:r>
        <w:rPr>
          <w:rFonts w:hint="eastAsia" w:ascii="微软雅黑" w:hAnsi="微软雅黑" w:eastAsia="微软雅黑" w:cs="Arial"/>
          <w:color w:val="auto"/>
          <w:kern w:val="0"/>
          <w:szCs w:val="21"/>
          <w:highlight w:val="none"/>
        </w:rPr>
        <w:t> </w:t>
      </w:r>
    </w:p>
    <w:p w14:paraId="510562BF">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rPr>
        <w:t>质疑联系人：</w:t>
      </w:r>
      <w:r>
        <w:rPr>
          <w:rFonts w:hint="eastAsia" w:ascii="微软雅黑" w:hAnsi="微软雅黑" w:eastAsia="微软雅黑" w:cs="Arial"/>
          <w:color w:val="auto"/>
          <w:kern w:val="0"/>
          <w:szCs w:val="21"/>
          <w:highlight w:val="none"/>
          <w:lang w:val="en-US" w:eastAsia="zh-CN"/>
        </w:rPr>
        <w:t>冯老师</w:t>
      </w:r>
    </w:p>
    <w:p w14:paraId="0549BBC3">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质疑联系方式：0573-82838891</w:t>
      </w:r>
    </w:p>
    <w:p w14:paraId="69011795">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p>
    <w:p w14:paraId="3E1C090D">
      <w:pPr>
        <w:widowControl/>
        <w:spacing w:before="75" w:after="75" w:line="240" w:lineRule="auto"/>
        <w:jc w:val="left"/>
        <w:rPr>
          <w:rFonts w:ascii="微软雅黑" w:hAnsi="微软雅黑" w:eastAsia="微软雅黑" w:cs="Arial"/>
          <w:color w:val="auto"/>
          <w:kern w:val="0"/>
          <w:szCs w:val="21"/>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rPr>
        <w:t> </w:t>
      </w:r>
      <w:r>
        <w:rPr>
          <w:rFonts w:hint="eastAsia" w:ascii="微软雅黑" w:hAnsi="微软雅黑" w:eastAsia="微软雅黑" w:cs="Arial"/>
          <w:color w:val="auto"/>
          <w:kern w:val="0"/>
          <w:szCs w:val="21"/>
        </w:rPr>
        <w:t xml:space="preserve"> 2.采购代理机构信息</w:t>
      </w:r>
    </w:p>
    <w:p w14:paraId="21A5A8B2">
      <w:pPr>
        <w:widowControl/>
        <w:spacing w:before="75" w:after="75" w:line="360" w:lineRule="atLeast"/>
        <w:jc w:val="left"/>
        <w:rPr>
          <w:rFonts w:ascii="微软雅黑" w:hAnsi="微软雅黑" w:eastAsia="微软雅黑" w:cs="Arial"/>
          <w:color w:val="auto"/>
          <w:kern w:val="0"/>
          <w:szCs w:val="21"/>
        </w:rPr>
      </w:pPr>
      <w:r>
        <w:rPr>
          <w:rFonts w:hint="eastAsia" w:ascii="微软雅黑" w:hAnsi="微软雅黑" w:eastAsia="微软雅黑" w:cs="Arial"/>
          <w:color w:val="auto"/>
          <w:kern w:val="0"/>
          <w:szCs w:val="21"/>
        </w:rPr>
        <w:t xml:space="preserve">   名 称：浙江中际工程项目管理有限公司</w:t>
      </w:r>
    </w:p>
    <w:p w14:paraId="01799101">
      <w:pPr>
        <w:widowControl/>
        <w:spacing w:before="75" w:after="75" w:line="360" w:lineRule="atLeast"/>
        <w:ind w:firstLine="210" w:firstLineChars="100"/>
        <w:jc w:val="left"/>
        <w:rPr>
          <w:rFonts w:ascii="微软雅黑" w:hAnsi="微软雅黑" w:eastAsia="微软雅黑" w:cs="Arial"/>
          <w:color w:val="auto"/>
          <w:kern w:val="0"/>
          <w:szCs w:val="21"/>
        </w:rPr>
      </w:pPr>
      <w:r>
        <w:rPr>
          <w:rFonts w:hint="eastAsia" w:ascii="微软雅黑" w:hAnsi="微软雅黑" w:eastAsia="微软雅黑" w:cs="Arial"/>
          <w:color w:val="auto"/>
          <w:kern w:val="0"/>
          <w:szCs w:val="21"/>
        </w:rPr>
        <w:t>地 址：嘉兴市由拳路南湖大道口华隆广场1号楼1306室</w:t>
      </w:r>
    </w:p>
    <w:p w14:paraId="177E0B57">
      <w:pPr>
        <w:widowControl/>
        <w:spacing w:before="75" w:after="75" w:line="360" w:lineRule="atLeast"/>
        <w:ind w:firstLine="210" w:firstLineChars="100"/>
        <w:jc w:val="left"/>
        <w:rPr>
          <w:rFonts w:ascii="微软雅黑" w:hAnsi="微软雅黑" w:eastAsia="微软雅黑" w:cs="Arial"/>
          <w:color w:val="auto"/>
          <w:kern w:val="0"/>
          <w:szCs w:val="21"/>
        </w:rPr>
      </w:pPr>
      <w:r>
        <w:rPr>
          <w:rFonts w:hint="eastAsia" w:ascii="微软雅黑" w:hAnsi="微软雅黑" w:eastAsia="微软雅黑" w:cs="Arial"/>
          <w:color w:val="auto"/>
          <w:kern w:val="0"/>
          <w:szCs w:val="21"/>
        </w:rPr>
        <w:t>项目联系人</w:t>
      </w:r>
      <w:r>
        <w:rPr>
          <w:rFonts w:hint="eastAsia" w:ascii="微软雅黑" w:hAnsi="微软雅黑" w:eastAsia="微软雅黑" w:cs="Arial"/>
          <w:color w:val="auto"/>
          <w:kern w:val="0"/>
          <w:szCs w:val="21"/>
          <w:lang w:eastAsia="zh-CN"/>
        </w:rPr>
        <w:t>（</w:t>
      </w:r>
      <w:r>
        <w:rPr>
          <w:rFonts w:hint="eastAsia" w:ascii="微软雅黑" w:hAnsi="微软雅黑" w:eastAsia="微软雅黑" w:cs="Arial"/>
          <w:color w:val="auto"/>
          <w:kern w:val="0"/>
          <w:szCs w:val="21"/>
          <w:lang w:val="en-US" w:eastAsia="zh-CN"/>
        </w:rPr>
        <w:t>询问</w:t>
      </w:r>
      <w:r>
        <w:rPr>
          <w:rFonts w:hint="eastAsia" w:ascii="微软雅黑" w:hAnsi="微软雅黑" w:eastAsia="微软雅黑" w:cs="Arial"/>
          <w:color w:val="auto"/>
          <w:kern w:val="0"/>
          <w:szCs w:val="21"/>
          <w:lang w:eastAsia="zh-CN"/>
        </w:rPr>
        <w:t>）</w:t>
      </w:r>
      <w:r>
        <w:rPr>
          <w:rFonts w:hint="eastAsia" w:ascii="微软雅黑" w:hAnsi="微软雅黑" w:eastAsia="微软雅黑" w:cs="Arial"/>
          <w:color w:val="auto"/>
          <w:kern w:val="0"/>
          <w:szCs w:val="21"/>
        </w:rPr>
        <w:t>：马专圆</w:t>
      </w:r>
    </w:p>
    <w:p w14:paraId="3B22BFF7">
      <w:pPr>
        <w:widowControl/>
        <w:spacing w:before="75" w:after="75" w:line="360" w:lineRule="atLeast"/>
        <w:ind w:firstLine="210" w:firstLineChars="100"/>
        <w:jc w:val="left"/>
        <w:rPr>
          <w:rFonts w:ascii="微软雅黑" w:hAnsi="微软雅黑" w:eastAsia="微软雅黑" w:cs="Arial"/>
          <w:color w:val="auto"/>
          <w:kern w:val="0"/>
          <w:szCs w:val="21"/>
        </w:rPr>
      </w:pPr>
      <w:r>
        <w:rPr>
          <w:rFonts w:hint="eastAsia" w:ascii="微软雅黑" w:hAnsi="微软雅黑" w:eastAsia="微软雅黑" w:cs="Arial"/>
          <w:color w:val="auto"/>
          <w:kern w:val="0"/>
          <w:szCs w:val="21"/>
          <w:lang w:val="en-US" w:eastAsia="zh-CN"/>
        </w:rPr>
        <w:t>项目联系方式（询问）</w:t>
      </w:r>
      <w:r>
        <w:rPr>
          <w:rFonts w:hint="eastAsia" w:ascii="微软雅黑" w:hAnsi="微软雅黑" w:eastAsia="微软雅黑" w:cs="Arial"/>
          <w:color w:val="auto"/>
          <w:kern w:val="0"/>
          <w:szCs w:val="21"/>
        </w:rPr>
        <w:t>：0573-82862011</w:t>
      </w:r>
    </w:p>
    <w:p w14:paraId="5F74A806">
      <w:pPr>
        <w:widowControl/>
        <w:spacing w:before="75" w:after="75" w:line="360" w:lineRule="atLeast"/>
        <w:ind w:firstLine="210" w:firstLineChars="100"/>
        <w:jc w:val="left"/>
        <w:rPr>
          <w:rFonts w:ascii="微软雅黑" w:hAnsi="微软雅黑" w:eastAsia="微软雅黑" w:cs="Arial"/>
          <w:color w:val="auto"/>
          <w:kern w:val="0"/>
          <w:szCs w:val="21"/>
        </w:rPr>
      </w:pPr>
      <w:r>
        <w:rPr>
          <w:rFonts w:hint="eastAsia" w:ascii="微软雅黑" w:hAnsi="微软雅黑" w:eastAsia="微软雅黑" w:cs="Arial"/>
          <w:color w:val="auto"/>
          <w:kern w:val="0"/>
          <w:szCs w:val="21"/>
        </w:rPr>
        <w:t>质疑联系人：庞佳玥</w:t>
      </w:r>
    </w:p>
    <w:p w14:paraId="5FC1B7F4">
      <w:pPr>
        <w:widowControl/>
        <w:spacing w:before="75" w:after="75" w:line="360" w:lineRule="atLeast"/>
        <w:ind w:firstLine="210" w:firstLineChars="100"/>
        <w:jc w:val="left"/>
        <w:rPr>
          <w:rFonts w:ascii="微软雅黑" w:hAnsi="微软雅黑" w:eastAsia="微软雅黑" w:cs="Arial"/>
          <w:color w:val="auto"/>
          <w:kern w:val="0"/>
          <w:szCs w:val="21"/>
        </w:rPr>
      </w:pPr>
      <w:r>
        <w:rPr>
          <w:rFonts w:hint="eastAsia" w:ascii="微软雅黑" w:hAnsi="微软雅黑" w:eastAsia="微软雅黑" w:cs="Arial"/>
          <w:color w:val="auto"/>
          <w:kern w:val="0"/>
          <w:szCs w:val="21"/>
          <w:lang w:val="en-US" w:eastAsia="zh-CN"/>
        </w:rPr>
        <w:t>质疑</w:t>
      </w:r>
      <w:r>
        <w:rPr>
          <w:rFonts w:hint="eastAsia" w:ascii="微软雅黑" w:hAnsi="微软雅黑" w:eastAsia="微软雅黑" w:cs="Arial"/>
          <w:color w:val="auto"/>
          <w:kern w:val="0"/>
          <w:szCs w:val="21"/>
        </w:rPr>
        <w:t>联系方式：0573-8286</w:t>
      </w:r>
      <w:r>
        <w:rPr>
          <w:rFonts w:hint="eastAsia" w:ascii="微软雅黑" w:hAnsi="微软雅黑" w:eastAsia="微软雅黑" w:cs="Arial"/>
          <w:color w:val="auto"/>
          <w:kern w:val="0"/>
          <w:szCs w:val="21"/>
          <w:lang w:val="en-US" w:eastAsia="zh-CN"/>
        </w:rPr>
        <w:t>1</w:t>
      </w:r>
      <w:r>
        <w:rPr>
          <w:rFonts w:hint="eastAsia" w:ascii="微软雅黑" w:hAnsi="微软雅黑" w:eastAsia="微软雅黑" w:cs="Arial"/>
          <w:color w:val="auto"/>
          <w:kern w:val="0"/>
          <w:szCs w:val="21"/>
        </w:rPr>
        <w:t>011</w:t>
      </w:r>
    </w:p>
    <w:p w14:paraId="75B9112A">
      <w:pPr>
        <w:widowControl/>
        <w:spacing w:before="75" w:after="75" w:line="240" w:lineRule="auto"/>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3.同级政府采购监督管理部门</w:t>
      </w:r>
    </w:p>
    <w:p w14:paraId="200E51FD">
      <w:pPr>
        <w:widowControl/>
        <w:numPr>
          <w:ilvl w:val="0"/>
          <w:numId w:val="0"/>
        </w:numPr>
        <w:spacing w:before="75" w:after="75" w:line="240" w:lineRule="auto"/>
        <w:ind w:firstLine="210" w:firstLineChars="100"/>
        <w:jc w:val="left"/>
        <w:rPr>
          <w:rFonts w:hint="eastAsia" w:ascii="微软雅黑" w:hAnsi="微软雅黑" w:eastAsia="微软雅黑" w:cs="Arial"/>
          <w:color w:val="auto"/>
          <w:kern w:val="0"/>
          <w:szCs w:val="21"/>
        </w:rPr>
      </w:pPr>
      <w:r>
        <w:rPr>
          <w:rFonts w:hint="eastAsia" w:ascii="微软雅黑" w:hAnsi="微软雅黑" w:eastAsia="微软雅黑" w:cs="Arial"/>
          <w:color w:val="auto"/>
          <w:kern w:val="0"/>
          <w:szCs w:val="21"/>
        </w:rPr>
        <w:t>名</w:t>
      </w:r>
      <w:r>
        <w:rPr>
          <w:rFonts w:hint="eastAsia" w:ascii="微软雅黑" w:hAnsi="微软雅黑" w:eastAsia="微软雅黑" w:cs="Arial"/>
          <w:color w:val="auto"/>
          <w:kern w:val="0"/>
          <w:szCs w:val="21"/>
          <w:lang w:val="en-US" w:eastAsia="zh-CN"/>
        </w:rPr>
        <w:t xml:space="preserve">  </w:t>
      </w:r>
      <w:r>
        <w:rPr>
          <w:rFonts w:hint="eastAsia" w:ascii="微软雅黑" w:hAnsi="微软雅黑" w:eastAsia="微软雅黑" w:cs="Arial"/>
          <w:color w:val="auto"/>
          <w:kern w:val="0"/>
          <w:szCs w:val="21"/>
        </w:rPr>
        <w:t>称：嘉兴市南湖区财政局</w:t>
      </w:r>
    </w:p>
    <w:p w14:paraId="1240A1EE">
      <w:pPr>
        <w:widowControl/>
        <w:spacing w:before="75" w:after="75" w:line="360" w:lineRule="atLeast"/>
        <w:ind w:firstLine="210" w:firstLineChars="100"/>
        <w:jc w:val="left"/>
        <w:rPr>
          <w:rFonts w:hint="default" w:ascii="微软雅黑" w:hAnsi="微软雅黑" w:eastAsia="微软雅黑" w:cs="Arial"/>
          <w:color w:val="auto"/>
          <w:kern w:val="0"/>
          <w:szCs w:val="21"/>
          <w:lang w:val="en-US" w:eastAsia="zh-CN"/>
        </w:rPr>
      </w:pPr>
      <w:r>
        <w:rPr>
          <w:rFonts w:hint="eastAsia" w:ascii="微软雅黑" w:hAnsi="微软雅黑" w:eastAsia="微软雅黑" w:cs="Arial"/>
          <w:color w:val="auto"/>
          <w:kern w:val="0"/>
          <w:szCs w:val="21"/>
          <w:lang w:val="en-US" w:eastAsia="zh-CN"/>
        </w:rPr>
        <w:t>地  址：嘉兴市凌公塘路1260号南湖区行政中心</w:t>
      </w:r>
    </w:p>
    <w:p w14:paraId="77C6E023">
      <w:pPr>
        <w:widowControl/>
        <w:spacing w:before="75" w:after="75" w:line="360" w:lineRule="atLeast"/>
        <w:ind w:firstLine="210" w:firstLineChars="100"/>
        <w:jc w:val="left"/>
        <w:rPr>
          <w:rFonts w:hint="default" w:ascii="微软雅黑" w:hAnsi="微软雅黑" w:eastAsia="微软雅黑" w:cs="Arial"/>
          <w:color w:val="auto"/>
          <w:kern w:val="0"/>
          <w:szCs w:val="21"/>
          <w:lang w:val="en-US" w:eastAsia="zh-CN"/>
        </w:rPr>
      </w:pPr>
      <w:r>
        <w:rPr>
          <w:rFonts w:hint="eastAsia" w:ascii="微软雅黑" w:hAnsi="微软雅黑" w:eastAsia="微软雅黑" w:cs="Arial"/>
          <w:color w:val="auto"/>
          <w:kern w:val="0"/>
          <w:szCs w:val="21"/>
          <w:lang w:val="en-US" w:eastAsia="zh-CN"/>
        </w:rPr>
        <w:t>传  真：/</w:t>
      </w:r>
    </w:p>
    <w:p w14:paraId="3F9BD353">
      <w:pPr>
        <w:widowControl/>
        <w:spacing w:before="75" w:after="75" w:line="360" w:lineRule="atLeast"/>
        <w:ind w:firstLine="210" w:firstLineChars="100"/>
        <w:jc w:val="left"/>
        <w:rPr>
          <w:rFonts w:hint="eastAsia" w:ascii="微软雅黑" w:hAnsi="微软雅黑" w:eastAsia="微软雅黑" w:cs="Arial"/>
          <w:color w:val="auto"/>
          <w:kern w:val="0"/>
          <w:szCs w:val="21"/>
        </w:rPr>
      </w:pPr>
      <w:r>
        <w:rPr>
          <w:rFonts w:hint="eastAsia" w:ascii="微软雅黑" w:hAnsi="微软雅黑" w:eastAsia="微软雅黑" w:cs="Arial"/>
          <w:color w:val="auto"/>
          <w:kern w:val="0"/>
          <w:szCs w:val="21"/>
        </w:rPr>
        <w:t>联系人 ：张先生</w:t>
      </w:r>
    </w:p>
    <w:p w14:paraId="2387996E">
      <w:pPr>
        <w:widowControl/>
        <w:spacing w:before="75" w:after="75" w:line="360" w:lineRule="atLeast"/>
        <w:ind w:firstLine="210" w:firstLineChars="100"/>
        <w:jc w:val="left"/>
        <w:rPr>
          <w:rFonts w:ascii="微软雅黑" w:hAnsi="微软雅黑" w:eastAsia="微软雅黑" w:cs="Arial"/>
          <w:color w:val="auto"/>
          <w:kern w:val="0"/>
          <w:szCs w:val="21"/>
        </w:rPr>
      </w:pPr>
      <w:r>
        <w:rPr>
          <w:rFonts w:hint="eastAsia" w:ascii="微软雅黑" w:hAnsi="微软雅黑" w:eastAsia="微软雅黑" w:cs="Arial"/>
          <w:color w:val="auto"/>
          <w:kern w:val="0"/>
          <w:szCs w:val="21"/>
        </w:rPr>
        <w:t>监督投诉电话：0573-82832019  </w:t>
      </w:r>
      <w:r>
        <w:rPr>
          <w:rFonts w:hint="eastAsia" w:ascii="微软雅黑" w:hAnsi="微软雅黑" w:eastAsia="微软雅黑" w:cs="Arial"/>
          <w:color w:val="auto"/>
          <w:szCs w:val="21"/>
        </w:rPr>
        <w:t xml:space="preserve"> </w:t>
      </w:r>
      <w:r>
        <w:rPr>
          <w:rFonts w:ascii="微软雅黑" w:hAnsi="微软雅黑" w:eastAsia="微软雅黑" w:cs="Calibri"/>
          <w:color w:val="auto"/>
          <w:szCs w:val="21"/>
        </w:rPr>
        <w:t> </w:t>
      </w:r>
      <w:r>
        <w:rPr>
          <w:rFonts w:hint="eastAsia" w:ascii="微软雅黑" w:hAnsi="微软雅黑" w:eastAsia="微软雅黑" w:cs="Arial"/>
          <w:color w:val="auto"/>
          <w:szCs w:val="21"/>
        </w:rPr>
        <w:t xml:space="preserve"> </w:t>
      </w:r>
    </w:p>
    <w:p w14:paraId="4130F0AD">
      <w:pPr>
        <w:widowControl/>
        <w:spacing w:after="0" w:line="240" w:lineRule="auto"/>
        <w:jc w:val="left"/>
        <w:rPr>
          <w:rFonts w:hint="eastAsia" w:ascii="微软雅黑" w:hAnsi="微软雅黑" w:eastAsia="微软雅黑" w:cs="Arial"/>
          <w:color w:val="auto"/>
          <w:kern w:val="0"/>
          <w:szCs w:val="21"/>
          <w:highlight w:val="none"/>
          <w:lang w:eastAsia="zh-CN"/>
        </w:rPr>
      </w:pPr>
    </w:p>
    <w:p w14:paraId="0463283B">
      <w:pPr>
        <w:widowControl/>
        <w:spacing w:after="0" w:line="240" w:lineRule="auto"/>
        <w:jc w:val="left"/>
        <w:rPr>
          <w:rFonts w:ascii="微软雅黑" w:hAnsi="微软雅黑" w:eastAsia="微软雅黑" w:cs="宋体"/>
          <w:color w:val="auto"/>
          <w:kern w:val="0"/>
          <w:szCs w:val="21"/>
          <w:highlight w:val="none"/>
        </w:rPr>
      </w:pPr>
      <w:r>
        <w:rPr>
          <w:rFonts w:ascii="微软雅黑" w:hAnsi="微软雅黑" w:eastAsia="微软雅黑" w:cs="Arial"/>
          <w:color w:val="auto"/>
          <w:kern w:val="0"/>
          <w:szCs w:val="21"/>
          <w:highlight w:val="none"/>
        </w:rPr>
        <w:t xml:space="preserve">    </w:t>
      </w:r>
      <w:r>
        <w:rPr>
          <w:rFonts w:hint="eastAsia" w:ascii="微软雅黑" w:hAnsi="微软雅黑" w:eastAsia="微软雅黑"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r>
        <w:rPr>
          <w:rFonts w:ascii="微软雅黑" w:hAnsi="微软雅黑" w:eastAsia="微软雅黑" w:cs="Calibri"/>
          <w:color w:val="auto"/>
          <w:kern w:val="0"/>
          <w:szCs w:val="21"/>
          <w:highlight w:val="none"/>
        </w:rPr>
        <w:t> </w:t>
      </w:r>
      <w:r>
        <w:rPr>
          <w:rFonts w:hint="eastAsia" w:ascii="微软雅黑" w:hAnsi="微软雅黑" w:eastAsia="微软雅黑" w:cs="宋体"/>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宋体"/>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宋体"/>
          <w:color w:val="auto"/>
          <w:kern w:val="0"/>
          <w:szCs w:val="21"/>
          <w:highlight w:val="none"/>
        </w:rPr>
        <w:t xml:space="preserve"> </w:t>
      </w:r>
      <w:r>
        <w:rPr>
          <w:rFonts w:ascii="微软雅黑" w:hAnsi="微软雅黑" w:eastAsia="微软雅黑" w:cs="Calibri"/>
          <w:color w:val="auto"/>
          <w:kern w:val="0"/>
          <w:szCs w:val="21"/>
          <w:highlight w:val="none"/>
        </w:rPr>
        <w:t>  </w:t>
      </w:r>
    </w:p>
    <w:p w14:paraId="06DA0D98">
      <w:pPr>
        <w:widowControl/>
        <w:spacing w:before="75" w:after="75" w:line="240" w:lineRule="auto"/>
        <w:jc w:val="left"/>
        <w:rPr>
          <w:rFonts w:hint="eastAsia" w:ascii="微软雅黑" w:hAnsi="微软雅黑" w:eastAsia="微软雅黑" w:cs="宋体"/>
          <w:color w:val="auto"/>
          <w:kern w:val="0"/>
          <w:szCs w:val="21"/>
          <w:highlight w:val="none"/>
          <w:lang w:eastAsia="zh-CN"/>
        </w:rPr>
      </w:pPr>
      <w:r>
        <w:rPr>
          <w:rFonts w:hint="eastAsia" w:ascii="微软雅黑" w:hAnsi="微软雅黑" w:eastAsia="微软雅黑" w:cs="宋体"/>
          <w:color w:val="auto"/>
          <w:kern w:val="0"/>
          <w:szCs w:val="21"/>
          <w:highlight w:val="none"/>
        </w:rPr>
        <w:t>CA问题联系电话（人工）：汇信CA 400-888-4636；天谷CA 400-087-8198。</w:t>
      </w:r>
    </w:p>
    <w:p w14:paraId="06426CF3">
      <w:pPr>
        <w:widowControl/>
        <w:spacing w:before="75" w:after="75" w:line="240" w:lineRule="auto"/>
        <w:jc w:val="left"/>
        <w:rPr>
          <w:rFonts w:hint="eastAsia" w:ascii="仿宋" w:hAnsi="仿宋" w:eastAsia="仿宋" w:cs="宋体"/>
          <w:color w:val="auto"/>
          <w:kern w:val="0"/>
          <w:sz w:val="24"/>
          <w:highlight w:val="none"/>
        </w:rPr>
      </w:pPr>
      <w:r>
        <w:rPr>
          <w:rFonts w:ascii="Calibri" w:hAnsi="Calibri" w:eastAsia="仿宋" w:cs="Calibri"/>
          <w:color w:val="auto"/>
          <w:kern w:val="0"/>
          <w:sz w:val="24"/>
          <w:highlight w:val="none"/>
        </w:rPr>
        <w:t> </w:t>
      </w:r>
    </w:p>
    <w:p w14:paraId="2DAF4122">
      <w:pPr>
        <w:pStyle w:val="2"/>
        <w:numPr>
          <w:ilvl w:val="0"/>
          <w:numId w:val="19"/>
        </w:numPr>
        <w:spacing w:before="360"/>
        <w:jc w:val="center"/>
        <w:rPr>
          <w:rFonts w:ascii="微软雅黑" w:hAnsi="微软雅黑" w:cs="微软雅黑"/>
          <w:color w:val="auto"/>
          <w:szCs w:val="21"/>
          <w:highlight w:val="none"/>
        </w:rPr>
      </w:pPr>
      <w:bookmarkStart w:id="5" w:name="_Toc493699290"/>
      <w:bookmarkStart w:id="6" w:name="_Toc192313099"/>
      <w:r>
        <w:rPr>
          <w:rFonts w:hint="eastAsia" w:ascii="微软雅黑" w:hAnsi="微软雅黑" w:cs="微软雅黑"/>
          <w:color w:val="auto"/>
          <w:szCs w:val="21"/>
          <w:highlight w:val="none"/>
        </w:rPr>
        <w:br w:type="page"/>
      </w:r>
      <w:bookmarkStart w:id="7" w:name="_Toc14857"/>
      <w:bookmarkStart w:id="8" w:name="_Toc100764192"/>
      <w:r>
        <w:rPr>
          <w:rFonts w:hint="eastAsia" w:ascii="微软雅黑" w:hAnsi="微软雅黑" w:cs="微软雅黑"/>
          <w:color w:val="auto"/>
          <w:szCs w:val="21"/>
          <w:highlight w:val="none"/>
        </w:rPr>
        <w:t>供应商须知</w:t>
      </w:r>
      <w:bookmarkEnd w:id="5"/>
      <w:bookmarkEnd w:id="6"/>
      <w:bookmarkEnd w:id="7"/>
      <w:bookmarkEnd w:id="8"/>
    </w:p>
    <w:p w14:paraId="4EB7BDFD">
      <w:pPr>
        <w:pStyle w:val="3"/>
        <w:spacing w:before="0" w:after="0" w:line="460" w:lineRule="exact"/>
        <w:rPr>
          <w:rFonts w:ascii="微软雅黑" w:hAnsi="微软雅黑" w:eastAsia="微软雅黑" w:cs="微软雅黑"/>
          <w:b w:val="0"/>
          <w:bCs/>
          <w:color w:val="auto"/>
          <w:sz w:val="21"/>
          <w:szCs w:val="21"/>
          <w:highlight w:val="none"/>
        </w:rPr>
      </w:pPr>
      <w:bookmarkStart w:id="9" w:name="_Toc89266796"/>
      <w:bookmarkStart w:id="10" w:name="_Toc100764193"/>
      <w:bookmarkStart w:id="11" w:name="_Toc53062671"/>
      <w:bookmarkStart w:id="12" w:name="_Toc493699291"/>
      <w:bookmarkStart w:id="13" w:name="_Toc40788009"/>
      <w:r>
        <w:rPr>
          <w:rFonts w:hint="eastAsia" w:ascii="微软雅黑" w:hAnsi="微软雅黑" w:eastAsia="微软雅黑" w:cs="微软雅黑"/>
          <w:bCs/>
          <w:color w:val="auto"/>
          <w:sz w:val="21"/>
          <w:szCs w:val="21"/>
          <w:highlight w:val="none"/>
        </w:rPr>
        <w:t>电子交易注意事项</w:t>
      </w:r>
      <w:bookmarkEnd w:id="9"/>
      <w:bookmarkEnd w:id="10"/>
    </w:p>
    <w:p w14:paraId="56033ADC">
      <w:pPr>
        <w:spacing w:line="460" w:lineRule="exact"/>
        <w:ind w:firstLine="210" w:firstLineChars="100"/>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政府采购项目电子交易活动适用《浙江省政府采购项目电子交易管理暂行办法》，现将相关注意事项告知如下：</w:t>
      </w:r>
    </w:p>
    <w:p w14:paraId="3A33772C">
      <w:pPr>
        <w:spacing w:line="460" w:lineRule="exact"/>
        <w:ind w:firstLine="210" w:firstLineChars="1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1、代理机构按照竞争性磋商文件规定的时间通过电子交易平台组织开标、开启竞争性磋商响应文件，所有供应商均应当准时在线参加，直至评审结束。</w:t>
      </w:r>
    </w:p>
    <w:p w14:paraId="2DD8D2BE">
      <w:pPr>
        <w:pStyle w:val="48"/>
        <w:spacing w:before="0" w:beforeAutospacing="0" w:after="0" w:afterAutospacing="0" w:line="460" w:lineRule="exact"/>
        <w:ind w:firstLine="210" w:firstLineChars="10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　2、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14:paraId="46EA68F1">
      <w:pPr>
        <w:pStyle w:val="48"/>
        <w:spacing w:before="0" w:beforeAutospacing="0" w:after="0" w:afterAutospacing="0" w:line="460" w:lineRule="exact"/>
        <w:ind w:firstLine="210" w:firstLineChars="10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　3、采购过程中出现以下情形，导致电子交易平台无法正常运行，或者无法保证电子交易的公平、公正和安全时，代理机构可中止电子交易活动：</w:t>
      </w:r>
    </w:p>
    <w:p w14:paraId="3118E272">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（一）电子交易平台发生故障而无法登录访问的； </w:t>
      </w:r>
    </w:p>
    <w:p w14:paraId="77DC2EC9">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（二）电子交易平台应用或数据库出现错误，不能进行正常操作的；</w:t>
      </w:r>
    </w:p>
    <w:p w14:paraId="5EBA6262">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（三）电子交易平台发现严重安全漏洞，有潜在泄密危险的；</w:t>
      </w:r>
    </w:p>
    <w:p w14:paraId="722DDE03">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（四）病毒发作导致不能进行正常操作的； </w:t>
      </w:r>
    </w:p>
    <w:p w14:paraId="5CE0C25A">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（五）其他无法保证电子交易的公平、公正和安全的情况。</w:t>
      </w:r>
    </w:p>
    <w:p w14:paraId="246E0AD1">
      <w:pPr>
        <w:pStyle w:val="48"/>
        <w:spacing w:before="0" w:beforeAutospacing="0" w:after="0" w:afterAutospacing="0" w:line="460" w:lineRule="exact"/>
        <w:ind w:firstLine="48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35A24BE6">
      <w:pPr>
        <w:pStyle w:val="48"/>
        <w:numPr>
          <w:ilvl w:val="0"/>
          <w:numId w:val="20"/>
        </w:numPr>
        <w:spacing w:before="0" w:beforeAutospacing="0" w:after="0" w:afterAutospacing="0" w:line="460" w:lineRule="exact"/>
        <w:ind w:firstLine="480"/>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评审中需要供应商对竞争性磋商响应文件作出澄清、说明或者补正的，评审小组和供应商应当通过电子交易平台交换数据电文。供应商需在半小时内提交澄清说明或补正，供应商已经明确表示澄清说明或补正完毕的除外。</w:t>
      </w:r>
    </w:p>
    <w:p w14:paraId="3F17847D">
      <w:pPr>
        <w:pStyle w:val="48"/>
        <w:numPr>
          <w:ilvl w:val="0"/>
          <w:numId w:val="20"/>
        </w:numPr>
        <w:spacing w:before="0" w:beforeAutospacing="0" w:after="0" w:afterAutospacing="0" w:line="460" w:lineRule="exact"/>
        <w:ind w:firstLine="480"/>
        <w:rPr>
          <w:rFonts w:ascii="微软雅黑" w:hAnsi="微软雅黑" w:eastAsia="微软雅黑" w:cs="微软雅黑"/>
          <w:b/>
          <w:bCs/>
          <w:color w:val="auto"/>
          <w:sz w:val="21"/>
          <w:szCs w:val="21"/>
          <w:highlight w:val="none"/>
          <w:shd w:val="clear" w:color="auto" w:fill="FFFFFF"/>
        </w:rPr>
      </w:pPr>
      <w:r>
        <w:rPr>
          <w:rFonts w:hint="eastAsia" w:ascii="微软雅黑" w:hAnsi="微软雅黑" w:eastAsia="微软雅黑" w:cs="微软雅黑"/>
          <w:b/>
          <w:bCs/>
          <w:color w:val="auto"/>
          <w:sz w:val="21"/>
          <w:szCs w:val="21"/>
          <w:highlight w:val="none"/>
          <w:shd w:val="clear" w:color="auto" w:fill="FFFFFF"/>
        </w:rPr>
        <w:t>供应商须在代理机构宣布评审结束、产生中标候选人期间时刻关注项目政采云，配合专家组工作，如有询标（澄清、质疑），在30分钟内（具体时间以询标函上规定的时间为准备）通过ＣＡ进行回复。过期不按要求回复，视为默认原竞争性磋商响应文件内容。</w:t>
      </w:r>
    </w:p>
    <w:p w14:paraId="71481E14">
      <w:pPr>
        <w:spacing w:line="460" w:lineRule="exact"/>
        <w:rPr>
          <w:rFonts w:ascii="微软雅黑" w:hAnsi="微软雅黑" w:eastAsia="微软雅黑" w:cs="微软雅黑"/>
          <w:b/>
          <w:color w:val="auto"/>
          <w:kern w:val="0"/>
          <w:szCs w:val="21"/>
          <w:highlight w:val="none"/>
          <w:shd w:val="pct10" w:color="auto" w:fill="FFFFFF"/>
        </w:rPr>
      </w:pPr>
    </w:p>
    <w:p w14:paraId="0AB68706">
      <w:pPr>
        <w:spacing w:line="460" w:lineRule="exact"/>
        <w:rPr>
          <w:rFonts w:ascii="微软雅黑" w:hAnsi="微软雅黑" w:eastAsia="微软雅黑" w:cs="微软雅黑"/>
          <w:b/>
          <w:color w:val="auto"/>
          <w:kern w:val="0"/>
          <w:szCs w:val="21"/>
          <w:highlight w:val="none"/>
          <w:shd w:val="pct10" w:color="auto" w:fill="FFFFFF"/>
        </w:rPr>
      </w:pPr>
    </w:p>
    <w:p w14:paraId="1D5F91CA">
      <w:pPr>
        <w:snapToGrid w:val="0"/>
        <w:spacing w:line="460" w:lineRule="exact"/>
        <w:ind w:left="238"/>
        <w:jc w:val="center"/>
        <w:outlineLvl w:val="1"/>
        <w:rPr>
          <w:rFonts w:ascii="微软雅黑" w:hAnsi="微软雅黑" w:eastAsia="微软雅黑" w:cs="微软雅黑"/>
          <w:b/>
          <w:color w:val="auto"/>
          <w:szCs w:val="21"/>
          <w:highlight w:val="none"/>
        </w:rPr>
      </w:pPr>
      <w:bookmarkStart w:id="14" w:name="_Toc100764194"/>
      <w:bookmarkStart w:id="15" w:name="_Toc89266797"/>
      <w:r>
        <w:rPr>
          <w:rFonts w:hint="eastAsia" w:ascii="微软雅黑" w:hAnsi="微软雅黑" w:eastAsia="微软雅黑" w:cs="微软雅黑"/>
          <w:b/>
          <w:color w:val="auto"/>
          <w:szCs w:val="21"/>
          <w:highlight w:val="none"/>
        </w:rPr>
        <w:t>前附表</w:t>
      </w:r>
      <w:bookmarkEnd w:id="11"/>
      <w:bookmarkEnd w:id="12"/>
      <w:bookmarkEnd w:id="13"/>
      <w:bookmarkEnd w:id="14"/>
      <w:bookmarkEnd w:id="15"/>
    </w:p>
    <w:tbl>
      <w:tblPr>
        <w:tblStyle w:val="53"/>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8350"/>
      </w:tblGrid>
      <w:tr w14:paraId="0487C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1B31BFD0">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8350" w:type="dxa"/>
            <w:tcBorders>
              <w:top w:val="single" w:color="auto" w:sz="4" w:space="0"/>
              <w:left w:val="single" w:color="auto" w:sz="4" w:space="0"/>
              <w:bottom w:val="single" w:color="auto" w:sz="4" w:space="0"/>
              <w:right w:val="single" w:color="auto" w:sz="4" w:space="0"/>
            </w:tcBorders>
            <w:vAlign w:val="center"/>
          </w:tcPr>
          <w:p w14:paraId="53426DE4">
            <w:pPr>
              <w:snapToGrid w:val="0"/>
              <w:spacing w:after="0" w:line="460" w:lineRule="exact"/>
              <w:ind w:firstLine="2625" w:firstLineChars="1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内容、要求</w:t>
            </w:r>
          </w:p>
        </w:tc>
      </w:tr>
      <w:tr w14:paraId="31E6E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A3F0AA4">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8350" w:type="dxa"/>
            <w:tcBorders>
              <w:top w:val="single" w:color="auto" w:sz="4" w:space="0"/>
              <w:left w:val="single" w:color="auto" w:sz="4" w:space="0"/>
              <w:bottom w:val="single" w:color="auto" w:sz="4" w:space="0"/>
              <w:right w:val="single" w:color="auto" w:sz="4" w:space="0"/>
            </w:tcBorders>
            <w:vAlign w:val="center"/>
          </w:tcPr>
          <w:p w14:paraId="0F414C63">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olor w:val="auto"/>
                <w:highlight w:val="none"/>
                <w:lang w:eastAsia="zh-CN"/>
              </w:rPr>
              <w:t xml:space="preserve">  嘉兴市实验小学2025年度教师疗休养项目</w:t>
            </w:r>
          </w:p>
        </w:tc>
      </w:tr>
      <w:tr w14:paraId="60B8E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EEF489C">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8350" w:type="dxa"/>
            <w:tcBorders>
              <w:top w:val="single" w:color="auto" w:sz="4" w:space="0"/>
              <w:left w:val="single" w:color="auto" w:sz="4" w:space="0"/>
              <w:bottom w:val="single" w:color="auto" w:sz="4" w:space="0"/>
              <w:right w:val="single" w:color="auto" w:sz="4" w:space="0"/>
            </w:tcBorders>
            <w:vAlign w:val="center"/>
          </w:tcPr>
          <w:p w14:paraId="5D8D82F6">
            <w:pPr>
              <w:snapToGrid w:val="0"/>
              <w:spacing w:after="0" w:line="46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采购内容：</w:t>
            </w:r>
            <w:r>
              <w:rPr>
                <w:rFonts w:hint="eastAsia" w:ascii="微软雅黑" w:hAnsi="微软雅黑" w:eastAsia="微软雅黑" w:cs="微软雅黑"/>
                <w:bCs/>
                <w:color w:val="auto"/>
                <w:szCs w:val="21"/>
                <w:highlight w:val="none"/>
              </w:rPr>
              <w:t>详见第三章项目需求</w:t>
            </w:r>
          </w:p>
        </w:tc>
      </w:tr>
      <w:tr w14:paraId="57AFD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1A2DEEE5">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8350" w:type="dxa"/>
            <w:tcBorders>
              <w:top w:val="single" w:color="auto" w:sz="4" w:space="0"/>
              <w:left w:val="single" w:color="auto" w:sz="4" w:space="0"/>
              <w:bottom w:val="single" w:color="auto" w:sz="4" w:space="0"/>
              <w:right w:val="single" w:color="auto" w:sz="4" w:space="0"/>
            </w:tcBorders>
            <w:vAlign w:val="center"/>
          </w:tcPr>
          <w:p w14:paraId="37E84DDA">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投标报价及费用：</w:t>
            </w:r>
          </w:p>
          <w:p w14:paraId="707ED8FD">
            <w:pPr>
              <w:snapToGrid w:val="0"/>
              <w:spacing w:after="0" w:line="46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1、本项目投标应以人民币报价；</w:t>
            </w:r>
          </w:p>
          <w:p w14:paraId="616B9897">
            <w:pPr>
              <w:snapToGrid w:val="0"/>
              <w:spacing w:after="0" w:line="46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2、不论投标结果如何，投标人均应自行承担所有与投标有关的全部费用。</w:t>
            </w:r>
          </w:p>
        </w:tc>
      </w:tr>
      <w:tr w14:paraId="2CD27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176C6D6">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8350" w:type="dxa"/>
            <w:tcBorders>
              <w:top w:val="single" w:color="auto" w:sz="4" w:space="0"/>
              <w:left w:val="single" w:color="auto" w:sz="4" w:space="0"/>
              <w:bottom w:val="single" w:color="auto" w:sz="4" w:space="0"/>
              <w:right w:val="single" w:color="auto" w:sz="4" w:space="0"/>
            </w:tcBorders>
            <w:vAlign w:val="center"/>
          </w:tcPr>
          <w:p w14:paraId="752F542B">
            <w:pPr>
              <w:widowControl/>
              <w:spacing w:before="75" w:after="75" w:line="300" w:lineRule="atLeast"/>
              <w:jc w:val="lef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预算金额（元）：</w:t>
            </w:r>
            <w:r>
              <w:rPr>
                <w:rFonts w:hint="eastAsia" w:ascii="微软雅黑" w:hAnsi="微软雅黑" w:eastAsia="微软雅黑" w:cs="微软雅黑"/>
                <w:b/>
                <w:bCs/>
                <w:color w:val="auto"/>
                <w:szCs w:val="21"/>
                <w:highlight w:val="none"/>
                <w:lang w:val="en-US" w:eastAsia="zh-CN"/>
              </w:rPr>
              <w:t>1071000</w:t>
            </w:r>
            <w:r>
              <w:rPr>
                <w:rFonts w:hint="eastAsia" w:ascii="微软雅黑" w:hAnsi="微软雅黑" w:eastAsia="微软雅黑" w:cs="Calibri"/>
                <w:b/>
                <w:bCs/>
                <w:color w:val="auto"/>
                <w:kern w:val="0"/>
                <w:szCs w:val="21"/>
                <w:highlight w:val="none"/>
                <w:lang w:val="en-US" w:eastAsia="zh-CN"/>
              </w:rPr>
              <w:t>元；</w:t>
            </w:r>
            <w:r>
              <w:rPr>
                <w:rFonts w:hint="eastAsia" w:ascii="微软雅黑" w:hAnsi="微软雅黑" w:eastAsia="微软雅黑" w:cs="Arial"/>
                <w:b/>
                <w:bCs/>
                <w:color w:val="auto"/>
                <w:kern w:val="0"/>
                <w:szCs w:val="21"/>
                <w:highlight w:val="none"/>
              </w:rPr>
              <w:t xml:space="preserve"> </w:t>
            </w:r>
          </w:p>
        </w:tc>
      </w:tr>
      <w:tr w14:paraId="3309F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2B5EA9CC">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p>
        </w:tc>
        <w:tc>
          <w:tcPr>
            <w:tcW w:w="8350" w:type="dxa"/>
            <w:tcBorders>
              <w:top w:val="single" w:color="auto" w:sz="4" w:space="0"/>
              <w:left w:val="single" w:color="auto" w:sz="4" w:space="0"/>
              <w:bottom w:val="single" w:color="auto" w:sz="4" w:space="0"/>
              <w:right w:val="single" w:color="auto" w:sz="4" w:space="0"/>
            </w:tcBorders>
            <w:vAlign w:val="center"/>
          </w:tcPr>
          <w:p w14:paraId="309C419C">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投标保证金：无</w:t>
            </w:r>
          </w:p>
        </w:tc>
      </w:tr>
      <w:tr w14:paraId="60DF7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44DA890">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p>
        </w:tc>
        <w:tc>
          <w:tcPr>
            <w:tcW w:w="8350" w:type="dxa"/>
            <w:tcBorders>
              <w:top w:val="single" w:color="auto" w:sz="4" w:space="0"/>
              <w:left w:val="single" w:color="auto" w:sz="4" w:space="0"/>
              <w:bottom w:val="single" w:color="auto" w:sz="4" w:space="0"/>
              <w:right w:val="single" w:color="auto" w:sz="4" w:space="0"/>
            </w:tcBorders>
            <w:vAlign w:val="center"/>
          </w:tcPr>
          <w:p w14:paraId="0DB55837">
            <w:pPr>
              <w:pStyle w:val="48"/>
              <w:spacing w:before="0" w:beforeAutospacing="0" w:after="0" w:afterAutospacing="0" w:line="5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现场踏勘：无</w:t>
            </w:r>
          </w:p>
        </w:tc>
      </w:tr>
      <w:tr w14:paraId="50F40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57C0EE0">
            <w:pPr>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p>
        </w:tc>
        <w:tc>
          <w:tcPr>
            <w:tcW w:w="8350" w:type="dxa"/>
            <w:tcBorders>
              <w:top w:val="single" w:color="auto" w:sz="4" w:space="0"/>
              <w:left w:val="single" w:color="auto" w:sz="4" w:space="0"/>
              <w:bottom w:val="single" w:color="auto" w:sz="4" w:space="0"/>
              <w:right w:val="single" w:color="auto" w:sz="4" w:space="0"/>
            </w:tcBorders>
            <w:vAlign w:val="center"/>
          </w:tcPr>
          <w:p w14:paraId="21AB7752">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竞争性磋商响应文件组成：</w:t>
            </w:r>
            <w:r>
              <w:rPr>
                <w:rFonts w:hint="eastAsia" w:ascii="微软雅黑" w:hAnsi="微软雅黑" w:eastAsia="微软雅黑" w:cs="微软雅黑"/>
                <w:bCs/>
                <w:color w:val="auto"/>
                <w:szCs w:val="21"/>
                <w:highlight w:val="none"/>
              </w:rPr>
              <w:t>完整的《竞争性磋商响应文件》由</w:t>
            </w:r>
            <w:r>
              <w:rPr>
                <w:rFonts w:hint="eastAsia" w:ascii="微软雅黑" w:hAnsi="微软雅黑" w:eastAsia="微软雅黑" w:cs="微软雅黑"/>
                <w:b/>
                <w:color w:val="auto"/>
                <w:szCs w:val="21"/>
                <w:highlight w:val="none"/>
              </w:rPr>
              <w:t>资信技术文件及商务报价文件二部份组成</w:t>
            </w:r>
          </w:p>
        </w:tc>
      </w:tr>
      <w:tr w14:paraId="3F686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624D4D3">
            <w:pPr>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w:t>
            </w:r>
          </w:p>
        </w:tc>
        <w:tc>
          <w:tcPr>
            <w:tcW w:w="8350" w:type="dxa"/>
            <w:tcBorders>
              <w:top w:val="single" w:color="auto" w:sz="4" w:space="0"/>
              <w:left w:val="single" w:color="auto" w:sz="4" w:space="0"/>
              <w:bottom w:val="single" w:color="auto" w:sz="4" w:space="0"/>
              <w:right w:val="single" w:color="auto" w:sz="4" w:space="0"/>
            </w:tcBorders>
            <w:vAlign w:val="center"/>
          </w:tcPr>
          <w:p w14:paraId="1C08A2FB">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竞争性磋商响应文件的编制：供应商应先安装“政采云电子交易客户端”，并按照本竞争性磋商文件和“政府采购云平台”的要求，通过“政采云电子交易客户端”编制并加密竞争性磋商响应文件。</w:t>
            </w:r>
          </w:p>
        </w:tc>
      </w:tr>
      <w:tr w14:paraId="5060A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41436B4">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w:t>
            </w:r>
          </w:p>
        </w:tc>
        <w:tc>
          <w:tcPr>
            <w:tcW w:w="8350" w:type="dxa"/>
            <w:tcBorders>
              <w:top w:val="single" w:color="auto" w:sz="4" w:space="0"/>
              <w:left w:val="single" w:color="auto" w:sz="4" w:space="0"/>
              <w:bottom w:val="single" w:color="auto" w:sz="4" w:space="0"/>
              <w:right w:val="single" w:color="auto" w:sz="4" w:space="0"/>
            </w:tcBorders>
            <w:vAlign w:val="center"/>
          </w:tcPr>
          <w:p w14:paraId="00AC10E5">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竞争性磋商响应文件的签章：电子签章。</w:t>
            </w:r>
          </w:p>
        </w:tc>
      </w:tr>
      <w:tr w14:paraId="34185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BC73254">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8350" w:type="dxa"/>
            <w:tcBorders>
              <w:top w:val="single" w:color="auto" w:sz="4" w:space="0"/>
              <w:left w:val="single" w:color="auto" w:sz="4" w:space="0"/>
              <w:bottom w:val="single" w:color="auto" w:sz="4" w:space="0"/>
              <w:right w:val="single" w:color="auto" w:sz="4" w:space="0"/>
            </w:tcBorders>
            <w:vAlign w:val="center"/>
          </w:tcPr>
          <w:p w14:paraId="79D0119C">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竞争性磋商响应文件的形式：</w:t>
            </w:r>
            <w:r>
              <w:rPr>
                <w:rFonts w:hint="eastAsia" w:ascii="微软雅黑" w:hAnsi="微软雅黑" w:eastAsia="微软雅黑" w:cs="微软雅黑"/>
                <w:bCs/>
                <w:color w:val="auto"/>
                <w:szCs w:val="21"/>
                <w:highlight w:val="none"/>
              </w:rPr>
              <w:t>☑电子竞争性磋商响应文件（包括“电子加密竞争性磋商响应文件”和“备份竞争性磋商响应文件”，在竞争性磋商响应文件编制完成后同时生成）；</w:t>
            </w:r>
          </w:p>
          <w:p w14:paraId="581ACD52">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（1）“电子加密竞争性磋商响应文件”是指通过“政采云电子交易客户端”完成竞争性磋商响应文件编制后生成并加密的数据电文形式的竞争性磋商响应文件。</w:t>
            </w:r>
          </w:p>
          <w:p w14:paraId="65065B4B">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（2）“备份竞争性磋商响应文件”是指与“电子加密竞争性磋商响应文件”同时生成的数据电文形式的电子文件（备份标书），其他方式编制的备份竞争性磋商响应文件视为无效备份竞争性磋商响应文件。</w:t>
            </w:r>
          </w:p>
        </w:tc>
      </w:tr>
      <w:tr w14:paraId="59531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2FC4169">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w:t>
            </w:r>
          </w:p>
        </w:tc>
        <w:tc>
          <w:tcPr>
            <w:tcW w:w="8350" w:type="dxa"/>
            <w:tcBorders>
              <w:top w:val="single" w:color="auto" w:sz="4" w:space="0"/>
              <w:left w:val="single" w:color="auto" w:sz="4" w:space="0"/>
              <w:bottom w:val="single" w:color="auto" w:sz="4" w:space="0"/>
              <w:right w:val="single" w:color="auto" w:sz="4" w:space="0"/>
            </w:tcBorders>
            <w:vAlign w:val="center"/>
          </w:tcPr>
          <w:p w14:paraId="4A385438">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竞争性磋商响应文件份数：</w:t>
            </w:r>
            <w:r>
              <w:rPr>
                <w:rFonts w:hint="eastAsia" w:ascii="微软雅黑" w:hAnsi="微软雅黑" w:eastAsia="微软雅黑" w:cs="微软雅黑"/>
                <w:bCs/>
                <w:color w:val="auto"/>
                <w:szCs w:val="21"/>
                <w:highlight w:val="none"/>
              </w:rPr>
              <w:t>（1）“电子加密竞争性磋商响应文件”：在线上传递交。（2）“备份竞争性磋商响应文件”：密封包装后（邮寄形式）投标截止时间前递交、一份（邮寄地址：</w:t>
            </w:r>
            <w:r>
              <w:rPr>
                <w:rFonts w:hint="eastAsia" w:ascii="微软雅黑" w:hAnsi="微软雅黑" w:eastAsia="微软雅黑" w:cs="微软雅黑"/>
                <w:color w:val="auto"/>
                <w:highlight w:val="none"/>
              </w:rPr>
              <w:t>嘉兴市由拳路南湖大道口华隆广场1号楼1306室</w:t>
            </w:r>
            <w:r>
              <w:rPr>
                <w:rFonts w:hint="eastAsia" w:ascii="微软雅黑" w:hAnsi="微软雅黑" w:eastAsia="微软雅黑" w:cs="微软雅黑"/>
                <w:bCs/>
                <w:color w:val="auto"/>
                <w:szCs w:val="21"/>
                <w:highlight w:val="none"/>
                <w:lang w:eastAsia="zh-CN"/>
              </w:rPr>
              <w:t>浙江中际工程项目管理有限公司</w:t>
            </w: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bCs/>
                <w:color w:val="auto"/>
                <w:szCs w:val="21"/>
                <w:highlight w:val="none"/>
                <w:lang w:val="en-US" w:eastAsia="zh-CN"/>
              </w:rPr>
              <w:t>马专圆</w:t>
            </w:r>
            <w:r>
              <w:rPr>
                <w:rFonts w:hint="eastAsia" w:ascii="微软雅黑" w:hAnsi="微软雅黑" w:eastAsia="微软雅黑" w:cs="微软雅黑"/>
                <w:bCs/>
                <w:color w:val="auto"/>
                <w:szCs w:val="21"/>
                <w:highlight w:val="none"/>
              </w:rPr>
              <w:t>电话：</w:t>
            </w:r>
            <w:r>
              <w:rPr>
                <w:rFonts w:hint="eastAsia" w:ascii="微软雅黑" w:hAnsi="微软雅黑" w:eastAsia="微软雅黑" w:cs="微软雅黑"/>
                <w:color w:val="auto"/>
                <w:highlight w:val="none"/>
              </w:rPr>
              <w:t>13511352944</w:t>
            </w:r>
            <w:r>
              <w:rPr>
                <w:rFonts w:hint="eastAsia" w:ascii="微软雅黑" w:hAnsi="微软雅黑" w:eastAsia="微软雅黑" w:cs="微软雅黑"/>
                <w:bCs/>
                <w:color w:val="auto"/>
                <w:szCs w:val="21"/>
                <w:highlight w:val="none"/>
              </w:rPr>
              <w:t>）。</w:t>
            </w:r>
          </w:p>
        </w:tc>
      </w:tr>
      <w:tr w14:paraId="5B72B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6C86B9A">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w:t>
            </w:r>
          </w:p>
        </w:tc>
        <w:tc>
          <w:tcPr>
            <w:tcW w:w="8350" w:type="dxa"/>
            <w:tcBorders>
              <w:top w:val="single" w:color="auto" w:sz="4" w:space="0"/>
              <w:left w:val="single" w:color="auto" w:sz="4" w:space="0"/>
              <w:bottom w:val="single" w:color="auto" w:sz="4" w:space="0"/>
              <w:right w:val="single" w:color="auto" w:sz="4" w:space="0"/>
            </w:tcBorders>
            <w:vAlign w:val="center"/>
          </w:tcPr>
          <w:p w14:paraId="633AE4A9">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竞争性磋商响应文件的上传和递交：</w:t>
            </w:r>
          </w:p>
          <w:p w14:paraId="567A12A5">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（1）“电子加密竞争性磋商响应文件”的上传、递交：</w:t>
            </w:r>
          </w:p>
          <w:p w14:paraId="523256B1">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a.投标供应商应在投标截止时间前将“电子加密竞争性磋商响应文件”成功上传递交至“政府采购云平台”，否则投标无效。</w:t>
            </w:r>
          </w:p>
          <w:p w14:paraId="4E512562">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b.“电子加密竞争性磋商响应文件”成功上传递交后，供应商可自行打印竞争性磋商响应文件接收回执。</w:t>
            </w:r>
          </w:p>
          <w:p w14:paraId="4777258D">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（2）“备份竞争性磋商响应文件”的密封包装、递交：</w:t>
            </w:r>
          </w:p>
          <w:p w14:paraId="1086ED6A">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a、投标供应商在“政府采购云平台”完成“电子加密竞争性磋商响应文件”的上传递交后，还可以（邮寄形式）在投标截止时间前递交以介质（U盘）存储的“备份竞争性磋商响应文件”（一份）；</w:t>
            </w:r>
          </w:p>
          <w:p w14:paraId="3896F5D3">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b.“备份竞争性磋商响应文件”应当密封包装，并在包装上标注投标项目名称、投标单位名称并加盖公章。没有密封包装或者逾期邮寄送达至上述邮寄地点的“备份竞争性磋商响应文件”将不予接收；</w:t>
            </w:r>
          </w:p>
          <w:p w14:paraId="260994C9">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14:paraId="03898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ECA4DD0">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w:t>
            </w:r>
          </w:p>
        </w:tc>
        <w:tc>
          <w:tcPr>
            <w:tcW w:w="8350" w:type="dxa"/>
            <w:tcBorders>
              <w:top w:val="single" w:color="auto" w:sz="4" w:space="0"/>
              <w:left w:val="single" w:color="auto" w:sz="4" w:space="0"/>
              <w:bottom w:val="single" w:color="auto" w:sz="4" w:space="0"/>
              <w:right w:val="single" w:color="auto" w:sz="4" w:space="0"/>
            </w:tcBorders>
            <w:vAlign w:val="center"/>
          </w:tcPr>
          <w:p w14:paraId="179613DB">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电子加密竞争性磋商响应文件的解密和异常情况处理：</w:t>
            </w:r>
          </w:p>
          <w:p w14:paraId="4C5222C1">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（1）开标后，采购组织机构将向各投标供应商发出“电子加密竞争性磋商响应文件”的解密通知，各投标供应商代表应当在接到解密通知后30分钟内自行完成“电子加密竞争性磋商响应文件”的在线解密。</w:t>
            </w:r>
          </w:p>
          <w:p w14:paraId="1D14CC7C">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14:paraId="6948F261">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（3）投标截止时间前，投标供应商仅递交了“备份竞争性磋商响应文件”而未将电子加密竞争性磋商响应文件上传至“政府采购云平台”的，投标无效。</w:t>
            </w:r>
          </w:p>
        </w:tc>
      </w:tr>
      <w:tr w14:paraId="54328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19D3462">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w:t>
            </w:r>
          </w:p>
        </w:tc>
        <w:tc>
          <w:tcPr>
            <w:tcW w:w="8350" w:type="dxa"/>
            <w:tcBorders>
              <w:top w:val="single" w:color="auto" w:sz="4" w:space="0"/>
              <w:left w:val="single" w:color="auto" w:sz="4" w:space="0"/>
              <w:bottom w:val="single" w:color="auto" w:sz="4" w:space="0"/>
              <w:right w:val="single" w:color="auto" w:sz="4" w:space="0"/>
            </w:tcBorders>
            <w:vAlign w:val="center"/>
          </w:tcPr>
          <w:p w14:paraId="68C445AF">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投标截止时间及地点：</w:t>
            </w:r>
            <w:r>
              <w:rPr>
                <w:rStyle w:val="195"/>
                <w:rFonts w:hint="eastAsia" w:ascii="微软雅黑" w:hAnsi="微软雅黑" w:eastAsia="微软雅黑" w:cs="微软雅黑"/>
                <w:color w:val="auto"/>
                <w:szCs w:val="21"/>
                <w:highlight w:val="none"/>
                <w:u w:val="single"/>
                <w:lang w:eastAsia="zh-CN"/>
              </w:rPr>
              <w:t>2025年6月28日 13:30</w:t>
            </w:r>
            <w:r>
              <w:rPr>
                <w:rFonts w:hint="eastAsia" w:ascii="微软雅黑" w:hAnsi="微软雅黑" w:eastAsia="微软雅黑" w:cs="微软雅黑"/>
                <w:color w:val="auto"/>
                <w:szCs w:val="21"/>
                <w:highlight w:val="none"/>
              </w:rPr>
              <w:t>，政采云线上投标；</w:t>
            </w:r>
          </w:p>
        </w:tc>
      </w:tr>
      <w:tr w14:paraId="55FD3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E59BEF8">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8350" w:type="dxa"/>
            <w:tcBorders>
              <w:top w:val="single" w:color="auto" w:sz="4" w:space="0"/>
              <w:left w:val="single" w:color="auto" w:sz="4" w:space="0"/>
              <w:bottom w:val="single" w:color="auto" w:sz="4" w:space="0"/>
              <w:right w:val="single" w:color="auto" w:sz="4" w:space="0"/>
            </w:tcBorders>
            <w:vAlign w:val="center"/>
          </w:tcPr>
          <w:p w14:paraId="3ED0E36F">
            <w:pPr>
              <w:widowControl/>
              <w:snapToGrid w:val="0"/>
              <w:spacing w:after="0" w:line="460" w:lineRule="exact"/>
              <w:jc w:val="left"/>
              <w:rPr>
                <w:rStyle w:val="195"/>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开标时间及地点： </w:t>
            </w:r>
            <w:r>
              <w:rPr>
                <w:rStyle w:val="195"/>
                <w:rFonts w:hint="eastAsia" w:ascii="微软雅黑" w:hAnsi="微软雅黑" w:eastAsia="微软雅黑" w:cs="微软雅黑"/>
                <w:color w:val="auto"/>
                <w:szCs w:val="21"/>
                <w:highlight w:val="none"/>
                <w:u w:val="single"/>
                <w:lang w:eastAsia="zh-CN"/>
              </w:rPr>
              <w:t>2025年6月28日 13:30</w:t>
            </w:r>
            <w:r>
              <w:rPr>
                <w:rStyle w:val="195"/>
                <w:rFonts w:hint="eastAsia" w:ascii="微软雅黑" w:hAnsi="微软雅黑" w:eastAsia="微软雅黑" w:cs="微软雅黑"/>
                <w:color w:val="auto"/>
                <w:szCs w:val="21"/>
                <w:highlight w:val="none"/>
              </w:rPr>
              <w:t>；</w:t>
            </w:r>
          </w:p>
          <w:p w14:paraId="163B269B">
            <w:pPr>
              <w:widowControl/>
              <w:snapToGrid w:val="0"/>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 </w:t>
            </w:r>
            <w:r>
              <w:rPr>
                <w:rStyle w:val="195"/>
                <w:rFonts w:hint="eastAsia" w:ascii="微软雅黑" w:hAnsi="微软雅黑" w:eastAsia="微软雅黑" w:cs="微软雅黑"/>
                <w:color w:val="auto"/>
                <w:szCs w:val="21"/>
                <w:highlight w:val="none"/>
                <w:u w:val="single"/>
                <w:lang w:eastAsia="zh-CN"/>
              </w:rPr>
              <w:t>浙江中际工程项目管理有限公司（嘉兴市由拳路南湖大道口华隆广场1号楼1306室）</w:t>
            </w:r>
            <w:r>
              <w:rPr>
                <w:rFonts w:hint="eastAsia" w:ascii="微软雅黑" w:hAnsi="微软雅黑" w:eastAsia="微软雅黑" w:cs="微软雅黑"/>
                <w:color w:val="auto"/>
                <w:kern w:val="0"/>
                <w:szCs w:val="21"/>
                <w:highlight w:val="none"/>
              </w:rPr>
              <w:t>；</w:t>
            </w:r>
          </w:p>
        </w:tc>
      </w:tr>
      <w:tr w14:paraId="53A08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9A0E11E">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w:t>
            </w:r>
          </w:p>
        </w:tc>
        <w:tc>
          <w:tcPr>
            <w:tcW w:w="8350" w:type="dxa"/>
            <w:tcBorders>
              <w:top w:val="single" w:color="auto" w:sz="4" w:space="0"/>
              <w:left w:val="single" w:color="auto" w:sz="4" w:space="0"/>
              <w:bottom w:val="single" w:color="auto" w:sz="4" w:space="0"/>
              <w:right w:val="single" w:color="auto" w:sz="4" w:space="0"/>
            </w:tcBorders>
            <w:vAlign w:val="center"/>
          </w:tcPr>
          <w:p w14:paraId="4F6BAC66">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投标费用：</w:t>
            </w:r>
            <w:r>
              <w:rPr>
                <w:rFonts w:hint="eastAsia" w:ascii="微软雅黑" w:hAnsi="微软雅黑" w:eastAsia="微软雅黑"/>
                <w:color w:val="auto"/>
                <w:szCs w:val="21"/>
                <w:highlight w:val="none"/>
              </w:rPr>
              <w:t>中标单位支付招标代理服务费（收费标准详见招标文件）</w:t>
            </w:r>
            <w:r>
              <w:rPr>
                <w:rFonts w:hint="eastAsia" w:ascii="微软雅黑" w:hAnsi="微软雅黑" w:eastAsia="微软雅黑" w:cs="微软雅黑"/>
                <w:color w:val="auto"/>
                <w:szCs w:val="21"/>
                <w:highlight w:val="none"/>
              </w:rPr>
              <w:t>；</w:t>
            </w:r>
          </w:p>
        </w:tc>
      </w:tr>
      <w:tr w14:paraId="27976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1AF71B5A">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17</w:t>
            </w:r>
          </w:p>
        </w:tc>
        <w:tc>
          <w:tcPr>
            <w:tcW w:w="8350" w:type="dxa"/>
            <w:tcBorders>
              <w:top w:val="single" w:color="auto" w:sz="4" w:space="0"/>
              <w:left w:val="single" w:color="auto" w:sz="4" w:space="0"/>
              <w:bottom w:val="single" w:color="auto" w:sz="4" w:space="0"/>
              <w:right w:val="single" w:color="auto" w:sz="4" w:space="0"/>
            </w:tcBorders>
            <w:vAlign w:val="center"/>
          </w:tcPr>
          <w:p w14:paraId="067B0A31">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评标办法及评分标准：详见第四章</w:t>
            </w:r>
          </w:p>
        </w:tc>
      </w:tr>
      <w:tr w14:paraId="343C2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951B13D">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18</w:t>
            </w:r>
          </w:p>
        </w:tc>
        <w:tc>
          <w:tcPr>
            <w:tcW w:w="8350" w:type="dxa"/>
            <w:tcBorders>
              <w:top w:val="single" w:color="auto" w:sz="4" w:space="0"/>
              <w:left w:val="single" w:color="auto" w:sz="4" w:space="0"/>
              <w:bottom w:val="single" w:color="auto" w:sz="4" w:space="0"/>
              <w:right w:val="single" w:color="auto" w:sz="4" w:space="0"/>
            </w:tcBorders>
            <w:vAlign w:val="center"/>
          </w:tcPr>
          <w:p w14:paraId="230F5D26">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评标结果公告：评标结束后2天内，评标结果公告于浙江政府采购网(https://zfcg.czt.zj.gov.cn/)</w:t>
            </w:r>
          </w:p>
        </w:tc>
      </w:tr>
      <w:tr w14:paraId="04B6C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03EB065">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19</w:t>
            </w:r>
          </w:p>
        </w:tc>
        <w:tc>
          <w:tcPr>
            <w:tcW w:w="8350" w:type="dxa"/>
            <w:tcBorders>
              <w:top w:val="single" w:color="auto" w:sz="4" w:space="0"/>
              <w:left w:val="single" w:color="auto" w:sz="4" w:space="0"/>
              <w:bottom w:val="single" w:color="auto" w:sz="4" w:space="0"/>
              <w:right w:val="single" w:color="auto" w:sz="4" w:space="0"/>
            </w:tcBorders>
            <w:vAlign w:val="center"/>
          </w:tcPr>
          <w:p w14:paraId="175565E3">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中标公告：中标公告发布于上述媒体，公告1个工作日；</w:t>
            </w:r>
          </w:p>
        </w:tc>
      </w:tr>
      <w:tr w14:paraId="1A685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0F8F990">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20</w:t>
            </w:r>
          </w:p>
        </w:tc>
        <w:tc>
          <w:tcPr>
            <w:tcW w:w="8350" w:type="dxa"/>
            <w:tcBorders>
              <w:top w:val="single" w:color="auto" w:sz="4" w:space="0"/>
              <w:left w:val="single" w:color="auto" w:sz="4" w:space="0"/>
              <w:bottom w:val="single" w:color="auto" w:sz="4" w:space="0"/>
              <w:right w:val="single" w:color="auto" w:sz="4" w:space="0"/>
            </w:tcBorders>
            <w:vAlign w:val="center"/>
          </w:tcPr>
          <w:p w14:paraId="1E58792C">
            <w:pPr>
              <w:autoSpaceDE w:val="0"/>
              <w:autoSpaceDN w:val="0"/>
              <w:snapToGrid w:val="0"/>
              <w:spacing w:after="0" w:line="460" w:lineRule="exact"/>
              <w:textAlignment w:val="bottom"/>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履约保证金的收取及退还：</w:t>
            </w:r>
            <w:r>
              <w:rPr>
                <w:rFonts w:hint="eastAsia" w:ascii="微软雅黑" w:hAnsi="微软雅黑" w:eastAsia="微软雅黑" w:cs="微软雅黑"/>
                <w:color w:val="auto"/>
                <w:szCs w:val="21"/>
                <w:highlight w:val="none"/>
                <w:lang w:val="en-US" w:eastAsia="zh-CN"/>
              </w:rPr>
              <w:t>无</w:t>
            </w:r>
          </w:p>
        </w:tc>
      </w:tr>
      <w:tr w14:paraId="24AB7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26FE8DE1">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w:t>
            </w:r>
          </w:p>
        </w:tc>
        <w:tc>
          <w:tcPr>
            <w:tcW w:w="8350" w:type="dxa"/>
            <w:tcBorders>
              <w:top w:val="single" w:color="auto" w:sz="4" w:space="0"/>
              <w:left w:val="single" w:color="auto" w:sz="4" w:space="0"/>
              <w:bottom w:val="single" w:color="auto" w:sz="4" w:space="0"/>
              <w:right w:val="single" w:color="auto" w:sz="4" w:space="0"/>
            </w:tcBorders>
            <w:vAlign w:val="center"/>
          </w:tcPr>
          <w:p w14:paraId="5E48DC43">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签订合同时间：中标通知书发出后30日内。</w:t>
            </w:r>
          </w:p>
        </w:tc>
      </w:tr>
      <w:tr w14:paraId="3A8C3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89273C5">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w:t>
            </w:r>
          </w:p>
        </w:tc>
        <w:tc>
          <w:tcPr>
            <w:tcW w:w="8350" w:type="dxa"/>
            <w:tcBorders>
              <w:top w:val="single" w:color="auto" w:sz="4" w:space="0"/>
              <w:left w:val="single" w:color="auto" w:sz="4" w:space="0"/>
              <w:bottom w:val="single" w:color="auto" w:sz="4" w:space="0"/>
              <w:right w:val="single" w:color="auto" w:sz="4" w:space="0"/>
            </w:tcBorders>
            <w:vAlign w:val="center"/>
          </w:tcPr>
          <w:p w14:paraId="7B1BE44A">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竞争性磋商响应文件有效期：</w:t>
            </w:r>
            <w:r>
              <w:rPr>
                <w:rFonts w:hint="default" w:ascii="微软雅黑" w:hAnsi="微软雅黑" w:eastAsia="微软雅黑" w:cs="微软雅黑"/>
                <w:color w:val="auto"/>
                <w:szCs w:val="21"/>
                <w:highlight w:val="none"/>
              </w:rPr>
              <w:t>9</w:t>
            </w:r>
            <w:r>
              <w:rPr>
                <w:rFonts w:hint="eastAsia" w:ascii="微软雅黑" w:hAnsi="微软雅黑" w:eastAsia="微软雅黑" w:cs="微软雅黑"/>
                <w:color w:val="auto"/>
                <w:szCs w:val="21"/>
                <w:highlight w:val="none"/>
                <w:u w:val="single"/>
              </w:rPr>
              <w:t>0</w:t>
            </w:r>
            <w:r>
              <w:rPr>
                <w:rFonts w:hint="eastAsia" w:ascii="微软雅黑" w:hAnsi="微软雅黑" w:eastAsia="微软雅黑" w:cs="微软雅黑"/>
                <w:color w:val="auto"/>
                <w:szCs w:val="21"/>
                <w:highlight w:val="none"/>
              </w:rPr>
              <w:t>天</w:t>
            </w:r>
          </w:p>
        </w:tc>
      </w:tr>
      <w:tr w14:paraId="18B72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E4DF73E">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23</w:t>
            </w:r>
          </w:p>
        </w:tc>
        <w:tc>
          <w:tcPr>
            <w:tcW w:w="8350" w:type="dxa"/>
            <w:tcBorders>
              <w:top w:val="single" w:color="auto" w:sz="4" w:space="0"/>
              <w:left w:val="single" w:color="auto" w:sz="4" w:space="0"/>
              <w:bottom w:val="single" w:color="auto" w:sz="4" w:space="0"/>
              <w:right w:val="single" w:color="auto" w:sz="4" w:space="0"/>
            </w:tcBorders>
            <w:vAlign w:val="center"/>
          </w:tcPr>
          <w:p w14:paraId="61CA55F4">
            <w:pPr>
              <w:snapToGrid w:val="0"/>
              <w:spacing w:after="0" w:line="460" w:lineRule="exact"/>
              <w:rPr>
                <w:rFonts w:hint="eastAsia" w:ascii="微软雅黑" w:hAnsi="微软雅黑" w:eastAsia="微软雅黑" w:cs="微软雅黑"/>
                <w:color w:val="auto"/>
                <w:kern w:val="0"/>
                <w:szCs w:val="21"/>
                <w:highlight w:val="none"/>
                <w:lang w:eastAsia="zh-CN"/>
              </w:rPr>
            </w:pPr>
            <w:r>
              <w:rPr>
                <w:rFonts w:hint="eastAsia" w:ascii="微软雅黑" w:hAnsi="微软雅黑" w:eastAsia="微软雅黑" w:cs="微软雅黑"/>
                <w:color w:val="auto"/>
                <w:kern w:val="0"/>
                <w:szCs w:val="21"/>
                <w:highlight w:val="none"/>
              </w:rPr>
              <w:t>网上注册：</w:t>
            </w:r>
          </w:p>
          <w:p w14:paraId="501389D0">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本项目不接受现场报名，须注册后进行网上报名。在浙江政府采购网进行供应商注册后完成报名；（详情请见第一章公告“七、报名及竞争性磋商文件的获取”）</w:t>
            </w:r>
          </w:p>
        </w:tc>
      </w:tr>
      <w:tr w14:paraId="20341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1930457">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24</w:t>
            </w:r>
          </w:p>
        </w:tc>
        <w:tc>
          <w:tcPr>
            <w:tcW w:w="8350" w:type="dxa"/>
            <w:tcBorders>
              <w:top w:val="single" w:color="auto" w:sz="4" w:space="0"/>
              <w:left w:val="single" w:color="auto" w:sz="4" w:space="0"/>
              <w:bottom w:val="single" w:color="auto" w:sz="4" w:space="0"/>
              <w:right w:val="single" w:color="auto" w:sz="4" w:space="0"/>
            </w:tcBorders>
            <w:vAlign w:val="center"/>
          </w:tcPr>
          <w:p w14:paraId="02E78A0F">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注：根据财库（[2015] 124号）采用竞争性磋商采购方式采购的政府购买服务项目（含政府和社会资本合作项目），在采购过程中符合要求的供应商（社会资本）只有2家的，竞争性磋商采购活动可以继续进行。</w:t>
            </w:r>
          </w:p>
        </w:tc>
      </w:tr>
      <w:tr w14:paraId="4AC4B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3B5881C">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25</w:t>
            </w:r>
          </w:p>
        </w:tc>
        <w:tc>
          <w:tcPr>
            <w:tcW w:w="8350" w:type="dxa"/>
            <w:tcBorders>
              <w:top w:val="single" w:color="auto" w:sz="4" w:space="0"/>
              <w:left w:val="single" w:color="auto" w:sz="4" w:space="0"/>
              <w:bottom w:val="single" w:color="auto" w:sz="4" w:space="0"/>
              <w:right w:val="single" w:color="auto" w:sz="4" w:space="0"/>
            </w:tcBorders>
            <w:vAlign w:val="center"/>
          </w:tcPr>
          <w:p w14:paraId="05EB1293">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解释：本竞争性磋商文件的解释权属于招标采购单位。</w:t>
            </w:r>
          </w:p>
        </w:tc>
      </w:tr>
    </w:tbl>
    <w:p w14:paraId="7723D82A">
      <w:pPr>
        <w:spacing w:after="0" w:line="500" w:lineRule="exact"/>
        <w:rPr>
          <w:rFonts w:ascii="微软雅黑" w:hAnsi="微软雅黑" w:eastAsia="微软雅黑" w:cs="微软雅黑"/>
          <w:color w:val="auto"/>
          <w:szCs w:val="21"/>
          <w:highlight w:val="none"/>
        </w:rPr>
      </w:pPr>
      <w:bookmarkStart w:id="16" w:name="_Toc192313101"/>
      <w:bookmarkStart w:id="17" w:name="_Toc493699292"/>
    </w:p>
    <w:p w14:paraId="1CA493DF">
      <w:pPr>
        <w:pStyle w:val="3"/>
        <w:spacing w:before="0" w:after="0" w:line="500" w:lineRule="exact"/>
        <w:rPr>
          <w:rFonts w:ascii="微软雅黑" w:hAnsi="微软雅黑" w:eastAsia="微软雅黑" w:cs="微软雅黑"/>
          <w:color w:val="auto"/>
          <w:sz w:val="21"/>
          <w:szCs w:val="21"/>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linePitch="312" w:charSpace="0"/>
        </w:sectPr>
      </w:pPr>
      <w:bookmarkStart w:id="18" w:name="_Toc100764195"/>
      <w:bookmarkStart w:id="19" w:name="_Toc89266798"/>
      <w:bookmarkStart w:id="20" w:name="_Toc40788010"/>
      <w:bookmarkStart w:id="21" w:name="_Toc53062672"/>
    </w:p>
    <w:p w14:paraId="68752400">
      <w:pPr>
        <w:pStyle w:val="3"/>
        <w:spacing w:before="0" w:after="0" w:line="5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 总则</w:t>
      </w:r>
      <w:bookmarkEnd w:id="16"/>
      <w:bookmarkEnd w:id="17"/>
      <w:bookmarkEnd w:id="18"/>
      <w:bookmarkEnd w:id="19"/>
      <w:bookmarkEnd w:id="20"/>
      <w:bookmarkEnd w:id="21"/>
    </w:p>
    <w:p w14:paraId="24235700">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2" w:name="_Toc448487530"/>
      <w:bookmarkStart w:id="23" w:name="_Toc493699293"/>
      <w:bookmarkStart w:id="24" w:name="_Toc40788011"/>
      <w:bookmarkStart w:id="25" w:name="_Toc177824872"/>
      <w:bookmarkStart w:id="26" w:name="_Toc89266799"/>
      <w:bookmarkStart w:id="27" w:name="_Toc493082109"/>
      <w:bookmarkStart w:id="28" w:name="_Toc177824939"/>
      <w:bookmarkStart w:id="29" w:name="_Toc53062673"/>
      <w:bookmarkStart w:id="30" w:name="_Toc177825120"/>
      <w:bookmarkStart w:id="31" w:name="_Toc177870537"/>
      <w:bookmarkStart w:id="32" w:name="_Toc487802088"/>
      <w:bookmarkStart w:id="33" w:name="_Toc437979771"/>
      <w:bookmarkStart w:id="34" w:name="_Toc192313102"/>
      <w:bookmarkStart w:id="35" w:name="_Toc487802019"/>
      <w:bookmarkStart w:id="36" w:name="_Toc487793381"/>
      <w:bookmarkStart w:id="37" w:name="_Toc100764196"/>
      <w:r>
        <w:rPr>
          <w:rFonts w:hint="eastAsia" w:ascii="微软雅黑" w:hAnsi="微软雅黑" w:eastAsia="微软雅黑" w:cs="微软雅黑"/>
          <w:b/>
          <w:color w:val="auto"/>
          <w:szCs w:val="21"/>
          <w:highlight w:val="none"/>
        </w:rPr>
        <w:t>1、适用范围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D46C772">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38" w:name="_Toc100764197"/>
      <w:bookmarkStart w:id="39" w:name="_Toc53062674"/>
      <w:bookmarkStart w:id="40" w:name="_Toc40788012"/>
      <w:bookmarkStart w:id="41" w:name="_Toc89266800"/>
      <w:r>
        <w:rPr>
          <w:rFonts w:hint="eastAsia" w:ascii="微软雅黑" w:hAnsi="微软雅黑" w:eastAsia="微软雅黑" w:cs="微软雅黑"/>
          <w:color w:val="auto"/>
          <w:szCs w:val="21"/>
          <w:highlight w:val="none"/>
        </w:rPr>
        <w:t>1.1、本磋商文件适用于本项目的磋商。</w:t>
      </w:r>
      <w:bookmarkEnd w:id="38"/>
      <w:bookmarkEnd w:id="39"/>
      <w:bookmarkEnd w:id="40"/>
      <w:bookmarkEnd w:id="41"/>
      <w:bookmarkStart w:id="42" w:name="_Toc487802020"/>
      <w:bookmarkStart w:id="43" w:name="_Toc487793382"/>
      <w:bookmarkStart w:id="44" w:name="_Toc487802089"/>
      <w:bookmarkStart w:id="45" w:name="_Toc177870538"/>
      <w:bookmarkStart w:id="46" w:name="_Toc177824873"/>
      <w:bookmarkStart w:id="47" w:name="_Toc437979772"/>
      <w:bookmarkStart w:id="48" w:name="_Toc177825121"/>
      <w:bookmarkStart w:id="49" w:name="_Toc448487531"/>
      <w:bookmarkStart w:id="50" w:name="_Toc493699294"/>
      <w:bookmarkStart w:id="51" w:name="_Toc177824940"/>
      <w:bookmarkStart w:id="52" w:name="_Toc192313103"/>
      <w:bookmarkStart w:id="53" w:name="_Toc493082110"/>
    </w:p>
    <w:p w14:paraId="6F3C54D5">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54" w:name="_Toc40788013"/>
      <w:bookmarkStart w:id="55" w:name="_Toc89266801"/>
      <w:bookmarkStart w:id="56" w:name="_Toc100764198"/>
      <w:bookmarkStart w:id="57" w:name="_Toc53062675"/>
      <w:r>
        <w:rPr>
          <w:rFonts w:hint="eastAsia" w:ascii="微软雅黑" w:hAnsi="微软雅黑" w:eastAsia="微软雅黑" w:cs="微软雅黑"/>
          <w:b/>
          <w:color w:val="auto"/>
          <w:szCs w:val="21"/>
          <w:highlight w:val="none"/>
        </w:rPr>
        <w:t>2、定义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B5ECC41">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58" w:name="_Toc89266802"/>
      <w:bookmarkStart w:id="59" w:name="_Toc40788014"/>
      <w:bookmarkStart w:id="60" w:name="_Toc100764199"/>
      <w:bookmarkStart w:id="61" w:name="_Toc53062676"/>
      <w:r>
        <w:rPr>
          <w:rFonts w:hint="eastAsia" w:ascii="微软雅黑" w:hAnsi="微软雅黑" w:eastAsia="微软雅黑" w:cs="微软雅黑"/>
          <w:color w:val="auto"/>
          <w:szCs w:val="21"/>
          <w:highlight w:val="none"/>
        </w:rPr>
        <w:t>2.1、“供应商”系指向代理机构提交磋商文件的供应商。</w:t>
      </w:r>
      <w:bookmarkEnd w:id="58"/>
      <w:bookmarkEnd w:id="59"/>
      <w:bookmarkEnd w:id="60"/>
      <w:bookmarkEnd w:id="61"/>
    </w:p>
    <w:p w14:paraId="446E8BAE">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62" w:name="_Toc40788015"/>
      <w:bookmarkStart w:id="63" w:name="_Toc100764200"/>
      <w:bookmarkStart w:id="64" w:name="_Toc53062677"/>
      <w:bookmarkStart w:id="65" w:name="_Toc89266803"/>
      <w:r>
        <w:rPr>
          <w:rFonts w:hint="eastAsia" w:ascii="微软雅黑" w:hAnsi="微软雅黑" w:eastAsia="微软雅黑" w:cs="微软雅黑"/>
          <w:color w:val="auto"/>
          <w:szCs w:val="21"/>
          <w:highlight w:val="none"/>
        </w:rPr>
        <w:t>2.2、“产品”系指供方按磋商文件规定，须向采购人提供的一切设备、保险、税金、备品备件、工具、手册及其它有关技术资料和材料。</w:t>
      </w:r>
      <w:bookmarkEnd w:id="62"/>
      <w:bookmarkEnd w:id="63"/>
      <w:bookmarkEnd w:id="64"/>
      <w:bookmarkEnd w:id="65"/>
    </w:p>
    <w:p w14:paraId="59DFD4D3">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66" w:name="_Toc100764201"/>
      <w:bookmarkStart w:id="67" w:name="_Toc40788016"/>
      <w:bookmarkStart w:id="68" w:name="_Toc89266804"/>
      <w:bookmarkStart w:id="69" w:name="_Toc53062678"/>
      <w:r>
        <w:rPr>
          <w:rFonts w:hint="eastAsia" w:ascii="微软雅黑" w:hAnsi="微软雅黑" w:eastAsia="微软雅黑" w:cs="微软雅黑"/>
          <w:color w:val="auto"/>
          <w:szCs w:val="21"/>
          <w:highlight w:val="none"/>
        </w:rPr>
        <w:t>2.3、“服务”系指磋商文件规定供应商须承担的安装、调试、技术协助、校准、培训、技术指导以及其他类似的义务。</w:t>
      </w:r>
      <w:bookmarkEnd w:id="66"/>
      <w:bookmarkEnd w:id="67"/>
      <w:bookmarkEnd w:id="68"/>
      <w:bookmarkEnd w:id="69"/>
    </w:p>
    <w:p w14:paraId="10C85CFA">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0" w:name="_Toc89266805"/>
      <w:bookmarkStart w:id="71" w:name="_Toc100764202"/>
      <w:bookmarkStart w:id="72" w:name="_Toc40788017"/>
      <w:bookmarkStart w:id="73" w:name="_Toc53062679"/>
      <w:r>
        <w:rPr>
          <w:rFonts w:hint="eastAsia" w:ascii="微软雅黑" w:hAnsi="微软雅黑" w:eastAsia="微软雅黑" w:cs="微软雅黑"/>
          <w:color w:val="auto"/>
          <w:szCs w:val="21"/>
          <w:highlight w:val="none"/>
        </w:rPr>
        <w:t>2.4、“项目”系指供应商按磋商文件规定向采购人提供的产品和服务。</w:t>
      </w:r>
      <w:bookmarkEnd w:id="70"/>
      <w:bookmarkEnd w:id="71"/>
      <w:bookmarkEnd w:id="72"/>
      <w:bookmarkEnd w:id="73"/>
    </w:p>
    <w:p w14:paraId="6756DE2A">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4" w:name="_Toc89266806"/>
      <w:bookmarkStart w:id="75" w:name="_Toc100764203"/>
      <w:bookmarkStart w:id="76" w:name="_Toc53062680"/>
      <w:bookmarkStart w:id="77" w:name="_Toc40788018"/>
      <w:r>
        <w:rPr>
          <w:rFonts w:hint="eastAsia" w:ascii="微软雅黑" w:hAnsi="微软雅黑" w:eastAsia="微软雅黑" w:cs="微软雅黑"/>
          <w:color w:val="auto"/>
          <w:szCs w:val="21"/>
          <w:highlight w:val="none"/>
        </w:rPr>
        <w:t>2.5、“书面形式”包括信函、传真、电报、电子文档等。</w:t>
      </w:r>
      <w:bookmarkEnd w:id="74"/>
      <w:bookmarkEnd w:id="75"/>
      <w:bookmarkEnd w:id="76"/>
      <w:bookmarkEnd w:id="77"/>
    </w:p>
    <w:p w14:paraId="21380124">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8" w:name="_Toc89266807"/>
      <w:bookmarkStart w:id="79" w:name="_Toc53062681"/>
      <w:bookmarkStart w:id="80" w:name="_Toc100764204"/>
      <w:bookmarkStart w:id="81" w:name="_Toc40788019"/>
      <w:r>
        <w:rPr>
          <w:rFonts w:hint="eastAsia" w:ascii="微软雅黑" w:hAnsi="微软雅黑" w:eastAsia="微软雅黑" w:cs="微软雅黑"/>
          <w:color w:val="auto"/>
          <w:szCs w:val="21"/>
          <w:highlight w:val="none"/>
        </w:rPr>
        <w:t>2.6、“▲”系指实质性要求条款。</w:t>
      </w:r>
      <w:bookmarkEnd w:id="78"/>
      <w:bookmarkEnd w:id="79"/>
      <w:bookmarkEnd w:id="80"/>
      <w:bookmarkEnd w:id="81"/>
      <w:bookmarkStart w:id="82" w:name="_Toc487802090"/>
      <w:bookmarkStart w:id="83" w:name="_Toc493082111"/>
      <w:bookmarkStart w:id="84" w:name="_Toc192313104"/>
      <w:bookmarkStart w:id="85" w:name="_Toc177870539"/>
      <w:bookmarkStart w:id="86" w:name="_Toc487793383"/>
      <w:bookmarkStart w:id="87" w:name="_Toc437979773"/>
      <w:bookmarkStart w:id="88" w:name="_Toc487802021"/>
      <w:bookmarkStart w:id="89" w:name="_Toc448487532"/>
      <w:bookmarkStart w:id="90" w:name="_Toc493699295"/>
    </w:p>
    <w:p w14:paraId="02B4DF70">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91" w:name="_Toc89266808"/>
      <w:bookmarkStart w:id="92" w:name="_Toc40788020"/>
      <w:bookmarkStart w:id="93" w:name="_Toc100764205"/>
      <w:bookmarkStart w:id="94" w:name="_Toc53062682"/>
      <w:r>
        <w:rPr>
          <w:rFonts w:hint="eastAsia" w:ascii="微软雅黑" w:hAnsi="微软雅黑" w:eastAsia="微软雅黑" w:cs="微软雅黑"/>
          <w:b/>
          <w:color w:val="auto"/>
          <w:szCs w:val="21"/>
          <w:highlight w:val="none"/>
        </w:rPr>
        <w:t>3、磋商方式</w:t>
      </w:r>
      <w:bookmarkEnd w:id="82"/>
      <w:bookmarkEnd w:id="83"/>
      <w:bookmarkEnd w:id="84"/>
      <w:bookmarkEnd w:id="85"/>
      <w:bookmarkEnd w:id="86"/>
      <w:bookmarkEnd w:id="87"/>
      <w:bookmarkEnd w:id="88"/>
      <w:bookmarkEnd w:id="89"/>
      <w:bookmarkEnd w:id="90"/>
      <w:bookmarkEnd w:id="91"/>
      <w:bookmarkEnd w:id="92"/>
      <w:bookmarkEnd w:id="93"/>
      <w:bookmarkEnd w:id="94"/>
    </w:p>
    <w:p w14:paraId="6BF2F2A6">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95" w:name="_Toc89266809"/>
      <w:bookmarkStart w:id="96" w:name="_Toc100764206"/>
      <w:bookmarkStart w:id="97" w:name="_Toc53062683"/>
      <w:bookmarkStart w:id="98" w:name="_Toc40788021"/>
      <w:r>
        <w:rPr>
          <w:rFonts w:hint="eastAsia" w:ascii="微软雅黑" w:hAnsi="微软雅黑" w:eastAsia="微软雅黑" w:cs="微软雅黑"/>
          <w:color w:val="auto"/>
          <w:szCs w:val="21"/>
          <w:highlight w:val="none"/>
        </w:rPr>
        <w:t>3.1、本次磋商采用竞争性磋商方式进行。</w:t>
      </w:r>
      <w:bookmarkEnd w:id="95"/>
      <w:bookmarkEnd w:id="96"/>
      <w:bookmarkEnd w:id="97"/>
      <w:bookmarkEnd w:id="98"/>
    </w:p>
    <w:p w14:paraId="329E9F8A">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99" w:name="_Toc100764207"/>
      <w:bookmarkStart w:id="100" w:name="_Toc53062684"/>
      <w:bookmarkStart w:id="101" w:name="_Toc40788022"/>
      <w:bookmarkStart w:id="102" w:name="_Toc89266810"/>
      <w:r>
        <w:rPr>
          <w:rFonts w:hint="eastAsia" w:ascii="微软雅黑" w:hAnsi="微软雅黑" w:eastAsia="微软雅黑" w:cs="微软雅黑"/>
          <w:color w:val="auto"/>
          <w:szCs w:val="21"/>
          <w:highlight w:val="none"/>
        </w:rPr>
        <w:t>3.2、本次磋商设定上限价详见招标文件。</w:t>
      </w:r>
      <w:bookmarkEnd w:id="99"/>
      <w:bookmarkEnd w:id="100"/>
      <w:bookmarkEnd w:id="101"/>
      <w:bookmarkEnd w:id="102"/>
      <w:bookmarkStart w:id="103" w:name="_Toc493699296"/>
      <w:bookmarkStart w:id="104" w:name="_Toc177870540"/>
      <w:bookmarkStart w:id="105" w:name="_Toc448487533"/>
      <w:bookmarkStart w:id="106" w:name="_Toc487793384"/>
      <w:bookmarkStart w:id="107" w:name="_Toc177825122"/>
      <w:bookmarkStart w:id="108" w:name="_Toc177824941"/>
      <w:bookmarkStart w:id="109" w:name="_Toc487802022"/>
      <w:bookmarkStart w:id="110" w:name="_Toc177824874"/>
      <w:bookmarkStart w:id="111" w:name="_Toc493082112"/>
      <w:bookmarkStart w:id="112" w:name="_Toc487802091"/>
      <w:bookmarkStart w:id="113" w:name="_Toc192313105"/>
      <w:bookmarkStart w:id="114" w:name="_Toc437979774"/>
    </w:p>
    <w:p w14:paraId="228F3703">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15" w:name="_Toc100764208"/>
      <w:bookmarkStart w:id="116" w:name="_Toc40788023"/>
      <w:bookmarkStart w:id="117" w:name="_Toc89266811"/>
      <w:bookmarkStart w:id="118" w:name="_Toc53062685"/>
      <w:r>
        <w:rPr>
          <w:rFonts w:hint="eastAsia" w:ascii="微软雅黑" w:hAnsi="微软雅黑" w:eastAsia="微软雅黑" w:cs="微软雅黑"/>
          <w:b/>
          <w:color w:val="auto"/>
          <w:szCs w:val="21"/>
          <w:highlight w:val="none"/>
        </w:rPr>
        <w:t>4、磋商委托</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19" w:name="_Toc40788024"/>
      <w:bookmarkStart w:id="120" w:name="_Toc53062686"/>
      <w:bookmarkStart w:id="121" w:name="_Toc89266812"/>
    </w:p>
    <w:p w14:paraId="41FF43BA">
      <w:pPr>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如供应商代表不是法定代表人，须有法定代表人出具的授权委托书。</w:t>
      </w:r>
      <w:bookmarkEnd w:id="119"/>
      <w:bookmarkEnd w:id="120"/>
      <w:bookmarkEnd w:id="121"/>
      <w:bookmarkStart w:id="122" w:name="_Toc493699297"/>
      <w:bookmarkStart w:id="123" w:name="_Toc177824875"/>
      <w:bookmarkStart w:id="124" w:name="_Toc487802023"/>
      <w:bookmarkStart w:id="125" w:name="_Toc192313106"/>
      <w:bookmarkStart w:id="126" w:name="_Toc493082113"/>
      <w:bookmarkStart w:id="127" w:name="_Toc177870541"/>
      <w:bookmarkStart w:id="128" w:name="_Toc487793385"/>
      <w:bookmarkStart w:id="129" w:name="_Toc177825123"/>
      <w:bookmarkStart w:id="130" w:name="_Toc487802092"/>
      <w:bookmarkStart w:id="131" w:name="_Toc177824942"/>
      <w:bookmarkStart w:id="132" w:name="_Toc437979775"/>
      <w:bookmarkStart w:id="133" w:name="_Toc448487534"/>
    </w:p>
    <w:p w14:paraId="6455DACF">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4" w:name="_Toc100764209"/>
      <w:bookmarkStart w:id="135" w:name="_Toc40788025"/>
      <w:bookmarkStart w:id="136" w:name="_Toc53062687"/>
      <w:bookmarkStart w:id="137" w:name="_Toc89266813"/>
      <w:r>
        <w:rPr>
          <w:rFonts w:hint="eastAsia" w:ascii="微软雅黑" w:hAnsi="微软雅黑" w:eastAsia="微软雅黑" w:cs="微软雅黑"/>
          <w:b/>
          <w:color w:val="auto"/>
          <w:szCs w:val="21"/>
          <w:highlight w:val="none"/>
        </w:rPr>
        <w:t>5、磋商费用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2C1D604">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不论磋商结果如何，供应商均应自行承担与磋商有关的全部费用。</w:t>
      </w:r>
    </w:p>
    <w:p w14:paraId="725435BC">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8" w:name="_Toc100764210"/>
      <w:r>
        <w:rPr>
          <w:rFonts w:hint="eastAsia" w:ascii="微软雅黑" w:hAnsi="微软雅黑" w:eastAsia="微软雅黑" w:cs="微软雅黑"/>
          <w:b/>
          <w:color w:val="auto"/>
          <w:szCs w:val="21"/>
          <w:highlight w:val="none"/>
        </w:rPr>
        <w:t>6、联合体参与磋商</w:t>
      </w:r>
      <w:bookmarkEnd w:id="138"/>
    </w:p>
    <w:p w14:paraId="52D6A548">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本项目不接受联合体参与磋商。</w:t>
      </w:r>
    </w:p>
    <w:p w14:paraId="40CC3F72">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9" w:name="_Toc100764211"/>
      <w:r>
        <w:rPr>
          <w:rFonts w:hint="eastAsia" w:ascii="微软雅黑" w:hAnsi="微软雅黑" w:eastAsia="微软雅黑" w:cs="微软雅黑"/>
          <w:b/>
          <w:color w:val="auto"/>
          <w:szCs w:val="21"/>
          <w:highlight w:val="none"/>
        </w:rPr>
        <w:t>7、关联企业参与磋商</w:t>
      </w:r>
      <w:bookmarkEnd w:id="139"/>
    </w:p>
    <w:p w14:paraId="257DDE40">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7.1、本磋商文件所称关联企业,是指存在“关联关系”的企业;“关联关系”的界定适用《中华人民共和国公司法》217条之规定。</w:t>
      </w:r>
    </w:p>
    <w:p w14:paraId="07A5A177">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7.2、▲关联企业中,法定代表人为同一个的两个及两个以上法人，母公司、全资子公司及其控股公司，都不得同时参加磋商;一经发现，将导致磋商响应同时被拒绝。</w:t>
      </w:r>
    </w:p>
    <w:p w14:paraId="5095A440">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7.3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评标委员会集体决定。</w:t>
      </w:r>
    </w:p>
    <w:p w14:paraId="0DE74E71">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40" w:name="_Toc100764212"/>
      <w:r>
        <w:rPr>
          <w:rFonts w:hint="eastAsia" w:ascii="微软雅黑" w:hAnsi="微软雅黑" w:eastAsia="微软雅黑" w:cs="微软雅黑"/>
          <w:b/>
          <w:color w:val="auto"/>
          <w:szCs w:val="21"/>
          <w:highlight w:val="none"/>
        </w:rPr>
        <w:t>8、转包与分包</w:t>
      </w:r>
      <w:bookmarkEnd w:id="140"/>
    </w:p>
    <w:p w14:paraId="326297AC">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8.1、本项目不允许转包。</w:t>
      </w:r>
    </w:p>
    <w:p w14:paraId="33B4255B">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8.2、本项目不可以分包。</w:t>
      </w:r>
      <w:bookmarkStart w:id="141" w:name="_Toc493082114"/>
      <w:bookmarkStart w:id="142" w:name="_Toc437979776"/>
      <w:bookmarkStart w:id="143" w:name="_Toc487802093"/>
      <w:bookmarkStart w:id="144" w:name="_Toc177870542"/>
      <w:bookmarkStart w:id="145" w:name="_Toc487793386"/>
      <w:bookmarkStart w:id="146" w:name="_Toc448487535"/>
      <w:bookmarkStart w:id="147" w:name="_Toc487802024"/>
      <w:bookmarkStart w:id="148" w:name="_Toc493699298"/>
      <w:bookmarkStart w:id="149" w:name="_Toc192313107"/>
    </w:p>
    <w:p w14:paraId="4A545A78">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50" w:name="_Toc100764213"/>
      <w:r>
        <w:rPr>
          <w:rFonts w:hint="eastAsia" w:ascii="微软雅黑" w:hAnsi="微软雅黑" w:eastAsia="微软雅黑" w:cs="微软雅黑"/>
          <w:b/>
          <w:color w:val="auto"/>
          <w:szCs w:val="21"/>
          <w:highlight w:val="none"/>
        </w:rPr>
        <w:t>9、特别说明：</w:t>
      </w:r>
      <w:bookmarkEnd w:id="141"/>
      <w:bookmarkEnd w:id="142"/>
      <w:bookmarkEnd w:id="143"/>
      <w:bookmarkEnd w:id="144"/>
      <w:bookmarkEnd w:id="145"/>
      <w:bookmarkEnd w:id="146"/>
      <w:bookmarkEnd w:id="147"/>
      <w:bookmarkEnd w:id="148"/>
      <w:bookmarkEnd w:id="149"/>
      <w:bookmarkEnd w:id="150"/>
    </w:p>
    <w:p w14:paraId="106508E8">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9.1、▲供应商磋商所使用的资格、信誉、荣誉、业绩与企业认证必须为本法人所拥有。</w:t>
      </w:r>
    </w:p>
    <w:p w14:paraId="24680D27">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9.2、▲供应商磋商不得含有任何虚假材料,否则作无效处理;成交后发现的, 成交供应商须依照《中华人民共和国消费者权益保护法》第49条之规定双倍赔偿采购人。民事上之赔偿不免除作假供应商之行政与刑事责任。</w:t>
      </w:r>
      <w:bookmarkStart w:id="151" w:name="_Toc177870543"/>
      <w:bookmarkStart w:id="152" w:name="_Toc487802025"/>
      <w:bookmarkStart w:id="153" w:name="_Toc448487536"/>
      <w:bookmarkStart w:id="154" w:name="_Toc493699299"/>
      <w:bookmarkStart w:id="155" w:name="_Toc437979777"/>
      <w:bookmarkStart w:id="156" w:name="_Toc487793387"/>
      <w:bookmarkStart w:id="157" w:name="_Toc487802094"/>
      <w:bookmarkStart w:id="158" w:name="_Toc192313108"/>
      <w:bookmarkStart w:id="159" w:name="_Toc493082115"/>
    </w:p>
    <w:p w14:paraId="3AEC965E">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0" w:name="_Toc100764214"/>
      <w:r>
        <w:rPr>
          <w:rFonts w:hint="eastAsia" w:ascii="微软雅黑" w:hAnsi="微软雅黑" w:eastAsia="微软雅黑" w:cs="微软雅黑"/>
          <w:b/>
          <w:color w:val="auto"/>
          <w:szCs w:val="21"/>
          <w:highlight w:val="none"/>
        </w:rPr>
        <w:t>10、质疑</w:t>
      </w:r>
      <w:bookmarkEnd w:id="151"/>
      <w:bookmarkEnd w:id="152"/>
      <w:bookmarkEnd w:id="153"/>
      <w:bookmarkEnd w:id="154"/>
      <w:bookmarkEnd w:id="155"/>
      <w:bookmarkEnd w:id="156"/>
      <w:bookmarkEnd w:id="157"/>
      <w:bookmarkEnd w:id="158"/>
      <w:bookmarkEnd w:id="159"/>
      <w:bookmarkEnd w:id="160"/>
    </w:p>
    <w:p w14:paraId="013B18BE">
      <w:pPr>
        <w:snapToGrid w:val="0"/>
        <w:spacing w:after="0" w:line="500" w:lineRule="exact"/>
        <w:ind w:firstLine="420" w:firstLineChars="2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10.1、供应商认为磋商文件、磋商过程和成交结果使自己的合法权益受到损害的，应当在知道或者应知其权益受到损害之日起七个工作日内，以书面形式向采购人、采购代理机构提出质疑。</w:t>
      </w:r>
    </w:p>
    <w:p w14:paraId="492732F4">
      <w:pPr>
        <w:snapToGrid w:val="0"/>
        <w:spacing w:after="0" w:line="500" w:lineRule="exact"/>
        <w:ind w:firstLine="420" w:firstLineChars="2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10.2、供应商认可代理机构在质疑答复程序中启用的调查和复评等程序，在该程序操作过程未明显违反法律禁止性规定时，不得提出疑义。</w:t>
      </w:r>
      <w:bookmarkStart w:id="161" w:name="_Toc487802095"/>
      <w:bookmarkStart w:id="162" w:name="_Toc192313109"/>
      <w:bookmarkStart w:id="163" w:name="_Toc493699300"/>
    </w:p>
    <w:p w14:paraId="652ED002">
      <w:pPr>
        <w:pStyle w:val="3"/>
        <w:spacing w:before="0" w:after="0" w:line="500" w:lineRule="exact"/>
        <w:rPr>
          <w:rFonts w:ascii="微软雅黑" w:hAnsi="微软雅黑" w:eastAsia="微软雅黑" w:cs="微软雅黑"/>
          <w:color w:val="auto"/>
          <w:sz w:val="21"/>
          <w:szCs w:val="21"/>
          <w:highlight w:val="none"/>
        </w:rPr>
      </w:pPr>
      <w:bookmarkStart w:id="164" w:name="_Toc100764215"/>
      <w:bookmarkStart w:id="165" w:name="_Toc89266814"/>
      <w:bookmarkStart w:id="166" w:name="_Toc53062688"/>
      <w:bookmarkStart w:id="167" w:name="_Toc40788026"/>
      <w:r>
        <w:rPr>
          <w:rFonts w:hint="eastAsia" w:ascii="微软雅黑" w:hAnsi="微软雅黑" w:eastAsia="微软雅黑" w:cs="微软雅黑"/>
          <w:color w:val="auto"/>
          <w:sz w:val="21"/>
          <w:szCs w:val="21"/>
          <w:highlight w:val="none"/>
        </w:rPr>
        <w:t>二 磋商文件</w:t>
      </w:r>
      <w:bookmarkEnd w:id="161"/>
      <w:bookmarkEnd w:id="162"/>
      <w:bookmarkEnd w:id="163"/>
      <w:bookmarkEnd w:id="164"/>
      <w:bookmarkEnd w:id="165"/>
      <w:bookmarkEnd w:id="166"/>
      <w:bookmarkEnd w:id="167"/>
    </w:p>
    <w:p w14:paraId="5E55600A">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8" w:name="_Toc100764216"/>
      <w:r>
        <w:rPr>
          <w:rFonts w:hint="eastAsia" w:ascii="微软雅黑" w:hAnsi="微软雅黑" w:eastAsia="微软雅黑" w:cs="微软雅黑"/>
          <w:b/>
          <w:color w:val="auto"/>
          <w:szCs w:val="21"/>
          <w:highlight w:val="none"/>
        </w:rPr>
        <w:t>1、磋商文件的构成</w:t>
      </w:r>
      <w:bookmarkEnd w:id="168"/>
    </w:p>
    <w:p w14:paraId="06B5FA3C">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1.1、磋商公告</w:t>
      </w:r>
    </w:p>
    <w:p w14:paraId="7D0403D7">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1.2、供应商须知</w:t>
      </w:r>
    </w:p>
    <w:p w14:paraId="4A5DD145">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1.3、磋商项目需求</w:t>
      </w:r>
    </w:p>
    <w:p w14:paraId="29B3085B">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1.4、评审办法及标准</w:t>
      </w:r>
    </w:p>
    <w:p w14:paraId="124374B9">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1.5、合同主要条款</w:t>
      </w:r>
    </w:p>
    <w:p w14:paraId="206D7B78">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1.6、磋商文件相关文件格式</w:t>
      </w:r>
    </w:p>
    <w:p w14:paraId="00085714">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9" w:name="_Toc100764217"/>
      <w:r>
        <w:rPr>
          <w:rFonts w:hint="eastAsia" w:ascii="微软雅黑" w:hAnsi="微软雅黑" w:eastAsia="微软雅黑" w:cs="微软雅黑"/>
          <w:b/>
          <w:color w:val="auto"/>
          <w:szCs w:val="21"/>
          <w:highlight w:val="none"/>
        </w:rPr>
        <w:t>2、存在的风险</w:t>
      </w:r>
      <w:bookmarkEnd w:id="169"/>
    </w:p>
    <w:p w14:paraId="1D216C7E">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供应商没有按照磋商文件要求提供全部资料，或者供应商没有对磋商文件在各方面都作出实质性响应是供应商的风险，并可能导致其磋商被拒绝。</w:t>
      </w:r>
    </w:p>
    <w:p w14:paraId="0493AE62">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70" w:name="_Toc100764218"/>
      <w:r>
        <w:rPr>
          <w:rFonts w:hint="eastAsia" w:ascii="微软雅黑" w:hAnsi="微软雅黑" w:eastAsia="微软雅黑" w:cs="微软雅黑"/>
          <w:b/>
          <w:color w:val="auto"/>
          <w:szCs w:val="21"/>
          <w:highlight w:val="none"/>
        </w:rPr>
        <w:t>3、磋商文件的澄清与修改</w:t>
      </w:r>
      <w:bookmarkEnd w:id="170"/>
    </w:p>
    <w:p w14:paraId="3829D4F6">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w:t>
      </w:r>
      <w:r>
        <w:rPr>
          <w:rFonts w:hint="eastAsia" w:ascii="微软雅黑" w:hAnsi="微软雅黑" w:eastAsia="微软雅黑" w:cs="微软雅黑"/>
          <w:bCs/>
          <w:color w:val="auto"/>
          <w:szCs w:val="21"/>
          <w:highlight w:val="none"/>
        </w:rPr>
        <w:t>供应商应认真阅读本磋商文件，发现其中有误或有要求不合理的，供应商必须在在知道或者应当知道之日起三个工作日内以书面形式要求采购代理机构澄清，否则，由此产生的后果由供应商负责</w:t>
      </w:r>
      <w:r>
        <w:rPr>
          <w:rFonts w:hint="eastAsia" w:ascii="微软雅黑" w:hAnsi="微软雅黑" w:eastAsia="微软雅黑" w:cs="微软雅黑"/>
          <w:color w:val="auto"/>
          <w:szCs w:val="21"/>
          <w:highlight w:val="none"/>
        </w:rPr>
        <w:t>。</w:t>
      </w:r>
    </w:p>
    <w:p w14:paraId="4D242CAC">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3.2、采购代理机构对已发出的磋商文件进行必要澄清或者修改的，应当在财政部门指定的政府采购信息发布媒体上发布更正公告。该澄清或者修改的内容为磋商文件的组成部分。</w:t>
      </w:r>
    </w:p>
    <w:p w14:paraId="5503142F">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3.3、采购代理机构和采购单位可以视采购具体情况，延长提交磋商文件的截止时间和磋商时间，但至少应当在磋商文件要求提交磋商文件的截止时间三日前，在财政部门指定的政府采购信息发布媒体上发布变更公告。</w:t>
      </w:r>
    </w:p>
    <w:p w14:paraId="74A80F21">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3.4、磋商文件的澄清或者修改都应该通过本代理机构以法定形式发布，采购人非通过本机构，不得擅自澄清或者修改磋商文件。</w:t>
      </w:r>
      <w:bookmarkStart w:id="171" w:name="_Toc493699301"/>
      <w:bookmarkStart w:id="172" w:name="_Toc192313110"/>
    </w:p>
    <w:p w14:paraId="623E38E2">
      <w:pPr>
        <w:pStyle w:val="3"/>
        <w:spacing w:before="0" w:after="0" w:line="500" w:lineRule="exact"/>
        <w:rPr>
          <w:rFonts w:ascii="微软雅黑" w:hAnsi="微软雅黑" w:eastAsia="微软雅黑" w:cs="微软雅黑"/>
          <w:color w:val="auto"/>
          <w:sz w:val="21"/>
          <w:szCs w:val="21"/>
          <w:highlight w:val="none"/>
        </w:rPr>
      </w:pPr>
      <w:bookmarkStart w:id="173" w:name="_Toc89266815"/>
      <w:bookmarkStart w:id="174" w:name="_Toc40788027"/>
      <w:bookmarkStart w:id="175" w:name="_Toc100764219"/>
      <w:bookmarkStart w:id="176" w:name="_Toc53062689"/>
      <w:r>
        <w:rPr>
          <w:rFonts w:hint="eastAsia" w:ascii="微软雅黑" w:hAnsi="微软雅黑" w:eastAsia="微软雅黑" w:cs="微软雅黑"/>
          <w:color w:val="auto"/>
          <w:sz w:val="21"/>
          <w:szCs w:val="21"/>
          <w:highlight w:val="none"/>
        </w:rPr>
        <w:t>三 磋商响应文件的编制</w:t>
      </w:r>
      <w:bookmarkEnd w:id="171"/>
      <w:bookmarkEnd w:id="172"/>
      <w:bookmarkEnd w:id="173"/>
      <w:bookmarkEnd w:id="174"/>
      <w:bookmarkEnd w:id="175"/>
      <w:bookmarkEnd w:id="176"/>
    </w:p>
    <w:p w14:paraId="290880AB">
      <w:pPr>
        <w:spacing w:after="0" w:line="500" w:lineRule="exact"/>
        <w:rPr>
          <w:rFonts w:ascii="微软雅黑" w:hAnsi="微软雅黑" w:eastAsia="微软雅黑" w:cs="微软雅黑"/>
          <w:b/>
          <w:color w:val="auto"/>
          <w:szCs w:val="21"/>
          <w:highlight w:val="none"/>
        </w:rPr>
      </w:pPr>
      <w:bookmarkStart w:id="177" w:name="_Toc89266816"/>
      <w:bookmarkStart w:id="178" w:name="_Toc53062690"/>
      <w:bookmarkStart w:id="179" w:name="_Toc40788028"/>
      <w:r>
        <w:rPr>
          <w:rFonts w:hint="eastAsia" w:ascii="微软雅黑" w:hAnsi="微软雅黑" w:eastAsia="微软雅黑" w:cs="微软雅黑"/>
          <w:b/>
          <w:color w:val="auto"/>
          <w:szCs w:val="21"/>
          <w:highlight w:val="none"/>
        </w:rPr>
        <w:t xml:space="preserve">   本项目所涉竞争性磋商响应文件格式请详见第六章，未给出的格式请自拟。</w:t>
      </w:r>
      <w:bookmarkEnd w:id="177"/>
      <w:bookmarkEnd w:id="178"/>
      <w:bookmarkEnd w:id="179"/>
    </w:p>
    <w:p w14:paraId="03B1CA67">
      <w:pPr>
        <w:pStyle w:val="29"/>
        <w:snapToGrid w:val="0"/>
        <w:spacing w:after="0" w:line="500" w:lineRule="exact"/>
        <w:ind w:firstLine="412" w:firstLineChars="196"/>
        <w:outlineLvl w:val="1"/>
        <w:rPr>
          <w:rFonts w:ascii="微软雅黑" w:hAnsi="微软雅黑" w:eastAsia="微软雅黑" w:cs="微软雅黑"/>
          <w:b/>
          <w:color w:val="auto"/>
          <w:szCs w:val="21"/>
          <w:highlight w:val="none"/>
        </w:rPr>
      </w:pPr>
      <w:bookmarkStart w:id="180" w:name="_Toc100764220"/>
      <w:bookmarkStart w:id="181" w:name="_Toc89266817"/>
      <w:bookmarkStart w:id="182" w:name="_Toc40788029"/>
      <w:bookmarkStart w:id="183" w:name="_Toc53062691"/>
      <w:bookmarkStart w:id="184" w:name="_Toc33535357"/>
      <w:r>
        <w:rPr>
          <w:rFonts w:hint="eastAsia" w:ascii="微软雅黑" w:hAnsi="微软雅黑" w:eastAsia="微软雅黑" w:cs="微软雅黑"/>
          <w:b/>
          <w:color w:val="auto"/>
          <w:szCs w:val="21"/>
          <w:highlight w:val="none"/>
        </w:rPr>
        <w:t>（一）、总体要求：</w:t>
      </w:r>
      <w:bookmarkEnd w:id="180"/>
      <w:bookmarkEnd w:id="181"/>
      <w:bookmarkEnd w:id="182"/>
      <w:bookmarkEnd w:id="183"/>
      <w:bookmarkEnd w:id="184"/>
    </w:p>
    <w:p w14:paraId="68880B77">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供应商应仔细阅读竞争性磋商文件的所有内容，按本文件的要求提供竞争性磋商响应文件，并保证所提供的全部资料的真实性，以使其竞争性磋商响应文件对竞争性磋商文件作出实质性响应，否则，竞争性磋商响应文件可能视为无效竞争性磋商响应文件。</w:t>
      </w:r>
    </w:p>
    <w:p w14:paraId="7B344D1B">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1.2、竞争性磋商响应文件及供应商与采购有关的来往通知，函件和文件均应使用中文。</w:t>
      </w:r>
    </w:p>
    <w:p w14:paraId="3490F336">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1.3、供应商应按本文件中提供的文件格式、内容和要求制作竞争性磋商响应文件。</w:t>
      </w:r>
    </w:p>
    <w:p w14:paraId="6F1B3B74">
      <w:pPr>
        <w:spacing w:after="0" w:line="500" w:lineRule="exact"/>
        <w:ind w:firstLine="405"/>
        <w:jc w:val="left"/>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1.4、竞争性磋商响应文件的效力：竞争性磋商响应文件的启用，按先后顺位分别为电子竞争性磋商响应文件、电子</w:t>
      </w:r>
      <w:r>
        <w:rPr>
          <w:rFonts w:hint="eastAsia" w:ascii="微软雅黑" w:hAnsi="微软雅黑" w:eastAsia="微软雅黑" w:cs="微软雅黑"/>
          <w:bCs/>
          <w:color w:val="auto"/>
          <w:szCs w:val="21"/>
          <w:highlight w:val="none"/>
        </w:rPr>
        <w:t>备份竞争性磋商响应文件</w:t>
      </w: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bCs/>
          <w:color w:val="auto"/>
          <w:szCs w:val="21"/>
          <w:highlight w:val="none"/>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bookmarkStart w:id="185" w:name="_Toc493699302"/>
      <w:bookmarkStart w:id="186" w:name="_Toc177825124"/>
      <w:bookmarkStart w:id="187" w:name="_Toc177870546"/>
      <w:bookmarkStart w:id="188" w:name="_Toc493082118"/>
      <w:bookmarkStart w:id="189" w:name="_Toc448487539"/>
      <w:bookmarkStart w:id="190" w:name="_Toc177824876"/>
      <w:bookmarkStart w:id="191" w:name="_Toc177824943"/>
      <w:bookmarkStart w:id="192" w:name="_Toc192313111"/>
      <w:bookmarkStart w:id="193" w:name="_Toc437979780"/>
    </w:p>
    <w:p w14:paraId="01830B90">
      <w:pPr>
        <w:pStyle w:val="29"/>
        <w:snapToGrid w:val="0"/>
        <w:spacing w:after="0" w:line="500" w:lineRule="exact"/>
        <w:ind w:firstLine="412" w:firstLineChars="196"/>
        <w:outlineLvl w:val="1"/>
        <w:rPr>
          <w:rFonts w:ascii="微软雅黑" w:hAnsi="微软雅黑" w:eastAsia="微软雅黑" w:cs="微软雅黑"/>
          <w:b/>
          <w:color w:val="auto"/>
          <w:szCs w:val="21"/>
          <w:highlight w:val="none"/>
        </w:rPr>
      </w:pPr>
      <w:bookmarkStart w:id="194" w:name="_Toc100764221"/>
      <w:r>
        <w:rPr>
          <w:rFonts w:hint="eastAsia" w:ascii="微软雅黑" w:hAnsi="微软雅黑" w:eastAsia="微软雅黑" w:cs="微软雅黑"/>
          <w:b/>
          <w:color w:val="auto"/>
          <w:szCs w:val="21"/>
          <w:highlight w:val="none"/>
        </w:rPr>
        <w:t>（二）、磋商响应文件的组成</w:t>
      </w:r>
      <w:bookmarkEnd w:id="185"/>
      <w:bookmarkEnd w:id="186"/>
      <w:bookmarkEnd w:id="187"/>
      <w:bookmarkEnd w:id="188"/>
      <w:bookmarkEnd w:id="189"/>
      <w:bookmarkEnd w:id="190"/>
      <w:bookmarkEnd w:id="191"/>
      <w:bookmarkEnd w:id="192"/>
      <w:bookmarkEnd w:id="193"/>
      <w:bookmarkEnd w:id="194"/>
      <w:bookmarkStart w:id="195" w:name="_Toc493511650"/>
    </w:p>
    <w:p w14:paraId="5159DFE3">
      <w:pPr>
        <w:spacing w:after="0" w:line="500" w:lineRule="exact"/>
        <w:ind w:firstLine="405"/>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包括电子竞争性磋商响应文件和电子备份竞争性磋商响应文件（选送），均由资格响应文件、商务技术文件、报价文件三部份组成。其中电子竞争性磋商响应文件中所须加盖公章部分均采用CA签章。</w:t>
      </w:r>
    </w:p>
    <w:p w14:paraId="38CC9CD3">
      <w:pPr>
        <w:numPr>
          <w:ilvl w:val="0"/>
          <w:numId w:val="21"/>
        </w:numPr>
        <w:spacing w:after="0" w:line="500" w:lineRule="exact"/>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资格响应文件：</w:t>
      </w:r>
    </w:p>
    <w:p w14:paraId="2306AF0B">
      <w:pPr>
        <w:pStyle w:val="127"/>
        <w:numPr>
          <w:ilvl w:val="1"/>
          <w:numId w:val="22"/>
        </w:numPr>
        <w:snapToGrid w:val="0"/>
        <w:spacing w:after="0" w:line="500" w:lineRule="exact"/>
        <w:ind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具有独立承担民事责任的能力（供应商营业执照副本复印件）；</w:t>
      </w:r>
    </w:p>
    <w:p w14:paraId="7AAF3BC2">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有良好的商业信誉和健全的财务会计制度【供应商最近一年中任意一个月的财务报表或上年度财务报告（截止本项目投标截止日前2个月内新注册的单位为则不需提供）】；</w:t>
      </w:r>
    </w:p>
    <w:p w14:paraId="619BD191">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具有履行合同所必需的设备和专业技术能力的承诺函（格式见附件））；</w:t>
      </w:r>
    </w:p>
    <w:p w14:paraId="4B54E1EC">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384362D6">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参加政府采购活动前三年，在经营活动中没有重大违法记录（承诺函（格式见附件））；</w:t>
      </w:r>
    </w:p>
    <w:p w14:paraId="352D3979">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4C0D948E">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法定代表人授权委托书；</w:t>
      </w:r>
    </w:p>
    <w:p w14:paraId="0091273B">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中小企业声明函、残疾人福利性单位声明函及其他符合政策性条件的承诺函或证明材料；</w:t>
      </w:r>
    </w:p>
    <w:p w14:paraId="0BC9379E">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特定资格要求证明材料</w:t>
      </w:r>
    </w:p>
    <w:p w14:paraId="0E7F0E6D">
      <w:pPr>
        <w:numPr>
          <w:ilvl w:val="0"/>
          <w:numId w:val="21"/>
        </w:numPr>
        <w:spacing w:after="0" w:line="500" w:lineRule="exact"/>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商务技术文件</w:t>
      </w:r>
    </w:p>
    <w:p w14:paraId="0C143BF9">
      <w:pPr>
        <w:pStyle w:val="127"/>
        <w:numPr>
          <w:ilvl w:val="0"/>
          <w:numId w:val="22"/>
        </w:numPr>
        <w:snapToGrid w:val="0"/>
        <w:spacing w:after="0" w:line="500" w:lineRule="exact"/>
        <w:ind w:firstLineChars="0"/>
        <w:rPr>
          <w:rFonts w:ascii="微软雅黑" w:hAnsi="微软雅黑" w:eastAsia="微软雅黑" w:cs="微软雅黑"/>
          <w:vanish/>
          <w:color w:val="auto"/>
          <w:highlight w:val="none"/>
        </w:rPr>
      </w:pPr>
    </w:p>
    <w:p w14:paraId="78C023BE">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▲磋商响应函；</w:t>
      </w:r>
    </w:p>
    <w:p w14:paraId="34C2DF57">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类似案例成功的业绩（合同复印件）；</w:t>
      </w:r>
    </w:p>
    <w:p w14:paraId="1F9F96FE">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与本项目实施相关的供应商各类资质证书、认证证书、许可证等（如信誉荣誉等。提供复印件）；</w:t>
      </w:r>
    </w:p>
    <w:p w14:paraId="385CA032">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供应商情况介绍；</w:t>
      </w:r>
    </w:p>
    <w:p w14:paraId="59B6CE29">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hint="eastAsia" w:ascii="微软雅黑" w:hAnsi="微软雅黑" w:eastAsia="微软雅黑" w:cs="微软雅黑"/>
          <w:color w:val="auto"/>
          <w:highlight w:val="none"/>
        </w:rPr>
        <w:t>商务响应表；</w:t>
      </w:r>
    </w:p>
    <w:p w14:paraId="477AB0D2">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技术</w:t>
      </w:r>
      <w:r>
        <w:rPr>
          <w:rFonts w:hint="eastAsia" w:ascii="微软雅黑" w:hAnsi="微软雅黑" w:eastAsia="微软雅黑"/>
          <w:color w:val="auto"/>
          <w:highlight w:val="none"/>
        </w:rPr>
        <w:t>规范偏离</w:t>
      </w:r>
      <w:r>
        <w:rPr>
          <w:rFonts w:ascii="微软雅黑" w:hAnsi="微软雅黑" w:eastAsia="微软雅黑"/>
          <w:color w:val="auto"/>
          <w:highlight w:val="none"/>
        </w:rPr>
        <w:t>表</w:t>
      </w:r>
      <w:r>
        <w:rPr>
          <w:rFonts w:hint="eastAsia" w:ascii="微软雅黑" w:hAnsi="微软雅黑" w:eastAsia="微软雅黑"/>
          <w:color w:val="auto"/>
          <w:highlight w:val="none"/>
        </w:rPr>
        <w:t>（格式见附件）</w:t>
      </w:r>
      <w:r>
        <w:rPr>
          <w:rFonts w:ascii="微软雅黑" w:hAnsi="微软雅黑" w:eastAsia="微软雅黑"/>
          <w:color w:val="auto"/>
          <w:highlight w:val="none"/>
        </w:rPr>
        <w:t>；</w:t>
      </w:r>
    </w:p>
    <w:p w14:paraId="5C186921">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hint="eastAsia" w:ascii="微软雅黑" w:hAnsi="微软雅黑" w:eastAsia="微软雅黑"/>
          <w:color w:val="auto"/>
          <w:highlight w:val="none"/>
        </w:rPr>
        <w:t>供应商截止投标时间前三年内的奖惩情况说明，格式自拟.</w:t>
      </w:r>
    </w:p>
    <w:p w14:paraId="28E70C79">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项目实施人员一览表</w:t>
      </w:r>
    </w:p>
    <w:p w14:paraId="44D5328B">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优惠条件：投标人承诺给予招标人的各种优惠条件，包括售后服务等方面的优惠；</w:t>
      </w:r>
    </w:p>
    <w:p w14:paraId="169ABC31">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技术服务、技术培训、售后服务的内容和措施；</w:t>
      </w:r>
    </w:p>
    <w:p w14:paraId="100D89DF">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投标人对本项目的合理化建议和改进措施；</w:t>
      </w:r>
    </w:p>
    <w:p w14:paraId="2806CF5C">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投标人需要说明的其他文件和说明（格式</w:t>
      </w:r>
      <w:r>
        <w:rPr>
          <w:rFonts w:hint="eastAsia" w:ascii="微软雅黑" w:hAnsi="微软雅黑" w:eastAsia="微软雅黑"/>
          <w:color w:val="auto"/>
          <w:highlight w:val="none"/>
        </w:rPr>
        <w:t>自拟</w:t>
      </w:r>
      <w:r>
        <w:rPr>
          <w:rFonts w:ascii="微软雅黑" w:hAnsi="微软雅黑" w:eastAsia="微软雅黑"/>
          <w:color w:val="auto"/>
          <w:highlight w:val="none"/>
        </w:rPr>
        <w:t>）。</w:t>
      </w:r>
    </w:p>
    <w:p w14:paraId="0A4EA7F8">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hint="eastAsia" w:ascii="微软雅黑" w:hAnsi="微软雅黑" w:eastAsia="微软雅黑"/>
          <w:color w:val="auto"/>
          <w:highlight w:val="none"/>
        </w:rPr>
        <w:t>未尽事宜请各供应商按评分细则制作技术部份。</w:t>
      </w:r>
    </w:p>
    <w:p w14:paraId="747129EE">
      <w:pPr>
        <w:numPr>
          <w:ilvl w:val="0"/>
          <w:numId w:val="21"/>
        </w:numPr>
        <w:spacing w:after="0" w:line="500" w:lineRule="exact"/>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投标报价文件：</w:t>
      </w:r>
    </w:p>
    <w:p w14:paraId="6CD2D2D0">
      <w:pPr>
        <w:pStyle w:val="127"/>
        <w:numPr>
          <w:ilvl w:val="0"/>
          <w:numId w:val="23"/>
        </w:numPr>
        <w:snapToGrid w:val="0"/>
        <w:spacing w:after="0" w:line="500" w:lineRule="exact"/>
        <w:ind w:firstLineChars="0"/>
        <w:rPr>
          <w:rFonts w:ascii="微软雅黑" w:hAnsi="微软雅黑" w:eastAsia="微软雅黑" w:cs="微软雅黑"/>
          <w:vanish/>
          <w:color w:val="auto"/>
          <w:highlight w:val="none"/>
        </w:rPr>
      </w:pPr>
    </w:p>
    <w:p w14:paraId="20A4F8F3">
      <w:pPr>
        <w:pStyle w:val="127"/>
        <w:numPr>
          <w:ilvl w:val="1"/>
          <w:numId w:val="23"/>
        </w:numPr>
        <w:snapToGrid w:val="0"/>
        <w:spacing w:after="0" w:line="500" w:lineRule="exact"/>
        <w:ind w:left="993"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▲报价一览表（初次报价）；</w:t>
      </w:r>
    </w:p>
    <w:p w14:paraId="178BB687">
      <w:pPr>
        <w:pStyle w:val="127"/>
        <w:numPr>
          <w:ilvl w:val="1"/>
          <w:numId w:val="23"/>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供应商针对报价需要说明的其他文件和说明。</w:t>
      </w:r>
      <w:bookmarkEnd w:id="195"/>
      <w:bookmarkStart w:id="196" w:name="_Toc177825125"/>
      <w:bookmarkStart w:id="197" w:name="_Toc437979781"/>
      <w:bookmarkStart w:id="198" w:name="_Toc448487540"/>
      <w:bookmarkStart w:id="199" w:name="_Toc177824944"/>
      <w:bookmarkStart w:id="200" w:name="_Toc493699303"/>
      <w:bookmarkStart w:id="201" w:name="_Toc192313112"/>
      <w:bookmarkStart w:id="202" w:name="_Toc177824877"/>
      <w:bookmarkStart w:id="203" w:name="_Toc493082119"/>
      <w:bookmarkStart w:id="204" w:name="_Toc177870547"/>
    </w:p>
    <w:p w14:paraId="7DE72C3C">
      <w:pPr>
        <w:pStyle w:val="29"/>
        <w:snapToGrid w:val="0"/>
        <w:spacing w:after="0" w:line="500" w:lineRule="exact"/>
        <w:ind w:firstLine="412" w:firstLineChars="196"/>
        <w:outlineLvl w:val="1"/>
        <w:rPr>
          <w:rFonts w:ascii="微软雅黑" w:hAnsi="微软雅黑" w:eastAsia="微软雅黑" w:cs="微软雅黑"/>
          <w:b/>
          <w:color w:val="auto"/>
          <w:szCs w:val="21"/>
          <w:highlight w:val="none"/>
        </w:rPr>
      </w:pPr>
      <w:bookmarkStart w:id="205" w:name="_Toc100764222"/>
      <w:r>
        <w:rPr>
          <w:rFonts w:hint="eastAsia" w:ascii="微软雅黑" w:hAnsi="微软雅黑" w:eastAsia="微软雅黑" w:cs="微软雅黑"/>
          <w:b/>
          <w:color w:val="auto"/>
          <w:szCs w:val="21"/>
          <w:highlight w:val="none"/>
        </w:rPr>
        <w:t>（三）、磋商响应文件的语言及计量</w:t>
      </w:r>
      <w:bookmarkEnd w:id="196"/>
      <w:bookmarkEnd w:id="197"/>
      <w:bookmarkEnd w:id="198"/>
      <w:bookmarkEnd w:id="199"/>
      <w:bookmarkEnd w:id="200"/>
      <w:bookmarkEnd w:id="201"/>
      <w:bookmarkEnd w:id="202"/>
      <w:bookmarkEnd w:id="203"/>
      <w:bookmarkEnd w:id="204"/>
      <w:bookmarkEnd w:id="205"/>
      <w:bookmarkStart w:id="206" w:name="_Toc40788030"/>
      <w:bookmarkStart w:id="207" w:name="_Toc53062692"/>
      <w:bookmarkStart w:id="208" w:name="_Toc89266818"/>
    </w:p>
    <w:p w14:paraId="225B637A">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3.1、▲磋商计量单位，除磋商文件中有特殊要求外，应采用中华人民共和国法定计量单位，货币单位：人民币元。</w:t>
      </w:r>
      <w:bookmarkEnd w:id="206"/>
      <w:bookmarkEnd w:id="207"/>
      <w:bookmarkEnd w:id="208"/>
      <w:bookmarkStart w:id="209" w:name="_Toc448487541"/>
      <w:bookmarkStart w:id="210" w:name="_Toc177870548"/>
      <w:bookmarkStart w:id="211" w:name="_Toc493082120"/>
      <w:bookmarkStart w:id="212" w:name="_Toc493699304"/>
      <w:bookmarkStart w:id="213" w:name="_Toc177824878"/>
      <w:bookmarkStart w:id="214" w:name="_Toc177824945"/>
      <w:bookmarkStart w:id="215" w:name="_Toc192313113"/>
      <w:bookmarkStart w:id="216" w:name="_Toc177825126"/>
      <w:bookmarkStart w:id="217" w:name="_Toc437979782"/>
    </w:p>
    <w:p w14:paraId="25D7F8DE">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18" w:name="_Toc100764223"/>
      <w:bookmarkStart w:id="219" w:name="_Toc89266819"/>
      <w:bookmarkStart w:id="220" w:name="_Toc53062693"/>
      <w:bookmarkStart w:id="221" w:name="_Toc40788031"/>
      <w:r>
        <w:rPr>
          <w:rFonts w:hint="eastAsia" w:ascii="微软雅黑" w:hAnsi="微软雅黑" w:eastAsia="微软雅黑" w:cs="微软雅黑"/>
          <w:b/>
          <w:color w:val="auto"/>
          <w:szCs w:val="21"/>
          <w:highlight w:val="none"/>
        </w:rPr>
        <w:t>（四）、磋商响应报价</w:t>
      </w:r>
      <w:bookmarkEnd w:id="209"/>
      <w:bookmarkEnd w:id="210"/>
      <w:bookmarkEnd w:id="211"/>
      <w:bookmarkEnd w:id="212"/>
      <w:bookmarkEnd w:id="213"/>
      <w:bookmarkEnd w:id="214"/>
      <w:bookmarkEnd w:id="215"/>
      <w:bookmarkEnd w:id="216"/>
      <w:bookmarkEnd w:id="217"/>
      <w:bookmarkEnd w:id="218"/>
      <w:bookmarkEnd w:id="219"/>
      <w:bookmarkEnd w:id="220"/>
      <w:bookmarkEnd w:id="221"/>
      <w:bookmarkStart w:id="222" w:name="_Toc89266820"/>
      <w:bookmarkStart w:id="223" w:name="_Toc40788032"/>
      <w:bookmarkStart w:id="224" w:name="_Toc53062694"/>
    </w:p>
    <w:p w14:paraId="628199BD">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4.1、磋商响应报价应按磋商文件中相关附表格式填写。</w:t>
      </w:r>
      <w:bookmarkEnd w:id="222"/>
      <w:bookmarkEnd w:id="223"/>
      <w:bookmarkEnd w:id="224"/>
      <w:bookmarkStart w:id="225" w:name="_Toc89266821"/>
      <w:bookmarkStart w:id="226" w:name="_Toc53062695"/>
      <w:bookmarkStart w:id="227" w:name="_Toc40788033"/>
    </w:p>
    <w:p w14:paraId="322AE552">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4.2、▲</w:t>
      </w:r>
      <w:bookmarkEnd w:id="225"/>
      <w:bookmarkEnd w:id="226"/>
      <w:bookmarkEnd w:id="227"/>
      <w:bookmarkStart w:id="228" w:name="_Toc40788034"/>
      <w:bookmarkStart w:id="229" w:name="_Toc53062696"/>
      <w:bookmarkStart w:id="230" w:name="_Toc89266822"/>
      <w:r>
        <w:rPr>
          <w:rFonts w:hint="eastAsia" w:ascii="微软雅黑" w:hAnsi="微软雅黑" w:eastAsia="微软雅黑"/>
          <w:color w:val="auto"/>
          <w:szCs w:val="21"/>
          <w:highlight w:val="none"/>
        </w:rPr>
        <w:t>报价应包括人工费用、设备、劳务、管理、材料、维护、利润、税金及政策性文件规定等各项应有费用， 以及为完成本项目所需要的全部费用</w:t>
      </w:r>
      <w:r>
        <w:rPr>
          <w:rFonts w:hint="eastAsia" w:ascii="微软雅黑" w:hAnsi="微软雅黑" w:eastAsia="微软雅黑" w:cs="微软雅黑"/>
          <w:color w:val="auto"/>
          <w:szCs w:val="21"/>
          <w:highlight w:val="none"/>
        </w:rPr>
        <w:t>。</w:t>
      </w:r>
    </w:p>
    <w:p w14:paraId="060256B4">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4.3、▲磋商响应报价只允许有一个报价，有选择的报价将不予接受。</w:t>
      </w:r>
      <w:bookmarkEnd w:id="228"/>
      <w:bookmarkEnd w:id="229"/>
      <w:bookmarkEnd w:id="230"/>
    </w:p>
    <w:p w14:paraId="012111B3">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31" w:name="_Toc89266823"/>
      <w:bookmarkStart w:id="232" w:name="_Toc53062697"/>
      <w:bookmarkStart w:id="233" w:name="_Toc40788035"/>
      <w:bookmarkStart w:id="234" w:name="_Toc100764224"/>
      <w:r>
        <w:rPr>
          <w:rFonts w:hint="eastAsia" w:ascii="微软雅黑" w:hAnsi="微软雅黑" w:eastAsia="微软雅黑" w:cs="微软雅黑"/>
          <w:b/>
          <w:color w:val="auto"/>
          <w:szCs w:val="21"/>
          <w:highlight w:val="none"/>
        </w:rPr>
        <w:t>（五）、磋商响应文件的有效期</w:t>
      </w:r>
      <w:bookmarkEnd w:id="231"/>
      <w:bookmarkEnd w:id="232"/>
      <w:bookmarkEnd w:id="233"/>
      <w:bookmarkEnd w:id="234"/>
    </w:p>
    <w:p w14:paraId="41C41FE3">
      <w:pPr>
        <w:spacing w:after="0" w:line="500" w:lineRule="exact"/>
        <w:ind w:firstLine="424" w:firstLineChars="202"/>
        <w:rPr>
          <w:rFonts w:ascii="微软雅黑" w:hAnsi="微软雅黑" w:eastAsia="微软雅黑" w:cs="微软雅黑"/>
          <w:color w:val="auto"/>
          <w:szCs w:val="21"/>
          <w:highlight w:val="none"/>
        </w:rPr>
      </w:pPr>
      <w:bookmarkStart w:id="235" w:name="_Toc53062698"/>
      <w:bookmarkStart w:id="236" w:name="_Toc89266824"/>
      <w:bookmarkStart w:id="237" w:name="_Toc40788036"/>
      <w:r>
        <w:rPr>
          <w:rFonts w:hint="eastAsia" w:ascii="微软雅黑" w:hAnsi="微软雅黑" w:eastAsia="微软雅黑" w:cs="微软雅黑"/>
          <w:color w:val="auto"/>
          <w:szCs w:val="21"/>
          <w:highlight w:val="none"/>
        </w:rPr>
        <w:t>5.1、▲自磋商响应截止日起 60天磋商响应文件应保持有效。如采购人认为必要可延长，但至总计最长不超过90 天。有效期短于这个规定期限的磋商响应文件将被拒绝。</w:t>
      </w:r>
      <w:bookmarkEnd w:id="235"/>
      <w:bookmarkEnd w:id="236"/>
      <w:bookmarkEnd w:id="237"/>
    </w:p>
    <w:p w14:paraId="21DD8155">
      <w:pPr>
        <w:spacing w:after="0" w:line="500" w:lineRule="exact"/>
        <w:ind w:firstLine="424" w:firstLineChars="202"/>
        <w:rPr>
          <w:rFonts w:ascii="微软雅黑" w:hAnsi="微软雅黑" w:eastAsia="微软雅黑" w:cs="微软雅黑"/>
          <w:color w:val="auto"/>
          <w:szCs w:val="21"/>
          <w:highlight w:val="none"/>
        </w:rPr>
      </w:pPr>
      <w:bookmarkStart w:id="238" w:name="_Toc89266825"/>
      <w:bookmarkStart w:id="239" w:name="_Toc53062699"/>
      <w:bookmarkStart w:id="240" w:name="_Toc40788037"/>
      <w:r>
        <w:rPr>
          <w:rFonts w:hint="eastAsia" w:ascii="微软雅黑" w:hAnsi="微软雅黑" w:eastAsia="微软雅黑" w:cs="微软雅黑"/>
          <w:color w:val="auto"/>
          <w:szCs w:val="21"/>
          <w:highlight w:val="none"/>
        </w:rPr>
        <w:t>5.2、在特殊情况下，磋商人可与供应商协商延长磋商响应文件的有效期，这种要求和答复均以书面形式进行。</w:t>
      </w:r>
      <w:bookmarkEnd w:id="238"/>
      <w:bookmarkEnd w:id="239"/>
      <w:bookmarkEnd w:id="240"/>
      <w:bookmarkStart w:id="241" w:name="_Toc487793394"/>
      <w:bookmarkStart w:id="242" w:name="_Toc487802039"/>
      <w:bookmarkStart w:id="243" w:name="_Toc493082122"/>
      <w:bookmarkStart w:id="244" w:name="_Toc487802108"/>
      <w:bookmarkStart w:id="245" w:name="_Toc493699306"/>
      <w:bookmarkStart w:id="246" w:name="_Toc107820050"/>
      <w:bookmarkStart w:id="247" w:name="_Toc170792769"/>
    </w:p>
    <w:p w14:paraId="24CF3F5D">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48" w:name="_Toc40788038"/>
      <w:bookmarkStart w:id="249" w:name="_Toc53062700"/>
      <w:bookmarkStart w:id="250" w:name="_Toc89266826"/>
      <w:bookmarkStart w:id="251" w:name="_Toc100764225"/>
      <w:r>
        <w:rPr>
          <w:rFonts w:hint="eastAsia" w:ascii="微软雅黑" w:hAnsi="微软雅黑" w:eastAsia="微软雅黑" w:cs="微软雅黑"/>
          <w:b/>
          <w:color w:val="auto"/>
          <w:szCs w:val="21"/>
          <w:highlight w:val="none"/>
        </w:rPr>
        <w:t>（六）、下列情况，投标单位将由代理机构上报行政主管部门，接受行政主管部门的处罚：</w:t>
      </w:r>
      <w:bookmarkEnd w:id="241"/>
      <w:bookmarkEnd w:id="242"/>
      <w:bookmarkEnd w:id="243"/>
      <w:bookmarkEnd w:id="244"/>
      <w:bookmarkEnd w:id="245"/>
      <w:bookmarkEnd w:id="248"/>
      <w:bookmarkEnd w:id="249"/>
      <w:bookmarkEnd w:id="250"/>
      <w:bookmarkEnd w:id="251"/>
    </w:p>
    <w:p w14:paraId="558E7767">
      <w:pPr>
        <w:spacing w:after="0" w:line="500" w:lineRule="exact"/>
        <w:ind w:firstLine="424" w:firstLineChars="202"/>
        <w:rPr>
          <w:rFonts w:ascii="微软雅黑" w:hAnsi="微软雅黑" w:eastAsia="微软雅黑" w:cs="微软雅黑"/>
          <w:color w:val="auto"/>
          <w:szCs w:val="21"/>
          <w:highlight w:val="none"/>
        </w:rPr>
      </w:pPr>
      <w:bookmarkStart w:id="252" w:name="_Toc53062701"/>
      <w:bookmarkStart w:id="253" w:name="_Toc89266827"/>
      <w:bookmarkStart w:id="254" w:name="_Toc40788039"/>
      <w:r>
        <w:rPr>
          <w:rFonts w:hint="eastAsia" w:ascii="微软雅黑" w:hAnsi="微软雅黑" w:eastAsia="微软雅黑" w:cs="微软雅黑"/>
          <w:color w:val="auto"/>
          <w:szCs w:val="21"/>
          <w:highlight w:val="none"/>
        </w:rPr>
        <w:t>6.1、供应商在磋商响应文件有效期内撤回磋商响应文件的；</w:t>
      </w:r>
      <w:bookmarkEnd w:id="252"/>
      <w:bookmarkEnd w:id="253"/>
      <w:bookmarkEnd w:id="254"/>
    </w:p>
    <w:p w14:paraId="73E4D891">
      <w:pPr>
        <w:spacing w:after="0" w:line="500" w:lineRule="exact"/>
        <w:ind w:firstLine="424" w:firstLineChars="202"/>
        <w:rPr>
          <w:rFonts w:ascii="微软雅黑" w:hAnsi="微软雅黑" w:eastAsia="微软雅黑" w:cs="微软雅黑"/>
          <w:color w:val="auto"/>
          <w:szCs w:val="21"/>
          <w:highlight w:val="none"/>
        </w:rPr>
      </w:pPr>
      <w:bookmarkStart w:id="255" w:name="_Toc53062702"/>
      <w:bookmarkStart w:id="256" w:name="_Toc89266828"/>
      <w:bookmarkStart w:id="257" w:name="_Toc40788040"/>
      <w:r>
        <w:rPr>
          <w:rFonts w:hint="eastAsia" w:ascii="微软雅黑" w:hAnsi="微软雅黑" w:eastAsia="微软雅黑" w:cs="微软雅黑"/>
          <w:color w:val="auto"/>
          <w:szCs w:val="21"/>
          <w:highlight w:val="none"/>
        </w:rPr>
        <w:t>6.2、中标供应商未按规定的时间、地点与采购人签订合同的；</w:t>
      </w:r>
      <w:bookmarkEnd w:id="255"/>
      <w:bookmarkEnd w:id="256"/>
      <w:bookmarkEnd w:id="257"/>
    </w:p>
    <w:p w14:paraId="39562B89">
      <w:pPr>
        <w:spacing w:after="0" w:line="500" w:lineRule="exact"/>
        <w:ind w:firstLine="424" w:firstLineChars="202"/>
        <w:rPr>
          <w:rFonts w:ascii="微软雅黑" w:hAnsi="微软雅黑" w:eastAsia="微软雅黑" w:cs="微软雅黑"/>
          <w:color w:val="auto"/>
          <w:szCs w:val="21"/>
          <w:highlight w:val="none"/>
        </w:rPr>
      </w:pPr>
      <w:bookmarkStart w:id="258" w:name="_Toc40788041"/>
      <w:bookmarkStart w:id="259" w:name="_Toc89266829"/>
      <w:bookmarkStart w:id="260" w:name="_Toc53062703"/>
      <w:r>
        <w:rPr>
          <w:rFonts w:hint="eastAsia" w:ascii="微软雅黑" w:hAnsi="微软雅黑" w:eastAsia="微软雅黑" w:cs="微软雅黑"/>
          <w:color w:val="auto"/>
          <w:szCs w:val="21"/>
          <w:highlight w:val="none"/>
        </w:rPr>
        <w:t>6.3、供应商在磋商过程中弄虚作假，提供虚假材料；</w:t>
      </w:r>
      <w:bookmarkEnd w:id="258"/>
      <w:bookmarkEnd w:id="259"/>
      <w:bookmarkEnd w:id="260"/>
    </w:p>
    <w:p w14:paraId="555963D6">
      <w:pPr>
        <w:spacing w:after="0" w:line="500" w:lineRule="exact"/>
        <w:ind w:firstLine="424" w:firstLineChars="202"/>
        <w:rPr>
          <w:rFonts w:ascii="微软雅黑" w:hAnsi="微软雅黑" w:eastAsia="微软雅黑" w:cs="微软雅黑"/>
          <w:color w:val="auto"/>
          <w:szCs w:val="21"/>
          <w:highlight w:val="none"/>
        </w:rPr>
      </w:pPr>
      <w:bookmarkStart w:id="261" w:name="_Toc40788042"/>
      <w:bookmarkStart w:id="262" w:name="_Toc53062704"/>
      <w:bookmarkStart w:id="263" w:name="_Toc89266830"/>
      <w:r>
        <w:rPr>
          <w:rFonts w:hint="eastAsia" w:ascii="微软雅黑" w:hAnsi="微软雅黑" w:eastAsia="微软雅黑" w:cs="微软雅黑"/>
          <w:color w:val="auto"/>
          <w:szCs w:val="21"/>
          <w:highlight w:val="none"/>
        </w:rPr>
        <w:t>6.4、其他严重扰乱竞争性磋商程序的；</w:t>
      </w:r>
      <w:bookmarkEnd w:id="261"/>
      <w:bookmarkEnd w:id="262"/>
      <w:bookmarkEnd w:id="263"/>
      <w:bookmarkStart w:id="264" w:name="_Toc177825129"/>
      <w:bookmarkStart w:id="265" w:name="_Toc177870551"/>
      <w:bookmarkStart w:id="266" w:name="_Toc192313116"/>
      <w:bookmarkStart w:id="267" w:name="_Toc177824948"/>
      <w:bookmarkStart w:id="268" w:name="_Toc177824881"/>
    </w:p>
    <w:p w14:paraId="5CE524DC">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69" w:name="_Toc100764226"/>
      <w:bookmarkStart w:id="270" w:name="_Toc53062705"/>
      <w:bookmarkStart w:id="271" w:name="_Toc89266831"/>
      <w:bookmarkStart w:id="272" w:name="_Toc40788043"/>
      <w:r>
        <w:rPr>
          <w:rFonts w:hint="eastAsia" w:ascii="微软雅黑" w:hAnsi="微软雅黑" w:eastAsia="微软雅黑" w:cs="微软雅黑"/>
          <w:b/>
          <w:color w:val="auto"/>
          <w:szCs w:val="21"/>
          <w:highlight w:val="none"/>
        </w:rPr>
        <w:t>（七）、磋商响应文件的签署和份数</w:t>
      </w:r>
      <w:bookmarkEnd w:id="264"/>
      <w:bookmarkEnd w:id="265"/>
      <w:bookmarkEnd w:id="266"/>
      <w:bookmarkEnd w:id="267"/>
      <w:bookmarkEnd w:id="268"/>
      <w:bookmarkEnd w:id="269"/>
      <w:bookmarkEnd w:id="270"/>
      <w:bookmarkEnd w:id="271"/>
      <w:bookmarkEnd w:id="272"/>
      <w:bookmarkStart w:id="273" w:name="_Toc437979785"/>
      <w:bookmarkStart w:id="274" w:name="_Toc487802109"/>
      <w:bookmarkStart w:id="275" w:name="_Toc487802040"/>
      <w:bookmarkStart w:id="276" w:name="_Toc493699307"/>
      <w:bookmarkStart w:id="277" w:name="_Toc493082123"/>
      <w:bookmarkStart w:id="278" w:name="_Toc487793395"/>
      <w:bookmarkStart w:id="279" w:name="_Toc448487544"/>
      <w:bookmarkStart w:id="280" w:name="_Toc192313117"/>
      <w:bookmarkStart w:id="281" w:name="_Toc177870552"/>
    </w:p>
    <w:p w14:paraId="6EBA0C07">
      <w:pPr>
        <w:spacing w:after="0" w:line="500" w:lineRule="exact"/>
        <w:ind w:firstLine="424" w:firstLineChars="202"/>
        <w:rPr>
          <w:rFonts w:ascii="微软雅黑" w:hAnsi="微软雅黑" w:eastAsia="微软雅黑" w:cs="微软雅黑"/>
          <w:b/>
          <w:bCs/>
          <w:color w:val="auto"/>
          <w:szCs w:val="21"/>
          <w:highlight w:val="none"/>
        </w:rPr>
      </w:pPr>
      <w:bookmarkStart w:id="282" w:name="_Toc53062706"/>
      <w:bookmarkStart w:id="283" w:name="_Toc89266832"/>
      <w:bookmarkStart w:id="284" w:name="_Toc40788044"/>
      <w:r>
        <w:rPr>
          <w:rFonts w:hint="eastAsia" w:ascii="微软雅黑" w:hAnsi="微软雅黑" w:eastAsia="微软雅黑" w:cs="微软雅黑"/>
          <w:color w:val="auto"/>
          <w:szCs w:val="21"/>
          <w:highlight w:val="none"/>
        </w:rPr>
        <w:t>竞争性磋商响应文件的形式：</w:t>
      </w:r>
      <w:r>
        <w:rPr>
          <w:rFonts w:hint="eastAsia" w:ascii="微软雅黑" w:hAnsi="微软雅黑" w:eastAsia="微软雅黑" w:cs="微软雅黑"/>
          <w:b/>
          <w:bCs/>
          <w:color w:val="auto"/>
          <w:szCs w:val="21"/>
          <w:highlight w:val="none"/>
        </w:rPr>
        <w:t>☑电子竞争性磋商响应文件（包括“电子加密竞争性磋商响应文件”和“备份竞争性磋商响应文件”，在竞争性磋商响应文件编制完成后同时生成）；</w:t>
      </w:r>
      <w:bookmarkEnd w:id="282"/>
      <w:bookmarkEnd w:id="283"/>
      <w:bookmarkEnd w:id="284"/>
    </w:p>
    <w:p w14:paraId="6D4EFFEB">
      <w:pPr>
        <w:spacing w:after="0" w:line="500" w:lineRule="exact"/>
        <w:ind w:firstLine="424" w:firstLineChars="202"/>
        <w:rPr>
          <w:rFonts w:ascii="微软雅黑" w:hAnsi="微软雅黑" w:eastAsia="微软雅黑" w:cs="微软雅黑"/>
          <w:b/>
          <w:bCs/>
          <w:color w:val="auto"/>
          <w:szCs w:val="21"/>
          <w:highlight w:val="none"/>
        </w:rPr>
      </w:pPr>
      <w:bookmarkStart w:id="285" w:name="_Toc53062707"/>
      <w:bookmarkStart w:id="286" w:name="_Toc89266833"/>
      <w:bookmarkStart w:id="287" w:name="_Toc40788045"/>
      <w:r>
        <w:rPr>
          <w:rFonts w:hint="eastAsia" w:ascii="微软雅黑" w:hAnsi="微软雅黑" w:eastAsia="微软雅黑" w:cs="微软雅黑"/>
          <w:b/>
          <w:bCs/>
          <w:color w:val="auto"/>
          <w:szCs w:val="21"/>
          <w:highlight w:val="none"/>
        </w:rPr>
        <w:t>（1）“电子加密竞争性磋商响应文件”是指通过“政采云电子交易客户端”完成竞争性磋商响应文件编制后生成并加密的数据电文形式的竞争性磋商响应文件。</w:t>
      </w:r>
      <w:bookmarkEnd w:id="285"/>
      <w:bookmarkEnd w:id="286"/>
      <w:bookmarkEnd w:id="287"/>
    </w:p>
    <w:p w14:paraId="41B4D823">
      <w:pPr>
        <w:spacing w:after="0" w:line="500" w:lineRule="exact"/>
        <w:ind w:firstLine="424" w:firstLineChars="202"/>
        <w:rPr>
          <w:rFonts w:ascii="微软雅黑" w:hAnsi="微软雅黑" w:eastAsia="微软雅黑" w:cs="微软雅黑"/>
          <w:b/>
          <w:bCs/>
          <w:color w:val="auto"/>
          <w:szCs w:val="21"/>
          <w:highlight w:val="none"/>
        </w:rPr>
      </w:pPr>
      <w:bookmarkStart w:id="288" w:name="_Toc53062708"/>
      <w:bookmarkStart w:id="289" w:name="_Toc40788046"/>
      <w:bookmarkStart w:id="290" w:name="_Toc89266834"/>
      <w:r>
        <w:rPr>
          <w:rFonts w:hint="eastAsia" w:ascii="微软雅黑" w:hAnsi="微软雅黑" w:eastAsia="微软雅黑" w:cs="微软雅黑"/>
          <w:b/>
          <w:bCs/>
          <w:color w:val="auto"/>
          <w:szCs w:val="21"/>
          <w:highlight w:val="none"/>
        </w:rPr>
        <w:t>（2）“备份竞争性磋商响应文件”是指与“电子加密竞争性磋商响应文件”同时生成的数据电文形式的电子文件（备份标书），其他方式编制的备份竞争性磋商响应文件视为无效备份竞争性磋商响应文件。</w:t>
      </w:r>
      <w:bookmarkEnd w:id="288"/>
      <w:bookmarkEnd w:id="289"/>
      <w:bookmarkEnd w:id="290"/>
    </w:p>
    <w:p w14:paraId="31B275C8">
      <w:pPr>
        <w:snapToGrid w:val="0"/>
        <w:spacing w:after="0" w:line="500" w:lineRule="exact"/>
        <w:ind w:firstLine="420" w:firstLineChars="200"/>
        <w:jc w:val="left"/>
        <w:outlineLvl w:val="1"/>
        <w:rPr>
          <w:rFonts w:ascii="微软雅黑" w:hAnsi="微软雅黑" w:eastAsia="微软雅黑" w:cs="微软雅黑"/>
          <w:b/>
          <w:bCs/>
          <w:color w:val="auto"/>
          <w:szCs w:val="21"/>
          <w:highlight w:val="none"/>
        </w:rPr>
      </w:pPr>
      <w:bookmarkStart w:id="291" w:name="_Toc89266835"/>
      <w:bookmarkStart w:id="292" w:name="_Toc53062709"/>
      <w:bookmarkStart w:id="293" w:name="_Toc40788047"/>
      <w:bookmarkStart w:id="294" w:name="_Toc100764227"/>
      <w:r>
        <w:rPr>
          <w:rFonts w:hint="eastAsia" w:ascii="微软雅黑" w:hAnsi="微软雅黑" w:eastAsia="微软雅黑" w:cs="微软雅黑"/>
          <w:b/>
          <w:color w:val="auto"/>
          <w:szCs w:val="21"/>
          <w:highlight w:val="none"/>
        </w:rPr>
        <w:t>（八）、</w:t>
      </w:r>
      <w:r>
        <w:rPr>
          <w:rFonts w:hint="eastAsia" w:ascii="微软雅黑" w:hAnsi="微软雅黑" w:eastAsia="微软雅黑" w:cs="微软雅黑"/>
          <w:b/>
          <w:bCs/>
          <w:color w:val="auto"/>
          <w:szCs w:val="21"/>
          <w:highlight w:val="none"/>
        </w:rPr>
        <w:t>竞争性磋商响应文件的上传和递交：</w:t>
      </w:r>
      <w:bookmarkEnd w:id="291"/>
      <w:bookmarkEnd w:id="292"/>
      <w:bookmarkEnd w:id="293"/>
      <w:bookmarkEnd w:id="294"/>
    </w:p>
    <w:p w14:paraId="68C6DEC3">
      <w:pPr>
        <w:spacing w:after="0" w:line="500" w:lineRule="exact"/>
        <w:ind w:left="2" w:firstLine="424" w:firstLineChars="202"/>
        <w:rPr>
          <w:rFonts w:ascii="微软雅黑" w:hAnsi="微软雅黑" w:eastAsia="微软雅黑" w:cs="微软雅黑"/>
          <w:b/>
          <w:bCs/>
          <w:color w:val="auto"/>
          <w:szCs w:val="21"/>
          <w:highlight w:val="none"/>
        </w:rPr>
      </w:pPr>
      <w:bookmarkStart w:id="295" w:name="_Toc53062710"/>
      <w:bookmarkStart w:id="296" w:name="_Toc89266836"/>
      <w:bookmarkStart w:id="297" w:name="_Toc40788048"/>
      <w:r>
        <w:rPr>
          <w:rFonts w:hint="eastAsia" w:ascii="微软雅黑" w:hAnsi="微软雅黑" w:eastAsia="微软雅黑" w:cs="微软雅黑"/>
          <w:b/>
          <w:bCs/>
          <w:color w:val="auto"/>
          <w:szCs w:val="21"/>
          <w:highlight w:val="none"/>
        </w:rPr>
        <w:t>（1）“电子加密竞争性磋商响应文件”的上传、递交：</w:t>
      </w:r>
      <w:bookmarkEnd w:id="295"/>
      <w:bookmarkEnd w:id="296"/>
      <w:bookmarkEnd w:id="297"/>
    </w:p>
    <w:p w14:paraId="00AADC21">
      <w:pPr>
        <w:spacing w:after="0" w:line="500" w:lineRule="exact"/>
        <w:ind w:firstLine="424" w:firstLineChars="202"/>
        <w:rPr>
          <w:rFonts w:ascii="微软雅黑" w:hAnsi="微软雅黑" w:eastAsia="微软雅黑" w:cs="微软雅黑"/>
          <w:b/>
          <w:bCs/>
          <w:color w:val="auto"/>
          <w:szCs w:val="21"/>
          <w:highlight w:val="none"/>
        </w:rPr>
      </w:pPr>
      <w:bookmarkStart w:id="298" w:name="_Toc40788049"/>
      <w:bookmarkStart w:id="299" w:name="_Toc89266837"/>
      <w:bookmarkStart w:id="300" w:name="_Toc53062711"/>
      <w:r>
        <w:rPr>
          <w:rFonts w:hint="eastAsia" w:ascii="微软雅黑" w:hAnsi="微软雅黑" w:eastAsia="微软雅黑" w:cs="微软雅黑"/>
          <w:b/>
          <w:bCs/>
          <w:color w:val="auto"/>
          <w:szCs w:val="21"/>
          <w:highlight w:val="none"/>
        </w:rPr>
        <w:t>A、投标供应商应在投标截止时间前将“电子加密竞争性磋商响应文件”成功上传递交至“政府采购云平台”，否则投标无效。</w:t>
      </w:r>
      <w:bookmarkEnd w:id="298"/>
      <w:bookmarkEnd w:id="299"/>
      <w:bookmarkEnd w:id="300"/>
    </w:p>
    <w:p w14:paraId="0BBF6CD6">
      <w:pPr>
        <w:spacing w:after="0" w:line="500" w:lineRule="exact"/>
        <w:ind w:firstLine="424" w:firstLineChars="202"/>
        <w:rPr>
          <w:rFonts w:ascii="微软雅黑" w:hAnsi="微软雅黑" w:eastAsia="微软雅黑" w:cs="微软雅黑"/>
          <w:b/>
          <w:bCs/>
          <w:color w:val="auto"/>
          <w:szCs w:val="21"/>
          <w:highlight w:val="none"/>
        </w:rPr>
      </w:pPr>
      <w:bookmarkStart w:id="301" w:name="_Toc40788050"/>
      <w:bookmarkStart w:id="302" w:name="_Toc53062712"/>
      <w:bookmarkStart w:id="303" w:name="_Toc89266838"/>
      <w:r>
        <w:rPr>
          <w:rFonts w:hint="eastAsia" w:ascii="微软雅黑" w:hAnsi="微软雅黑" w:eastAsia="微软雅黑" w:cs="微软雅黑"/>
          <w:b/>
          <w:bCs/>
          <w:color w:val="auto"/>
          <w:szCs w:val="21"/>
          <w:highlight w:val="none"/>
        </w:rPr>
        <w:t>B、“电子加密竞争性磋商响应文件”成功上传递交后，供应商可自行打印竞争性磋商响应文件接收回执。</w:t>
      </w:r>
      <w:bookmarkEnd w:id="301"/>
      <w:bookmarkEnd w:id="302"/>
      <w:bookmarkEnd w:id="303"/>
    </w:p>
    <w:p w14:paraId="2DCDB192">
      <w:pPr>
        <w:spacing w:after="0" w:line="500" w:lineRule="exact"/>
        <w:ind w:firstLine="424" w:firstLineChars="202"/>
        <w:rPr>
          <w:rFonts w:ascii="微软雅黑" w:hAnsi="微软雅黑" w:eastAsia="微软雅黑" w:cs="微软雅黑"/>
          <w:b/>
          <w:bCs/>
          <w:color w:val="auto"/>
          <w:szCs w:val="21"/>
          <w:highlight w:val="none"/>
        </w:rPr>
      </w:pPr>
      <w:bookmarkStart w:id="304" w:name="_Toc53062713"/>
      <w:bookmarkStart w:id="305" w:name="_Toc89266839"/>
      <w:bookmarkStart w:id="306" w:name="_Toc40788051"/>
      <w:r>
        <w:rPr>
          <w:rFonts w:hint="eastAsia" w:ascii="微软雅黑" w:hAnsi="微软雅黑" w:eastAsia="微软雅黑" w:cs="微软雅黑"/>
          <w:b/>
          <w:bCs/>
          <w:color w:val="auto"/>
          <w:szCs w:val="21"/>
          <w:highlight w:val="none"/>
        </w:rPr>
        <w:t>（2）“备份竞争性磋商响应文件”的密封包装、递交：</w:t>
      </w:r>
      <w:bookmarkEnd w:id="304"/>
      <w:bookmarkEnd w:id="305"/>
      <w:bookmarkEnd w:id="306"/>
    </w:p>
    <w:p w14:paraId="03A88869">
      <w:pPr>
        <w:spacing w:after="0" w:line="500" w:lineRule="exact"/>
        <w:ind w:firstLine="424" w:firstLineChars="202"/>
        <w:rPr>
          <w:rFonts w:ascii="微软雅黑" w:hAnsi="微软雅黑" w:eastAsia="微软雅黑" w:cs="微软雅黑"/>
          <w:b/>
          <w:bCs/>
          <w:color w:val="auto"/>
          <w:szCs w:val="21"/>
          <w:highlight w:val="none"/>
        </w:rPr>
      </w:pPr>
      <w:bookmarkStart w:id="307" w:name="_Toc53062714"/>
      <w:bookmarkStart w:id="308" w:name="_Toc40788052"/>
      <w:bookmarkStart w:id="309" w:name="_Toc89266840"/>
      <w:r>
        <w:rPr>
          <w:rFonts w:hint="eastAsia" w:ascii="微软雅黑" w:hAnsi="微软雅黑" w:eastAsia="微软雅黑" w:cs="微软雅黑"/>
          <w:b/>
          <w:bCs/>
          <w:color w:val="auto"/>
          <w:szCs w:val="21"/>
          <w:highlight w:val="none"/>
        </w:rPr>
        <w:t>A、投标供应商在“政府采购云平台”完成“电子加密竞争性磋商响应文件”的上传递交后，还可以（邮寄形式）在投标截止时间前递交以介质（U盘）存储的“备份竞争性磋商响应文件”（一份）；</w:t>
      </w:r>
      <w:bookmarkEnd w:id="307"/>
      <w:bookmarkEnd w:id="308"/>
      <w:bookmarkEnd w:id="309"/>
    </w:p>
    <w:p w14:paraId="33C79BFA">
      <w:pPr>
        <w:spacing w:after="0" w:line="500" w:lineRule="exact"/>
        <w:ind w:firstLine="424" w:firstLineChars="202"/>
        <w:rPr>
          <w:rFonts w:ascii="微软雅黑" w:hAnsi="微软雅黑" w:eastAsia="微软雅黑" w:cs="微软雅黑"/>
          <w:b/>
          <w:bCs/>
          <w:color w:val="auto"/>
          <w:szCs w:val="21"/>
          <w:highlight w:val="none"/>
        </w:rPr>
      </w:pPr>
      <w:bookmarkStart w:id="310" w:name="_Toc40788053"/>
      <w:bookmarkStart w:id="311" w:name="_Toc89266841"/>
      <w:bookmarkStart w:id="312" w:name="_Toc53062715"/>
      <w:r>
        <w:rPr>
          <w:rFonts w:hint="eastAsia" w:ascii="微软雅黑" w:hAnsi="微软雅黑" w:eastAsia="微软雅黑" w:cs="微软雅黑"/>
          <w:b/>
          <w:bCs/>
          <w:color w:val="auto"/>
          <w:szCs w:val="21"/>
          <w:highlight w:val="none"/>
        </w:rPr>
        <w:t>B、“备份竞争性磋商响应文件”应当密封包装，并在包装上标注投标项目名称、投标单位名称并加盖公章。没有密封包装或者逾期邮寄送达至邮寄接收地点的“备份竞争性磋商响应文件”将不予接收；</w:t>
      </w:r>
      <w:bookmarkEnd w:id="310"/>
      <w:bookmarkEnd w:id="311"/>
      <w:bookmarkEnd w:id="312"/>
    </w:p>
    <w:p w14:paraId="34C28023">
      <w:pPr>
        <w:spacing w:after="0" w:line="500" w:lineRule="exact"/>
        <w:ind w:left="2" w:firstLine="424" w:firstLineChars="202"/>
        <w:rPr>
          <w:rFonts w:ascii="微软雅黑" w:hAnsi="微软雅黑" w:eastAsia="微软雅黑" w:cs="微软雅黑"/>
          <w:b/>
          <w:bCs/>
          <w:color w:val="auto"/>
          <w:szCs w:val="21"/>
          <w:highlight w:val="none"/>
        </w:rPr>
      </w:pPr>
      <w:bookmarkStart w:id="313" w:name="_Toc89266842"/>
      <w:bookmarkStart w:id="314" w:name="_Toc40788054"/>
      <w:bookmarkStart w:id="315" w:name="_Toc53062716"/>
      <w:r>
        <w:rPr>
          <w:rFonts w:hint="eastAsia" w:ascii="微软雅黑" w:hAnsi="微软雅黑" w:eastAsia="微软雅黑" w:cs="微软雅黑"/>
          <w:b/>
          <w:bCs/>
          <w:color w:val="auto"/>
          <w:szCs w:val="21"/>
          <w:highlight w:val="none"/>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3"/>
      <w:bookmarkEnd w:id="314"/>
      <w:bookmarkEnd w:id="315"/>
    </w:p>
    <w:p w14:paraId="3A9D3AAA">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316" w:name="_Toc89266843"/>
      <w:bookmarkStart w:id="317" w:name="_Toc100764228"/>
      <w:bookmarkStart w:id="318" w:name="_Toc40788055"/>
      <w:bookmarkStart w:id="319" w:name="_Toc53062717"/>
      <w:r>
        <w:rPr>
          <w:rFonts w:hint="eastAsia" w:ascii="微软雅黑" w:hAnsi="微软雅黑" w:eastAsia="微软雅黑" w:cs="微软雅黑"/>
          <w:b/>
          <w:color w:val="auto"/>
          <w:szCs w:val="21"/>
          <w:highlight w:val="none"/>
        </w:rPr>
        <w:t>（九）、无效响应文件条款：</w:t>
      </w:r>
      <w:bookmarkEnd w:id="273"/>
      <w:bookmarkEnd w:id="274"/>
      <w:bookmarkEnd w:id="275"/>
      <w:bookmarkEnd w:id="276"/>
      <w:bookmarkEnd w:id="277"/>
      <w:bookmarkEnd w:id="278"/>
      <w:bookmarkEnd w:id="279"/>
      <w:bookmarkEnd w:id="280"/>
      <w:bookmarkEnd w:id="281"/>
      <w:bookmarkEnd w:id="316"/>
      <w:bookmarkEnd w:id="317"/>
      <w:bookmarkEnd w:id="318"/>
      <w:bookmarkEnd w:id="319"/>
    </w:p>
    <w:p w14:paraId="1BD843E2">
      <w:pPr>
        <w:spacing w:after="0" w:line="500" w:lineRule="exact"/>
        <w:ind w:firstLine="424" w:firstLineChars="202"/>
        <w:rPr>
          <w:rFonts w:ascii="微软雅黑" w:hAnsi="微软雅黑" w:eastAsia="微软雅黑" w:cs="微软雅黑"/>
          <w:color w:val="auto"/>
          <w:szCs w:val="21"/>
          <w:highlight w:val="none"/>
        </w:rPr>
      </w:pPr>
      <w:bookmarkStart w:id="320" w:name="_Toc40788056"/>
      <w:bookmarkStart w:id="321" w:name="_Toc53062718"/>
      <w:bookmarkStart w:id="322" w:name="_Toc89266844"/>
      <w:r>
        <w:rPr>
          <w:rFonts w:hint="eastAsia" w:ascii="微软雅黑" w:hAnsi="微软雅黑" w:eastAsia="微软雅黑" w:cs="微软雅黑"/>
          <w:color w:val="auto"/>
          <w:szCs w:val="21"/>
          <w:highlight w:val="none"/>
        </w:rPr>
        <w:t>存在下列情况之一的,其磋商将响应文件被作无效文件处理:</w:t>
      </w:r>
      <w:bookmarkEnd w:id="320"/>
      <w:bookmarkEnd w:id="321"/>
      <w:bookmarkEnd w:id="322"/>
    </w:p>
    <w:p w14:paraId="3F77ACFD">
      <w:pPr>
        <w:spacing w:after="0" w:line="500" w:lineRule="exact"/>
        <w:ind w:firstLine="424" w:firstLineChars="202"/>
        <w:rPr>
          <w:rFonts w:ascii="微软雅黑" w:hAnsi="微软雅黑" w:eastAsia="微软雅黑" w:cs="微软雅黑"/>
          <w:color w:val="auto"/>
          <w:szCs w:val="21"/>
          <w:highlight w:val="none"/>
        </w:rPr>
      </w:pPr>
      <w:bookmarkStart w:id="323" w:name="_Toc40788057"/>
      <w:bookmarkStart w:id="324" w:name="_Toc89266845"/>
      <w:bookmarkStart w:id="325" w:name="_Toc53062719"/>
      <w:r>
        <w:rPr>
          <w:rFonts w:hint="eastAsia" w:ascii="微软雅黑" w:hAnsi="微软雅黑" w:eastAsia="微软雅黑" w:cs="微软雅黑"/>
          <w:color w:val="auto"/>
          <w:szCs w:val="21"/>
          <w:highlight w:val="none"/>
        </w:rPr>
        <w:t>9.1、超过截止时间送达的或未按规定地点送达的；</w:t>
      </w:r>
      <w:bookmarkEnd w:id="323"/>
      <w:bookmarkEnd w:id="324"/>
      <w:bookmarkEnd w:id="325"/>
    </w:p>
    <w:p w14:paraId="60380A09">
      <w:pPr>
        <w:spacing w:after="0" w:line="500" w:lineRule="exact"/>
        <w:ind w:firstLine="424" w:firstLineChars="202"/>
        <w:rPr>
          <w:rFonts w:ascii="微软雅黑" w:hAnsi="微软雅黑" w:eastAsia="微软雅黑" w:cs="微软雅黑"/>
          <w:color w:val="auto"/>
          <w:szCs w:val="21"/>
          <w:highlight w:val="none"/>
        </w:rPr>
      </w:pPr>
      <w:bookmarkStart w:id="326" w:name="_Toc89266846"/>
      <w:bookmarkStart w:id="327" w:name="_Toc40788058"/>
      <w:bookmarkStart w:id="328" w:name="_Toc53062720"/>
      <w:r>
        <w:rPr>
          <w:rFonts w:hint="eastAsia" w:ascii="微软雅黑" w:hAnsi="微软雅黑" w:eastAsia="微软雅黑" w:cs="微软雅黑"/>
          <w:color w:val="auto"/>
          <w:szCs w:val="21"/>
          <w:highlight w:val="none"/>
        </w:rPr>
        <w:t>9.2、未按规定密封、签章的；</w:t>
      </w:r>
      <w:bookmarkEnd w:id="326"/>
      <w:bookmarkEnd w:id="327"/>
      <w:bookmarkEnd w:id="328"/>
    </w:p>
    <w:p w14:paraId="358DF8AD">
      <w:pPr>
        <w:spacing w:after="0" w:line="500" w:lineRule="exact"/>
        <w:ind w:firstLine="424" w:firstLineChars="202"/>
        <w:rPr>
          <w:rFonts w:ascii="微软雅黑" w:hAnsi="微软雅黑" w:eastAsia="微软雅黑" w:cs="微软雅黑"/>
          <w:color w:val="auto"/>
          <w:szCs w:val="21"/>
          <w:highlight w:val="none"/>
        </w:rPr>
      </w:pPr>
      <w:bookmarkStart w:id="329" w:name="_Toc40788059"/>
      <w:bookmarkStart w:id="330" w:name="_Toc53062721"/>
      <w:bookmarkStart w:id="331" w:name="_Toc89266847"/>
      <w:r>
        <w:rPr>
          <w:rFonts w:hint="eastAsia" w:ascii="微软雅黑" w:hAnsi="微软雅黑" w:eastAsia="微软雅黑" w:cs="微软雅黑"/>
          <w:color w:val="auto"/>
          <w:szCs w:val="21"/>
          <w:highlight w:val="none"/>
        </w:rPr>
        <w:t>9.3、超出经营范围参加磋商的；</w:t>
      </w:r>
      <w:bookmarkEnd w:id="329"/>
      <w:bookmarkEnd w:id="330"/>
      <w:bookmarkEnd w:id="331"/>
    </w:p>
    <w:p w14:paraId="5B1B1E24">
      <w:pPr>
        <w:spacing w:after="0" w:line="500" w:lineRule="exact"/>
        <w:ind w:firstLine="424" w:firstLineChars="202"/>
        <w:rPr>
          <w:rFonts w:ascii="微软雅黑" w:hAnsi="微软雅黑" w:eastAsia="微软雅黑" w:cs="微软雅黑"/>
          <w:b/>
          <w:color w:val="auto"/>
          <w:szCs w:val="21"/>
          <w:highlight w:val="none"/>
        </w:rPr>
      </w:pPr>
      <w:bookmarkStart w:id="332" w:name="_Toc53062722"/>
      <w:bookmarkStart w:id="333" w:name="_Toc89266848"/>
      <w:bookmarkStart w:id="334" w:name="_Toc40788060"/>
      <w:r>
        <w:rPr>
          <w:rFonts w:hint="eastAsia" w:ascii="微软雅黑" w:hAnsi="微软雅黑" w:eastAsia="微软雅黑" w:cs="微软雅黑"/>
          <w:b/>
          <w:color w:val="auto"/>
          <w:szCs w:val="21"/>
          <w:highlight w:val="none"/>
        </w:rPr>
        <w:t>9.4、资格证明文件不全的；</w:t>
      </w:r>
      <w:bookmarkEnd w:id="332"/>
      <w:bookmarkEnd w:id="333"/>
      <w:bookmarkEnd w:id="334"/>
    </w:p>
    <w:p w14:paraId="262B0216">
      <w:pPr>
        <w:spacing w:after="0" w:line="500" w:lineRule="exact"/>
        <w:ind w:firstLine="424" w:firstLineChars="202"/>
        <w:rPr>
          <w:rFonts w:ascii="微软雅黑" w:hAnsi="微软雅黑" w:eastAsia="微软雅黑" w:cs="微软雅黑"/>
          <w:color w:val="auto"/>
          <w:szCs w:val="21"/>
          <w:highlight w:val="none"/>
        </w:rPr>
      </w:pPr>
      <w:bookmarkStart w:id="335" w:name="_Toc40788061"/>
      <w:bookmarkStart w:id="336" w:name="_Toc53062723"/>
      <w:bookmarkStart w:id="337" w:name="_Toc89266849"/>
      <w:r>
        <w:rPr>
          <w:rFonts w:hint="eastAsia" w:ascii="微软雅黑" w:hAnsi="微软雅黑" w:eastAsia="微软雅黑" w:cs="微软雅黑"/>
          <w:color w:val="auto"/>
          <w:szCs w:val="21"/>
          <w:highlight w:val="none"/>
        </w:rPr>
        <w:t>9.5、磋商响应文件无法定代表人签字,或无法定代表人有效授权委托书的; 或磋商代表人未能出具身份证明或与法定代表人授权委托人身份不符的；</w:t>
      </w:r>
      <w:bookmarkEnd w:id="335"/>
      <w:bookmarkEnd w:id="336"/>
      <w:bookmarkEnd w:id="337"/>
    </w:p>
    <w:p w14:paraId="4ACE4CA0">
      <w:pPr>
        <w:spacing w:after="0" w:line="500" w:lineRule="exact"/>
        <w:ind w:firstLine="424" w:firstLineChars="202"/>
        <w:rPr>
          <w:rFonts w:ascii="微软雅黑" w:hAnsi="微软雅黑" w:eastAsia="微软雅黑" w:cs="微软雅黑"/>
          <w:snapToGrid w:val="0"/>
          <w:color w:val="auto"/>
          <w:szCs w:val="21"/>
          <w:highlight w:val="none"/>
        </w:rPr>
      </w:pPr>
      <w:bookmarkStart w:id="338" w:name="_Toc40788062"/>
      <w:bookmarkStart w:id="339" w:name="_Toc53062724"/>
      <w:bookmarkStart w:id="340" w:name="_Toc89266850"/>
      <w:r>
        <w:rPr>
          <w:rFonts w:hint="eastAsia" w:ascii="微软雅黑" w:hAnsi="微软雅黑" w:eastAsia="微软雅黑" w:cs="微软雅黑"/>
          <w:color w:val="auto"/>
          <w:szCs w:val="21"/>
          <w:highlight w:val="none"/>
        </w:rPr>
        <w:t>9.6、</w:t>
      </w:r>
      <w:r>
        <w:rPr>
          <w:rFonts w:hint="eastAsia" w:ascii="微软雅黑" w:hAnsi="微软雅黑" w:eastAsia="微软雅黑" w:cs="微软雅黑"/>
          <w:snapToGrid w:val="0"/>
          <w:color w:val="auto"/>
          <w:szCs w:val="21"/>
          <w:highlight w:val="none"/>
        </w:rPr>
        <w:t>明显不符合技术规格、技术标准的要求；</w:t>
      </w:r>
      <w:bookmarkEnd w:id="338"/>
      <w:bookmarkEnd w:id="339"/>
      <w:bookmarkEnd w:id="340"/>
    </w:p>
    <w:p w14:paraId="032CA4D3">
      <w:pPr>
        <w:spacing w:after="0" w:line="500" w:lineRule="exact"/>
        <w:ind w:firstLine="424" w:firstLineChars="202"/>
        <w:rPr>
          <w:rFonts w:ascii="微软雅黑" w:hAnsi="微软雅黑" w:eastAsia="微软雅黑" w:cs="微软雅黑"/>
          <w:color w:val="auto"/>
          <w:szCs w:val="21"/>
          <w:highlight w:val="none"/>
        </w:rPr>
      </w:pPr>
      <w:bookmarkStart w:id="341" w:name="_Toc89266851"/>
      <w:bookmarkStart w:id="342" w:name="_Toc40788063"/>
      <w:bookmarkStart w:id="343" w:name="_Toc53062725"/>
      <w:r>
        <w:rPr>
          <w:rFonts w:hint="eastAsia" w:ascii="微软雅黑" w:hAnsi="微软雅黑" w:eastAsia="微软雅黑" w:cs="微软雅黑"/>
          <w:snapToGrid w:val="0"/>
          <w:color w:val="auto"/>
          <w:szCs w:val="21"/>
          <w:highlight w:val="none"/>
        </w:rPr>
        <w:t>9.7、最后一轮</w:t>
      </w:r>
      <w:r>
        <w:rPr>
          <w:rFonts w:hint="eastAsia" w:ascii="微软雅黑" w:hAnsi="微软雅黑" w:eastAsia="微软雅黑" w:cs="微软雅黑"/>
          <w:color w:val="auto"/>
          <w:szCs w:val="21"/>
          <w:highlight w:val="none"/>
        </w:rPr>
        <w:t>报价超出采购项目预算范围的;</w:t>
      </w:r>
      <w:bookmarkEnd w:id="341"/>
      <w:bookmarkEnd w:id="342"/>
      <w:bookmarkEnd w:id="343"/>
    </w:p>
    <w:p w14:paraId="51852D11">
      <w:pPr>
        <w:spacing w:after="0" w:line="500" w:lineRule="exact"/>
        <w:ind w:firstLine="424" w:firstLineChars="202"/>
        <w:rPr>
          <w:rFonts w:ascii="微软雅黑" w:hAnsi="微软雅黑" w:eastAsia="微软雅黑" w:cs="微软雅黑"/>
          <w:color w:val="auto"/>
          <w:szCs w:val="21"/>
          <w:highlight w:val="none"/>
        </w:rPr>
      </w:pPr>
      <w:bookmarkStart w:id="344" w:name="_Toc89266852"/>
      <w:bookmarkStart w:id="345" w:name="_Toc53062726"/>
      <w:bookmarkStart w:id="346" w:name="_Toc40788064"/>
      <w:r>
        <w:rPr>
          <w:rFonts w:hint="eastAsia" w:ascii="微软雅黑" w:hAnsi="微软雅黑" w:eastAsia="微软雅黑" w:cs="微软雅黑"/>
          <w:color w:val="auto"/>
          <w:szCs w:val="21"/>
          <w:highlight w:val="none"/>
        </w:rPr>
        <w:t>9.8、磋商供应商提出采购方不能接受之条件的；</w:t>
      </w:r>
      <w:bookmarkEnd w:id="344"/>
      <w:bookmarkEnd w:id="345"/>
      <w:bookmarkEnd w:id="346"/>
    </w:p>
    <w:p w14:paraId="3786BE28">
      <w:pPr>
        <w:spacing w:after="0" w:line="500" w:lineRule="exact"/>
        <w:ind w:firstLine="424" w:firstLineChars="202"/>
        <w:rPr>
          <w:rFonts w:ascii="微软雅黑" w:hAnsi="微软雅黑" w:eastAsia="微软雅黑" w:cs="微软雅黑"/>
          <w:snapToGrid w:val="0"/>
          <w:color w:val="auto"/>
          <w:szCs w:val="21"/>
          <w:highlight w:val="none"/>
        </w:rPr>
      </w:pPr>
      <w:bookmarkStart w:id="347" w:name="_Toc53062727"/>
      <w:bookmarkStart w:id="348" w:name="_Toc89266853"/>
      <w:bookmarkStart w:id="349" w:name="_Toc40788065"/>
      <w:r>
        <w:rPr>
          <w:rFonts w:hint="eastAsia" w:ascii="微软雅黑" w:hAnsi="微软雅黑" w:eastAsia="微软雅黑" w:cs="微软雅黑"/>
          <w:snapToGrid w:val="0"/>
          <w:color w:val="auto"/>
          <w:szCs w:val="21"/>
          <w:highlight w:val="none"/>
        </w:rPr>
        <w:t>9.9、两份磋商</w:t>
      </w:r>
      <w:r>
        <w:rPr>
          <w:rFonts w:hint="eastAsia" w:ascii="微软雅黑" w:hAnsi="微软雅黑" w:eastAsia="微软雅黑" w:cs="微软雅黑"/>
          <w:color w:val="auto"/>
          <w:szCs w:val="21"/>
          <w:highlight w:val="none"/>
        </w:rPr>
        <w:t>响应</w:t>
      </w:r>
      <w:r>
        <w:rPr>
          <w:rFonts w:hint="eastAsia" w:ascii="微软雅黑" w:hAnsi="微软雅黑" w:eastAsia="微软雅黑" w:cs="微软雅黑"/>
          <w:snapToGrid w:val="0"/>
          <w:color w:val="auto"/>
          <w:szCs w:val="21"/>
          <w:highlight w:val="none"/>
        </w:rPr>
        <w:t>文件存在以下情况之一:两处或两处以上差错相同; 两处或两处以上技术文件文字表述相同连续二十行及以上的；</w:t>
      </w:r>
      <w:bookmarkEnd w:id="347"/>
      <w:bookmarkEnd w:id="348"/>
      <w:bookmarkEnd w:id="349"/>
    </w:p>
    <w:p w14:paraId="09DF3226">
      <w:pPr>
        <w:spacing w:after="0" w:line="500" w:lineRule="exact"/>
        <w:ind w:firstLine="424" w:firstLineChars="202"/>
        <w:rPr>
          <w:rFonts w:ascii="微软雅黑" w:hAnsi="微软雅黑" w:eastAsia="微软雅黑" w:cs="微软雅黑"/>
          <w:color w:val="auto"/>
          <w:szCs w:val="21"/>
          <w:highlight w:val="none"/>
        </w:rPr>
      </w:pPr>
      <w:bookmarkStart w:id="350" w:name="_Toc40788066"/>
      <w:bookmarkStart w:id="351" w:name="_Toc89266854"/>
      <w:bookmarkStart w:id="352" w:name="_Toc53062728"/>
      <w:r>
        <w:rPr>
          <w:rFonts w:hint="eastAsia" w:ascii="微软雅黑" w:hAnsi="微软雅黑" w:eastAsia="微软雅黑" w:cs="微软雅黑"/>
          <w:snapToGrid w:val="0"/>
          <w:color w:val="auto"/>
          <w:szCs w:val="21"/>
          <w:highlight w:val="none"/>
        </w:rPr>
        <w:t>9.10、存在带</w:t>
      </w:r>
      <w:r>
        <w:rPr>
          <w:rFonts w:hint="eastAsia" w:ascii="微软雅黑" w:hAnsi="微软雅黑" w:eastAsia="微软雅黑" w:cs="微软雅黑"/>
          <w:color w:val="auto"/>
          <w:szCs w:val="21"/>
          <w:highlight w:val="none"/>
        </w:rPr>
        <w:t>“▲”条款的负偏离的；</w:t>
      </w:r>
      <w:bookmarkEnd w:id="350"/>
      <w:bookmarkEnd w:id="351"/>
      <w:bookmarkEnd w:id="352"/>
    </w:p>
    <w:p w14:paraId="0074222A">
      <w:pPr>
        <w:spacing w:after="0" w:line="500" w:lineRule="exact"/>
        <w:ind w:firstLine="424" w:firstLineChars="202"/>
        <w:rPr>
          <w:rFonts w:ascii="微软雅黑" w:hAnsi="微软雅黑" w:eastAsia="微软雅黑" w:cs="微软雅黑"/>
          <w:color w:val="auto"/>
          <w:szCs w:val="21"/>
          <w:highlight w:val="none"/>
        </w:rPr>
      </w:pPr>
      <w:bookmarkStart w:id="353" w:name="_Toc89266855"/>
      <w:bookmarkStart w:id="354" w:name="_Toc40788067"/>
      <w:bookmarkStart w:id="355" w:name="_Toc53062729"/>
      <w:r>
        <w:rPr>
          <w:rFonts w:hint="eastAsia" w:ascii="微软雅黑" w:hAnsi="微软雅黑" w:eastAsia="微软雅黑" w:cs="微软雅黑"/>
          <w:color w:val="auto"/>
          <w:szCs w:val="21"/>
          <w:highlight w:val="none"/>
        </w:rPr>
        <w:t>9.11、本磋商文件其他部分已规定为无效响应文件的情形;</w:t>
      </w:r>
      <w:bookmarkEnd w:id="353"/>
      <w:bookmarkEnd w:id="354"/>
      <w:bookmarkEnd w:id="355"/>
    </w:p>
    <w:p w14:paraId="30894A13">
      <w:pPr>
        <w:spacing w:after="0" w:line="500" w:lineRule="exact"/>
        <w:ind w:firstLine="424" w:firstLineChars="202"/>
        <w:rPr>
          <w:rFonts w:ascii="微软雅黑" w:hAnsi="微软雅黑" w:eastAsia="微软雅黑" w:cs="微软雅黑"/>
          <w:color w:val="auto"/>
          <w:szCs w:val="21"/>
          <w:highlight w:val="none"/>
        </w:rPr>
      </w:pPr>
      <w:bookmarkStart w:id="356" w:name="_Toc89266856"/>
      <w:bookmarkStart w:id="357" w:name="_Toc40788068"/>
      <w:bookmarkStart w:id="358" w:name="_Toc53062730"/>
      <w:r>
        <w:rPr>
          <w:rFonts w:hint="eastAsia" w:ascii="微软雅黑" w:hAnsi="微软雅黑" w:eastAsia="微软雅黑" w:cs="微软雅黑"/>
          <w:color w:val="auto"/>
          <w:szCs w:val="21"/>
          <w:highlight w:val="none"/>
        </w:rPr>
        <w:t>9.12、评审专家认定的其他必须按无效响应文件处理的。</w:t>
      </w:r>
      <w:bookmarkEnd w:id="356"/>
      <w:bookmarkEnd w:id="357"/>
      <w:bookmarkEnd w:id="358"/>
    </w:p>
    <w:p w14:paraId="001766E0">
      <w:pPr>
        <w:pStyle w:val="3"/>
        <w:spacing w:before="0" w:after="0" w:line="500" w:lineRule="exact"/>
        <w:rPr>
          <w:rFonts w:ascii="微软雅黑" w:hAnsi="微软雅黑" w:eastAsia="微软雅黑" w:cs="微软雅黑"/>
          <w:color w:val="auto"/>
          <w:sz w:val="21"/>
          <w:szCs w:val="21"/>
          <w:highlight w:val="none"/>
        </w:rPr>
      </w:pPr>
      <w:bookmarkStart w:id="359" w:name="_Toc192313118"/>
      <w:bookmarkStart w:id="360" w:name="_Toc40788069"/>
      <w:bookmarkStart w:id="361" w:name="_Toc100764229"/>
      <w:bookmarkStart w:id="362" w:name="_Toc53062731"/>
      <w:bookmarkStart w:id="363" w:name="_Toc89266857"/>
      <w:bookmarkStart w:id="364" w:name="_Toc493699308"/>
      <w:r>
        <w:rPr>
          <w:rFonts w:hint="eastAsia" w:ascii="微软雅黑" w:hAnsi="微软雅黑" w:eastAsia="微软雅黑" w:cs="微软雅黑"/>
          <w:color w:val="auto"/>
          <w:sz w:val="21"/>
          <w:szCs w:val="21"/>
          <w:highlight w:val="none"/>
        </w:rPr>
        <w:t>四</w:t>
      </w:r>
      <w:bookmarkEnd w:id="246"/>
      <w:bookmarkEnd w:id="247"/>
      <w:bookmarkEnd w:id="359"/>
      <w:r>
        <w:rPr>
          <w:rFonts w:hint="eastAsia" w:ascii="微软雅黑" w:hAnsi="微软雅黑" w:eastAsia="微软雅黑" w:cs="微软雅黑"/>
          <w:color w:val="auto"/>
          <w:sz w:val="21"/>
          <w:szCs w:val="21"/>
          <w:highlight w:val="none"/>
        </w:rPr>
        <w:t xml:space="preserve">  磋商前的准备</w:t>
      </w:r>
      <w:bookmarkEnd w:id="360"/>
      <w:bookmarkEnd w:id="361"/>
      <w:bookmarkEnd w:id="362"/>
      <w:bookmarkEnd w:id="363"/>
      <w:bookmarkEnd w:id="364"/>
    </w:p>
    <w:p w14:paraId="6FE66109">
      <w:pPr>
        <w:pStyle w:val="29"/>
        <w:spacing w:after="0" w:line="500" w:lineRule="exact"/>
        <w:ind w:left="2"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b/>
          <w:color w:val="auto"/>
          <w:szCs w:val="21"/>
          <w:highlight w:val="none"/>
        </w:rPr>
        <w:t>1、</w:t>
      </w:r>
      <w:r>
        <w:rPr>
          <w:rFonts w:hint="eastAsia" w:ascii="微软雅黑" w:hAnsi="微软雅黑" w:eastAsia="微软雅黑" w:cs="微软雅黑"/>
          <w:b/>
          <w:bCs/>
          <w:color w:val="auto"/>
          <w:szCs w:val="21"/>
          <w:highlight w:val="none"/>
        </w:rPr>
        <w:t>开标的准备工作由采购组织机构负责落实；</w:t>
      </w:r>
    </w:p>
    <w:p w14:paraId="5DA7C364">
      <w:pPr>
        <w:pStyle w:val="29"/>
        <w:spacing w:after="0" w:line="500" w:lineRule="exact"/>
        <w:ind w:left="2"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5" w:name="_Toc192313119"/>
      <w:bookmarkStart w:id="366" w:name="_Toc493699309"/>
    </w:p>
    <w:p w14:paraId="10CE5367">
      <w:pPr>
        <w:pStyle w:val="3"/>
        <w:spacing w:before="0" w:after="0" w:line="500" w:lineRule="exact"/>
        <w:rPr>
          <w:rFonts w:ascii="微软雅黑" w:hAnsi="微软雅黑" w:eastAsia="微软雅黑" w:cs="微软雅黑"/>
          <w:color w:val="auto"/>
          <w:sz w:val="21"/>
          <w:szCs w:val="21"/>
          <w:highlight w:val="none"/>
        </w:rPr>
      </w:pPr>
      <w:bookmarkStart w:id="367" w:name="_Toc100764230"/>
      <w:bookmarkStart w:id="368" w:name="_Toc53062732"/>
      <w:bookmarkStart w:id="369" w:name="_Toc89266858"/>
      <w:bookmarkStart w:id="370" w:name="_Toc40788070"/>
      <w:r>
        <w:rPr>
          <w:rFonts w:hint="eastAsia" w:ascii="微软雅黑" w:hAnsi="微软雅黑" w:eastAsia="微软雅黑" w:cs="微软雅黑"/>
          <w:color w:val="auto"/>
          <w:sz w:val="21"/>
          <w:szCs w:val="21"/>
          <w:highlight w:val="none"/>
        </w:rPr>
        <w:t>五</w:t>
      </w:r>
      <w:bookmarkEnd w:id="365"/>
      <w:r>
        <w:rPr>
          <w:rFonts w:hint="eastAsia" w:ascii="微软雅黑" w:hAnsi="微软雅黑" w:eastAsia="微软雅黑" w:cs="微软雅黑"/>
          <w:color w:val="auto"/>
          <w:sz w:val="21"/>
          <w:szCs w:val="21"/>
          <w:highlight w:val="none"/>
        </w:rPr>
        <w:t xml:space="preserve">  磋商程序</w:t>
      </w:r>
      <w:bookmarkEnd w:id="366"/>
      <w:bookmarkEnd w:id="367"/>
      <w:bookmarkEnd w:id="368"/>
      <w:bookmarkEnd w:id="369"/>
      <w:bookmarkEnd w:id="370"/>
    </w:p>
    <w:p w14:paraId="68F3FB1A">
      <w:pPr>
        <w:spacing w:after="0" w:line="500" w:lineRule="exact"/>
        <w:ind w:firstLine="410"/>
        <w:outlineLvl w:val="2"/>
        <w:rPr>
          <w:rFonts w:ascii="微软雅黑" w:hAnsi="微软雅黑" w:eastAsia="微软雅黑" w:cs="微软雅黑"/>
          <w:b/>
          <w:snapToGrid w:val="0"/>
          <w:color w:val="auto"/>
          <w:szCs w:val="21"/>
          <w:highlight w:val="none"/>
        </w:rPr>
      </w:pPr>
      <w:bookmarkStart w:id="371" w:name="_Toc100764231"/>
      <w:bookmarkStart w:id="372" w:name="_Toc192313120"/>
      <w:r>
        <w:rPr>
          <w:rFonts w:hint="eastAsia" w:ascii="微软雅黑" w:hAnsi="微软雅黑" w:eastAsia="微软雅黑" w:cs="微软雅黑"/>
          <w:b/>
          <w:snapToGrid w:val="0"/>
          <w:color w:val="auto"/>
          <w:szCs w:val="21"/>
          <w:highlight w:val="none"/>
        </w:rPr>
        <w:t>1、磋商流程：</w:t>
      </w:r>
      <w:bookmarkEnd w:id="371"/>
    </w:p>
    <w:p w14:paraId="4D5CE1A1">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1.1、磋商小组讨论、通过磋商工作流程和磋商要点。</w:t>
      </w:r>
    </w:p>
    <w:p w14:paraId="1606BB67">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1.2、主持人宣布磋商的有关事项；</w:t>
      </w:r>
    </w:p>
    <w:p w14:paraId="3BF2E230">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1.3、磋商小组对所提交的磋商响应文件进行审查，审查结束后，由主持人公布无效磋商响应方名单、磋商响应无效的原因、标项废标情况；</w:t>
      </w:r>
    </w:p>
    <w:p w14:paraId="31E094E2">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1.4、磋商小组按标项与各磋商响应方就公司情况、项目需求、售后服务、价格构成、供货时间、付款方式等要素分别进行磋商。逐家磋商一次为一个轮次，磋商轮次由磋商小组视情况决定。</w:t>
      </w:r>
    </w:p>
    <w:p w14:paraId="5051B2E1">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1.5、项目磋商结束后，主持人宣布本次最终报价的最高限价，并要求各磋商响应方在规定时间内进行最终报价，密封后统一时间收取保存。在规定时间内没有提交最终报价的磋商供应商，其磋商文件视为无效。</w:t>
      </w:r>
    </w:p>
    <w:p w14:paraId="4A868D3F">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1.6、在各磋商响应方最终报价过程中，同时磋商小组根据第三章评审方法对各磋商响应方的资信及商务、技术情况进行评审打分。工作人员按照磋商小组独立评定结果进行算术平均值计算。</w:t>
      </w:r>
    </w:p>
    <w:p w14:paraId="4B763048">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1.7、主持人宣布磋商最终报价（价格标）评审的有关事项。</w:t>
      </w:r>
    </w:p>
    <w:p w14:paraId="2F143183">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1.8、工作人员查验最终报价的密封情况，确认无误后拆封各磋商响应方提交的按规定进入价格标评审的磋商最终报价，并公开宣读最终报价，最后要求磋商响应方公开确认无误。</w:t>
      </w:r>
    </w:p>
    <w:p w14:paraId="5EC02D97">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1.9、磋商小组对最终报价的合理性进行审核，决定是否结束磋商。若报价合理，磋商小组则根据第三章评审方法计算出总得分并推荐中标商；</w:t>
      </w:r>
    </w:p>
    <w:p w14:paraId="5C7133E5">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1.10、磋商结束后，主持人公布有效磋商响应方的总得分结果和推荐的中标商。</w:t>
      </w:r>
    </w:p>
    <w:p w14:paraId="053A279C">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7B76FE65">
      <w:pPr>
        <w:spacing w:after="0" w:line="500" w:lineRule="exact"/>
        <w:ind w:firstLine="410"/>
        <w:outlineLvl w:val="2"/>
        <w:rPr>
          <w:rFonts w:ascii="微软雅黑" w:hAnsi="微软雅黑" w:eastAsia="微软雅黑" w:cs="微软雅黑"/>
          <w:b/>
          <w:snapToGrid w:val="0"/>
          <w:color w:val="auto"/>
          <w:szCs w:val="21"/>
          <w:highlight w:val="none"/>
        </w:rPr>
      </w:pPr>
      <w:bookmarkStart w:id="373" w:name="_Toc100764232"/>
      <w:bookmarkStart w:id="374" w:name="_Toc493699311"/>
      <w:bookmarkStart w:id="375" w:name="_Toc448487547"/>
      <w:bookmarkStart w:id="376" w:name="_Toc332724041"/>
      <w:bookmarkStart w:id="377" w:name="_Toc493082127"/>
      <w:bookmarkStart w:id="378" w:name="_Toc437979788"/>
      <w:r>
        <w:rPr>
          <w:rFonts w:hint="eastAsia" w:ascii="微软雅黑" w:hAnsi="微软雅黑" w:eastAsia="微软雅黑" w:cs="微软雅黑"/>
          <w:b/>
          <w:snapToGrid w:val="0"/>
          <w:color w:val="auto"/>
          <w:szCs w:val="21"/>
          <w:highlight w:val="none"/>
        </w:rPr>
        <w:t>2、磋商文件的澄清</w:t>
      </w:r>
      <w:bookmarkEnd w:id="373"/>
      <w:bookmarkEnd w:id="374"/>
      <w:bookmarkEnd w:id="375"/>
      <w:bookmarkEnd w:id="376"/>
      <w:bookmarkEnd w:id="377"/>
      <w:bookmarkEnd w:id="378"/>
    </w:p>
    <w:p w14:paraId="525F8414">
      <w:pPr>
        <w:spacing w:after="0" w:line="500" w:lineRule="exact"/>
        <w:ind w:firstLine="424" w:firstLineChars="202"/>
        <w:rPr>
          <w:rFonts w:ascii="微软雅黑" w:hAnsi="微软雅黑" w:eastAsia="微软雅黑" w:cs="微软雅黑"/>
          <w:snapToGrid w:val="0"/>
          <w:color w:val="auto"/>
          <w:szCs w:val="21"/>
          <w:highlight w:val="none"/>
        </w:rPr>
      </w:pPr>
      <w:bookmarkStart w:id="379" w:name="_Toc53062733"/>
      <w:bookmarkStart w:id="380" w:name="_Toc40788071"/>
      <w:bookmarkStart w:id="381" w:name="_Toc89266859"/>
      <w:r>
        <w:rPr>
          <w:rFonts w:hint="eastAsia" w:ascii="微软雅黑" w:hAnsi="微软雅黑" w:eastAsia="微软雅黑" w:cs="微软雅黑"/>
          <w:snapToGrid w:val="0"/>
          <w:color w:val="auto"/>
          <w:szCs w:val="21"/>
          <w:highlight w:val="none"/>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79"/>
      <w:bookmarkEnd w:id="380"/>
      <w:bookmarkEnd w:id="381"/>
    </w:p>
    <w:p w14:paraId="278B825D">
      <w:pPr>
        <w:spacing w:after="0" w:line="500" w:lineRule="exact"/>
        <w:ind w:firstLine="424" w:firstLineChars="202"/>
        <w:rPr>
          <w:rFonts w:ascii="微软雅黑" w:hAnsi="微软雅黑" w:eastAsia="微软雅黑" w:cs="微软雅黑"/>
          <w:snapToGrid w:val="0"/>
          <w:color w:val="auto"/>
          <w:szCs w:val="21"/>
          <w:highlight w:val="none"/>
        </w:rPr>
      </w:pPr>
      <w:bookmarkStart w:id="382" w:name="_Toc89266860"/>
      <w:bookmarkStart w:id="383" w:name="_Toc53062734"/>
      <w:bookmarkStart w:id="384" w:name="_Toc40788072"/>
      <w:r>
        <w:rPr>
          <w:rFonts w:hint="eastAsia" w:ascii="微软雅黑" w:hAnsi="微软雅黑" w:eastAsia="微软雅黑" w:cs="微软雅黑"/>
          <w:snapToGrid w:val="0"/>
          <w:color w:val="auto"/>
          <w:szCs w:val="21"/>
          <w:highlight w:val="none"/>
        </w:rPr>
        <w:t>2.2、磋商小组认为有必要，可要求磋商供应商对某些问题作出必要的澄清、说明和纠正。投标人的澄清、说明或者补正应当采用书面形式，由其授权的代表签字。投标人的书面澄清材料作为磋商文件的补充。</w:t>
      </w:r>
      <w:bookmarkEnd w:id="382"/>
      <w:bookmarkEnd w:id="383"/>
      <w:bookmarkEnd w:id="384"/>
    </w:p>
    <w:p w14:paraId="7A3B2E3A">
      <w:pPr>
        <w:spacing w:after="0" w:line="500" w:lineRule="exact"/>
        <w:ind w:firstLine="424" w:firstLineChars="202"/>
        <w:rPr>
          <w:rFonts w:ascii="微软雅黑" w:hAnsi="微软雅黑" w:eastAsia="微软雅黑" w:cs="微软雅黑"/>
          <w:snapToGrid w:val="0"/>
          <w:color w:val="auto"/>
          <w:szCs w:val="21"/>
          <w:highlight w:val="none"/>
        </w:rPr>
      </w:pPr>
      <w:bookmarkStart w:id="385" w:name="_Toc40788073"/>
      <w:bookmarkStart w:id="386" w:name="_Toc53062735"/>
      <w:bookmarkStart w:id="387" w:name="_Toc89266861"/>
      <w:r>
        <w:rPr>
          <w:rFonts w:hint="eastAsia" w:ascii="微软雅黑" w:hAnsi="微软雅黑" w:eastAsia="微软雅黑" w:cs="微软雅黑"/>
          <w:snapToGrid w:val="0"/>
          <w:color w:val="auto"/>
          <w:szCs w:val="21"/>
          <w:highlight w:val="none"/>
        </w:rPr>
        <w:t>2.3、磋商供应商不按磋商小组规定的时间和地点作书面澄清，将视为放弃该权利。</w:t>
      </w:r>
      <w:bookmarkEnd w:id="385"/>
      <w:bookmarkEnd w:id="386"/>
      <w:bookmarkEnd w:id="387"/>
    </w:p>
    <w:p w14:paraId="29B0A0FE">
      <w:pPr>
        <w:spacing w:after="0" w:line="500" w:lineRule="exact"/>
        <w:ind w:firstLine="424" w:firstLineChars="202"/>
        <w:rPr>
          <w:rFonts w:ascii="微软雅黑" w:hAnsi="微软雅黑" w:eastAsia="微软雅黑" w:cs="微软雅黑"/>
          <w:snapToGrid w:val="0"/>
          <w:color w:val="auto"/>
          <w:szCs w:val="21"/>
          <w:highlight w:val="none"/>
        </w:rPr>
      </w:pPr>
      <w:bookmarkStart w:id="388" w:name="_Toc40788074"/>
      <w:bookmarkStart w:id="389" w:name="_Toc89266862"/>
      <w:bookmarkStart w:id="390" w:name="_Toc53062736"/>
      <w:r>
        <w:rPr>
          <w:rFonts w:hint="eastAsia" w:ascii="微软雅黑" w:hAnsi="微软雅黑" w:eastAsia="微软雅黑" w:cs="微软雅黑"/>
          <w:snapToGrid w:val="0"/>
          <w:color w:val="auto"/>
          <w:szCs w:val="21"/>
          <w:highlight w:val="none"/>
        </w:rPr>
        <w:t>2.4、并非每个磋商供应商都将被询标。</w:t>
      </w:r>
      <w:bookmarkEnd w:id="388"/>
      <w:bookmarkEnd w:id="389"/>
      <w:bookmarkEnd w:id="390"/>
    </w:p>
    <w:p w14:paraId="1E19F3AF">
      <w:pPr>
        <w:spacing w:after="0" w:line="500" w:lineRule="exact"/>
        <w:ind w:firstLine="410"/>
        <w:outlineLvl w:val="2"/>
        <w:rPr>
          <w:rFonts w:ascii="微软雅黑" w:hAnsi="微软雅黑" w:eastAsia="微软雅黑" w:cs="微软雅黑"/>
          <w:b/>
          <w:snapToGrid w:val="0"/>
          <w:color w:val="auto"/>
          <w:szCs w:val="21"/>
          <w:highlight w:val="none"/>
        </w:rPr>
      </w:pPr>
      <w:bookmarkStart w:id="391" w:name="_Toc40788075"/>
      <w:bookmarkStart w:id="392" w:name="_Toc437979789"/>
      <w:bookmarkStart w:id="393" w:name="_Toc89266863"/>
      <w:bookmarkStart w:id="394" w:name="_Toc53062737"/>
      <w:bookmarkStart w:id="395" w:name="_Toc493082128"/>
      <w:bookmarkStart w:id="396" w:name="_Toc100764233"/>
      <w:bookmarkStart w:id="397" w:name="_Toc493699312"/>
      <w:bookmarkStart w:id="398" w:name="_Toc332724042"/>
      <w:bookmarkStart w:id="399" w:name="_Toc448487548"/>
      <w:r>
        <w:rPr>
          <w:rFonts w:hint="eastAsia" w:ascii="微软雅黑" w:hAnsi="微软雅黑" w:eastAsia="微软雅黑" w:cs="微软雅黑"/>
          <w:b/>
          <w:snapToGrid w:val="0"/>
          <w:color w:val="auto"/>
          <w:szCs w:val="21"/>
          <w:highlight w:val="none"/>
        </w:rPr>
        <w:t>3、确定成交供应商</w:t>
      </w:r>
      <w:bookmarkEnd w:id="391"/>
      <w:bookmarkEnd w:id="392"/>
      <w:bookmarkEnd w:id="393"/>
      <w:bookmarkEnd w:id="394"/>
      <w:bookmarkEnd w:id="395"/>
      <w:bookmarkEnd w:id="396"/>
      <w:bookmarkEnd w:id="397"/>
      <w:bookmarkEnd w:id="398"/>
      <w:bookmarkEnd w:id="399"/>
    </w:p>
    <w:p w14:paraId="4CFF2786">
      <w:pPr>
        <w:spacing w:after="0" w:line="500" w:lineRule="exact"/>
        <w:ind w:firstLine="424" w:firstLineChars="202"/>
        <w:rPr>
          <w:rFonts w:ascii="微软雅黑" w:hAnsi="微软雅黑" w:eastAsia="微软雅黑" w:cs="微软雅黑"/>
          <w:snapToGrid w:val="0"/>
          <w:color w:val="auto"/>
          <w:szCs w:val="21"/>
          <w:highlight w:val="none"/>
        </w:rPr>
      </w:pPr>
      <w:bookmarkStart w:id="400" w:name="_Toc40788076"/>
      <w:bookmarkStart w:id="401" w:name="_Toc53062738"/>
      <w:bookmarkStart w:id="402" w:name="_Toc89266864"/>
      <w:r>
        <w:rPr>
          <w:rFonts w:hint="eastAsia" w:ascii="微软雅黑" w:hAnsi="微软雅黑" w:eastAsia="微软雅黑" w:cs="微软雅黑"/>
          <w:snapToGrid w:val="0"/>
          <w:color w:val="auto"/>
          <w:szCs w:val="21"/>
          <w:highlight w:val="none"/>
        </w:rPr>
        <w:t>3.1、磋商小组将对通过资格性审查和符合性审查的磋商文件进行评价和比较。</w:t>
      </w:r>
      <w:bookmarkEnd w:id="400"/>
      <w:bookmarkEnd w:id="401"/>
      <w:bookmarkEnd w:id="402"/>
    </w:p>
    <w:p w14:paraId="60F274D8">
      <w:pPr>
        <w:spacing w:after="0" w:line="500" w:lineRule="exact"/>
        <w:ind w:firstLine="424" w:firstLineChars="202"/>
        <w:rPr>
          <w:rFonts w:ascii="微软雅黑" w:hAnsi="微软雅黑" w:eastAsia="微软雅黑" w:cs="微软雅黑"/>
          <w:snapToGrid w:val="0"/>
          <w:color w:val="auto"/>
          <w:szCs w:val="21"/>
          <w:highlight w:val="none"/>
        </w:rPr>
      </w:pPr>
      <w:bookmarkStart w:id="403" w:name="_Toc53062739"/>
      <w:bookmarkStart w:id="404" w:name="_Toc40788077"/>
      <w:bookmarkStart w:id="405" w:name="_Toc89266865"/>
      <w:r>
        <w:rPr>
          <w:rFonts w:hint="eastAsia" w:ascii="微软雅黑" w:hAnsi="微软雅黑" w:eastAsia="微软雅黑" w:cs="微软雅黑"/>
          <w:snapToGrid w:val="0"/>
          <w:color w:val="auto"/>
          <w:szCs w:val="21"/>
          <w:highlight w:val="none"/>
        </w:rPr>
        <w:t>3.2、磋商小组按采购文件第三章中公布的评定成交标准对磋商文件进行评审，确定成交候选人。最低报价等任何单项因素的最优不能作为成交的保证。</w:t>
      </w:r>
      <w:bookmarkEnd w:id="403"/>
      <w:bookmarkEnd w:id="404"/>
      <w:bookmarkEnd w:id="405"/>
    </w:p>
    <w:p w14:paraId="0957EDCE">
      <w:pPr>
        <w:spacing w:after="0" w:line="500" w:lineRule="exact"/>
        <w:ind w:firstLine="410"/>
        <w:outlineLvl w:val="2"/>
        <w:rPr>
          <w:rFonts w:ascii="微软雅黑" w:hAnsi="微软雅黑" w:eastAsia="微软雅黑" w:cs="微软雅黑"/>
          <w:b/>
          <w:snapToGrid w:val="0"/>
          <w:color w:val="auto"/>
          <w:szCs w:val="21"/>
          <w:highlight w:val="none"/>
        </w:rPr>
      </w:pPr>
      <w:bookmarkStart w:id="406" w:name="_Toc89266866"/>
      <w:bookmarkStart w:id="407" w:name="_Toc493699313"/>
      <w:bookmarkStart w:id="408" w:name="_Toc437979790"/>
      <w:bookmarkStart w:id="409" w:name="_Toc40788078"/>
      <w:bookmarkStart w:id="410" w:name="_Toc100764234"/>
      <w:bookmarkStart w:id="411" w:name="_Toc332724043"/>
      <w:bookmarkStart w:id="412" w:name="_Toc448487549"/>
      <w:bookmarkStart w:id="413" w:name="_Toc53062740"/>
      <w:bookmarkStart w:id="414" w:name="_Toc493082129"/>
      <w:r>
        <w:rPr>
          <w:rFonts w:hint="eastAsia" w:ascii="微软雅黑" w:hAnsi="微软雅黑" w:eastAsia="微软雅黑" w:cs="微软雅黑"/>
          <w:b/>
          <w:snapToGrid w:val="0"/>
          <w:color w:val="auto"/>
          <w:szCs w:val="21"/>
          <w:highlight w:val="none"/>
        </w:rPr>
        <w:t>4、磋商过程保密</w:t>
      </w:r>
      <w:bookmarkEnd w:id="406"/>
      <w:bookmarkEnd w:id="407"/>
      <w:bookmarkEnd w:id="408"/>
      <w:bookmarkEnd w:id="409"/>
      <w:bookmarkEnd w:id="410"/>
      <w:bookmarkEnd w:id="411"/>
      <w:bookmarkEnd w:id="412"/>
      <w:bookmarkEnd w:id="413"/>
      <w:bookmarkEnd w:id="414"/>
    </w:p>
    <w:p w14:paraId="08B5B349">
      <w:pPr>
        <w:spacing w:after="0" w:line="500" w:lineRule="exact"/>
        <w:ind w:firstLine="424" w:firstLineChars="202"/>
        <w:rPr>
          <w:rFonts w:ascii="微软雅黑" w:hAnsi="微软雅黑" w:eastAsia="微软雅黑" w:cs="微软雅黑"/>
          <w:snapToGrid w:val="0"/>
          <w:color w:val="auto"/>
          <w:szCs w:val="21"/>
          <w:highlight w:val="none"/>
        </w:rPr>
      </w:pPr>
      <w:bookmarkStart w:id="415" w:name="_Toc53062741"/>
      <w:bookmarkStart w:id="416" w:name="_Toc89266867"/>
      <w:bookmarkStart w:id="417" w:name="_Toc40788079"/>
      <w:r>
        <w:rPr>
          <w:rFonts w:hint="eastAsia" w:ascii="微软雅黑" w:hAnsi="微软雅黑" w:eastAsia="微软雅黑" w:cs="微软雅黑"/>
          <w:snapToGrid w:val="0"/>
          <w:color w:val="auto"/>
          <w:szCs w:val="21"/>
          <w:highlight w:val="none"/>
        </w:rPr>
        <w:t>4.1、在宣布成交结果之前，凡属于审查、澄清、评价、比较磋商文件等有关信息，相关当事人均不得泄露给任何磋商供应商或与磋商工作无关的人员。</w:t>
      </w:r>
      <w:bookmarkEnd w:id="415"/>
      <w:bookmarkEnd w:id="416"/>
      <w:bookmarkEnd w:id="417"/>
    </w:p>
    <w:p w14:paraId="7FE77F87">
      <w:pPr>
        <w:spacing w:after="0" w:line="500" w:lineRule="exact"/>
        <w:ind w:firstLine="424" w:firstLineChars="202"/>
        <w:rPr>
          <w:rFonts w:ascii="微软雅黑" w:hAnsi="微软雅黑" w:eastAsia="微软雅黑" w:cs="微软雅黑"/>
          <w:snapToGrid w:val="0"/>
          <w:color w:val="auto"/>
          <w:szCs w:val="21"/>
          <w:highlight w:val="none"/>
        </w:rPr>
      </w:pPr>
      <w:bookmarkStart w:id="418" w:name="_Toc40788080"/>
      <w:bookmarkStart w:id="419" w:name="_Toc53062742"/>
      <w:bookmarkStart w:id="420" w:name="_Toc89266868"/>
      <w:r>
        <w:rPr>
          <w:rFonts w:hint="eastAsia" w:ascii="微软雅黑" w:hAnsi="微软雅黑" w:eastAsia="微软雅黑" w:cs="微软雅黑"/>
          <w:snapToGrid w:val="0"/>
          <w:color w:val="auto"/>
          <w:szCs w:val="21"/>
          <w:highlight w:val="none"/>
        </w:rPr>
        <w:t>4.2、磋商供应商不得探听上述信息，不得以任何行为影响磋商过程，否则其磋商文件将被作为无效磋商文件。</w:t>
      </w:r>
      <w:bookmarkEnd w:id="418"/>
      <w:bookmarkEnd w:id="419"/>
      <w:bookmarkEnd w:id="420"/>
    </w:p>
    <w:p w14:paraId="624B7463">
      <w:pPr>
        <w:spacing w:after="0" w:line="500" w:lineRule="exact"/>
        <w:ind w:firstLine="424" w:firstLineChars="202"/>
        <w:rPr>
          <w:rFonts w:ascii="微软雅黑" w:hAnsi="微软雅黑" w:eastAsia="微软雅黑" w:cs="微软雅黑"/>
          <w:snapToGrid w:val="0"/>
          <w:color w:val="auto"/>
          <w:szCs w:val="21"/>
          <w:highlight w:val="none"/>
        </w:rPr>
      </w:pPr>
      <w:bookmarkStart w:id="421" w:name="_Toc40788081"/>
      <w:bookmarkStart w:id="422" w:name="_Toc89266869"/>
      <w:bookmarkStart w:id="423" w:name="_Toc53062743"/>
      <w:r>
        <w:rPr>
          <w:rFonts w:hint="eastAsia" w:ascii="微软雅黑" w:hAnsi="微软雅黑" w:eastAsia="微软雅黑" w:cs="微软雅黑"/>
          <w:snapToGrid w:val="0"/>
          <w:color w:val="auto"/>
          <w:szCs w:val="21"/>
          <w:highlight w:val="none"/>
        </w:rPr>
        <w:t>4.3、在磋商期间，采购中心将有专门人员与磋商供应商进行联络。</w:t>
      </w:r>
      <w:bookmarkEnd w:id="421"/>
      <w:bookmarkEnd w:id="422"/>
      <w:bookmarkEnd w:id="423"/>
    </w:p>
    <w:p w14:paraId="10BE2AD2">
      <w:pPr>
        <w:spacing w:after="0" w:line="500" w:lineRule="exact"/>
        <w:ind w:firstLine="424" w:firstLineChars="202"/>
        <w:rPr>
          <w:rFonts w:ascii="微软雅黑" w:hAnsi="微软雅黑" w:eastAsia="微软雅黑" w:cs="微软雅黑"/>
          <w:snapToGrid w:val="0"/>
          <w:color w:val="auto"/>
          <w:szCs w:val="21"/>
          <w:highlight w:val="none"/>
        </w:rPr>
      </w:pPr>
      <w:bookmarkStart w:id="424" w:name="_Toc53062744"/>
      <w:bookmarkStart w:id="425" w:name="_Toc89266870"/>
      <w:bookmarkStart w:id="426" w:name="_Toc40788082"/>
      <w:r>
        <w:rPr>
          <w:rFonts w:hint="eastAsia" w:ascii="微软雅黑" w:hAnsi="微软雅黑" w:eastAsia="微软雅黑" w:cs="微软雅黑"/>
          <w:snapToGrid w:val="0"/>
          <w:color w:val="auto"/>
          <w:szCs w:val="21"/>
          <w:highlight w:val="none"/>
        </w:rPr>
        <w:t>4.4、采购中心和磋商小组不向未成交的磋商供应商解释未成交原因，也不对磋商过程中的细节问题进行公布。</w:t>
      </w:r>
      <w:bookmarkEnd w:id="424"/>
      <w:bookmarkEnd w:id="425"/>
      <w:bookmarkEnd w:id="426"/>
    </w:p>
    <w:p w14:paraId="77CB03C7">
      <w:pPr>
        <w:spacing w:after="0" w:line="500" w:lineRule="exact"/>
        <w:ind w:firstLine="410"/>
        <w:outlineLvl w:val="2"/>
        <w:rPr>
          <w:rFonts w:ascii="微软雅黑" w:hAnsi="微软雅黑" w:eastAsia="微软雅黑" w:cs="微软雅黑"/>
          <w:b/>
          <w:snapToGrid w:val="0"/>
          <w:color w:val="auto"/>
          <w:szCs w:val="21"/>
          <w:highlight w:val="none"/>
        </w:rPr>
      </w:pPr>
      <w:bookmarkStart w:id="427" w:name="_Toc40788083"/>
      <w:bookmarkStart w:id="428" w:name="_Toc493699314"/>
      <w:bookmarkStart w:id="429" w:name="_Toc437979791"/>
      <w:bookmarkStart w:id="430" w:name="_Toc493082130"/>
      <w:bookmarkStart w:id="431" w:name="_Toc448487550"/>
      <w:bookmarkStart w:id="432" w:name="_Toc89266871"/>
      <w:bookmarkStart w:id="433" w:name="_Toc332724044"/>
      <w:bookmarkStart w:id="434" w:name="_Toc53062745"/>
      <w:bookmarkStart w:id="435" w:name="_Toc100764235"/>
      <w:r>
        <w:rPr>
          <w:rFonts w:hint="eastAsia" w:ascii="微软雅黑" w:hAnsi="微软雅黑" w:eastAsia="微软雅黑" w:cs="微软雅黑"/>
          <w:b/>
          <w:snapToGrid w:val="0"/>
          <w:color w:val="auto"/>
          <w:szCs w:val="21"/>
          <w:highlight w:val="none"/>
        </w:rPr>
        <w:t>5、磋商供应商不足三家的处理</w:t>
      </w:r>
      <w:bookmarkEnd w:id="427"/>
      <w:bookmarkEnd w:id="428"/>
      <w:bookmarkEnd w:id="429"/>
      <w:bookmarkEnd w:id="430"/>
      <w:bookmarkEnd w:id="431"/>
      <w:bookmarkEnd w:id="432"/>
      <w:bookmarkEnd w:id="433"/>
      <w:bookmarkEnd w:id="434"/>
      <w:bookmarkEnd w:id="435"/>
    </w:p>
    <w:p w14:paraId="64611399">
      <w:pPr>
        <w:spacing w:after="0" w:line="500" w:lineRule="exact"/>
        <w:ind w:firstLine="424" w:firstLineChars="202"/>
        <w:rPr>
          <w:rFonts w:ascii="微软雅黑" w:hAnsi="微软雅黑" w:eastAsia="微软雅黑" w:cs="微软雅黑"/>
          <w:snapToGrid w:val="0"/>
          <w:color w:val="auto"/>
          <w:szCs w:val="21"/>
          <w:highlight w:val="none"/>
        </w:rPr>
      </w:pPr>
      <w:bookmarkStart w:id="436" w:name="_Toc53062746"/>
      <w:bookmarkStart w:id="437" w:name="_Toc487793403"/>
      <w:bookmarkStart w:id="438" w:name="_Toc89266872"/>
      <w:bookmarkStart w:id="439" w:name="_Toc487802048"/>
      <w:bookmarkStart w:id="440" w:name="_Toc487802117"/>
      <w:bookmarkStart w:id="441" w:name="_Toc40788084"/>
      <w:bookmarkStart w:id="442" w:name="_Toc493699315"/>
      <w:bookmarkStart w:id="443" w:name="_Toc487802118"/>
      <w:r>
        <w:rPr>
          <w:rFonts w:hint="eastAsia" w:ascii="微软雅黑" w:hAnsi="微软雅黑" w:eastAsia="微软雅黑" w:cs="微软雅黑"/>
          <w:snapToGrid w:val="0"/>
          <w:color w:val="auto"/>
          <w:szCs w:val="21"/>
          <w:highlight w:val="none"/>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36"/>
      <w:bookmarkEnd w:id="437"/>
      <w:bookmarkEnd w:id="438"/>
      <w:bookmarkEnd w:id="439"/>
      <w:bookmarkEnd w:id="440"/>
      <w:bookmarkEnd w:id="441"/>
    </w:p>
    <w:p w14:paraId="277B0CA6">
      <w:pPr>
        <w:pStyle w:val="3"/>
        <w:spacing w:before="0" w:after="0" w:line="500" w:lineRule="exact"/>
        <w:rPr>
          <w:rFonts w:ascii="微软雅黑" w:hAnsi="微软雅黑" w:eastAsia="微软雅黑" w:cs="微软雅黑"/>
          <w:color w:val="auto"/>
          <w:sz w:val="21"/>
          <w:szCs w:val="21"/>
          <w:highlight w:val="none"/>
        </w:rPr>
      </w:pPr>
      <w:bookmarkStart w:id="444" w:name="_Toc53062747"/>
      <w:bookmarkStart w:id="445" w:name="_Toc40788085"/>
      <w:bookmarkStart w:id="446" w:name="_Toc100764236"/>
      <w:bookmarkStart w:id="447" w:name="_Toc89266873"/>
      <w:r>
        <w:rPr>
          <w:rFonts w:hint="eastAsia" w:ascii="微软雅黑" w:hAnsi="微软雅黑" w:eastAsia="微软雅黑" w:cs="微软雅黑"/>
          <w:color w:val="auto"/>
          <w:sz w:val="21"/>
          <w:szCs w:val="21"/>
          <w:highlight w:val="none"/>
        </w:rPr>
        <w:t>六 评标</w:t>
      </w:r>
      <w:bookmarkEnd w:id="442"/>
      <w:bookmarkEnd w:id="443"/>
      <w:bookmarkEnd w:id="444"/>
      <w:bookmarkEnd w:id="445"/>
      <w:bookmarkEnd w:id="446"/>
      <w:bookmarkEnd w:id="447"/>
    </w:p>
    <w:p w14:paraId="188F5E51">
      <w:pPr>
        <w:spacing w:after="0" w:line="500" w:lineRule="exact"/>
        <w:ind w:firstLine="410"/>
        <w:outlineLvl w:val="2"/>
        <w:rPr>
          <w:rFonts w:ascii="微软雅黑" w:hAnsi="微软雅黑" w:eastAsia="微软雅黑" w:cs="微软雅黑"/>
          <w:b/>
          <w:snapToGrid w:val="0"/>
          <w:color w:val="auto"/>
          <w:szCs w:val="21"/>
          <w:highlight w:val="none"/>
        </w:rPr>
      </w:pPr>
      <w:bookmarkStart w:id="448" w:name="_Toc53062748"/>
      <w:bookmarkStart w:id="449" w:name="_Toc40788086"/>
      <w:bookmarkStart w:id="450" w:name="_Toc89266874"/>
      <w:bookmarkStart w:id="451" w:name="_Toc100764237"/>
      <w:r>
        <w:rPr>
          <w:rFonts w:hint="eastAsia" w:ascii="微软雅黑" w:hAnsi="微软雅黑" w:eastAsia="微软雅黑" w:cs="微软雅黑"/>
          <w:b/>
          <w:snapToGrid w:val="0"/>
          <w:color w:val="auto"/>
          <w:szCs w:val="21"/>
          <w:highlight w:val="none"/>
        </w:rPr>
        <w:t>1、组建磋商小组</w:t>
      </w:r>
      <w:bookmarkEnd w:id="448"/>
      <w:bookmarkEnd w:id="449"/>
      <w:bookmarkEnd w:id="450"/>
      <w:bookmarkEnd w:id="451"/>
    </w:p>
    <w:p w14:paraId="450B10C8">
      <w:pPr>
        <w:spacing w:after="0" w:line="500" w:lineRule="exact"/>
        <w:ind w:firstLine="424" w:firstLineChars="202"/>
        <w:rPr>
          <w:rFonts w:ascii="微软雅黑" w:hAnsi="微软雅黑" w:eastAsia="微软雅黑" w:cs="微软雅黑"/>
          <w:snapToGrid w:val="0"/>
          <w:color w:val="auto"/>
          <w:szCs w:val="21"/>
          <w:highlight w:val="none"/>
        </w:rPr>
      </w:pPr>
      <w:bookmarkStart w:id="452" w:name="_Toc89266875"/>
      <w:bookmarkStart w:id="453" w:name="_Toc40788087"/>
      <w:bookmarkStart w:id="454" w:name="_Toc53062749"/>
      <w:r>
        <w:rPr>
          <w:rFonts w:hint="eastAsia" w:ascii="微软雅黑" w:hAnsi="微软雅黑" w:eastAsia="微软雅黑" w:cs="微软雅黑"/>
          <w:snapToGrid w:val="0"/>
          <w:color w:val="auto"/>
          <w:szCs w:val="21"/>
          <w:highlight w:val="none"/>
        </w:rPr>
        <w:t>本项目磋商小组由政府采购评审专家2人，采购单位代表1</w:t>
      </w:r>
      <w:r>
        <w:rPr>
          <w:rFonts w:hint="eastAsia" w:ascii="微软雅黑" w:hAnsi="微软雅黑" w:eastAsia="微软雅黑" w:cs="微软雅黑"/>
          <w:snapToGrid w:val="0"/>
          <w:color w:val="auto"/>
          <w:szCs w:val="21"/>
          <w:highlight w:val="none"/>
          <w:lang w:val="en-US" w:eastAsia="zh-CN"/>
        </w:rPr>
        <w:t>人</w:t>
      </w:r>
      <w:r>
        <w:rPr>
          <w:rFonts w:hint="eastAsia" w:ascii="微软雅黑" w:hAnsi="微软雅黑" w:eastAsia="微软雅黑" w:cs="微软雅黑"/>
          <w:snapToGrid w:val="0"/>
          <w:color w:val="auto"/>
          <w:szCs w:val="21"/>
          <w:highlight w:val="none"/>
        </w:rPr>
        <w:t>，共3</w:t>
      </w:r>
      <w:r>
        <w:rPr>
          <w:rFonts w:hint="eastAsia" w:ascii="微软雅黑" w:hAnsi="微软雅黑" w:eastAsia="微软雅黑" w:cs="微软雅黑"/>
          <w:snapToGrid w:val="0"/>
          <w:color w:val="auto"/>
          <w:szCs w:val="21"/>
          <w:highlight w:val="none"/>
          <w:lang w:eastAsia="zh-CN"/>
        </w:rPr>
        <w:t>人</w:t>
      </w:r>
      <w:r>
        <w:rPr>
          <w:rFonts w:hint="eastAsia" w:ascii="微软雅黑" w:hAnsi="微软雅黑" w:eastAsia="微软雅黑" w:cs="微软雅黑"/>
          <w:snapToGrid w:val="0"/>
          <w:color w:val="auto"/>
          <w:szCs w:val="21"/>
          <w:highlight w:val="none"/>
        </w:rPr>
        <w:t>组成。</w:t>
      </w:r>
      <w:bookmarkEnd w:id="452"/>
      <w:bookmarkEnd w:id="453"/>
      <w:bookmarkEnd w:id="454"/>
    </w:p>
    <w:p w14:paraId="22C80F96">
      <w:pPr>
        <w:spacing w:after="0" w:line="500" w:lineRule="exact"/>
        <w:ind w:firstLine="410"/>
        <w:outlineLvl w:val="2"/>
        <w:rPr>
          <w:rFonts w:ascii="微软雅黑" w:hAnsi="微软雅黑" w:eastAsia="微软雅黑" w:cs="微软雅黑"/>
          <w:b/>
          <w:snapToGrid w:val="0"/>
          <w:color w:val="auto"/>
          <w:szCs w:val="21"/>
          <w:highlight w:val="none"/>
        </w:rPr>
      </w:pPr>
      <w:bookmarkStart w:id="455" w:name="_Toc89266876"/>
      <w:bookmarkStart w:id="456" w:name="_Toc53062750"/>
      <w:bookmarkStart w:id="457" w:name="_Toc100764238"/>
      <w:bookmarkStart w:id="458" w:name="_Toc40788088"/>
      <w:r>
        <w:rPr>
          <w:rFonts w:hint="eastAsia" w:ascii="微软雅黑" w:hAnsi="微软雅黑" w:eastAsia="微软雅黑" w:cs="微软雅黑"/>
          <w:b/>
          <w:snapToGrid w:val="0"/>
          <w:color w:val="auto"/>
          <w:szCs w:val="21"/>
          <w:highlight w:val="none"/>
        </w:rPr>
        <w:t>2、磋商的方式</w:t>
      </w:r>
      <w:bookmarkEnd w:id="455"/>
      <w:bookmarkEnd w:id="456"/>
      <w:bookmarkEnd w:id="457"/>
      <w:bookmarkEnd w:id="458"/>
    </w:p>
    <w:p w14:paraId="2C37EF39">
      <w:pPr>
        <w:spacing w:after="0" w:line="500" w:lineRule="exact"/>
        <w:ind w:firstLine="424" w:firstLineChars="202"/>
        <w:rPr>
          <w:rFonts w:ascii="微软雅黑" w:hAnsi="微软雅黑" w:eastAsia="微软雅黑" w:cs="微软雅黑"/>
          <w:snapToGrid w:val="0"/>
          <w:color w:val="auto"/>
          <w:szCs w:val="21"/>
          <w:highlight w:val="none"/>
        </w:rPr>
      </w:pPr>
      <w:bookmarkStart w:id="459" w:name="_Toc40788089"/>
      <w:bookmarkStart w:id="460" w:name="_Toc53062751"/>
      <w:bookmarkStart w:id="461" w:name="_Toc89266877"/>
      <w:r>
        <w:rPr>
          <w:rFonts w:hint="eastAsia" w:ascii="微软雅黑" w:hAnsi="微软雅黑" w:eastAsia="微软雅黑" w:cs="微软雅黑"/>
          <w:snapToGrid w:val="0"/>
          <w:color w:val="auto"/>
          <w:szCs w:val="21"/>
          <w:highlight w:val="none"/>
        </w:rPr>
        <w:t>本项目采用不公开方式磋商，磋商的依据为竞争性磋商文件和竞争性磋商响应文件。</w:t>
      </w:r>
      <w:bookmarkEnd w:id="459"/>
      <w:bookmarkEnd w:id="460"/>
      <w:bookmarkEnd w:id="461"/>
    </w:p>
    <w:p w14:paraId="0F40CA69">
      <w:pPr>
        <w:spacing w:after="0" w:line="500" w:lineRule="exact"/>
        <w:ind w:firstLine="410"/>
        <w:outlineLvl w:val="2"/>
        <w:rPr>
          <w:rFonts w:ascii="微软雅黑" w:hAnsi="微软雅黑" w:eastAsia="微软雅黑" w:cs="微软雅黑"/>
          <w:b/>
          <w:snapToGrid w:val="0"/>
          <w:color w:val="auto"/>
          <w:szCs w:val="21"/>
          <w:highlight w:val="none"/>
        </w:rPr>
      </w:pPr>
      <w:bookmarkStart w:id="462" w:name="_Toc100764239"/>
      <w:bookmarkStart w:id="463" w:name="_Toc89266878"/>
      <w:bookmarkStart w:id="464" w:name="_Toc40788090"/>
      <w:bookmarkStart w:id="465" w:name="_Toc53062752"/>
      <w:r>
        <w:rPr>
          <w:rFonts w:hint="eastAsia" w:ascii="微软雅黑" w:hAnsi="微软雅黑" w:eastAsia="微软雅黑" w:cs="微软雅黑"/>
          <w:b/>
          <w:snapToGrid w:val="0"/>
          <w:color w:val="auto"/>
          <w:szCs w:val="21"/>
          <w:highlight w:val="none"/>
        </w:rPr>
        <w:t>3、磋商程序</w:t>
      </w:r>
      <w:bookmarkEnd w:id="462"/>
      <w:bookmarkEnd w:id="463"/>
      <w:bookmarkEnd w:id="464"/>
      <w:bookmarkEnd w:id="465"/>
    </w:p>
    <w:p w14:paraId="35DEF5FC">
      <w:pPr>
        <w:spacing w:after="0" w:line="500" w:lineRule="exact"/>
        <w:ind w:firstLine="424" w:firstLineChars="202"/>
        <w:rPr>
          <w:rFonts w:ascii="微软雅黑" w:hAnsi="微软雅黑" w:eastAsia="微软雅黑" w:cs="微软雅黑"/>
          <w:snapToGrid w:val="0"/>
          <w:color w:val="auto"/>
          <w:szCs w:val="21"/>
          <w:highlight w:val="none"/>
        </w:rPr>
      </w:pPr>
      <w:bookmarkStart w:id="466" w:name="_Toc53062753"/>
      <w:bookmarkStart w:id="467" w:name="_Toc40788091"/>
      <w:bookmarkStart w:id="468" w:name="_Toc89266879"/>
      <w:r>
        <w:rPr>
          <w:rFonts w:hint="eastAsia" w:ascii="微软雅黑" w:hAnsi="微软雅黑" w:eastAsia="微软雅黑" w:cs="微软雅黑"/>
          <w:snapToGrid w:val="0"/>
          <w:color w:val="auto"/>
          <w:szCs w:val="21"/>
          <w:highlight w:val="none"/>
        </w:rPr>
        <w:t>3.1、形式审查</w:t>
      </w:r>
      <w:bookmarkEnd w:id="466"/>
      <w:bookmarkEnd w:id="467"/>
      <w:bookmarkEnd w:id="468"/>
    </w:p>
    <w:p w14:paraId="2353797C">
      <w:pPr>
        <w:spacing w:after="0" w:line="500" w:lineRule="exact"/>
        <w:ind w:firstLine="424" w:firstLineChars="202"/>
        <w:rPr>
          <w:rFonts w:ascii="微软雅黑" w:hAnsi="微软雅黑" w:eastAsia="微软雅黑" w:cs="微软雅黑"/>
          <w:snapToGrid w:val="0"/>
          <w:color w:val="auto"/>
          <w:szCs w:val="21"/>
          <w:highlight w:val="none"/>
        </w:rPr>
      </w:pPr>
      <w:bookmarkStart w:id="469" w:name="_Toc53062754"/>
      <w:bookmarkStart w:id="470" w:name="_Toc89266880"/>
      <w:bookmarkStart w:id="471" w:name="_Toc40788092"/>
      <w:r>
        <w:rPr>
          <w:rFonts w:hint="eastAsia" w:ascii="微软雅黑" w:hAnsi="微软雅黑" w:eastAsia="微软雅黑" w:cs="微软雅黑"/>
          <w:snapToGrid w:val="0"/>
          <w:color w:val="auto"/>
          <w:szCs w:val="21"/>
          <w:highlight w:val="none"/>
        </w:rPr>
        <w:t>磋商小组对磋商供应商的资格和竞争性磋商响应文件的完整性、合法性等进行审查。</w:t>
      </w:r>
      <w:bookmarkEnd w:id="469"/>
      <w:bookmarkEnd w:id="470"/>
      <w:bookmarkEnd w:id="471"/>
    </w:p>
    <w:p w14:paraId="41632C85">
      <w:pPr>
        <w:spacing w:after="0" w:line="500" w:lineRule="exact"/>
        <w:ind w:firstLine="424" w:firstLineChars="202"/>
        <w:rPr>
          <w:rFonts w:ascii="微软雅黑" w:hAnsi="微软雅黑" w:eastAsia="微软雅黑" w:cs="微软雅黑"/>
          <w:snapToGrid w:val="0"/>
          <w:color w:val="auto"/>
          <w:szCs w:val="21"/>
          <w:highlight w:val="none"/>
        </w:rPr>
      </w:pPr>
      <w:bookmarkStart w:id="472" w:name="_Toc53062755"/>
      <w:bookmarkStart w:id="473" w:name="_Toc40788093"/>
      <w:bookmarkStart w:id="474" w:name="_Toc89266881"/>
      <w:r>
        <w:rPr>
          <w:rFonts w:hint="eastAsia" w:ascii="微软雅黑" w:hAnsi="微软雅黑" w:eastAsia="微软雅黑" w:cs="微软雅黑"/>
          <w:snapToGrid w:val="0"/>
          <w:color w:val="auto"/>
          <w:szCs w:val="21"/>
          <w:highlight w:val="none"/>
        </w:rPr>
        <w:t>3.2、实质审查与比较</w:t>
      </w:r>
      <w:bookmarkEnd w:id="472"/>
      <w:bookmarkEnd w:id="473"/>
      <w:bookmarkEnd w:id="474"/>
    </w:p>
    <w:p w14:paraId="17013B7E">
      <w:pPr>
        <w:spacing w:after="0" w:line="500" w:lineRule="exact"/>
        <w:ind w:firstLine="424" w:firstLineChars="202"/>
        <w:rPr>
          <w:rFonts w:ascii="微软雅黑" w:hAnsi="微软雅黑" w:eastAsia="微软雅黑" w:cs="微软雅黑"/>
          <w:snapToGrid w:val="0"/>
          <w:color w:val="auto"/>
          <w:szCs w:val="21"/>
          <w:highlight w:val="none"/>
        </w:rPr>
      </w:pPr>
      <w:bookmarkStart w:id="475" w:name="_Toc89266882"/>
      <w:bookmarkStart w:id="476" w:name="_Toc40788094"/>
      <w:bookmarkStart w:id="477" w:name="_Toc53062756"/>
      <w:r>
        <w:rPr>
          <w:rFonts w:hint="eastAsia" w:ascii="微软雅黑" w:hAnsi="微软雅黑" w:eastAsia="微软雅黑" w:cs="微软雅黑"/>
          <w:snapToGrid w:val="0"/>
          <w:color w:val="auto"/>
          <w:szCs w:val="21"/>
          <w:highlight w:val="none"/>
        </w:rPr>
        <w:t>3.2.1、磋商小组审查竞争性磋商响应文件的实质性内容是否符合竞争性磋商文件的实质性要求。</w:t>
      </w:r>
      <w:bookmarkEnd w:id="475"/>
      <w:bookmarkEnd w:id="476"/>
      <w:bookmarkEnd w:id="477"/>
    </w:p>
    <w:p w14:paraId="17A22ED2">
      <w:pPr>
        <w:spacing w:after="0" w:line="500" w:lineRule="exact"/>
        <w:ind w:firstLine="424" w:firstLineChars="202"/>
        <w:rPr>
          <w:rFonts w:ascii="微软雅黑" w:hAnsi="微软雅黑" w:eastAsia="微软雅黑" w:cs="微软雅黑"/>
          <w:snapToGrid w:val="0"/>
          <w:color w:val="auto"/>
          <w:szCs w:val="21"/>
          <w:highlight w:val="none"/>
        </w:rPr>
      </w:pPr>
      <w:bookmarkStart w:id="478" w:name="_Toc53062757"/>
      <w:bookmarkStart w:id="479" w:name="_Toc40788095"/>
      <w:bookmarkStart w:id="480" w:name="_Toc89266883"/>
      <w:r>
        <w:rPr>
          <w:rFonts w:hint="eastAsia" w:ascii="微软雅黑" w:hAnsi="微软雅黑" w:eastAsia="微软雅黑" w:cs="微软雅黑"/>
          <w:snapToGrid w:val="0"/>
          <w:color w:val="auto"/>
          <w:szCs w:val="21"/>
          <w:highlight w:val="none"/>
        </w:rPr>
        <w:t>3.2.2、磋商小组将根据磋商供应商的竞争性磋商响应文件进行审查、核对,如有疑问,将对磋商供应商进行询标,磋商供应商要向磋商小组澄清有关问题,并最终以书面形式进行答复。</w:t>
      </w:r>
      <w:bookmarkEnd w:id="478"/>
      <w:bookmarkEnd w:id="479"/>
      <w:bookmarkEnd w:id="480"/>
    </w:p>
    <w:p w14:paraId="388A5CCB">
      <w:pPr>
        <w:spacing w:after="0" w:line="500" w:lineRule="exact"/>
        <w:ind w:firstLine="424" w:firstLineChars="202"/>
        <w:rPr>
          <w:rFonts w:ascii="微软雅黑" w:hAnsi="微软雅黑" w:eastAsia="微软雅黑" w:cs="微软雅黑"/>
          <w:snapToGrid w:val="0"/>
          <w:color w:val="auto"/>
          <w:szCs w:val="21"/>
          <w:highlight w:val="none"/>
        </w:rPr>
      </w:pPr>
      <w:bookmarkStart w:id="481" w:name="_Toc53062758"/>
      <w:bookmarkStart w:id="482" w:name="_Toc89266884"/>
      <w:bookmarkStart w:id="483" w:name="_Toc40788096"/>
      <w:r>
        <w:rPr>
          <w:rFonts w:hint="eastAsia" w:ascii="微软雅黑" w:hAnsi="微软雅黑" w:eastAsia="微软雅黑" w:cs="微软雅黑"/>
          <w:snapToGrid w:val="0"/>
          <w:color w:val="auto"/>
          <w:szCs w:val="21"/>
          <w:highlight w:val="none"/>
        </w:rPr>
        <w:t>询标时，磋商供应商代表未到场或者拒绝澄清或者澄清的内容改变了竞争性磋商响应文件的实质性内容的，磋商小组有权对该竞争性磋商响应文件作出不利于磋商供应商的评判。</w:t>
      </w:r>
      <w:bookmarkEnd w:id="481"/>
      <w:bookmarkEnd w:id="482"/>
      <w:bookmarkEnd w:id="483"/>
    </w:p>
    <w:p w14:paraId="398D2E7B">
      <w:pPr>
        <w:spacing w:after="0" w:line="500" w:lineRule="exact"/>
        <w:ind w:firstLine="424" w:firstLineChars="202"/>
        <w:rPr>
          <w:rFonts w:ascii="微软雅黑" w:hAnsi="微软雅黑" w:eastAsia="微软雅黑" w:cs="微软雅黑"/>
          <w:snapToGrid w:val="0"/>
          <w:color w:val="auto"/>
          <w:szCs w:val="21"/>
          <w:highlight w:val="none"/>
        </w:rPr>
      </w:pPr>
      <w:bookmarkStart w:id="484" w:name="_Toc53062759"/>
      <w:bookmarkStart w:id="485" w:name="_Toc40788097"/>
      <w:bookmarkStart w:id="486" w:name="_Toc89266885"/>
      <w:r>
        <w:rPr>
          <w:rFonts w:hint="eastAsia" w:ascii="微软雅黑" w:hAnsi="微软雅黑" w:eastAsia="微软雅黑" w:cs="微软雅黑"/>
          <w:snapToGrid w:val="0"/>
          <w:color w:val="auto"/>
          <w:szCs w:val="21"/>
          <w:highlight w:val="none"/>
        </w:rPr>
        <w:t>3.2.3、各磋商供应商的资信商务及技术分按照磋商小组成员的独立评分汇总后的算术平均分计算。</w:t>
      </w:r>
      <w:bookmarkEnd w:id="484"/>
      <w:bookmarkEnd w:id="485"/>
      <w:bookmarkEnd w:id="486"/>
    </w:p>
    <w:p w14:paraId="09697675">
      <w:pPr>
        <w:spacing w:after="0" w:line="500" w:lineRule="exact"/>
        <w:ind w:firstLine="424" w:firstLineChars="202"/>
        <w:rPr>
          <w:rFonts w:ascii="微软雅黑" w:hAnsi="微软雅黑" w:eastAsia="微软雅黑" w:cs="微软雅黑"/>
          <w:snapToGrid w:val="0"/>
          <w:color w:val="auto"/>
          <w:szCs w:val="21"/>
          <w:highlight w:val="none"/>
        </w:rPr>
      </w:pPr>
      <w:bookmarkStart w:id="487" w:name="_Toc40788098"/>
      <w:bookmarkStart w:id="488" w:name="_Toc53062760"/>
      <w:bookmarkStart w:id="489" w:name="_Toc89266886"/>
      <w:r>
        <w:rPr>
          <w:rFonts w:hint="eastAsia" w:ascii="微软雅黑" w:hAnsi="微软雅黑" w:eastAsia="微软雅黑" w:cs="微软雅黑"/>
          <w:snapToGrid w:val="0"/>
          <w:color w:val="auto"/>
          <w:szCs w:val="21"/>
          <w:highlight w:val="none"/>
        </w:rPr>
        <w:t>3.2.4、代理公司工作人员协助磋商小组根据本项目的评分标准操作政府采购业务系统，由系统计算各磋商供应商的商务报价得分。</w:t>
      </w:r>
      <w:bookmarkEnd w:id="487"/>
      <w:bookmarkEnd w:id="488"/>
      <w:bookmarkEnd w:id="489"/>
    </w:p>
    <w:p w14:paraId="045FD0C9">
      <w:pPr>
        <w:spacing w:after="0" w:line="500" w:lineRule="exact"/>
        <w:ind w:firstLine="424" w:firstLineChars="202"/>
        <w:rPr>
          <w:rFonts w:ascii="微软雅黑" w:hAnsi="微软雅黑" w:eastAsia="微软雅黑" w:cs="微软雅黑"/>
          <w:snapToGrid w:val="0"/>
          <w:color w:val="auto"/>
          <w:szCs w:val="21"/>
          <w:highlight w:val="none"/>
        </w:rPr>
      </w:pPr>
      <w:bookmarkStart w:id="490" w:name="_Toc53062761"/>
      <w:bookmarkStart w:id="491" w:name="_Toc89266887"/>
      <w:bookmarkStart w:id="492" w:name="_Toc40788099"/>
      <w:r>
        <w:rPr>
          <w:rFonts w:hint="eastAsia" w:ascii="微软雅黑" w:hAnsi="微软雅黑" w:eastAsia="微软雅黑" w:cs="微软雅黑"/>
          <w:snapToGrid w:val="0"/>
          <w:color w:val="auto"/>
          <w:szCs w:val="21"/>
          <w:highlight w:val="none"/>
        </w:rPr>
        <w:t>3.2.5、磋商小组完成评标后,评委对各部分得分汇总,计算出本项目最终得分、性价比、评标价等。磋商小组按评标原则推荐中标候选人同时起草评标报告。</w:t>
      </w:r>
      <w:bookmarkEnd w:id="490"/>
      <w:bookmarkEnd w:id="491"/>
      <w:bookmarkEnd w:id="492"/>
    </w:p>
    <w:p w14:paraId="16147F60">
      <w:pPr>
        <w:spacing w:after="0" w:line="500" w:lineRule="exact"/>
        <w:ind w:firstLine="410"/>
        <w:outlineLvl w:val="2"/>
        <w:rPr>
          <w:rFonts w:ascii="微软雅黑" w:hAnsi="微软雅黑" w:eastAsia="微软雅黑" w:cs="微软雅黑"/>
          <w:b/>
          <w:snapToGrid w:val="0"/>
          <w:color w:val="auto"/>
          <w:szCs w:val="21"/>
          <w:highlight w:val="none"/>
        </w:rPr>
      </w:pPr>
      <w:bookmarkStart w:id="493" w:name="_Toc53062762"/>
      <w:bookmarkStart w:id="494" w:name="_Toc100764240"/>
      <w:bookmarkStart w:id="495" w:name="_Toc40788100"/>
      <w:bookmarkStart w:id="496" w:name="_Toc89266888"/>
      <w:r>
        <w:rPr>
          <w:rFonts w:hint="eastAsia" w:ascii="微软雅黑" w:hAnsi="微软雅黑" w:eastAsia="微软雅黑" w:cs="微软雅黑"/>
          <w:b/>
          <w:snapToGrid w:val="0"/>
          <w:color w:val="auto"/>
          <w:szCs w:val="21"/>
          <w:highlight w:val="none"/>
        </w:rPr>
        <w:t>4、澄清问题的形式</w:t>
      </w:r>
      <w:bookmarkEnd w:id="493"/>
      <w:bookmarkEnd w:id="494"/>
      <w:bookmarkEnd w:id="495"/>
      <w:bookmarkEnd w:id="496"/>
    </w:p>
    <w:p w14:paraId="16B40630">
      <w:pPr>
        <w:spacing w:after="0" w:line="500" w:lineRule="exact"/>
        <w:ind w:firstLine="424" w:firstLineChars="202"/>
        <w:rPr>
          <w:rFonts w:ascii="微软雅黑" w:hAnsi="微软雅黑" w:eastAsia="微软雅黑" w:cs="微软雅黑"/>
          <w:snapToGrid w:val="0"/>
          <w:color w:val="auto"/>
          <w:szCs w:val="21"/>
          <w:highlight w:val="none"/>
        </w:rPr>
      </w:pPr>
      <w:bookmarkStart w:id="497" w:name="_Toc40788101"/>
      <w:bookmarkStart w:id="498" w:name="_Toc89266889"/>
      <w:bookmarkStart w:id="499" w:name="_Toc53062763"/>
      <w:r>
        <w:rPr>
          <w:rFonts w:hint="eastAsia" w:ascii="微软雅黑" w:hAnsi="微软雅黑" w:eastAsia="微软雅黑" w:cs="微软雅黑"/>
          <w:snapToGrid w:val="0"/>
          <w:color w:val="auto"/>
          <w:szCs w:val="21"/>
          <w:highlight w:val="none"/>
        </w:rPr>
        <w:t>对竞争性磋商响应文件中含义不明确、同类问题表述不一致或者有明显文字和计算错误的内容，磋商小组可要求磋商供应商作出必要的澄清、说明或者纠正。磋商供应商的澄清、说明或者补正应当采用书面（或通过“政府采购云平台”在线询标）的形式要求投标供应商在规定的时间内作出必要的澄清、说明或者补正，投标供应商澄清、说明或补正时间为不超过30分钟。</w:t>
      </w:r>
      <w:bookmarkEnd w:id="497"/>
      <w:bookmarkEnd w:id="498"/>
      <w:bookmarkEnd w:id="499"/>
    </w:p>
    <w:p w14:paraId="73AA7256">
      <w:pPr>
        <w:spacing w:after="0" w:line="500" w:lineRule="exact"/>
        <w:ind w:firstLine="410"/>
        <w:outlineLvl w:val="2"/>
        <w:rPr>
          <w:rFonts w:ascii="微软雅黑" w:hAnsi="微软雅黑" w:eastAsia="微软雅黑" w:cs="微软雅黑"/>
          <w:b/>
          <w:snapToGrid w:val="0"/>
          <w:color w:val="auto"/>
          <w:szCs w:val="21"/>
          <w:highlight w:val="none"/>
        </w:rPr>
      </w:pPr>
      <w:bookmarkStart w:id="500" w:name="_Toc40788102"/>
      <w:bookmarkStart w:id="501" w:name="_Toc89266890"/>
      <w:bookmarkStart w:id="502" w:name="_Toc53062764"/>
      <w:bookmarkStart w:id="503" w:name="_Toc100764241"/>
      <w:r>
        <w:rPr>
          <w:rFonts w:hint="eastAsia" w:ascii="微软雅黑" w:hAnsi="微软雅黑" w:eastAsia="微软雅黑" w:cs="微软雅黑"/>
          <w:b/>
          <w:snapToGrid w:val="0"/>
          <w:color w:val="auto"/>
          <w:szCs w:val="21"/>
          <w:highlight w:val="none"/>
        </w:rPr>
        <w:t>5、错误修正</w:t>
      </w:r>
      <w:bookmarkEnd w:id="500"/>
      <w:bookmarkEnd w:id="501"/>
      <w:bookmarkEnd w:id="502"/>
      <w:bookmarkEnd w:id="503"/>
    </w:p>
    <w:p w14:paraId="2337F613">
      <w:pPr>
        <w:spacing w:after="0" w:line="500" w:lineRule="exact"/>
        <w:ind w:firstLine="424" w:firstLineChars="202"/>
        <w:rPr>
          <w:rFonts w:ascii="微软雅黑" w:hAnsi="微软雅黑" w:eastAsia="微软雅黑" w:cs="微软雅黑"/>
          <w:snapToGrid w:val="0"/>
          <w:color w:val="auto"/>
          <w:szCs w:val="21"/>
          <w:highlight w:val="none"/>
        </w:rPr>
      </w:pPr>
      <w:bookmarkStart w:id="504" w:name="_Toc40788103"/>
      <w:bookmarkStart w:id="505" w:name="_Toc53062765"/>
      <w:bookmarkStart w:id="506" w:name="_Toc89266891"/>
      <w:r>
        <w:rPr>
          <w:rFonts w:hint="eastAsia" w:ascii="微软雅黑" w:hAnsi="微软雅黑" w:eastAsia="微软雅黑" w:cs="微软雅黑"/>
          <w:snapToGrid w:val="0"/>
          <w:color w:val="auto"/>
          <w:szCs w:val="21"/>
          <w:highlight w:val="none"/>
        </w:rPr>
        <w:t>竞争性磋商响应文件如果出现计算或表达上的错误，修正错误的原则如下：</w:t>
      </w:r>
      <w:bookmarkEnd w:id="504"/>
      <w:bookmarkEnd w:id="505"/>
      <w:bookmarkEnd w:id="506"/>
    </w:p>
    <w:p w14:paraId="1FFFAA8B">
      <w:pPr>
        <w:spacing w:after="0" w:line="500" w:lineRule="exact"/>
        <w:ind w:firstLine="424" w:firstLineChars="202"/>
        <w:rPr>
          <w:rFonts w:ascii="微软雅黑" w:hAnsi="微软雅黑" w:eastAsia="微软雅黑" w:cs="微软雅黑"/>
          <w:snapToGrid w:val="0"/>
          <w:color w:val="auto"/>
          <w:szCs w:val="21"/>
          <w:highlight w:val="none"/>
        </w:rPr>
      </w:pPr>
      <w:bookmarkStart w:id="507" w:name="_Toc40788104"/>
      <w:bookmarkStart w:id="508" w:name="_Toc89266892"/>
      <w:bookmarkStart w:id="509" w:name="_Toc53062766"/>
      <w:r>
        <w:rPr>
          <w:rFonts w:hint="eastAsia" w:ascii="微软雅黑" w:hAnsi="微软雅黑" w:eastAsia="微软雅黑" w:cs="微软雅黑"/>
          <w:snapToGrid w:val="0"/>
          <w:color w:val="auto"/>
          <w:szCs w:val="21"/>
          <w:highlight w:val="none"/>
        </w:rPr>
        <w:t>5.1、开标一览表总价与投标报价明细表汇总数不一致的，以开标一览表为准；</w:t>
      </w:r>
      <w:bookmarkEnd w:id="507"/>
      <w:bookmarkEnd w:id="508"/>
      <w:bookmarkEnd w:id="509"/>
    </w:p>
    <w:p w14:paraId="2F6B598B">
      <w:pPr>
        <w:spacing w:after="0" w:line="500" w:lineRule="exact"/>
        <w:ind w:firstLine="424" w:firstLineChars="202"/>
        <w:rPr>
          <w:rFonts w:ascii="微软雅黑" w:hAnsi="微软雅黑" w:eastAsia="微软雅黑" w:cs="微软雅黑"/>
          <w:snapToGrid w:val="0"/>
          <w:color w:val="auto"/>
          <w:szCs w:val="21"/>
          <w:highlight w:val="none"/>
        </w:rPr>
      </w:pPr>
      <w:bookmarkStart w:id="510" w:name="_Toc89266893"/>
      <w:bookmarkStart w:id="511" w:name="_Toc40788105"/>
      <w:bookmarkStart w:id="512" w:name="_Toc53062767"/>
      <w:r>
        <w:rPr>
          <w:rFonts w:hint="eastAsia" w:ascii="微软雅黑" w:hAnsi="微软雅黑" w:eastAsia="微软雅黑" w:cs="微软雅黑"/>
          <w:snapToGrid w:val="0"/>
          <w:color w:val="auto"/>
          <w:szCs w:val="21"/>
          <w:highlight w:val="none"/>
        </w:rPr>
        <w:t>5.2、竞争性磋商响应文件的大写金额和小写金额不一致的，以大写金额为准；</w:t>
      </w:r>
      <w:bookmarkEnd w:id="510"/>
      <w:bookmarkEnd w:id="511"/>
      <w:bookmarkEnd w:id="512"/>
    </w:p>
    <w:p w14:paraId="7BEFBBEE">
      <w:pPr>
        <w:spacing w:after="0" w:line="500" w:lineRule="exact"/>
        <w:ind w:firstLine="424" w:firstLineChars="202"/>
        <w:rPr>
          <w:rFonts w:ascii="微软雅黑" w:hAnsi="微软雅黑" w:eastAsia="微软雅黑" w:cs="微软雅黑"/>
          <w:snapToGrid w:val="0"/>
          <w:color w:val="auto"/>
          <w:szCs w:val="21"/>
          <w:highlight w:val="none"/>
        </w:rPr>
      </w:pPr>
      <w:bookmarkStart w:id="513" w:name="_Toc53062768"/>
      <w:bookmarkStart w:id="514" w:name="_Toc40788106"/>
      <w:bookmarkStart w:id="515" w:name="_Toc89266894"/>
      <w:r>
        <w:rPr>
          <w:rFonts w:hint="eastAsia" w:ascii="微软雅黑" w:hAnsi="微软雅黑" w:eastAsia="微软雅黑" w:cs="微软雅黑"/>
          <w:snapToGrid w:val="0"/>
          <w:color w:val="auto"/>
          <w:szCs w:val="21"/>
          <w:highlight w:val="none"/>
        </w:rPr>
        <w:t>5.3、总价金额与按单价汇总金额不一致的，以单价金额计算结果为准；</w:t>
      </w:r>
      <w:bookmarkEnd w:id="513"/>
      <w:bookmarkEnd w:id="514"/>
      <w:bookmarkEnd w:id="515"/>
    </w:p>
    <w:p w14:paraId="55706512">
      <w:pPr>
        <w:spacing w:after="0" w:line="500" w:lineRule="exact"/>
        <w:ind w:firstLine="424" w:firstLineChars="202"/>
        <w:rPr>
          <w:rFonts w:ascii="微软雅黑" w:hAnsi="微软雅黑" w:eastAsia="微软雅黑" w:cs="微软雅黑"/>
          <w:snapToGrid w:val="0"/>
          <w:color w:val="auto"/>
          <w:szCs w:val="21"/>
          <w:highlight w:val="none"/>
        </w:rPr>
      </w:pPr>
      <w:bookmarkStart w:id="516" w:name="_Toc53062769"/>
      <w:bookmarkStart w:id="517" w:name="_Toc40788107"/>
      <w:bookmarkStart w:id="518" w:name="_Toc89266895"/>
      <w:r>
        <w:rPr>
          <w:rFonts w:hint="eastAsia" w:ascii="微软雅黑" w:hAnsi="微软雅黑" w:eastAsia="微软雅黑" w:cs="微软雅黑"/>
          <w:snapToGrid w:val="0"/>
          <w:color w:val="auto"/>
          <w:szCs w:val="21"/>
          <w:highlight w:val="none"/>
        </w:rPr>
        <w:t>5.4、对不同文字文本竞争性磋商响应文件的解释发生异议的，以中文文本为准。</w:t>
      </w:r>
      <w:bookmarkEnd w:id="516"/>
      <w:bookmarkEnd w:id="517"/>
      <w:bookmarkEnd w:id="518"/>
    </w:p>
    <w:p w14:paraId="74931BD9">
      <w:pPr>
        <w:spacing w:after="0" w:line="500" w:lineRule="exact"/>
        <w:ind w:firstLine="424" w:firstLineChars="202"/>
        <w:rPr>
          <w:rFonts w:ascii="微软雅黑" w:hAnsi="微软雅黑" w:eastAsia="微软雅黑" w:cs="微软雅黑"/>
          <w:snapToGrid w:val="0"/>
          <w:color w:val="auto"/>
          <w:szCs w:val="21"/>
          <w:highlight w:val="none"/>
        </w:rPr>
      </w:pPr>
      <w:bookmarkStart w:id="519" w:name="_Toc89266896"/>
      <w:bookmarkStart w:id="520" w:name="_Toc53062770"/>
      <w:bookmarkStart w:id="521" w:name="_Toc40788108"/>
      <w:r>
        <w:rPr>
          <w:rFonts w:hint="eastAsia" w:ascii="微软雅黑" w:hAnsi="微软雅黑" w:eastAsia="微软雅黑" w:cs="微软雅黑"/>
          <w:snapToGrid w:val="0"/>
          <w:color w:val="auto"/>
          <w:szCs w:val="21"/>
          <w:highlight w:val="none"/>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19"/>
      <w:bookmarkEnd w:id="520"/>
      <w:bookmarkEnd w:id="521"/>
    </w:p>
    <w:p w14:paraId="6C8404AB">
      <w:pPr>
        <w:spacing w:after="0" w:line="500" w:lineRule="exact"/>
        <w:ind w:firstLine="410"/>
        <w:outlineLvl w:val="2"/>
        <w:rPr>
          <w:rFonts w:ascii="微软雅黑" w:hAnsi="微软雅黑" w:eastAsia="微软雅黑" w:cs="微软雅黑"/>
          <w:b/>
          <w:snapToGrid w:val="0"/>
          <w:color w:val="auto"/>
          <w:szCs w:val="21"/>
          <w:highlight w:val="none"/>
        </w:rPr>
      </w:pPr>
      <w:bookmarkStart w:id="522" w:name="_Toc40788109"/>
      <w:bookmarkStart w:id="523" w:name="_Toc89266897"/>
      <w:bookmarkStart w:id="524" w:name="_Toc53062771"/>
      <w:bookmarkStart w:id="525" w:name="_Toc100764242"/>
      <w:r>
        <w:rPr>
          <w:rFonts w:hint="eastAsia" w:ascii="微软雅黑" w:hAnsi="微软雅黑" w:eastAsia="微软雅黑" w:cs="微软雅黑"/>
          <w:b/>
          <w:snapToGrid w:val="0"/>
          <w:color w:val="auto"/>
          <w:szCs w:val="21"/>
          <w:highlight w:val="none"/>
        </w:rPr>
        <w:t>6、评标原则和评标办法</w:t>
      </w:r>
      <w:bookmarkEnd w:id="522"/>
      <w:bookmarkEnd w:id="523"/>
      <w:bookmarkEnd w:id="524"/>
      <w:bookmarkEnd w:id="525"/>
    </w:p>
    <w:p w14:paraId="5E3F33AF">
      <w:pPr>
        <w:spacing w:after="0" w:line="500" w:lineRule="exact"/>
        <w:ind w:firstLine="424" w:firstLineChars="202"/>
        <w:rPr>
          <w:rFonts w:ascii="微软雅黑" w:hAnsi="微软雅黑" w:eastAsia="微软雅黑" w:cs="微软雅黑"/>
          <w:snapToGrid w:val="0"/>
          <w:color w:val="auto"/>
          <w:szCs w:val="21"/>
          <w:highlight w:val="none"/>
        </w:rPr>
      </w:pPr>
      <w:bookmarkStart w:id="526" w:name="_Toc53062772"/>
      <w:bookmarkStart w:id="527" w:name="_Toc40788110"/>
      <w:bookmarkStart w:id="528" w:name="_Toc89266898"/>
      <w:r>
        <w:rPr>
          <w:rFonts w:hint="eastAsia" w:ascii="微软雅黑" w:hAnsi="微软雅黑" w:eastAsia="微软雅黑" w:cs="微软雅黑"/>
          <w:snapToGrid w:val="0"/>
          <w:color w:val="auto"/>
          <w:szCs w:val="21"/>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bookmarkEnd w:id="526"/>
      <w:bookmarkEnd w:id="527"/>
      <w:bookmarkEnd w:id="528"/>
    </w:p>
    <w:p w14:paraId="0BE0CE51">
      <w:pPr>
        <w:spacing w:after="0" w:line="500" w:lineRule="exact"/>
        <w:ind w:firstLine="424" w:firstLineChars="202"/>
        <w:rPr>
          <w:rFonts w:ascii="微软雅黑" w:hAnsi="微软雅黑" w:eastAsia="微软雅黑" w:cs="微软雅黑"/>
          <w:snapToGrid w:val="0"/>
          <w:color w:val="auto"/>
          <w:szCs w:val="21"/>
          <w:highlight w:val="none"/>
        </w:rPr>
      </w:pPr>
      <w:bookmarkStart w:id="529" w:name="_Toc40788111"/>
      <w:bookmarkStart w:id="530" w:name="_Toc53062773"/>
      <w:bookmarkStart w:id="531" w:name="_Toc89266899"/>
      <w:r>
        <w:rPr>
          <w:rFonts w:hint="eastAsia" w:ascii="微软雅黑" w:hAnsi="微软雅黑" w:eastAsia="微软雅黑" w:cs="微软雅黑"/>
          <w:snapToGrid w:val="0"/>
          <w:color w:val="auto"/>
          <w:szCs w:val="21"/>
          <w:highlight w:val="none"/>
        </w:rPr>
        <w:t>6.2、评标办法。本项目评标办法是综合评标法，具体评标内容及评分标准等详见《第四章：评标办法及评分标准》。</w:t>
      </w:r>
      <w:bookmarkEnd w:id="529"/>
      <w:bookmarkEnd w:id="530"/>
      <w:bookmarkEnd w:id="531"/>
    </w:p>
    <w:p w14:paraId="53BFEE2A">
      <w:pPr>
        <w:spacing w:after="0" w:line="500" w:lineRule="exact"/>
        <w:ind w:firstLine="410"/>
        <w:outlineLvl w:val="2"/>
        <w:rPr>
          <w:rFonts w:ascii="微软雅黑" w:hAnsi="微软雅黑" w:eastAsia="微软雅黑" w:cs="微软雅黑"/>
          <w:b/>
          <w:snapToGrid w:val="0"/>
          <w:color w:val="auto"/>
          <w:szCs w:val="21"/>
          <w:highlight w:val="none"/>
        </w:rPr>
      </w:pPr>
      <w:bookmarkStart w:id="532" w:name="_Toc89266900"/>
      <w:bookmarkStart w:id="533" w:name="_Toc100764243"/>
      <w:bookmarkStart w:id="534" w:name="_Toc40788112"/>
      <w:bookmarkStart w:id="535" w:name="_Toc53062774"/>
      <w:r>
        <w:rPr>
          <w:rFonts w:hint="eastAsia" w:ascii="微软雅黑" w:hAnsi="微软雅黑" w:eastAsia="微软雅黑" w:cs="微软雅黑"/>
          <w:b/>
          <w:snapToGrid w:val="0"/>
          <w:color w:val="auto"/>
          <w:szCs w:val="21"/>
          <w:highlight w:val="none"/>
        </w:rPr>
        <w:t>7、评标过程的监控</w:t>
      </w:r>
      <w:bookmarkEnd w:id="532"/>
      <w:bookmarkEnd w:id="533"/>
      <w:bookmarkEnd w:id="534"/>
      <w:bookmarkEnd w:id="535"/>
    </w:p>
    <w:p w14:paraId="37CECD74">
      <w:pPr>
        <w:spacing w:after="0" w:line="500" w:lineRule="exact"/>
        <w:ind w:firstLine="424" w:firstLineChars="202"/>
        <w:rPr>
          <w:rFonts w:ascii="微软雅黑" w:hAnsi="微软雅黑" w:eastAsia="微软雅黑" w:cs="微软雅黑"/>
          <w:snapToGrid w:val="0"/>
          <w:color w:val="auto"/>
          <w:szCs w:val="21"/>
          <w:highlight w:val="none"/>
        </w:rPr>
      </w:pPr>
      <w:bookmarkStart w:id="536" w:name="_Toc53062775"/>
      <w:bookmarkStart w:id="537" w:name="_Toc40788113"/>
      <w:bookmarkStart w:id="538" w:name="_Toc89266901"/>
      <w:r>
        <w:rPr>
          <w:rFonts w:hint="eastAsia" w:ascii="微软雅黑" w:hAnsi="微软雅黑" w:eastAsia="微软雅黑" w:cs="微软雅黑"/>
          <w:snapToGrid w:val="0"/>
          <w:color w:val="auto"/>
          <w:szCs w:val="21"/>
          <w:highlight w:val="none"/>
        </w:rPr>
        <w:t>本项目评标过程实行全程录音、录像监控。磋商供应商在评标过程中所进行的试图影响评标结果的不公正活动，可能导致其投标被拒绝。</w:t>
      </w:r>
      <w:bookmarkEnd w:id="536"/>
      <w:bookmarkEnd w:id="537"/>
      <w:bookmarkEnd w:id="538"/>
    </w:p>
    <w:bookmarkEnd w:id="372"/>
    <w:p w14:paraId="5B80C827">
      <w:pPr>
        <w:pStyle w:val="3"/>
        <w:spacing w:before="0" w:after="0" w:line="500" w:lineRule="exact"/>
        <w:rPr>
          <w:rFonts w:ascii="微软雅黑" w:hAnsi="微软雅黑" w:eastAsia="微软雅黑" w:cs="微软雅黑"/>
          <w:color w:val="auto"/>
          <w:sz w:val="21"/>
          <w:szCs w:val="21"/>
          <w:highlight w:val="none"/>
        </w:rPr>
      </w:pPr>
      <w:bookmarkStart w:id="539" w:name="_Toc89266902"/>
      <w:bookmarkStart w:id="540" w:name="_Toc53062776"/>
      <w:bookmarkStart w:id="541" w:name="_Toc40788114"/>
      <w:bookmarkStart w:id="542" w:name="_Toc100764244"/>
      <w:bookmarkStart w:id="543" w:name="_Toc493699316"/>
      <w:r>
        <w:rPr>
          <w:rFonts w:hint="eastAsia" w:ascii="微软雅黑" w:hAnsi="微软雅黑" w:eastAsia="微软雅黑" w:cs="微软雅黑"/>
          <w:color w:val="auto"/>
          <w:sz w:val="21"/>
          <w:szCs w:val="21"/>
          <w:highlight w:val="none"/>
        </w:rPr>
        <w:t>七  磋商结果的确定</w:t>
      </w:r>
      <w:bookmarkEnd w:id="539"/>
      <w:bookmarkEnd w:id="540"/>
      <w:bookmarkEnd w:id="541"/>
      <w:bookmarkEnd w:id="542"/>
      <w:bookmarkEnd w:id="543"/>
    </w:p>
    <w:p w14:paraId="2DFB7F72">
      <w:pPr>
        <w:spacing w:after="0" w:line="500" w:lineRule="exact"/>
        <w:ind w:firstLine="410"/>
        <w:outlineLvl w:val="2"/>
        <w:rPr>
          <w:rFonts w:ascii="微软雅黑" w:hAnsi="微软雅黑" w:eastAsia="微软雅黑" w:cs="微软雅黑"/>
          <w:b/>
          <w:snapToGrid w:val="0"/>
          <w:color w:val="auto"/>
          <w:szCs w:val="21"/>
          <w:highlight w:val="none"/>
        </w:rPr>
      </w:pPr>
      <w:bookmarkStart w:id="544" w:name="_Toc100764245"/>
      <w:r>
        <w:rPr>
          <w:rFonts w:hint="eastAsia" w:ascii="微软雅黑" w:hAnsi="微软雅黑" w:eastAsia="微软雅黑" w:cs="微软雅黑"/>
          <w:b/>
          <w:snapToGrid w:val="0"/>
          <w:color w:val="auto"/>
          <w:szCs w:val="21"/>
          <w:highlight w:val="none"/>
        </w:rPr>
        <w:t>1、磋商结果确定</w:t>
      </w:r>
      <w:bookmarkEnd w:id="544"/>
    </w:p>
    <w:p w14:paraId="726D47B6">
      <w:pPr>
        <w:spacing w:after="0" w:line="500" w:lineRule="exact"/>
        <w:ind w:firstLine="424" w:firstLineChars="202"/>
        <w:rPr>
          <w:rFonts w:ascii="微软雅黑" w:hAnsi="微软雅黑" w:eastAsia="微软雅黑" w:cs="微软雅黑"/>
          <w:snapToGrid w:val="0"/>
          <w:color w:val="auto"/>
          <w:szCs w:val="21"/>
          <w:highlight w:val="none"/>
        </w:rPr>
      </w:pPr>
      <w:bookmarkStart w:id="545" w:name="_Toc89266903"/>
      <w:bookmarkStart w:id="546" w:name="_Toc53062777"/>
      <w:bookmarkStart w:id="547" w:name="_Toc40788115"/>
      <w:r>
        <w:rPr>
          <w:rFonts w:hint="eastAsia" w:ascii="微软雅黑" w:hAnsi="微软雅黑" w:eastAsia="微软雅黑" w:cs="微软雅黑"/>
          <w:snapToGrid w:val="0"/>
          <w:color w:val="auto"/>
          <w:szCs w:val="21"/>
          <w:highlight w:val="none"/>
        </w:rPr>
        <w:t>1.1、采购单位事先授权磋商小组直接确定成交供应商，磋商小组可直接确定成交供应商。</w:t>
      </w:r>
      <w:bookmarkEnd w:id="545"/>
      <w:bookmarkEnd w:id="546"/>
      <w:bookmarkEnd w:id="547"/>
      <w:bookmarkStart w:id="548" w:name="_Toc107820051"/>
      <w:bookmarkStart w:id="549" w:name="_Toc170792772"/>
    </w:p>
    <w:p w14:paraId="6CC404E5">
      <w:pPr>
        <w:spacing w:after="0" w:line="500" w:lineRule="exact"/>
        <w:ind w:firstLine="424" w:firstLineChars="202"/>
        <w:rPr>
          <w:rFonts w:ascii="微软雅黑" w:hAnsi="微软雅黑" w:eastAsia="微软雅黑" w:cs="微软雅黑"/>
          <w:snapToGrid w:val="0"/>
          <w:color w:val="auto"/>
          <w:szCs w:val="21"/>
          <w:highlight w:val="none"/>
        </w:rPr>
      </w:pPr>
      <w:bookmarkStart w:id="550" w:name="_Toc89266904"/>
      <w:bookmarkStart w:id="551" w:name="_Toc40788116"/>
      <w:bookmarkStart w:id="552" w:name="_Toc53062778"/>
      <w:r>
        <w:rPr>
          <w:rFonts w:hint="eastAsia" w:ascii="微软雅黑" w:hAnsi="微软雅黑" w:eastAsia="微软雅黑" w:cs="微软雅黑"/>
          <w:snapToGrid w:val="0"/>
          <w:color w:val="auto"/>
          <w:szCs w:val="21"/>
          <w:highlight w:val="none"/>
        </w:rPr>
        <w:t>1.2、没有事先授权的，采购代理机构在磋商结束后2个工作日内将磋商结果交采购人确认。采购人应在收到后5个工作日内对磋商结果进行确认。</w:t>
      </w:r>
      <w:bookmarkEnd w:id="550"/>
      <w:bookmarkEnd w:id="551"/>
      <w:bookmarkEnd w:id="552"/>
    </w:p>
    <w:p w14:paraId="70D5C469">
      <w:pPr>
        <w:spacing w:after="0" w:line="500" w:lineRule="exact"/>
        <w:ind w:firstLine="410"/>
        <w:outlineLvl w:val="2"/>
        <w:rPr>
          <w:rFonts w:ascii="微软雅黑" w:hAnsi="微软雅黑" w:eastAsia="微软雅黑" w:cs="微软雅黑"/>
          <w:b/>
          <w:snapToGrid w:val="0"/>
          <w:color w:val="auto"/>
          <w:szCs w:val="21"/>
          <w:highlight w:val="none"/>
        </w:rPr>
      </w:pPr>
      <w:bookmarkStart w:id="553" w:name="_Toc100764246"/>
      <w:r>
        <w:rPr>
          <w:rFonts w:hint="eastAsia" w:ascii="微软雅黑" w:hAnsi="微软雅黑" w:eastAsia="微软雅黑" w:cs="微软雅黑"/>
          <w:b/>
          <w:snapToGrid w:val="0"/>
          <w:color w:val="auto"/>
          <w:szCs w:val="21"/>
          <w:highlight w:val="none"/>
        </w:rPr>
        <w:t>2、成交公告：公告1个工作日。</w:t>
      </w:r>
      <w:bookmarkEnd w:id="553"/>
    </w:p>
    <w:p w14:paraId="0912F0BC">
      <w:pPr>
        <w:pStyle w:val="3"/>
        <w:spacing w:before="0" w:after="0" w:line="500" w:lineRule="exact"/>
        <w:rPr>
          <w:rFonts w:ascii="微软雅黑" w:hAnsi="微软雅黑" w:eastAsia="微软雅黑" w:cs="微软雅黑"/>
          <w:color w:val="auto"/>
          <w:sz w:val="21"/>
          <w:szCs w:val="21"/>
          <w:highlight w:val="none"/>
        </w:rPr>
      </w:pPr>
      <w:bookmarkStart w:id="554" w:name="_Toc192313121"/>
      <w:bookmarkStart w:id="555" w:name="_Toc493699317"/>
      <w:bookmarkStart w:id="556" w:name="_Toc89266905"/>
      <w:bookmarkStart w:id="557" w:name="_Toc100764247"/>
      <w:bookmarkStart w:id="558" w:name="_Toc53062779"/>
      <w:bookmarkStart w:id="559" w:name="_Toc40788117"/>
      <w:r>
        <w:rPr>
          <w:rFonts w:hint="eastAsia" w:ascii="微软雅黑" w:hAnsi="微软雅黑" w:eastAsia="微软雅黑" w:cs="微软雅黑"/>
          <w:color w:val="auto"/>
          <w:sz w:val="21"/>
          <w:szCs w:val="21"/>
          <w:highlight w:val="none"/>
        </w:rPr>
        <w:t>八  合同</w:t>
      </w:r>
      <w:bookmarkEnd w:id="548"/>
      <w:bookmarkEnd w:id="549"/>
      <w:r>
        <w:rPr>
          <w:rFonts w:hint="eastAsia" w:ascii="微软雅黑" w:hAnsi="微软雅黑" w:eastAsia="微软雅黑" w:cs="微软雅黑"/>
          <w:color w:val="auto"/>
          <w:sz w:val="21"/>
          <w:szCs w:val="21"/>
          <w:highlight w:val="none"/>
        </w:rPr>
        <w:t>授予</w:t>
      </w:r>
      <w:bookmarkEnd w:id="554"/>
      <w:bookmarkEnd w:id="555"/>
      <w:bookmarkEnd w:id="556"/>
      <w:bookmarkEnd w:id="557"/>
      <w:bookmarkEnd w:id="558"/>
      <w:bookmarkEnd w:id="559"/>
    </w:p>
    <w:p w14:paraId="333AFD5A">
      <w:pPr>
        <w:spacing w:after="0" w:line="500" w:lineRule="exact"/>
        <w:ind w:firstLine="410"/>
        <w:outlineLvl w:val="2"/>
        <w:rPr>
          <w:rFonts w:ascii="微软雅黑" w:hAnsi="微软雅黑" w:eastAsia="微软雅黑" w:cs="微软雅黑"/>
          <w:b/>
          <w:snapToGrid w:val="0"/>
          <w:color w:val="auto"/>
          <w:szCs w:val="21"/>
          <w:highlight w:val="none"/>
        </w:rPr>
      </w:pPr>
      <w:bookmarkStart w:id="560" w:name="_Toc100764248"/>
      <w:r>
        <w:rPr>
          <w:rFonts w:hint="eastAsia" w:ascii="微软雅黑" w:hAnsi="微软雅黑" w:eastAsia="微软雅黑" w:cs="微软雅黑"/>
          <w:b/>
          <w:snapToGrid w:val="0"/>
          <w:color w:val="auto"/>
          <w:szCs w:val="21"/>
          <w:highlight w:val="none"/>
        </w:rPr>
        <w:t>1、签订合同</w:t>
      </w:r>
      <w:bookmarkEnd w:id="560"/>
    </w:p>
    <w:p w14:paraId="1432642B">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1.1、成交供应商自接到成交通知书后30天内与采购人签订合同。同时采购代理机构对合同内容进行审查，如发现与采购结果和磋商承诺内容不一致的，应予以纠正。</w:t>
      </w:r>
    </w:p>
    <w:p w14:paraId="1429E217">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1.2、成交供应商拖延、拒签合同的,将被扣罚磋商保证金并取消成交供应商资格。</w:t>
      </w:r>
    </w:p>
    <w:p w14:paraId="5D19A70F">
      <w:pPr>
        <w:spacing w:after="0" w:line="500" w:lineRule="exact"/>
        <w:ind w:firstLine="410"/>
        <w:outlineLvl w:val="2"/>
        <w:rPr>
          <w:rFonts w:ascii="微软雅黑" w:hAnsi="微软雅黑" w:eastAsia="微软雅黑" w:cs="微软雅黑"/>
          <w:b/>
          <w:snapToGrid w:val="0"/>
          <w:color w:val="auto"/>
          <w:szCs w:val="21"/>
          <w:highlight w:val="none"/>
        </w:rPr>
      </w:pPr>
      <w:bookmarkStart w:id="561" w:name="_Toc100764249"/>
      <w:r>
        <w:rPr>
          <w:rFonts w:hint="eastAsia" w:ascii="微软雅黑" w:hAnsi="微软雅黑" w:eastAsia="微软雅黑" w:cs="微软雅黑"/>
          <w:b/>
          <w:snapToGrid w:val="0"/>
          <w:color w:val="auto"/>
          <w:szCs w:val="21"/>
          <w:highlight w:val="none"/>
        </w:rPr>
        <w:t>2、履约保证金及质保金</w:t>
      </w:r>
      <w:bookmarkEnd w:id="561"/>
    </w:p>
    <w:p w14:paraId="28466B85">
      <w:pPr>
        <w:spacing w:after="0" w:line="500" w:lineRule="exact"/>
        <w:ind w:firstLine="424" w:firstLineChars="202"/>
        <w:rPr>
          <w:rFonts w:ascii="微软雅黑" w:hAnsi="微软雅黑" w:eastAsia="微软雅黑" w:cs="微软雅黑"/>
          <w:color w:val="auto"/>
          <w:szCs w:val="21"/>
          <w:highlight w:val="none"/>
        </w:rPr>
      </w:pPr>
      <w:bookmarkStart w:id="562" w:name="_Toc40788118"/>
      <w:bookmarkStart w:id="563" w:name="_Toc89266906"/>
      <w:bookmarkStart w:id="564" w:name="_Toc53062780"/>
      <w:bookmarkStart w:id="565" w:name="_Toc493699318"/>
      <w:bookmarkStart w:id="566" w:name="_Toc170792774"/>
      <w:bookmarkStart w:id="567" w:name="_Toc192313122"/>
      <w:r>
        <w:rPr>
          <w:rFonts w:hint="eastAsia" w:ascii="微软雅黑" w:hAnsi="微软雅黑" w:eastAsia="微软雅黑" w:cs="微软雅黑"/>
          <w:color w:val="auto"/>
          <w:szCs w:val="21"/>
          <w:highlight w:val="none"/>
        </w:rPr>
        <w:t>2.1、</w:t>
      </w:r>
      <w:bookmarkEnd w:id="562"/>
      <w:r>
        <w:rPr>
          <w:rFonts w:hint="eastAsia" w:ascii="微软雅黑" w:hAnsi="微软雅黑" w:eastAsia="微软雅黑" w:cs="微软雅黑"/>
          <w:color w:val="auto"/>
          <w:szCs w:val="21"/>
          <w:highlight w:val="none"/>
        </w:rPr>
        <w:t>履约保证金详见竞争性磋商文件前附表</w:t>
      </w:r>
      <w:bookmarkEnd w:id="563"/>
      <w:bookmarkEnd w:id="564"/>
      <w:r>
        <w:rPr>
          <w:rFonts w:hint="eastAsia" w:ascii="微软雅黑" w:hAnsi="微软雅黑" w:eastAsia="微软雅黑" w:cs="微软雅黑"/>
          <w:color w:val="auto"/>
          <w:szCs w:val="21"/>
          <w:highlight w:val="none"/>
        </w:rPr>
        <w:t>；</w:t>
      </w:r>
    </w:p>
    <w:p w14:paraId="44FC653F">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2.2、质保金：无。</w:t>
      </w:r>
    </w:p>
    <w:p w14:paraId="45986B36">
      <w:pPr>
        <w:pStyle w:val="3"/>
        <w:spacing w:before="0" w:after="0" w:line="460" w:lineRule="exact"/>
        <w:rPr>
          <w:rFonts w:ascii="微软雅黑" w:hAnsi="微软雅黑" w:eastAsia="微软雅黑"/>
          <w:color w:val="auto"/>
          <w:sz w:val="21"/>
          <w:szCs w:val="21"/>
          <w:highlight w:val="none"/>
        </w:rPr>
      </w:pPr>
      <w:bookmarkStart w:id="568" w:name="_Toc53062781"/>
      <w:bookmarkStart w:id="569" w:name="_Toc40788119"/>
      <w:r>
        <w:rPr>
          <w:rFonts w:hint="eastAsia" w:ascii="微软雅黑" w:hAnsi="微软雅黑" w:eastAsia="微软雅黑"/>
          <w:color w:val="auto"/>
          <w:sz w:val="21"/>
          <w:szCs w:val="21"/>
          <w:highlight w:val="none"/>
        </w:rPr>
        <w:t>九   招标代理费</w:t>
      </w:r>
      <w:bookmarkEnd w:id="568"/>
      <w:bookmarkEnd w:id="569"/>
    </w:p>
    <w:p w14:paraId="7764A362">
      <w:pPr>
        <w:snapToGrid w:val="0"/>
        <w:spacing w:line="460" w:lineRule="exact"/>
        <w:ind w:firstLine="420" w:firstLineChars="200"/>
        <w:jc w:val="left"/>
        <w:rPr>
          <w:rFonts w:ascii="微软雅黑" w:hAnsi="微软雅黑" w:eastAsia="微软雅黑"/>
          <w:b/>
          <w:bCs/>
          <w:color w:val="auto"/>
          <w:szCs w:val="21"/>
          <w:highlight w:val="none"/>
          <w:lang w:val="zh-CN"/>
        </w:rPr>
      </w:pPr>
      <w:r>
        <w:rPr>
          <w:rFonts w:hint="eastAsia" w:ascii="微软雅黑" w:hAnsi="微软雅黑" w:eastAsia="微软雅黑"/>
          <w:b/>
          <w:bCs/>
          <w:color w:val="auto"/>
          <w:szCs w:val="21"/>
          <w:highlight w:val="none"/>
        </w:rPr>
        <w:t>1</w:t>
      </w:r>
      <w:r>
        <w:rPr>
          <w:rFonts w:hint="eastAsia" w:ascii="微软雅黑" w:hAnsi="微软雅黑" w:eastAsia="微软雅黑"/>
          <w:b/>
          <w:bCs/>
          <w:color w:val="auto"/>
          <w:szCs w:val="21"/>
          <w:highlight w:val="none"/>
          <w:lang w:eastAsia="zh-CN"/>
        </w:rPr>
        <w:t>、</w:t>
      </w:r>
      <w:r>
        <w:rPr>
          <w:rFonts w:hint="eastAsia" w:ascii="微软雅黑" w:hAnsi="微软雅黑" w:eastAsia="微软雅黑"/>
          <w:b/>
          <w:bCs/>
          <w:color w:val="auto"/>
          <w:szCs w:val="21"/>
          <w:highlight w:val="none"/>
          <w:lang w:val="zh-CN"/>
        </w:rPr>
        <w:t>招标代理服务费</w:t>
      </w:r>
      <w:r>
        <w:rPr>
          <w:rFonts w:hint="eastAsia" w:ascii="微软雅黑" w:hAnsi="微软雅黑" w:eastAsia="微软雅黑"/>
          <w:b/>
          <w:bCs/>
          <w:color w:val="auto"/>
          <w:szCs w:val="21"/>
          <w:highlight w:val="none"/>
          <w:lang w:val="en-US" w:eastAsia="zh-CN"/>
        </w:rPr>
        <w:t>5000</w:t>
      </w:r>
      <w:r>
        <w:rPr>
          <w:rFonts w:hint="eastAsia" w:ascii="微软雅黑" w:hAnsi="微软雅黑" w:eastAsia="微软雅黑"/>
          <w:b/>
          <w:bCs/>
          <w:color w:val="auto"/>
          <w:szCs w:val="21"/>
          <w:highlight w:val="none"/>
          <w:lang w:val="zh-CN"/>
        </w:rPr>
        <w:t>元</w:t>
      </w:r>
      <w:r>
        <w:rPr>
          <w:rFonts w:hint="eastAsia" w:ascii="微软雅黑" w:hAnsi="微软雅黑" w:eastAsia="微软雅黑"/>
          <w:b/>
          <w:bCs/>
          <w:color w:val="auto"/>
          <w:szCs w:val="21"/>
          <w:highlight w:val="none"/>
          <w:lang w:val="en-US" w:eastAsia="zh-CN"/>
        </w:rPr>
        <w:t>/标项</w:t>
      </w:r>
      <w:r>
        <w:rPr>
          <w:rFonts w:hint="eastAsia" w:ascii="微软雅黑" w:hAnsi="微软雅黑" w:eastAsia="微软雅黑"/>
          <w:b/>
          <w:bCs/>
          <w:color w:val="auto"/>
          <w:szCs w:val="21"/>
          <w:highlight w:val="none"/>
          <w:lang w:val="zh-CN"/>
        </w:rPr>
        <w:t>。</w:t>
      </w:r>
    </w:p>
    <w:p w14:paraId="6476B063">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、服务费的货币为人民币。</w:t>
      </w:r>
    </w:p>
    <w:p w14:paraId="71947276">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3</w:t>
      </w:r>
      <w:r>
        <w:rPr>
          <w:rFonts w:hint="eastAsia" w:ascii="微软雅黑" w:hAnsi="微软雅黑" w:eastAsia="微软雅黑"/>
          <w:color w:val="auto"/>
          <w:szCs w:val="21"/>
          <w:highlight w:val="none"/>
        </w:rPr>
        <w:t>、服务费支付方式：一次性以银行划账、电汇、汇票或支票的形式支付。</w:t>
      </w:r>
    </w:p>
    <w:p w14:paraId="49B83CC0">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4</w:t>
      </w:r>
      <w:r>
        <w:rPr>
          <w:rFonts w:hint="eastAsia" w:ascii="微软雅黑" w:hAnsi="微软雅黑" w:eastAsia="微软雅黑"/>
          <w:color w:val="auto"/>
          <w:szCs w:val="21"/>
          <w:highlight w:val="none"/>
        </w:rPr>
        <w:t>、服务费以银行划账方式按下列要求提交：</w:t>
      </w:r>
    </w:p>
    <w:p w14:paraId="77DC41D2">
      <w:pPr>
        <w:adjustRightInd w:val="0"/>
        <w:snapToGrid w:val="0"/>
        <w:spacing w:line="360" w:lineRule="auto"/>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olor w:val="auto"/>
          <w:szCs w:val="21"/>
          <w:highlight w:val="none"/>
        </w:rPr>
        <w:t>收款人：</w:t>
      </w:r>
      <w:r>
        <w:rPr>
          <w:rFonts w:hint="eastAsia" w:ascii="微软雅黑" w:hAnsi="微软雅黑" w:eastAsia="微软雅黑" w:cs="微软雅黑"/>
          <w:color w:val="auto"/>
          <w:highlight w:val="none"/>
        </w:rPr>
        <w:t>浙江中际工程项目管理有限公司嘉兴分公司</w:t>
      </w:r>
    </w:p>
    <w:p w14:paraId="30289C00">
      <w:pPr>
        <w:adjustRightInd w:val="0"/>
        <w:snapToGrid w:val="0"/>
        <w:spacing w:line="360" w:lineRule="auto"/>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账号：802101201900031730</w:t>
      </w:r>
    </w:p>
    <w:p w14:paraId="404BF072">
      <w:pPr>
        <w:adjustRightInd w:val="0"/>
        <w:snapToGrid w:val="0"/>
        <w:spacing w:line="360" w:lineRule="auto"/>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开户行：嘉兴银行秀洲支行</w:t>
      </w:r>
    </w:p>
    <w:p w14:paraId="336D7455">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、服务费支付时间：服务费必须在中标人领取《中标通知书》时一次性付清，如果中标人未能按时交纳服务费，采购代理机构/采购人保留取消其中标资格并追究其法律责任的权利。</w:t>
      </w:r>
    </w:p>
    <w:p w14:paraId="709A17A4">
      <w:pPr>
        <w:pStyle w:val="73"/>
        <w:ind w:firstLine="400"/>
        <w:rPr>
          <w:color w:val="auto"/>
          <w:highlight w:val="none"/>
        </w:rPr>
      </w:pPr>
      <w:r>
        <w:rPr>
          <w:rFonts w:hint="eastAsia" w:ascii="微软雅黑" w:hAnsi="微软雅黑" w:eastAsia="微软雅黑"/>
          <w:color w:val="auto"/>
          <w:szCs w:val="21"/>
          <w:highlight w:val="none"/>
          <w:lang w:val="en-US" w:eastAsia="zh-CN"/>
        </w:rPr>
        <w:t>6</w:t>
      </w:r>
      <w:r>
        <w:rPr>
          <w:rFonts w:hint="eastAsia" w:ascii="微软雅黑" w:hAnsi="微软雅黑" w:eastAsia="微软雅黑"/>
          <w:color w:val="auto"/>
          <w:szCs w:val="21"/>
          <w:highlight w:val="none"/>
        </w:rPr>
        <w:t>、服务费不在投标报价中单列。</w:t>
      </w:r>
    </w:p>
    <w:bookmarkEnd w:id="565"/>
    <w:p w14:paraId="28B68650">
      <w:pPr>
        <w:spacing w:line="460" w:lineRule="exact"/>
        <w:ind w:firstLine="411" w:firstLineChars="196"/>
        <w:rPr>
          <w:rFonts w:ascii="微软雅黑" w:hAnsi="微软雅黑" w:eastAsia="微软雅黑" w:cs="微软雅黑"/>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linePitch="312" w:charSpace="0"/>
        </w:sectPr>
      </w:pPr>
      <w:bookmarkStart w:id="570" w:name="_Toc493699319"/>
    </w:p>
    <w:p w14:paraId="696DF876">
      <w:pPr>
        <w:pStyle w:val="2"/>
        <w:numPr>
          <w:ilvl w:val="0"/>
          <w:numId w:val="19"/>
        </w:numPr>
        <w:spacing w:beforeLines="0" w:after="0" w:line="600" w:lineRule="exact"/>
        <w:jc w:val="center"/>
        <w:rPr>
          <w:rStyle w:val="90"/>
          <w:rFonts w:ascii="微软雅黑" w:hAnsi="微软雅黑" w:eastAsia="微软雅黑" w:cs="微软雅黑"/>
          <w:b/>
          <w:bCs w:val="0"/>
          <w:color w:val="auto"/>
          <w:kern w:val="44"/>
          <w:sz w:val="21"/>
          <w:szCs w:val="21"/>
          <w:highlight w:val="none"/>
        </w:rPr>
      </w:pPr>
      <w:bookmarkStart w:id="571" w:name="_Toc7218"/>
      <w:bookmarkStart w:id="572" w:name="_Toc100764251"/>
      <w:r>
        <w:rPr>
          <w:rStyle w:val="90"/>
          <w:rFonts w:hint="eastAsia" w:ascii="微软雅黑" w:hAnsi="微软雅黑" w:cs="微软雅黑"/>
          <w:b/>
          <w:bCs w:val="0"/>
          <w:color w:val="auto"/>
          <w:kern w:val="44"/>
          <w:sz w:val="21"/>
          <w:szCs w:val="21"/>
          <w:highlight w:val="none"/>
        </w:rPr>
        <w:t xml:space="preserve">  </w:t>
      </w:r>
      <w:r>
        <w:rPr>
          <w:rStyle w:val="90"/>
          <w:rFonts w:hint="eastAsia" w:ascii="微软雅黑" w:hAnsi="微软雅黑" w:eastAsia="微软雅黑" w:cs="微软雅黑"/>
          <w:b/>
          <w:bCs w:val="0"/>
          <w:color w:val="auto"/>
          <w:kern w:val="44"/>
          <w:sz w:val="21"/>
          <w:szCs w:val="21"/>
          <w:highlight w:val="none"/>
        </w:rPr>
        <w:t>磋商项目要求</w:t>
      </w:r>
      <w:bookmarkEnd w:id="566"/>
      <w:bookmarkEnd w:id="567"/>
      <w:bookmarkEnd w:id="570"/>
      <w:bookmarkEnd w:id="571"/>
      <w:bookmarkEnd w:id="572"/>
      <w:bookmarkStart w:id="573" w:name="_Toc72069792"/>
      <w:bookmarkStart w:id="574" w:name="_Toc170792778"/>
      <w:bookmarkStart w:id="575" w:name="_Toc71033410"/>
      <w:bookmarkStart w:id="576" w:name="_Toc119481961"/>
    </w:p>
    <w:bookmarkEnd w:id="573"/>
    <w:bookmarkEnd w:id="574"/>
    <w:bookmarkEnd w:id="575"/>
    <w:bookmarkEnd w:id="576"/>
    <w:p w14:paraId="200C9291">
      <w:pPr>
        <w:pStyle w:val="3"/>
        <w:keepNext w:val="0"/>
        <w:spacing w:before="0" w:after="0"/>
        <w:rPr>
          <w:rFonts w:hint="eastAsia" w:ascii="宋体" w:hAnsi="宋体" w:eastAsia="宋体"/>
          <w:color w:val="auto"/>
          <w:kern w:val="2"/>
          <w:sz w:val="21"/>
          <w:szCs w:val="21"/>
          <w:highlight w:val="none"/>
        </w:rPr>
      </w:pPr>
      <w:bookmarkStart w:id="577" w:name="_Toc76376872"/>
      <w:bookmarkStart w:id="578" w:name="_Toc44426800"/>
      <w:bookmarkStart w:id="579" w:name="_Toc12302"/>
      <w:bookmarkStart w:id="580" w:name="_Toc493699335"/>
      <w:bookmarkStart w:id="581" w:name="_Toc100764257"/>
      <w:bookmarkStart w:id="582" w:name="_Toc192313124"/>
      <w:bookmarkStart w:id="583" w:name="_Toc296611790"/>
      <w:r>
        <w:rPr>
          <w:rFonts w:hint="eastAsia" w:ascii="宋体" w:hAnsi="宋体" w:eastAsia="宋体"/>
          <w:color w:val="auto"/>
          <w:kern w:val="2"/>
          <w:sz w:val="21"/>
          <w:szCs w:val="21"/>
          <w:highlight w:val="none"/>
        </w:rPr>
        <w:t>一、项目概况</w:t>
      </w:r>
      <w:bookmarkEnd w:id="577"/>
    </w:p>
    <w:tbl>
      <w:tblPr>
        <w:tblStyle w:val="53"/>
        <w:tblW w:w="89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0"/>
        <w:gridCol w:w="889"/>
        <w:gridCol w:w="1329"/>
        <w:gridCol w:w="1129"/>
        <w:gridCol w:w="1287"/>
        <w:gridCol w:w="1101"/>
        <w:gridCol w:w="969"/>
        <w:gridCol w:w="1193"/>
      </w:tblGrid>
      <w:tr w14:paraId="0E8191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7" w:hRule="atLeast"/>
          <w:jc w:val="center"/>
        </w:trPr>
        <w:tc>
          <w:tcPr>
            <w:tcW w:w="1100" w:type="dxa"/>
            <w:noWrap w:val="0"/>
            <w:vAlign w:val="center"/>
          </w:tcPr>
          <w:p w14:paraId="2F166A65">
            <w:pPr>
              <w:widowControl/>
              <w:jc w:val="both"/>
              <w:rPr>
                <w:rFonts w:ascii="宋体" w:hAnsi="宋体" w:cs="宋体"/>
                <w:color w:val="auto"/>
                <w:kern w:val="0"/>
                <w:szCs w:val="21"/>
              </w:rPr>
            </w:pPr>
            <w:bookmarkStart w:id="584" w:name="_Toc76376873"/>
            <w:r>
              <w:rPr>
                <w:rFonts w:hint="eastAsia" w:ascii="宋体" w:hAnsi="宋体" w:cs="宋体"/>
                <w:color w:val="auto"/>
                <w:kern w:val="0"/>
                <w:szCs w:val="21"/>
              </w:rPr>
              <w:t>项目名称</w:t>
            </w:r>
          </w:p>
        </w:tc>
        <w:tc>
          <w:tcPr>
            <w:tcW w:w="889" w:type="dxa"/>
            <w:noWrap w:val="0"/>
            <w:vAlign w:val="center"/>
          </w:tcPr>
          <w:p w14:paraId="5BB6D84C">
            <w:pPr>
              <w:widowControl/>
              <w:jc w:val="both"/>
              <w:rPr>
                <w:rFonts w:ascii="宋体" w:hAnsi="宋体" w:cs="宋体"/>
                <w:color w:val="auto"/>
                <w:kern w:val="0"/>
                <w:szCs w:val="21"/>
              </w:rPr>
            </w:pPr>
            <w:r>
              <w:rPr>
                <w:rFonts w:hint="eastAsia" w:ascii="宋体" w:hAnsi="宋体" w:cs="宋体"/>
                <w:color w:val="auto"/>
                <w:kern w:val="0"/>
                <w:szCs w:val="21"/>
              </w:rPr>
              <w:t>标</w:t>
            </w:r>
            <w:r>
              <w:rPr>
                <w:rFonts w:hint="eastAsia" w:ascii="宋体" w:hAnsi="宋体" w:cs="宋体"/>
                <w:color w:val="auto"/>
                <w:kern w:val="0"/>
                <w:szCs w:val="21"/>
                <w:lang w:val="en-US" w:eastAsia="zh-CN"/>
              </w:rPr>
              <w:t>项</w:t>
            </w:r>
          </w:p>
        </w:tc>
        <w:tc>
          <w:tcPr>
            <w:tcW w:w="1329" w:type="dxa"/>
            <w:noWrap w:val="0"/>
            <w:vAlign w:val="center"/>
          </w:tcPr>
          <w:p w14:paraId="0FEC4137">
            <w:pPr>
              <w:widowControl/>
              <w:jc w:val="both"/>
              <w:rPr>
                <w:rFonts w:ascii="宋体" w:hAnsi="宋体" w:cs="宋体"/>
                <w:color w:val="auto"/>
                <w:kern w:val="0"/>
                <w:szCs w:val="21"/>
              </w:rPr>
            </w:pPr>
            <w:r>
              <w:rPr>
                <w:rFonts w:hint="eastAsia" w:ascii="宋体" w:hAnsi="宋体" w:cs="宋体"/>
                <w:color w:val="auto"/>
                <w:kern w:val="0"/>
                <w:szCs w:val="21"/>
              </w:rPr>
              <w:t>疗休养线路</w:t>
            </w:r>
          </w:p>
        </w:tc>
        <w:tc>
          <w:tcPr>
            <w:tcW w:w="1129" w:type="dxa"/>
            <w:noWrap w:val="0"/>
            <w:vAlign w:val="center"/>
          </w:tcPr>
          <w:p w14:paraId="4BBD9AD2">
            <w:pPr>
              <w:widowControl/>
              <w:jc w:val="both"/>
              <w:rPr>
                <w:rFonts w:ascii="宋体" w:hAnsi="宋体" w:cs="宋体"/>
                <w:color w:val="auto"/>
                <w:kern w:val="0"/>
                <w:szCs w:val="21"/>
              </w:rPr>
            </w:pPr>
            <w:r>
              <w:rPr>
                <w:rFonts w:hint="eastAsia" w:ascii="宋体" w:hAnsi="宋体" w:cs="宋体"/>
                <w:color w:val="auto"/>
                <w:kern w:val="0"/>
                <w:szCs w:val="21"/>
              </w:rPr>
              <w:t>预计出发时间</w:t>
            </w:r>
          </w:p>
        </w:tc>
        <w:tc>
          <w:tcPr>
            <w:tcW w:w="1287" w:type="dxa"/>
            <w:noWrap w:val="0"/>
            <w:vAlign w:val="center"/>
          </w:tcPr>
          <w:p w14:paraId="2AB17A84">
            <w:pPr>
              <w:widowControl/>
              <w:jc w:val="both"/>
              <w:rPr>
                <w:rFonts w:ascii="宋体" w:hAnsi="宋体" w:cs="宋体"/>
                <w:color w:val="auto"/>
                <w:kern w:val="0"/>
                <w:szCs w:val="21"/>
              </w:rPr>
            </w:pPr>
            <w:r>
              <w:rPr>
                <w:rFonts w:hint="eastAsia" w:ascii="宋体" w:hAnsi="宋体" w:cs="宋体"/>
                <w:color w:val="auto"/>
                <w:kern w:val="0"/>
                <w:szCs w:val="21"/>
              </w:rPr>
              <w:t>人数（人）</w:t>
            </w:r>
          </w:p>
        </w:tc>
        <w:tc>
          <w:tcPr>
            <w:tcW w:w="1101" w:type="dxa"/>
            <w:noWrap w:val="0"/>
            <w:vAlign w:val="center"/>
          </w:tcPr>
          <w:p w14:paraId="327D5D6A">
            <w:pPr>
              <w:widowControl/>
              <w:jc w:val="center"/>
              <w:rPr>
                <w:rFonts w:hint="eastAsia" w:ascii="宋体" w:hAnsi="宋体" w:cs="宋体"/>
                <w:color w:val="auto"/>
                <w:kern w:val="0"/>
                <w:szCs w:val="21"/>
              </w:rPr>
            </w:pPr>
            <w:r>
              <w:rPr>
                <w:rFonts w:hint="eastAsia" w:ascii="宋体" w:hAnsi="宋体" w:cs="宋体"/>
                <w:color w:val="auto"/>
                <w:kern w:val="0"/>
                <w:szCs w:val="21"/>
              </w:rPr>
              <w:t>单价</w:t>
            </w:r>
          </w:p>
          <w:p w14:paraId="465679E2">
            <w:pPr>
              <w:widowControl/>
              <w:jc w:val="center"/>
              <w:rPr>
                <w:rFonts w:ascii="宋体" w:hAnsi="宋体" w:cs="宋体"/>
                <w:color w:val="auto"/>
                <w:kern w:val="0"/>
                <w:szCs w:val="21"/>
              </w:rPr>
            </w:pPr>
            <w:r>
              <w:rPr>
                <w:rFonts w:hint="eastAsia" w:ascii="宋体" w:hAnsi="宋体" w:cs="宋体"/>
                <w:color w:val="auto"/>
                <w:kern w:val="0"/>
                <w:szCs w:val="21"/>
              </w:rPr>
              <w:t>（元/人）</w:t>
            </w:r>
          </w:p>
        </w:tc>
        <w:tc>
          <w:tcPr>
            <w:tcW w:w="969" w:type="dxa"/>
            <w:noWrap w:val="0"/>
            <w:vAlign w:val="center"/>
          </w:tcPr>
          <w:p w14:paraId="2A9C01E7">
            <w:pPr>
              <w:widowControl/>
              <w:jc w:val="center"/>
              <w:rPr>
                <w:rFonts w:ascii="宋体" w:hAnsi="宋体" w:cs="宋体"/>
                <w:color w:val="auto"/>
                <w:kern w:val="0"/>
                <w:szCs w:val="21"/>
              </w:rPr>
            </w:pPr>
            <w:r>
              <w:rPr>
                <w:rFonts w:hint="eastAsia" w:ascii="宋体" w:hAnsi="宋体" w:cs="宋体"/>
                <w:color w:val="auto"/>
                <w:kern w:val="0"/>
                <w:szCs w:val="21"/>
              </w:rPr>
              <w:t>小计（元）</w:t>
            </w:r>
          </w:p>
        </w:tc>
        <w:tc>
          <w:tcPr>
            <w:tcW w:w="1193" w:type="dxa"/>
            <w:noWrap w:val="0"/>
            <w:vAlign w:val="center"/>
          </w:tcPr>
          <w:p w14:paraId="0996AB87">
            <w:pPr>
              <w:widowControl/>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合计</w:t>
            </w:r>
          </w:p>
          <w:p w14:paraId="118DF2DD">
            <w:pPr>
              <w:widowControl/>
              <w:jc w:val="center"/>
              <w:rPr>
                <w:rFonts w:ascii="宋体" w:hAnsi="宋体" w:cs="宋体"/>
                <w:color w:val="auto"/>
                <w:kern w:val="0"/>
                <w:szCs w:val="21"/>
              </w:rPr>
            </w:pPr>
            <w:r>
              <w:rPr>
                <w:rFonts w:hint="eastAsia" w:ascii="宋体" w:hAnsi="宋体" w:cs="宋体"/>
                <w:color w:val="auto"/>
                <w:kern w:val="0"/>
                <w:szCs w:val="21"/>
                <w:lang w:val="en-US" w:eastAsia="zh-CN"/>
              </w:rPr>
              <w:t>（元）</w:t>
            </w:r>
          </w:p>
        </w:tc>
      </w:tr>
      <w:tr w14:paraId="7A418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00" w:type="dxa"/>
            <w:vMerge w:val="restart"/>
            <w:noWrap w:val="0"/>
            <w:vAlign w:val="center"/>
          </w:tcPr>
          <w:p w14:paraId="29BCE830">
            <w:pPr>
              <w:snapToGrid w:val="0"/>
              <w:jc w:val="both"/>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嘉兴市实验小学2025年度教师疗休养项目</w:t>
            </w:r>
          </w:p>
        </w:tc>
        <w:tc>
          <w:tcPr>
            <w:tcW w:w="889" w:type="dxa"/>
            <w:vMerge w:val="restart"/>
            <w:noWrap w:val="0"/>
            <w:vAlign w:val="center"/>
          </w:tcPr>
          <w:p w14:paraId="3B35A080">
            <w:pPr>
              <w:snapToGrid w:val="0"/>
              <w:jc w:val="both"/>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标项</w:t>
            </w:r>
            <w:r>
              <w:rPr>
                <w:rFonts w:hint="eastAsia" w:ascii="宋体" w:hAnsi="宋体" w:cs="宋体"/>
                <w:bCs/>
                <w:color w:val="auto"/>
                <w:szCs w:val="21"/>
                <w:lang w:val="en-US" w:eastAsia="zh-CN"/>
              </w:rPr>
              <w:t>一</w:t>
            </w:r>
          </w:p>
        </w:tc>
        <w:tc>
          <w:tcPr>
            <w:tcW w:w="1329" w:type="dxa"/>
            <w:noWrap w:val="0"/>
            <w:vAlign w:val="center"/>
          </w:tcPr>
          <w:p w14:paraId="4612983A">
            <w:pPr>
              <w:snapToGrid w:val="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线路一：</w:t>
            </w:r>
            <w:r>
              <w:rPr>
                <w:rFonts w:hint="eastAsia" w:ascii="宋体" w:hAnsi="宋体" w:eastAsia="宋体" w:cs="宋体"/>
                <w:bCs/>
                <w:color w:val="auto"/>
                <w:szCs w:val="21"/>
                <w:lang w:val="en-US" w:eastAsia="zh-CN"/>
              </w:rPr>
              <w:t>嘉兴</w:t>
            </w:r>
            <w:r>
              <w:rPr>
                <w:rFonts w:hint="eastAsia" w:ascii="宋体" w:hAnsi="宋体" w:cs="宋体"/>
                <w:bCs/>
                <w:color w:val="auto"/>
                <w:szCs w:val="21"/>
                <w:lang w:val="en-US" w:eastAsia="zh-CN"/>
              </w:rPr>
              <w:t>（开元森泊）</w:t>
            </w:r>
            <w:r>
              <w:rPr>
                <w:rFonts w:hint="eastAsia" w:ascii="宋体" w:hAnsi="宋体" w:eastAsia="宋体" w:cs="宋体"/>
                <w:bCs/>
                <w:color w:val="auto"/>
                <w:szCs w:val="21"/>
                <w:lang w:val="en-US" w:eastAsia="zh-CN"/>
              </w:rPr>
              <w:t>五日游</w:t>
            </w:r>
          </w:p>
        </w:tc>
        <w:tc>
          <w:tcPr>
            <w:tcW w:w="1129" w:type="dxa"/>
            <w:noWrap w:val="0"/>
            <w:vAlign w:val="center"/>
          </w:tcPr>
          <w:p w14:paraId="028B6DF3">
            <w:pPr>
              <w:snapToGrid w:val="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7月</w:t>
            </w:r>
            <w:r>
              <w:rPr>
                <w:rFonts w:hint="eastAsia" w:ascii="宋体" w:hAnsi="宋体" w:cs="宋体"/>
                <w:bCs/>
                <w:color w:val="auto"/>
                <w:szCs w:val="21"/>
                <w:lang w:val="en-US" w:eastAsia="zh-CN"/>
              </w:rPr>
              <w:t>7</w:t>
            </w:r>
            <w:r>
              <w:rPr>
                <w:rFonts w:hint="eastAsia" w:ascii="宋体" w:hAnsi="宋体" w:eastAsia="宋体" w:cs="宋体"/>
                <w:bCs/>
                <w:color w:val="auto"/>
                <w:szCs w:val="21"/>
                <w:lang w:val="en-US" w:eastAsia="zh-CN"/>
              </w:rPr>
              <w:t>日</w:t>
            </w:r>
          </w:p>
        </w:tc>
        <w:tc>
          <w:tcPr>
            <w:tcW w:w="1287" w:type="dxa"/>
            <w:noWrap w:val="0"/>
            <w:vAlign w:val="center"/>
          </w:tcPr>
          <w:p w14:paraId="7DD4CD05">
            <w:pPr>
              <w:snapToGrid w:val="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20</w:t>
            </w:r>
          </w:p>
        </w:tc>
        <w:tc>
          <w:tcPr>
            <w:tcW w:w="1101" w:type="dxa"/>
            <w:noWrap w:val="0"/>
            <w:vAlign w:val="center"/>
          </w:tcPr>
          <w:p w14:paraId="76C93967">
            <w:pPr>
              <w:snapToGrid w:val="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3000</w:t>
            </w:r>
          </w:p>
        </w:tc>
        <w:tc>
          <w:tcPr>
            <w:tcW w:w="969" w:type="dxa"/>
            <w:noWrap w:val="0"/>
            <w:vAlign w:val="center"/>
          </w:tcPr>
          <w:p w14:paraId="45A10DE3">
            <w:pPr>
              <w:snapToGrid w:val="0"/>
              <w:jc w:val="center"/>
              <w:rPr>
                <w:rFonts w:hint="default" w:ascii="宋体" w:hAnsi="宋体" w:eastAsia="宋体" w:cs="宋体"/>
                <w:bCs/>
                <w:color w:val="auto"/>
                <w:szCs w:val="21"/>
                <w:highlight w:val="yellow"/>
                <w:lang w:val="en-US" w:eastAsia="zh-CN"/>
              </w:rPr>
            </w:pPr>
            <w:r>
              <w:rPr>
                <w:rFonts w:hint="eastAsia" w:ascii="宋体" w:hAnsi="宋体" w:cs="宋体"/>
                <w:bCs/>
                <w:color w:val="auto"/>
                <w:szCs w:val="21"/>
                <w:lang w:val="en-US" w:eastAsia="zh-CN"/>
              </w:rPr>
              <w:t>60000</w:t>
            </w:r>
          </w:p>
        </w:tc>
        <w:tc>
          <w:tcPr>
            <w:tcW w:w="1193" w:type="dxa"/>
            <w:vMerge w:val="restart"/>
            <w:noWrap w:val="0"/>
            <w:vAlign w:val="center"/>
          </w:tcPr>
          <w:p w14:paraId="6A0140CD">
            <w:pPr>
              <w:snapToGrid w:val="0"/>
              <w:ind w:firstLine="105" w:firstLineChars="5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1071000</w:t>
            </w:r>
          </w:p>
        </w:tc>
      </w:tr>
      <w:tr w14:paraId="2DE3E2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00" w:type="dxa"/>
            <w:vMerge w:val="continue"/>
            <w:noWrap w:val="0"/>
            <w:vAlign w:val="center"/>
          </w:tcPr>
          <w:p w14:paraId="693CA2EC">
            <w:pPr>
              <w:snapToGrid w:val="0"/>
              <w:ind w:firstLine="105" w:firstLineChars="50"/>
              <w:jc w:val="center"/>
              <w:rPr>
                <w:rFonts w:hint="eastAsia" w:ascii="宋体" w:hAnsi="宋体" w:eastAsia="宋体" w:cs="宋体"/>
                <w:bCs/>
                <w:color w:val="auto"/>
                <w:szCs w:val="21"/>
                <w:lang w:val="en-US" w:eastAsia="zh-CN"/>
              </w:rPr>
            </w:pPr>
          </w:p>
        </w:tc>
        <w:tc>
          <w:tcPr>
            <w:tcW w:w="889" w:type="dxa"/>
            <w:vMerge w:val="continue"/>
            <w:noWrap w:val="0"/>
            <w:vAlign w:val="center"/>
          </w:tcPr>
          <w:p w14:paraId="52075EB2">
            <w:pPr>
              <w:snapToGrid w:val="0"/>
              <w:jc w:val="both"/>
              <w:rPr>
                <w:rFonts w:hint="eastAsia" w:ascii="宋体" w:hAnsi="宋体" w:eastAsia="宋体" w:cs="宋体"/>
                <w:bCs/>
                <w:color w:val="auto"/>
                <w:szCs w:val="21"/>
                <w:lang w:val="en-US" w:eastAsia="zh-CN"/>
              </w:rPr>
            </w:pPr>
          </w:p>
        </w:tc>
        <w:tc>
          <w:tcPr>
            <w:tcW w:w="1329" w:type="dxa"/>
            <w:noWrap w:val="0"/>
            <w:vAlign w:val="center"/>
          </w:tcPr>
          <w:p w14:paraId="04C6A9B0">
            <w:pPr>
              <w:snapToGrid w:val="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线路二：舟山五日游</w:t>
            </w:r>
          </w:p>
        </w:tc>
        <w:tc>
          <w:tcPr>
            <w:tcW w:w="1129" w:type="dxa"/>
            <w:noWrap w:val="0"/>
            <w:vAlign w:val="center"/>
          </w:tcPr>
          <w:p w14:paraId="10B456EB">
            <w:pPr>
              <w:snapToGrid w:val="0"/>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7月1</w:t>
            </w:r>
            <w:r>
              <w:rPr>
                <w:rFonts w:hint="eastAsia" w:ascii="宋体" w:hAnsi="宋体" w:cs="宋体"/>
                <w:bCs/>
                <w:color w:val="auto"/>
                <w:szCs w:val="21"/>
                <w:lang w:val="en-US" w:eastAsia="zh-CN"/>
              </w:rPr>
              <w:t>4</w:t>
            </w:r>
            <w:r>
              <w:rPr>
                <w:rFonts w:hint="eastAsia" w:ascii="宋体" w:hAnsi="宋体" w:eastAsia="宋体" w:cs="宋体"/>
                <w:bCs/>
                <w:color w:val="auto"/>
                <w:szCs w:val="21"/>
                <w:lang w:val="en-US" w:eastAsia="zh-CN"/>
              </w:rPr>
              <w:t>日</w:t>
            </w:r>
          </w:p>
        </w:tc>
        <w:tc>
          <w:tcPr>
            <w:tcW w:w="1287" w:type="dxa"/>
            <w:noWrap w:val="0"/>
            <w:vAlign w:val="center"/>
          </w:tcPr>
          <w:p w14:paraId="262733C8">
            <w:pPr>
              <w:snapToGrid w:val="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22</w:t>
            </w:r>
          </w:p>
        </w:tc>
        <w:tc>
          <w:tcPr>
            <w:tcW w:w="1101" w:type="dxa"/>
            <w:noWrap w:val="0"/>
            <w:vAlign w:val="center"/>
          </w:tcPr>
          <w:p w14:paraId="2FB1FDDC">
            <w:pPr>
              <w:snapToGrid w:val="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3000</w:t>
            </w:r>
          </w:p>
        </w:tc>
        <w:tc>
          <w:tcPr>
            <w:tcW w:w="969" w:type="dxa"/>
            <w:noWrap w:val="0"/>
            <w:vAlign w:val="center"/>
          </w:tcPr>
          <w:p w14:paraId="1EE88480">
            <w:pPr>
              <w:snapToGrid w:val="0"/>
              <w:jc w:val="center"/>
              <w:rPr>
                <w:rFonts w:hint="default" w:ascii="宋体" w:hAnsi="宋体" w:eastAsia="宋体" w:cs="宋体"/>
                <w:bCs/>
                <w:color w:val="auto"/>
                <w:szCs w:val="21"/>
                <w:highlight w:val="yellow"/>
                <w:lang w:val="en-US" w:eastAsia="zh-CN"/>
              </w:rPr>
            </w:pPr>
            <w:r>
              <w:rPr>
                <w:rFonts w:hint="eastAsia" w:ascii="宋体" w:hAnsi="宋体" w:cs="宋体"/>
                <w:bCs/>
                <w:color w:val="auto"/>
                <w:szCs w:val="21"/>
                <w:lang w:val="en-US" w:eastAsia="zh-CN"/>
              </w:rPr>
              <w:t>66000</w:t>
            </w:r>
          </w:p>
        </w:tc>
        <w:tc>
          <w:tcPr>
            <w:tcW w:w="1193" w:type="dxa"/>
            <w:vMerge w:val="continue"/>
            <w:noWrap w:val="0"/>
            <w:vAlign w:val="center"/>
          </w:tcPr>
          <w:p w14:paraId="36512D69">
            <w:pPr>
              <w:snapToGrid w:val="0"/>
              <w:ind w:firstLine="105" w:firstLineChars="50"/>
              <w:jc w:val="center"/>
              <w:rPr>
                <w:rFonts w:hint="default" w:ascii="宋体" w:hAnsi="宋体" w:eastAsia="宋体" w:cs="宋体"/>
                <w:bCs/>
                <w:color w:val="auto"/>
                <w:szCs w:val="21"/>
                <w:lang w:val="en-US" w:eastAsia="zh-CN"/>
              </w:rPr>
            </w:pPr>
          </w:p>
        </w:tc>
      </w:tr>
      <w:tr w14:paraId="603CB5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00" w:type="dxa"/>
            <w:vMerge w:val="continue"/>
            <w:noWrap w:val="0"/>
            <w:vAlign w:val="center"/>
          </w:tcPr>
          <w:p w14:paraId="516E8103">
            <w:pPr>
              <w:snapToGrid w:val="0"/>
              <w:ind w:firstLine="105" w:firstLineChars="50"/>
              <w:jc w:val="center"/>
              <w:rPr>
                <w:rFonts w:hint="eastAsia" w:ascii="宋体" w:hAnsi="宋体" w:eastAsia="宋体" w:cs="宋体"/>
                <w:bCs/>
                <w:color w:val="auto"/>
                <w:szCs w:val="21"/>
                <w:lang w:val="en-US" w:eastAsia="zh-CN"/>
              </w:rPr>
            </w:pPr>
          </w:p>
        </w:tc>
        <w:tc>
          <w:tcPr>
            <w:tcW w:w="889" w:type="dxa"/>
            <w:vMerge w:val="continue"/>
            <w:noWrap w:val="0"/>
            <w:vAlign w:val="center"/>
          </w:tcPr>
          <w:p w14:paraId="2C3AA30F">
            <w:pPr>
              <w:snapToGrid w:val="0"/>
              <w:ind w:firstLine="105" w:firstLineChars="50"/>
              <w:jc w:val="center"/>
              <w:rPr>
                <w:rFonts w:hint="default" w:ascii="宋体" w:hAnsi="宋体" w:eastAsia="宋体" w:cs="宋体"/>
                <w:bCs/>
                <w:color w:val="auto"/>
                <w:szCs w:val="21"/>
                <w:lang w:val="en-US" w:eastAsia="zh-CN"/>
              </w:rPr>
            </w:pPr>
          </w:p>
        </w:tc>
        <w:tc>
          <w:tcPr>
            <w:tcW w:w="1329" w:type="dxa"/>
            <w:noWrap w:val="0"/>
            <w:vAlign w:val="center"/>
          </w:tcPr>
          <w:p w14:paraId="2D64D8BC">
            <w:pPr>
              <w:snapToGrid w:val="0"/>
              <w:jc w:val="center"/>
              <w:rPr>
                <w:rFonts w:hint="eastAsia" w:ascii="宋体" w:hAnsi="宋体" w:eastAsia="宋体" w:cs="宋体"/>
                <w:bCs/>
                <w:color w:val="auto"/>
                <w:szCs w:val="21"/>
                <w:lang w:val="en-US" w:eastAsia="zh-CN"/>
              </w:rPr>
            </w:pPr>
            <w:r>
              <w:rPr>
                <w:rFonts w:hint="eastAsia" w:ascii="宋体" w:hAnsi="宋体" w:cs="宋体"/>
                <w:bCs/>
                <w:color w:val="auto"/>
                <w:kern w:val="2"/>
                <w:sz w:val="21"/>
                <w:szCs w:val="21"/>
                <w:lang w:val="en-US" w:eastAsia="zh-CN" w:bidi="ar-SA"/>
              </w:rPr>
              <w:t>线路三：台五州日游</w:t>
            </w:r>
          </w:p>
        </w:tc>
        <w:tc>
          <w:tcPr>
            <w:tcW w:w="1129" w:type="dxa"/>
            <w:noWrap w:val="0"/>
            <w:vAlign w:val="center"/>
          </w:tcPr>
          <w:p w14:paraId="4ACA96F1">
            <w:pPr>
              <w:snapToGrid w:val="0"/>
              <w:jc w:val="center"/>
              <w:rPr>
                <w:rFonts w:hint="eastAsia" w:ascii="宋体" w:hAnsi="宋体" w:eastAsia="宋体" w:cs="宋体"/>
                <w:bCs/>
                <w:color w:val="auto"/>
                <w:szCs w:val="21"/>
                <w:lang w:val="en-US" w:eastAsia="zh-CN"/>
              </w:rPr>
            </w:pPr>
            <w:r>
              <w:rPr>
                <w:rFonts w:hint="eastAsia" w:ascii="宋体" w:hAnsi="宋体" w:cs="宋体"/>
                <w:bCs/>
                <w:color w:val="auto"/>
                <w:kern w:val="2"/>
                <w:sz w:val="21"/>
                <w:szCs w:val="21"/>
                <w:lang w:val="en-US" w:eastAsia="zh-CN" w:bidi="ar-SA"/>
              </w:rPr>
              <w:t>7月21日</w:t>
            </w:r>
          </w:p>
        </w:tc>
        <w:tc>
          <w:tcPr>
            <w:tcW w:w="1287" w:type="dxa"/>
            <w:noWrap w:val="0"/>
            <w:vAlign w:val="center"/>
          </w:tcPr>
          <w:p w14:paraId="51999FFB">
            <w:pPr>
              <w:snapToGrid w:val="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45</w:t>
            </w:r>
          </w:p>
        </w:tc>
        <w:tc>
          <w:tcPr>
            <w:tcW w:w="1101" w:type="dxa"/>
            <w:noWrap w:val="0"/>
            <w:vAlign w:val="center"/>
          </w:tcPr>
          <w:p w14:paraId="54199BC5">
            <w:pPr>
              <w:snapToGrid w:val="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3000</w:t>
            </w:r>
          </w:p>
        </w:tc>
        <w:tc>
          <w:tcPr>
            <w:tcW w:w="969" w:type="dxa"/>
            <w:noWrap w:val="0"/>
            <w:vAlign w:val="center"/>
          </w:tcPr>
          <w:p w14:paraId="2A2B021A">
            <w:pPr>
              <w:snapToGrid w:val="0"/>
              <w:jc w:val="center"/>
              <w:rPr>
                <w:rFonts w:hint="eastAsia" w:ascii="宋体" w:hAnsi="宋体" w:eastAsia="宋体" w:cs="宋体"/>
                <w:bCs/>
                <w:color w:val="auto"/>
                <w:szCs w:val="21"/>
                <w:highlight w:val="yellow"/>
                <w:lang w:val="en-US" w:eastAsia="zh-CN"/>
              </w:rPr>
            </w:pPr>
            <w:r>
              <w:rPr>
                <w:rFonts w:hint="eastAsia" w:ascii="宋体" w:hAnsi="宋体" w:cs="宋体"/>
                <w:bCs/>
                <w:color w:val="auto"/>
                <w:szCs w:val="21"/>
                <w:lang w:val="en-US" w:eastAsia="zh-CN"/>
              </w:rPr>
              <w:t>135000</w:t>
            </w:r>
          </w:p>
        </w:tc>
        <w:tc>
          <w:tcPr>
            <w:tcW w:w="1193" w:type="dxa"/>
            <w:vMerge w:val="continue"/>
            <w:noWrap w:val="0"/>
            <w:vAlign w:val="center"/>
          </w:tcPr>
          <w:p w14:paraId="2F56461F">
            <w:pPr>
              <w:snapToGrid w:val="0"/>
              <w:ind w:firstLine="105" w:firstLineChars="50"/>
              <w:jc w:val="center"/>
              <w:rPr>
                <w:rFonts w:hint="eastAsia" w:ascii="宋体" w:hAnsi="宋体" w:eastAsia="宋体" w:cs="宋体"/>
                <w:bCs/>
                <w:color w:val="auto"/>
                <w:szCs w:val="21"/>
                <w:lang w:val="en-US" w:eastAsia="zh-CN"/>
              </w:rPr>
            </w:pPr>
          </w:p>
        </w:tc>
      </w:tr>
      <w:tr w14:paraId="112FB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00" w:type="dxa"/>
            <w:vMerge w:val="continue"/>
            <w:noWrap w:val="0"/>
            <w:vAlign w:val="center"/>
          </w:tcPr>
          <w:p w14:paraId="38BC004C">
            <w:pPr>
              <w:snapToGrid w:val="0"/>
              <w:ind w:firstLine="105" w:firstLineChars="50"/>
              <w:jc w:val="center"/>
              <w:rPr>
                <w:rFonts w:hint="eastAsia" w:ascii="宋体" w:hAnsi="宋体" w:eastAsia="宋体" w:cs="宋体"/>
                <w:bCs/>
                <w:color w:val="auto"/>
                <w:szCs w:val="21"/>
                <w:lang w:val="en-US" w:eastAsia="zh-CN"/>
              </w:rPr>
            </w:pPr>
          </w:p>
        </w:tc>
        <w:tc>
          <w:tcPr>
            <w:tcW w:w="889" w:type="dxa"/>
            <w:vMerge w:val="continue"/>
            <w:noWrap w:val="0"/>
            <w:vAlign w:val="center"/>
          </w:tcPr>
          <w:p w14:paraId="482C7E85">
            <w:pPr>
              <w:snapToGrid w:val="0"/>
              <w:ind w:firstLine="105" w:firstLineChars="50"/>
              <w:jc w:val="center"/>
              <w:rPr>
                <w:rFonts w:hint="eastAsia" w:ascii="宋体" w:hAnsi="宋体" w:eastAsia="宋体" w:cs="宋体"/>
                <w:bCs/>
                <w:color w:val="auto"/>
                <w:szCs w:val="21"/>
                <w:lang w:val="en-US" w:eastAsia="zh-CN"/>
              </w:rPr>
            </w:pPr>
          </w:p>
        </w:tc>
        <w:tc>
          <w:tcPr>
            <w:tcW w:w="1329" w:type="dxa"/>
            <w:noWrap w:val="0"/>
            <w:vAlign w:val="center"/>
          </w:tcPr>
          <w:p w14:paraId="3A62D278">
            <w:pPr>
              <w:snapToGrid w:val="0"/>
              <w:jc w:val="center"/>
              <w:rPr>
                <w:rFonts w:hint="eastAsia" w:ascii="宋体" w:hAnsi="宋体" w:eastAsia="宋体" w:cs="宋体"/>
                <w:bCs/>
                <w:color w:val="auto"/>
                <w:szCs w:val="21"/>
                <w:lang w:val="en-US" w:eastAsia="zh-CN"/>
              </w:rPr>
            </w:pPr>
            <w:r>
              <w:rPr>
                <w:rFonts w:hint="eastAsia" w:ascii="宋体" w:hAnsi="宋体" w:cs="宋体"/>
                <w:bCs/>
                <w:color w:val="auto"/>
                <w:kern w:val="2"/>
                <w:sz w:val="21"/>
                <w:szCs w:val="21"/>
                <w:lang w:val="en-US" w:eastAsia="zh-CN" w:bidi="ar-SA"/>
              </w:rPr>
              <w:t>线路四：桐庐五日游</w:t>
            </w:r>
          </w:p>
        </w:tc>
        <w:tc>
          <w:tcPr>
            <w:tcW w:w="1129" w:type="dxa"/>
            <w:noWrap w:val="0"/>
            <w:vAlign w:val="center"/>
          </w:tcPr>
          <w:p w14:paraId="63AB8CF3">
            <w:pPr>
              <w:snapToGrid w:val="0"/>
              <w:jc w:val="center"/>
              <w:rPr>
                <w:rFonts w:hint="eastAsia" w:ascii="宋体" w:hAnsi="宋体" w:cs="宋体"/>
                <w:bCs/>
                <w:color w:val="auto"/>
                <w:szCs w:val="21"/>
                <w:lang w:val="en-US" w:eastAsia="zh-CN"/>
              </w:rPr>
            </w:pPr>
            <w:r>
              <w:rPr>
                <w:rFonts w:hint="eastAsia" w:ascii="宋体" w:hAnsi="宋体" w:cs="宋体"/>
                <w:bCs/>
                <w:color w:val="auto"/>
                <w:kern w:val="2"/>
                <w:sz w:val="21"/>
                <w:szCs w:val="21"/>
                <w:lang w:val="en-US" w:eastAsia="zh-CN" w:bidi="ar-SA"/>
              </w:rPr>
              <w:t>8月11日</w:t>
            </w:r>
          </w:p>
        </w:tc>
        <w:tc>
          <w:tcPr>
            <w:tcW w:w="1287" w:type="dxa"/>
            <w:noWrap w:val="0"/>
            <w:vAlign w:val="center"/>
          </w:tcPr>
          <w:p w14:paraId="268A80C9">
            <w:pPr>
              <w:snapToGrid w:val="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20</w:t>
            </w:r>
          </w:p>
        </w:tc>
        <w:tc>
          <w:tcPr>
            <w:tcW w:w="1101" w:type="dxa"/>
            <w:noWrap w:val="0"/>
            <w:vAlign w:val="center"/>
          </w:tcPr>
          <w:p w14:paraId="5BE0A1A1">
            <w:pPr>
              <w:snapToGrid w:val="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3000</w:t>
            </w:r>
          </w:p>
        </w:tc>
        <w:tc>
          <w:tcPr>
            <w:tcW w:w="969" w:type="dxa"/>
            <w:noWrap w:val="0"/>
            <w:vAlign w:val="center"/>
          </w:tcPr>
          <w:p w14:paraId="6ECDF679">
            <w:pPr>
              <w:snapToGrid w:val="0"/>
              <w:jc w:val="center"/>
              <w:rPr>
                <w:rFonts w:hint="eastAsia" w:ascii="宋体" w:hAnsi="宋体" w:cs="宋体"/>
                <w:i w:val="0"/>
                <w:iCs w:val="0"/>
                <w:color w:val="auto"/>
                <w:kern w:val="0"/>
                <w:sz w:val="22"/>
                <w:szCs w:val="22"/>
                <w:highlight w:val="yellow"/>
                <w:u w:val="none"/>
                <w:lang w:val="en-US" w:eastAsia="zh-CN" w:bidi="ar"/>
              </w:rPr>
            </w:pPr>
            <w:r>
              <w:rPr>
                <w:rFonts w:hint="eastAsia" w:ascii="宋体" w:hAnsi="宋体" w:cs="宋体"/>
                <w:bCs/>
                <w:color w:val="auto"/>
                <w:szCs w:val="21"/>
                <w:lang w:val="en-US" w:eastAsia="zh-CN"/>
              </w:rPr>
              <w:t>60000</w:t>
            </w:r>
          </w:p>
        </w:tc>
        <w:tc>
          <w:tcPr>
            <w:tcW w:w="1193" w:type="dxa"/>
            <w:vMerge w:val="continue"/>
            <w:noWrap w:val="0"/>
            <w:vAlign w:val="center"/>
          </w:tcPr>
          <w:p w14:paraId="34074F41">
            <w:pPr>
              <w:snapToGrid w:val="0"/>
              <w:ind w:firstLine="105" w:firstLineChars="50"/>
              <w:jc w:val="center"/>
              <w:rPr>
                <w:rFonts w:hint="eastAsia" w:ascii="宋体" w:hAnsi="宋体" w:eastAsia="宋体" w:cs="宋体"/>
                <w:bCs/>
                <w:color w:val="auto"/>
                <w:szCs w:val="21"/>
                <w:lang w:val="en-US" w:eastAsia="zh-CN"/>
              </w:rPr>
            </w:pPr>
          </w:p>
        </w:tc>
      </w:tr>
      <w:tr w14:paraId="1568B2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00" w:type="dxa"/>
            <w:vMerge w:val="continue"/>
            <w:noWrap w:val="0"/>
            <w:vAlign w:val="center"/>
          </w:tcPr>
          <w:p w14:paraId="4CDFE350">
            <w:pPr>
              <w:snapToGrid w:val="0"/>
              <w:ind w:firstLine="105" w:firstLineChars="50"/>
              <w:jc w:val="center"/>
              <w:rPr>
                <w:rFonts w:hint="eastAsia" w:ascii="宋体" w:hAnsi="宋体" w:eastAsia="宋体" w:cs="宋体"/>
                <w:bCs/>
                <w:color w:val="auto"/>
                <w:szCs w:val="21"/>
                <w:lang w:val="en-US" w:eastAsia="zh-CN"/>
              </w:rPr>
            </w:pPr>
          </w:p>
        </w:tc>
        <w:tc>
          <w:tcPr>
            <w:tcW w:w="889" w:type="dxa"/>
            <w:vMerge w:val="restart"/>
            <w:noWrap w:val="0"/>
            <w:vAlign w:val="center"/>
          </w:tcPr>
          <w:p w14:paraId="024CD586">
            <w:pPr>
              <w:snapToGrid w:val="0"/>
              <w:jc w:val="both"/>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标项</w:t>
            </w:r>
            <w:r>
              <w:rPr>
                <w:rFonts w:hint="eastAsia" w:ascii="宋体" w:hAnsi="宋体" w:cs="宋体"/>
                <w:bCs/>
                <w:color w:val="auto"/>
                <w:szCs w:val="21"/>
                <w:lang w:val="en-US" w:eastAsia="zh-CN"/>
              </w:rPr>
              <w:t>二</w:t>
            </w:r>
          </w:p>
        </w:tc>
        <w:tc>
          <w:tcPr>
            <w:tcW w:w="1329" w:type="dxa"/>
            <w:noWrap w:val="0"/>
            <w:vAlign w:val="center"/>
          </w:tcPr>
          <w:p w14:paraId="5A9C962C">
            <w:pPr>
              <w:snapToGrid w:val="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线路五：成都六日游</w:t>
            </w:r>
          </w:p>
        </w:tc>
        <w:tc>
          <w:tcPr>
            <w:tcW w:w="1129" w:type="dxa"/>
            <w:noWrap w:val="0"/>
            <w:vAlign w:val="center"/>
          </w:tcPr>
          <w:p w14:paraId="6E93CD2D">
            <w:pPr>
              <w:snapToGrid w:val="0"/>
              <w:jc w:val="center"/>
              <w:rPr>
                <w:rFonts w:hint="eastAsia" w:ascii="宋体" w:hAnsi="宋体" w:cs="宋体"/>
                <w:bCs/>
                <w:color w:val="auto"/>
                <w:szCs w:val="21"/>
                <w:lang w:val="en-US" w:eastAsia="zh-CN"/>
              </w:rPr>
            </w:pPr>
            <w:r>
              <w:rPr>
                <w:rFonts w:hint="eastAsia" w:ascii="宋体" w:hAnsi="宋体" w:eastAsia="宋体" w:cs="宋体"/>
                <w:bCs/>
                <w:color w:val="auto"/>
                <w:szCs w:val="21"/>
                <w:lang w:val="en-US" w:eastAsia="zh-CN"/>
              </w:rPr>
              <w:t>7月</w:t>
            </w:r>
            <w:r>
              <w:rPr>
                <w:rFonts w:hint="eastAsia" w:ascii="宋体" w:hAnsi="宋体" w:cs="宋体"/>
                <w:bCs/>
                <w:color w:val="auto"/>
                <w:szCs w:val="21"/>
                <w:lang w:val="en-US" w:eastAsia="zh-CN"/>
              </w:rPr>
              <w:t>7</w:t>
            </w:r>
            <w:r>
              <w:rPr>
                <w:rFonts w:hint="eastAsia" w:ascii="宋体" w:hAnsi="宋体" w:eastAsia="宋体" w:cs="宋体"/>
                <w:bCs/>
                <w:color w:val="auto"/>
                <w:szCs w:val="21"/>
                <w:lang w:val="en-US" w:eastAsia="zh-CN"/>
              </w:rPr>
              <w:t>日</w:t>
            </w:r>
          </w:p>
        </w:tc>
        <w:tc>
          <w:tcPr>
            <w:tcW w:w="1287" w:type="dxa"/>
            <w:noWrap w:val="0"/>
            <w:vAlign w:val="center"/>
          </w:tcPr>
          <w:p w14:paraId="6B09F608">
            <w:pPr>
              <w:snapToGrid w:val="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23</w:t>
            </w:r>
          </w:p>
        </w:tc>
        <w:tc>
          <w:tcPr>
            <w:tcW w:w="1101" w:type="dxa"/>
            <w:noWrap w:val="0"/>
            <w:vAlign w:val="center"/>
          </w:tcPr>
          <w:p w14:paraId="1A77EA02">
            <w:pPr>
              <w:snapToGrid w:val="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3000</w:t>
            </w:r>
          </w:p>
        </w:tc>
        <w:tc>
          <w:tcPr>
            <w:tcW w:w="969" w:type="dxa"/>
            <w:noWrap w:val="0"/>
            <w:vAlign w:val="center"/>
          </w:tcPr>
          <w:p w14:paraId="59716038">
            <w:pPr>
              <w:snapToGrid w:val="0"/>
              <w:jc w:val="center"/>
              <w:rPr>
                <w:rFonts w:hint="eastAsia" w:ascii="宋体" w:hAnsi="宋体" w:cs="宋体"/>
                <w:i w:val="0"/>
                <w:iCs w:val="0"/>
                <w:color w:val="auto"/>
                <w:kern w:val="0"/>
                <w:sz w:val="22"/>
                <w:szCs w:val="22"/>
                <w:highlight w:val="yellow"/>
                <w:u w:val="none"/>
                <w:lang w:val="en-US" w:eastAsia="zh-CN" w:bidi="ar"/>
              </w:rPr>
            </w:pPr>
            <w:r>
              <w:rPr>
                <w:rFonts w:hint="eastAsia" w:ascii="宋体" w:hAnsi="宋体" w:cs="宋体"/>
                <w:bCs/>
                <w:color w:val="auto"/>
                <w:szCs w:val="21"/>
                <w:lang w:val="en-US" w:eastAsia="zh-CN"/>
              </w:rPr>
              <w:t>69000</w:t>
            </w:r>
          </w:p>
        </w:tc>
        <w:tc>
          <w:tcPr>
            <w:tcW w:w="1193" w:type="dxa"/>
            <w:vMerge w:val="continue"/>
            <w:noWrap w:val="0"/>
            <w:vAlign w:val="center"/>
          </w:tcPr>
          <w:p w14:paraId="65125CE1">
            <w:pPr>
              <w:snapToGrid w:val="0"/>
              <w:ind w:firstLine="105" w:firstLineChars="50"/>
              <w:jc w:val="center"/>
              <w:rPr>
                <w:rFonts w:hint="eastAsia" w:ascii="宋体" w:hAnsi="宋体" w:eastAsia="宋体" w:cs="宋体"/>
                <w:bCs/>
                <w:color w:val="auto"/>
                <w:szCs w:val="21"/>
                <w:lang w:val="en-US" w:eastAsia="zh-CN"/>
              </w:rPr>
            </w:pPr>
          </w:p>
        </w:tc>
      </w:tr>
      <w:tr w14:paraId="58AD59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00" w:type="dxa"/>
            <w:vMerge w:val="continue"/>
            <w:noWrap w:val="0"/>
            <w:vAlign w:val="center"/>
          </w:tcPr>
          <w:p w14:paraId="2C0C2BE3">
            <w:pPr>
              <w:snapToGrid w:val="0"/>
              <w:ind w:firstLine="105" w:firstLineChars="50"/>
              <w:jc w:val="center"/>
              <w:rPr>
                <w:rFonts w:hint="eastAsia" w:ascii="宋体" w:hAnsi="宋体" w:eastAsia="宋体" w:cs="宋体"/>
                <w:bCs/>
                <w:color w:val="auto"/>
                <w:szCs w:val="21"/>
                <w:lang w:val="en-US" w:eastAsia="zh-CN"/>
              </w:rPr>
            </w:pPr>
          </w:p>
        </w:tc>
        <w:tc>
          <w:tcPr>
            <w:tcW w:w="889" w:type="dxa"/>
            <w:vMerge w:val="continue"/>
            <w:noWrap w:val="0"/>
            <w:vAlign w:val="center"/>
          </w:tcPr>
          <w:p w14:paraId="65CDBA90">
            <w:pPr>
              <w:snapToGrid w:val="0"/>
              <w:ind w:firstLine="105" w:firstLineChars="50"/>
              <w:jc w:val="center"/>
              <w:rPr>
                <w:rFonts w:hint="eastAsia" w:ascii="宋体" w:hAnsi="宋体" w:eastAsia="宋体" w:cs="宋体"/>
                <w:bCs/>
                <w:color w:val="auto"/>
                <w:szCs w:val="21"/>
                <w:lang w:val="en-US" w:eastAsia="zh-CN"/>
              </w:rPr>
            </w:pPr>
          </w:p>
        </w:tc>
        <w:tc>
          <w:tcPr>
            <w:tcW w:w="1329" w:type="dxa"/>
            <w:noWrap w:val="0"/>
            <w:vAlign w:val="center"/>
          </w:tcPr>
          <w:p w14:paraId="157A3703">
            <w:pPr>
              <w:snapToGrid w:val="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线路六：成都六日游</w:t>
            </w:r>
          </w:p>
        </w:tc>
        <w:tc>
          <w:tcPr>
            <w:tcW w:w="1129" w:type="dxa"/>
            <w:noWrap w:val="0"/>
            <w:vAlign w:val="center"/>
          </w:tcPr>
          <w:p w14:paraId="6F101C7B">
            <w:pPr>
              <w:snapToGrid w:val="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7月21日</w:t>
            </w:r>
          </w:p>
        </w:tc>
        <w:tc>
          <w:tcPr>
            <w:tcW w:w="1287" w:type="dxa"/>
            <w:noWrap w:val="0"/>
            <w:vAlign w:val="center"/>
          </w:tcPr>
          <w:p w14:paraId="6116BCEC">
            <w:pPr>
              <w:snapToGrid w:val="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26</w:t>
            </w:r>
          </w:p>
        </w:tc>
        <w:tc>
          <w:tcPr>
            <w:tcW w:w="1101" w:type="dxa"/>
            <w:noWrap w:val="0"/>
            <w:vAlign w:val="center"/>
          </w:tcPr>
          <w:p w14:paraId="728A2305">
            <w:pPr>
              <w:snapToGrid w:val="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3000</w:t>
            </w:r>
          </w:p>
        </w:tc>
        <w:tc>
          <w:tcPr>
            <w:tcW w:w="969" w:type="dxa"/>
            <w:noWrap w:val="0"/>
            <w:vAlign w:val="center"/>
          </w:tcPr>
          <w:p w14:paraId="708FC6BF">
            <w:pPr>
              <w:snapToGrid w:val="0"/>
              <w:jc w:val="center"/>
              <w:rPr>
                <w:rFonts w:hint="eastAsia" w:ascii="宋体" w:hAnsi="宋体" w:cs="宋体"/>
                <w:i w:val="0"/>
                <w:iCs w:val="0"/>
                <w:color w:val="auto"/>
                <w:kern w:val="0"/>
                <w:sz w:val="22"/>
                <w:szCs w:val="22"/>
                <w:highlight w:val="yellow"/>
                <w:u w:val="none"/>
                <w:lang w:val="en-US" w:eastAsia="zh-CN" w:bidi="ar"/>
              </w:rPr>
            </w:pPr>
            <w:r>
              <w:rPr>
                <w:rFonts w:hint="eastAsia" w:ascii="宋体" w:hAnsi="宋体" w:cs="宋体"/>
                <w:bCs/>
                <w:color w:val="auto"/>
                <w:szCs w:val="21"/>
                <w:lang w:val="en-US" w:eastAsia="zh-CN"/>
              </w:rPr>
              <w:t>78000</w:t>
            </w:r>
          </w:p>
        </w:tc>
        <w:tc>
          <w:tcPr>
            <w:tcW w:w="1193" w:type="dxa"/>
            <w:vMerge w:val="continue"/>
            <w:noWrap w:val="0"/>
            <w:vAlign w:val="center"/>
          </w:tcPr>
          <w:p w14:paraId="6A377857">
            <w:pPr>
              <w:snapToGrid w:val="0"/>
              <w:ind w:firstLine="105" w:firstLineChars="50"/>
              <w:jc w:val="center"/>
              <w:rPr>
                <w:rFonts w:hint="eastAsia" w:ascii="宋体" w:hAnsi="宋体" w:eastAsia="宋体" w:cs="宋体"/>
                <w:bCs/>
                <w:color w:val="auto"/>
                <w:szCs w:val="21"/>
                <w:lang w:val="en-US" w:eastAsia="zh-CN"/>
              </w:rPr>
            </w:pPr>
          </w:p>
        </w:tc>
      </w:tr>
      <w:tr w14:paraId="7B0005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00" w:type="dxa"/>
            <w:vMerge w:val="continue"/>
            <w:noWrap w:val="0"/>
            <w:vAlign w:val="center"/>
          </w:tcPr>
          <w:p w14:paraId="27721BEE">
            <w:pPr>
              <w:snapToGrid w:val="0"/>
              <w:ind w:firstLine="105" w:firstLineChars="50"/>
              <w:jc w:val="center"/>
              <w:rPr>
                <w:rFonts w:hint="eastAsia" w:ascii="宋体" w:hAnsi="宋体" w:eastAsia="宋体" w:cs="宋体"/>
                <w:bCs/>
                <w:color w:val="auto"/>
                <w:szCs w:val="21"/>
                <w:lang w:val="en-US" w:eastAsia="zh-CN"/>
              </w:rPr>
            </w:pPr>
          </w:p>
        </w:tc>
        <w:tc>
          <w:tcPr>
            <w:tcW w:w="889" w:type="dxa"/>
            <w:vMerge w:val="continue"/>
            <w:noWrap w:val="0"/>
            <w:vAlign w:val="center"/>
          </w:tcPr>
          <w:p w14:paraId="37D2DC01">
            <w:pPr>
              <w:snapToGrid w:val="0"/>
              <w:ind w:firstLine="105" w:firstLineChars="50"/>
              <w:jc w:val="center"/>
              <w:rPr>
                <w:rFonts w:hint="eastAsia" w:ascii="宋体" w:hAnsi="宋体" w:eastAsia="宋体" w:cs="宋体"/>
                <w:bCs/>
                <w:color w:val="auto"/>
                <w:szCs w:val="21"/>
                <w:lang w:val="en-US" w:eastAsia="zh-CN"/>
              </w:rPr>
            </w:pPr>
          </w:p>
        </w:tc>
        <w:tc>
          <w:tcPr>
            <w:tcW w:w="1329" w:type="dxa"/>
            <w:noWrap w:val="0"/>
            <w:vAlign w:val="center"/>
          </w:tcPr>
          <w:p w14:paraId="6DA967D1">
            <w:pPr>
              <w:snapToGrid w:val="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线路七：</w:t>
            </w:r>
            <w:r>
              <w:rPr>
                <w:rFonts w:hint="eastAsia" w:ascii="宋体" w:hAnsi="宋体" w:eastAsia="宋体" w:cs="宋体"/>
                <w:bCs/>
                <w:color w:val="auto"/>
                <w:szCs w:val="21"/>
                <w:lang w:val="en-US" w:eastAsia="zh-CN"/>
              </w:rPr>
              <w:t>嘉兴</w:t>
            </w:r>
            <w:r>
              <w:rPr>
                <w:rFonts w:hint="eastAsia" w:ascii="宋体" w:hAnsi="宋体" w:cs="宋体"/>
                <w:bCs/>
                <w:color w:val="auto"/>
                <w:szCs w:val="21"/>
                <w:lang w:val="en-US" w:eastAsia="zh-CN"/>
              </w:rPr>
              <w:t>（开元森泊）</w:t>
            </w:r>
            <w:r>
              <w:rPr>
                <w:rFonts w:hint="eastAsia" w:ascii="宋体" w:hAnsi="宋体" w:eastAsia="宋体" w:cs="宋体"/>
                <w:bCs/>
                <w:color w:val="auto"/>
                <w:szCs w:val="21"/>
                <w:lang w:val="en-US" w:eastAsia="zh-CN"/>
              </w:rPr>
              <w:t>五日游</w:t>
            </w:r>
          </w:p>
        </w:tc>
        <w:tc>
          <w:tcPr>
            <w:tcW w:w="1129" w:type="dxa"/>
            <w:noWrap w:val="0"/>
            <w:vAlign w:val="center"/>
          </w:tcPr>
          <w:p w14:paraId="2846E871">
            <w:pPr>
              <w:snapToGrid w:val="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8月4日</w:t>
            </w:r>
          </w:p>
        </w:tc>
        <w:tc>
          <w:tcPr>
            <w:tcW w:w="1287" w:type="dxa"/>
            <w:noWrap w:val="0"/>
            <w:vAlign w:val="center"/>
          </w:tcPr>
          <w:p w14:paraId="5E349291">
            <w:pPr>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48</w:t>
            </w:r>
          </w:p>
        </w:tc>
        <w:tc>
          <w:tcPr>
            <w:tcW w:w="1101" w:type="dxa"/>
            <w:noWrap w:val="0"/>
            <w:vAlign w:val="center"/>
          </w:tcPr>
          <w:p w14:paraId="0059840D">
            <w:pPr>
              <w:snapToGri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3000</w:t>
            </w:r>
          </w:p>
        </w:tc>
        <w:tc>
          <w:tcPr>
            <w:tcW w:w="969" w:type="dxa"/>
            <w:noWrap w:val="0"/>
            <w:vAlign w:val="center"/>
          </w:tcPr>
          <w:p w14:paraId="0FB9FDEA">
            <w:pPr>
              <w:snapToGrid w:val="0"/>
              <w:jc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bCs/>
                <w:color w:val="auto"/>
                <w:szCs w:val="21"/>
                <w:highlight w:val="none"/>
                <w:lang w:val="en-US" w:eastAsia="zh-CN"/>
              </w:rPr>
              <w:t>144000</w:t>
            </w:r>
          </w:p>
        </w:tc>
        <w:tc>
          <w:tcPr>
            <w:tcW w:w="1193" w:type="dxa"/>
            <w:vMerge w:val="continue"/>
            <w:noWrap w:val="0"/>
            <w:vAlign w:val="center"/>
          </w:tcPr>
          <w:p w14:paraId="1FB7BBAE">
            <w:pPr>
              <w:snapToGrid w:val="0"/>
              <w:ind w:firstLine="105" w:firstLineChars="50"/>
              <w:jc w:val="center"/>
              <w:rPr>
                <w:rFonts w:hint="eastAsia" w:ascii="宋体" w:hAnsi="宋体" w:eastAsia="宋体" w:cs="宋体"/>
                <w:bCs/>
                <w:color w:val="auto"/>
                <w:szCs w:val="21"/>
                <w:lang w:val="en-US" w:eastAsia="zh-CN"/>
              </w:rPr>
            </w:pPr>
          </w:p>
        </w:tc>
      </w:tr>
      <w:tr w14:paraId="72AD7F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1100" w:type="dxa"/>
            <w:vMerge w:val="continue"/>
            <w:noWrap w:val="0"/>
            <w:vAlign w:val="center"/>
          </w:tcPr>
          <w:p w14:paraId="10F58B19">
            <w:pPr>
              <w:snapToGrid w:val="0"/>
              <w:ind w:firstLine="105" w:firstLineChars="50"/>
              <w:jc w:val="center"/>
              <w:rPr>
                <w:rFonts w:hint="eastAsia" w:ascii="宋体" w:hAnsi="宋体" w:eastAsia="宋体" w:cs="宋体"/>
                <w:bCs/>
                <w:color w:val="auto"/>
                <w:szCs w:val="21"/>
                <w:lang w:val="en-US" w:eastAsia="zh-CN"/>
              </w:rPr>
            </w:pPr>
          </w:p>
        </w:tc>
        <w:tc>
          <w:tcPr>
            <w:tcW w:w="889" w:type="dxa"/>
            <w:noWrap w:val="0"/>
            <w:vAlign w:val="center"/>
          </w:tcPr>
          <w:p w14:paraId="32E3F85E">
            <w:pPr>
              <w:snapToGrid w:val="0"/>
              <w:jc w:val="both"/>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标项三</w:t>
            </w:r>
          </w:p>
        </w:tc>
        <w:tc>
          <w:tcPr>
            <w:tcW w:w="1329" w:type="dxa"/>
            <w:noWrap w:val="0"/>
            <w:vAlign w:val="center"/>
          </w:tcPr>
          <w:p w14:paraId="6C863037">
            <w:pPr>
              <w:snapToGrid w:val="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线路八：嘉兴红色之旅五日游</w:t>
            </w:r>
          </w:p>
        </w:tc>
        <w:tc>
          <w:tcPr>
            <w:tcW w:w="1129" w:type="dxa"/>
            <w:noWrap w:val="0"/>
            <w:vAlign w:val="center"/>
          </w:tcPr>
          <w:p w14:paraId="22549CC6">
            <w:pPr>
              <w:snapToGrid w:val="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7月14日</w:t>
            </w:r>
          </w:p>
        </w:tc>
        <w:tc>
          <w:tcPr>
            <w:tcW w:w="1287" w:type="dxa"/>
            <w:noWrap w:val="0"/>
            <w:vAlign w:val="center"/>
          </w:tcPr>
          <w:p w14:paraId="4D2FD133">
            <w:pPr>
              <w:snapToGrid w:val="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153</w:t>
            </w:r>
          </w:p>
        </w:tc>
        <w:tc>
          <w:tcPr>
            <w:tcW w:w="1101" w:type="dxa"/>
            <w:noWrap w:val="0"/>
            <w:vAlign w:val="center"/>
          </w:tcPr>
          <w:p w14:paraId="0BF16F66">
            <w:pPr>
              <w:snapToGrid w:val="0"/>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3000</w:t>
            </w:r>
          </w:p>
        </w:tc>
        <w:tc>
          <w:tcPr>
            <w:tcW w:w="969" w:type="dxa"/>
            <w:noWrap w:val="0"/>
            <w:vAlign w:val="center"/>
          </w:tcPr>
          <w:p w14:paraId="5C88B5FB">
            <w:pPr>
              <w:snapToGrid w:val="0"/>
              <w:jc w:val="center"/>
              <w:rPr>
                <w:rFonts w:hint="eastAsia" w:ascii="宋体" w:hAnsi="宋体" w:cs="宋体"/>
                <w:i w:val="0"/>
                <w:iCs w:val="0"/>
                <w:color w:val="auto"/>
                <w:kern w:val="0"/>
                <w:sz w:val="22"/>
                <w:szCs w:val="22"/>
                <w:highlight w:val="yellow"/>
                <w:u w:val="none"/>
                <w:lang w:val="en-US" w:eastAsia="zh-CN" w:bidi="ar"/>
              </w:rPr>
            </w:pPr>
            <w:r>
              <w:rPr>
                <w:rFonts w:hint="eastAsia" w:ascii="宋体" w:hAnsi="宋体" w:cs="宋体"/>
                <w:bCs/>
                <w:color w:val="auto"/>
                <w:szCs w:val="21"/>
                <w:lang w:val="en-US" w:eastAsia="zh-CN"/>
              </w:rPr>
              <w:t>459000</w:t>
            </w:r>
          </w:p>
        </w:tc>
        <w:tc>
          <w:tcPr>
            <w:tcW w:w="1193" w:type="dxa"/>
            <w:vMerge w:val="continue"/>
            <w:noWrap w:val="0"/>
            <w:vAlign w:val="center"/>
          </w:tcPr>
          <w:p w14:paraId="44508A4B">
            <w:pPr>
              <w:snapToGrid w:val="0"/>
              <w:ind w:firstLine="105" w:firstLineChars="50"/>
              <w:jc w:val="center"/>
              <w:rPr>
                <w:rFonts w:hint="eastAsia" w:ascii="宋体" w:hAnsi="宋体" w:eastAsia="宋体" w:cs="宋体"/>
                <w:bCs/>
                <w:color w:val="auto"/>
                <w:szCs w:val="21"/>
                <w:lang w:val="en-US" w:eastAsia="zh-CN"/>
              </w:rPr>
            </w:pPr>
          </w:p>
        </w:tc>
      </w:tr>
      <w:bookmarkEnd w:id="584"/>
    </w:tbl>
    <w:p w14:paraId="16376182">
      <w:pPr>
        <w:spacing w:line="400" w:lineRule="exact"/>
        <w:rPr>
          <w:rFonts w:hint="eastAsia" w:ascii="宋体" w:hAnsi="宋体"/>
          <w:color w:val="auto"/>
          <w:szCs w:val="21"/>
        </w:rPr>
      </w:pPr>
      <w:r>
        <w:rPr>
          <w:rFonts w:hint="eastAsia" w:ascii="宋体" w:hAnsi="宋体"/>
          <w:color w:val="auto"/>
          <w:szCs w:val="21"/>
        </w:rPr>
        <w:t>注：1、采购内容：</w:t>
      </w:r>
      <w:r>
        <w:rPr>
          <w:rFonts w:hint="eastAsia" w:ascii="宋体" w:hAnsi="宋体"/>
          <w:color w:val="auto"/>
          <w:szCs w:val="21"/>
          <w:lang w:eastAsia="zh-CN"/>
        </w:rPr>
        <w:t xml:space="preserve">  嘉兴市实验小学2025年度教师疗休养项目</w:t>
      </w:r>
      <w:r>
        <w:rPr>
          <w:rFonts w:hint="eastAsia" w:ascii="宋体" w:hAnsi="宋体"/>
          <w:color w:val="auto"/>
          <w:szCs w:val="21"/>
        </w:rPr>
        <w:t>。</w:t>
      </w:r>
    </w:p>
    <w:p w14:paraId="095A2D4D">
      <w:pPr>
        <w:spacing w:line="400" w:lineRule="exact"/>
        <w:ind w:firstLine="420" w:firstLineChars="200"/>
        <w:rPr>
          <w:rFonts w:ascii="宋体" w:hAnsi="宋体"/>
          <w:color w:val="auto"/>
          <w:szCs w:val="21"/>
        </w:rPr>
      </w:pPr>
      <w:r>
        <w:rPr>
          <w:rFonts w:hint="eastAsia" w:ascii="宋体" w:hAnsi="宋体"/>
          <w:color w:val="auto"/>
          <w:szCs w:val="21"/>
        </w:rPr>
        <w:t>2、人数约</w:t>
      </w:r>
      <w:r>
        <w:rPr>
          <w:rFonts w:hint="eastAsia" w:ascii="宋体" w:hAnsi="宋体"/>
          <w:color w:val="auto"/>
          <w:szCs w:val="21"/>
          <w:highlight w:val="none"/>
        </w:rPr>
        <w:t>为</w:t>
      </w:r>
      <w:r>
        <w:rPr>
          <w:rFonts w:hint="eastAsia" w:ascii="宋体" w:hAnsi="宋体"/>
          <w:color w:val="auto"/>
          <w:szCs w:val="21"/>
          <w:highlight w:val="none"/>
          <w:lang w:val="en-US" w:eastAsia="zh-CN"/>
        </w:rPr>
        <w:t>357</w:t>
      </w:r>
      <w:r>
        <w:rPr>
          <w:rFonts w:hint="eastAsia" w:ascii="宋体" w:hAnsi="宋体"/>
          <w:color w:val="auto"/>
          <w:szCs w:val="21"/>
          <w:highlight w:val="none"/>
        </w:rPr>
        <w:t>人（以</w:t>
      </w:r>
      <w:r>
        <w:rPr>
          <w:rFonts w:hint="eastAsia" w:ascii="宋体" w:hAnsi="宋体"/>
          <w:color w:val="auto"/>
          <w:szCs w:val="21"/>
        </w:rPr>
        <w:t>实际参加人数为准）</w:t>
      </w:r>
    </w:p>
    <w:p w14:paraId="72BA7E85">
      <w:pPr>
        <w:spacing w:line="400" w:lineRule="exact"/>
        <w:ind w:firstLine="420" w:firstLineChars="200"/>
        <w:rPr>
          <w:rFonts w:hint="eastAsia" w:ascii="宋体" w:hAnsi="宋体"/>
          <w:color w:val="auto"/>
          <w:szCs w:val="21"/>
        </w:rPr>
      </w:pPr>
      <w:r>
        <w:rPr>
          <w:rFonts w:hint="eastAsia" w:ascii="宋体" w:hAnsi="宋体"/>
          <w:color w:val="auto"/>
          <w:szCs w:val="21"/>
        </w:rPr>
        <w:t>3、根据有关规定标准进行补助，如实际行程中出现超出部分将自行承担（超出部分在出行前由职工缴纳给旅行社）。每条线路如旅游途中有职工因故放弃某个景点或就餐服务等其他情况时，其景点门票费或就餐费等费用，旅行社可通过提升服务品质及内容来实现（规定允许的范围内）（磋商响应方案中提供详细方案，如提升住宿、餐标、景点等）。</w:t>
      </w:r>
    </w:p>
    <w:p w14:paraId="4E492270">
      <w:pPr>
        <w:spacing w:line="400" w:lineRule="exact"/>
        <w:ind w:firstLine="420" w:firstLineChars="200"/>
        <w:rPr>
          <w:rFonts w:hint="eastAsia" w:ascii="宋体" w:hAnsi="宋体"/>
          <w:color w:val="auto"/>
          <w:szCs w:val="21"/>
          <w:highlight w:val="none"/>
        </w:rPr>
      </w:pPr>
      <w:r>
        <w:rPr>
          <w:rFonts w:hint="eastAsia" w:ascii="宋体" w:hAnsi="宋体"/>
          <w:color w:val="auto"/>
          <w:szCs w:val="21"/>
        </w:rPr>
        <w:t>4、全程优秀导游，投标报价包括供应商完成本项目所需的一切费用，包括但不限于：交通费（含燃油费、机场建设费、航空交通保险</w:t>
      </w:r>
      <w:r>
        <w:rPr>
          <w:rFonts w:hint="eastAsia" w:ascii="宋体" w:hAnsi="宋体"/>
          <w:color w:val="auto"/>
          <w:szCs w:val="21"/>
          <w:highlight w:val="none"/>
        </w:rPr>
        <w:t>费、过路费、机票、火车票、景点交通费等）、住宿费、伙食费、景点门票（含必须的电瓶车、环保车、缆车费用）、导游费、保险费及涉及的其他所有费用、税金等。</w:t>
      </w:r>
    </w:p>
    <w:p w14:paraId="26BBDDE4">
      <w:pP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5、</w:t>
      </w:r>
      <w:r>
        <w:rPr>
          <w:rFonts w:hint="eastAsia" w:ascii="宋体" w:hAnsi="宋体"/>
          <w:b/>
          <w:bCs/>
          <w:color w:val="auto"/>
          <w:szCs w:val="21"/>
          <w:highlight w:val="none"/>
          <w:lang w:val="en-US" w:eastAsia="zh-CN"/>
        </w:rPr>
        <w:t>①</w:t>
      </w:r>
      <w:r>
        <w:rPr>
          <w:rFonts w:hint="eastAsia" w:ascii="宋体" w:hAnsi="宋体" w:cs="宋体"/>
          <w:b/>
          <w:bCs/>
          <w:color w:val="auto"/>
          <w:kern w:val="0"/>
          <w:szCs w:val="21"/>
          <w:highlight w:val="none"/>
          <w:lang w:eastAsia="zh-CN"/>
        </w:rPr>
        <w:t>标项</w:t>
      </w: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线路</w:t>
      </w:r>
      <w:r>
        <w:rPr>
          <w:rFonts w:hint="eastAsia" w:ascii="宋体" w:hAnsi="宋体" w:cs="宋体"/>
          <w:b/>
          <w:bCs/>
          <w:color w:val="auto"/>
          <w:kern w:val="0"/>
          <w:szCs w:val="21"/>
          <w:highlight w:val="none"/>
          <w:lang w:val="en-US" w:eastAsia="zh-CN"/>
        </w:rPr>
        <w:t>五</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成都六日游</w:t>
      </w:r>
      <w:r>
        <w:rPr>
          <w:rFonts w:hint="eastAsia" w:ascii="宋体" w:hAnsi="宋体" w:cs="宋体"/>
          <w:b/>
          <w:bCs/>
          <w:color w:val="auto"/>
          <w:kern w:val="0"/>
          <w:szCs w:val="21"/>
          <w:highlight w:val="none"/>
        </w:rPr>
        <w:t>报价</w:t>
      </w:r>
      <w:r>
        <w:rPr>
          <w:rFonts w:hint="eastAsia" w:ascii="宋体" w:hAnsi="宋体"/>
          <w:b/>
          <w:bCs/>
          <w:color w:val="auto"/>
          <w:szCs w:val="21"/>
          <w:highlight w:val="none"/>
        </w:rPr>
        <w:t>按单价3000元/人·次进行报价，方案按</w:t>
      </w:r>
      <w:r>
        <w:rPr>
          <w:rFonts w:hint="eastAsia" w:ascii="宋体" w:hAnsi="宋体"/>
          <w:b/>
          <w:bCs/>
          <w:color w:val="auto"/>
          <w:szCs w:val="21"/>
          <w:highlight w:val="none"/>
          <w:lang w:val="en-US" w:eastAsia="zh-CN"/>
        </w:rPr>
        <w:t>6000</w:t>
      </w:r>
      <w:r>
        <w:rPr>
          <w:rFonts w:hint="eastAsia" w:ascii="宋体" w:hAnsi="宋体"/>
          <w:b/>
          <w:bCs/>
          <w:color w:val="auto"/>
          <w:szCs w:val="21"/>
          <w:highlight w:val="none"/>
        </w:rPr>
        <w:t>元人·次做，超出部分在出行前由职工缴纳给旅行社。</w:t>
      </w:r>
    </w:p>
    <w:p w14:paraId="02C7DA0C">
      <w:pPr>
        <w:spacing w:line="400" w:lineRule="exact"/>
        <w:ind w:firstLine="422" w:firstLineChars="200"/>
        <w:rPr>
          <w:rFonts w:hint="eastAsia" w:ascii="宋体" w:hAnsi="宋体"/>
          <w:color w:val="auto"/>
          <w:szCs w:val="21"/>
          <w:highlight w:val="none"/>
        </w:rPr>
      </w:pPr>
      <w:r>
        <w:rPr>
          <w:rFonts w:hint="eastAsia" w:ascii="宋体" w:hAnsi="宋体" w:cs="宋体"/>
          <w:b/>
          <w:bCs/>
          <w:color w:val="auto"/>
          <w:kern w:val="0"/>
          <w:szCs w:val="21"/>
          <w:highlight w:val="none"/>
          <w:lang w:val="en-US" w:eastAsia="zh-CN"/>
        </w:rPr>
        <w:t>②</w:t>
      </w:r>
      <w:r>
        <w:rPr>
          <w:rFonts w:hint="eastAsia" w:ascii="宋体" w:hAnsi="宋体" w:cs="宋体"/>
          <w:b/>
          <w:bCs/>
          <w:color w:val="auto"/>
          <w:kern w:val="0"/>
          <w:szCs w:val="21"/>
          <w:highlight w:val="none"/>
          <w:lang w:eastAsia="zh-CN"/>
        </w:rPr>
        <w:t>标项</w:t>
      </w: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线路</w:t>
      </w:r>
      <w:r>
        <w:rPr>
          <w:rFonts w:hint="eastAsia" w:ascii="宋体" w:hAnsi="宋体" w:cs="宋体"/>
          <w:b/>
          <w:bCs/>
          <w:color w:val="auto"/>
          <w:kern w:val="0"/>
          <w:szCs w:val="21"/>
          <w:highlight w:val="none"/>
          <w:lang w:val="en-US" w:eastAsia="zh-CN"/>
        </w:rPr>
        <w:t>六</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成都六日游</w:t>
      </w:r>
      <w:r>
        <w:rPr>
          <w:rFonts w:hint="eastAsia" w:ascii="宋体" w:hAnsi="宋体" w:cs="宋体"/>
          <w:b/>
          <w:bCs/>
          <w:color w:val="auto"/>
          <w:kern w:val="0"/>
          <w:szCs w:val="21"/>
          <w:highlight w:val="none"/>
        </w:rPr>
        <w:t>报价</w:t>
      </w:r>
      <w:r>
        <w:rPr>
          <w:rFonts w:hint="eastAsia" w:ascii="宋体" w:hAnsi="宋体"/>
          <w:b/>
          <w:bCs/>
          <w:color w:val="auto"/>
          <w:szCs w:val="21"/>
          <w:highlight w:val="none"/>
        </w:rPr>
        <w:t>按单价3000元/人·次进行报价，方案按</w:t>
      </w:r>
      <w:r>
        <w:rPr>
          <w:rFonts w:hint="eastAsia" w:ascii="宋体" w:hAnsi="宋体"/>
          <w:b/>
          <w:bCs/>
          <w:color w:val="auto"/>
          <w:szCs w:val="21"/>
          <w:highlight w:val="none"/>
          <w:lang w:val="en-US" w:eastAsia="zh-CN"/>
        </w:rPr>
        <w:t>6000</w:t>
      </w:r>
      <w:r>
        <w:rPr>
          <w:rFonts w:hint="eastAsia" w:ascii="宋体" w:hAnsi="宋体"/>
          <w:b/>
          <w:bCs/>
          <w:color w:val="auto"/>
          <w:szCs w:val="21"/>
          <w:highlight w:val="none"/>
        </w:rPr>
        <w:t>元人·次做，超出部分在出行前由职工缴纳给旅行社。</w:t>
      </w:r>
    </w:p>
    <w:bookmarkEnd w:id="578"/>
    <w:p w14:paraId="04578077">
      <w:pPr>
        <w:spacing w:line="360" w:lineRule="auto"/>
        <w:rPr>
          <w:rFonts w:hint="eastAsia" w:ascii="宋体" w:hAnsi="宋体"/>
          <w:b/>
          <w:color w:val="auto"/>
          <w:szCs w:val="21"/>
          <w:highlight w:val="none"/>
        </w:rPr>
      </w:pPr>
      <w:r>
        <w:rPr>
          <w:rFonts w:hint="eastAsia" w:ascii="宋体" w:hAnsi="宋体"/>
          <w:b/>
          <w:color w:val="auto"/>
          <w:highlight w:val="none"/>
        </w:rPr>
        <w:t>二</w:t>
      </w:r>
      <w:r>
        <w:rPr>
          <w:rFonts w:hint="eastAsia" w:ascii="宋体" w:hAnsi="宋体"/>
          <w:b/>
          <w:color w:val="auto"/>
          <w:szCs w:val="21"/>
          <w:highlight w:val="none"/>
        </w:rPr>
        <w:t>、项目具体要求</w:t>
      </w:r>
    </w:p>
    <w:p w14:paraId="1EBA0261">
      <w:pPr>
        <w:pStyle w:val="127"/>
        <w:spacing w:line="400" w:lineRule="exact"/>
        <w:rPr>
          <w:rFonts w:hint="eastAsia" w:ascii="宋体" w:hAnsi="宋体"/>
          <w:color w:val="auto"/>
          <w:highlight w:val="none"/>
        </w:rPr>
      </w:pPr>
      <w:r>
        <w:rPr>
          <w:rFonts w:hint="eastAsia" w:ascii="宋体" w:hAnsi="宋体"/>
          <w:color w:val="auto"/>
          <w:highlight w:val="none"/>
        </w:rPr>
        <w:t>1、旅行社提供服务标准</w:t>
      </w:r>
    </w:p>
    <w:p w14:paraId="597F9039">
      <w:pPr>
        <w:pStyle w:val="127"/>
        <w:spacing w:line="400" w:lineRule="exact"/>
        <w:ind w:firstLine="630" w:firstLineChars="300"/>
        <w:rPr>
          <w:rFonts w:hint="eastAsia" w:ascii="宋体" w:hAnsi="宋体"/>
          <w:color w:val="auto"/>
          <w:highlight w:val="none"/>
        </w:rPr>
      </w:pPr>
      <w:r>
        <w:rPr>
          <w:rFonts w:hint="eastAsia" w:ascii="宋体" w:hAnsi="宋体"/>
          <w:color w:val="auto"/>
          <w:highlight w:val="none"/>
        </w:rPr>
        <w:t>(1) 交通：空调旅游车（大交通根据需要选择动车或高铁或飞机），（磋商响应文件中需列出交通费清单）</w:t>
      </w:r>
    </w:p>
    <w:p w14:paraId="3EEA1704">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（2）门票：主要景点门票（磋商响应文件中需列出门票清单）                 </w:t>
      </w:r>
    </w:p>
    <w:p w14:paraId="2DD22BEA">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（3）用餐：1、四早九正（早餐：酒店自助早餐；正餐标准：</w:t>
      </w:r>
      <w:r>
        <w:rPr>
          <w:rFonts w:hint="default" w:ascii="宋体" w:hAnsi="宋体"/>
          <w:color w:val="auto"/>
          <w:szCs w:val="21"/>
          <w:highlight w:val="none"/>
        </w:rPr>
        <w:t>6</w:t>
      </w:r>
      <w:r>
        <w:rPr>
          <w:rFonts w:hint="eastAsia" w:ascii="宋体" w:hAnsi="宋体"/>
          <w:color w:val="auto"/>
          <w:szCs w:val="21"/>
          <w:highlight w:val="none"/>
        </w:rPr>
        <w:t>0</w:t>
      </w:r>
      <w:r>
        <w:rPr>
          <w:rFonts w:hint="default" w:ascii="宋体" w:hAnsi="宋体"/>
          <w:color w:val="auto"/>
          <w:szCs w:val="21"/>
          <w:highlight w:val="none"/>
        </w:rPr>
        <w:t>（午）</w:t>
      </w:r>
      <w:r>
        <w:rPr>
          <w:rFonts w:hint="eastAsia" w:ascii="宋体" w:hAnsi="宋体"/>
          <w:color w:val="auto"/>
          <w:szCs w:val="21"/>
          <w:highlight w:val="none"/>
        </w:rPr>
        <w:t>-1</w:t>
      </w:r>
      <w:r>
        <w:rPr>
          <w:rFonts w:hint="default" w:ascii="宋体" w:hAnsi="宋体"/>
          <w:color w:val="auto"/>
          <w:szCs w:val="21"/>
          <w:highlight w:val="none"/>
        </w:rPr>
        <w:t>2</w:t>
      </w:r>
      <w:r>
        <w:rPr>
          <w:rFonts w:hint="eastAsia" w:ascii="宋体" w:hAnsi="宋体"/>
          <w:color w:val="auto"/>
          <w:szCs w:val="21"/>
          <w:highlight w:val="none"/>
        </w:rPr>
        <w:t>0</w:t>
      </w:r>
      <w:r>
        <w:rPr>
          <w:rFonts w:hint="default" w:ascii="宋体" w:hAnsi="宋体"/>
          <w:color w:val="auto"/>
          <w:szCs w:val="21"/>
          <w:highlight w:val="none"/>
        </w:rPr>
        <w:t>（晚）</w:t>
      </w:r>
      <w:r>
        <w:rPr>
          <w:rFonts w:hint="eastAsia" w:ascii="宋体" w:hAnsi="宋体"/>
          <w:color w:val="auto"/>
          <w:szCs w:val="21"/>
          <w:highlight w:val="none"/>
        </w:rPr>
        <w:t>元/人，若实际行程超过五天的在五天基础上每增加一天则增加一早两正）。</w:t>
      </w:r>
    </w:p>
    <w:p w14:paraId="4EAB7274">
      <w:pPr>
        <w:pStyle w:val="127"/>
        <w:spacing w:line="400" w:lineRule="exact"/>
        <w:rPr>
          <w:rFonts w:ascii="宋体" w:hAnsi="宋体"/>
          <w:color w:val="auto"/>
        </w:rPr>
      </w:pPr>
      <w:r>
        <w:rPr>
          <w:rFonts w:hint="eastAsia" w:ascii="宋体" w:hAnsi="宋体"/>
          <w:color w:val="auto"/>
        </w:rPr>
        <w:t xml:space="preserve">（4）住宿：四星（及四星以上）标准酒店双标房（单房差不补），要求交通便利、环境较好、干净卫生、服务优质，有较强的接待能力，同时配套设施齐全、使用方便安全。涉及外省的酒店要求为干净卫生、服务优质、有较强的接待能力。需保证住宿地点周围有县级（含）以上综合医院，医院离住宿地址车程20分钟以内。如果疗休养人员觉得宾馆住宿环境不满意，有权要求调整酒店，供应方应予以调整并不得降低标准。 </w:t>
      </w:r>
    </w:p>
    <w:p w14:paraId="7B64A2E3">
      <w:pPr>
        <w:pStyle w:val="127"/>
        <w:spacing w:line="400" w:lineRule="exact"/>
        <w:rPr>
          <w:rFonts w:ascii="宋体" w:hAnsi="宋体"/>
          <w:color w:val="auto"/>
        </w:rPr>
      </w:pPr>
      <w:r>
        <w:rPr>
          <w:rFonts w:hint="eastAsia" w:ascii="宋体" w:hAnsi="宋体"/>
          <w:color w:val="auto"/>
        </w:rPr>
        <w:t xml:space="preserve"> (5)导游：全程陪同及当地优秀资质公司有导游资格的专业导游讲解服务。服务团队人员未经使用单位同意，不得随意更换，如未经使用单位同意随意更换，采购人有权取消其服务资格，提前解除合同。 </w:t>
      </w:r>
    </w:p>
    <w:p w14:paraId="0110E4DB">
      <w:pPr>
        <w:pStyle w:val="127"/>
        <w:spacing w:line="400" w:lineRule="exact"/>
        <w:rPr>
          <w:rFonts w:ascii="宋体" w:hAnsi="宋体"/>
          <w:color w:val="auto"/>
        </w:rPr>
      </w:pPr>
      <w:r>
        <w:rPr>
          <w:rFonts w:hint="eastAsia" w:ascii="宋体" w:hAnsi="宋体"/>
          <w:color w:val="auto"/>
        </w:rPr>
        <w:t>关于用车。旅游路线内接送用车为标准空调旅游车（金龙车或高于其性能的车），车况良好；旅游车须用空调期间，司机应在每次上车前提前15分钟打开空调；司机应保持车辆整洁，每天要对车子进行清扫工作。接送车需提前至招标人指定地点接送。</w:t>
      </w:r>
    </w:p>
    <w:p w14:paraId="1DC1D73F">
      <w:pPr>
        <w:pStyle w:val="127"/>
        <w:spacing w:line="400" w:lineRule="exact"/>
        <w:rPr>
          <w:rFonts w:ascii="宋体" w:hAnsi="宋体"/>
          <w:color w:val="auto"/>
        </w:rPr>
      </w:pPr>
      <w:r>
        <w:rPr>
          <w:rFonts w:hint="eastAsia" w:ascii="宋体" w:hAnsi="宋体"/>
          <w:color w:val="auto"/>
        </w:rPr>
        <w:t>关于保险。成交供应商应按《旅行社责任保险管理办法》规定投保旅行社责任保险。险种与保额由行程确定。成交供应商须为参加团队旅游的旅游者投保人身意外伤害保险。旅游人身意外保险（保额不少于100万/人）、旅行社责任险（保额不少于150万/人）</w:t>
      </w:r>
    </w:p>
    <w:p w14:paraId="0B146204">
      <w:pPr>
        <w:pStyle w:val="127"/>
        <w:spacing w:line="400" w:lineRule="exact"/>
        <w:rPr>
          <w:rFonts w:ascii="宋体" w:hAnsi="宋体"/>
          <w:color w:val="auto"/>
        </w:rPr>
      </w:pPr>
      <w:r>
        <w:rPr>
          <w:rFonts w:hint="eastAsia" w:ascii="宋体" w:hAnsi="宋体"/>
          <w:color w:val="auto"/>
        </w:rPr>
        <w:t>购物：全程不主动进购物点，不推荐自费景点。</w:t>
      </w:r>
    </w:p>
    <w:p w14:paraId="401A9871">
      <w:pPr>
        <w:pStyle w:val="127"/>
        <w:spacing w:line="400" w:lineRule="exact"/>
        <w:rPr>
          <w:rFonts w:ascii="宋体" w:hAnsi="宋体"/>
          <w:color w:val="auto"/>
        </w:rPr>
      </w:pPr>
      <w:r>
        <w:rPr>
          <w:rFonts w:hint="eastAsia" w:ascii="宋体" w:hAnsi="宋体"/>
          <w:color w:val="auto"/>
        </w:rPr>
        <w:t>每批每人配发帽子1顶、雨伞1把、矿泉水不少于二瓶/天/人、一次性医用口罩不少于2个/天/人，每批次准备旅行常备药品一份、额温枪1把。</w:t>
      </w:r>
    </w:p>
    <w:p w14:paraId="61994D9F">
      <w:pPr>
        <w:pStyle w:val="127"/>
        <w:spacing w:line="400" w:lineRule="exact"/>
        <w:rPr>
          <w:rFonts w:ascii="宋体" w:hAnsi="宋体"/>
          <w:color w:val="auto"/>
        </w:rPr>
      </w:pPr>
      <w:r>
        <w:rPr>
          <w:rFonts w:hint="eastAsia" w:ascii="宋体" w:hAnsi="宋体"/>
          <w:color w:val="auto"/>
        </w:rPr>
        <w:t>要求举行行前会议，制定应急预案，发放《行程安排明细表》及相关行程服务内容的小册子。要求每个</w:t>
      </w:r>
      <w:r>
        <w:rPr>
          <w:rFonts w:hint="eastAsia" w:ascii="宋体" w:hAnsi="宋体"/>
          <w:color w:val="auto"/>
          <w:lang w:eastAsia="zh-CN"/>
        </w:rPr>
        <w:t>标项</w:t>
      </w:r>
      <w:r>
        <w:rPr>
          <w:rFonts w:hint="eastAsia" w:ascii="宋体" w:hAnsi="宋体"/>
          <w:color w:val="auto"/>
        </w:rPr>
        <w:t>的旅行社在出行的每辆车上安排一名导游全称陪同（旅游服务工作5年以上）。</w:t>
      </w:r>
    </w:p>
    <w:p w14:paraId="08AB4EE3">
      <w:pPr>
        <w:pStyle w:val="127"/>
        <w:spacing w:line="400" w:lineRule="exact"/>
        <w:rPr>
          <w:rFonts w:ascii="宋体" w:hAnsi="宋体"/>
          <w:color w:val="auto"/>
        </w:rPr>
      </w:pPr>
      <w:r>
        <w:rPr>
          <w:rFonts w:hint="eastAsia" w:ascii="宋体" w:hAnsi="宋体"/>
          <w:color w:val="auto"/>
        </w:rPr>
        <w:t>旅行社需做好保密工作，参加疗休养人员名单和个人信息不得外泄。</w:t>
      </w:r>
    </w:p>
    <w:p w14:paraId="3F3935EC">
      <w:pPr>
        <w:spacing w:line="360" w:lineRule="auto"/>
        <w:rPr>
          <w:rFonts w:ascii="宋体" w:hAnsi="宋体"/>
          <w:b/>
          <w:color w:val="auto"/>
          <w:szCs w:val="21"/>
        </w:rPr>
      </w:pPr>
      <w:r>
        <w:rPr>
          <w:rFonts w:hint="eastAsia" w:ascii="宋体" w:hAnsi="宋体"/>
          <w:b/>
          <w:color w:val="auto"/>
          <w:szCs w:val="21"/>
        </w:rPr>
        <w:t>三、服务要求</w:t>
      </w:r>
    </w:p>
    <w:p w14:paraId="1FD54CC3">
      <w:pPr>
        <w:spacing w:line="360" w:lineRule="auto"/>
        <w:ind w:firstLine="420" w:firstLineChars="200"/>
        <w:rPr>
          <w:rFonts w:ascii="宋体" w:hAnsi="宋体" w:cs="Calibri"/>
          <w:color w:val="auto"/>
          <w:szCs w:val="21"/>
        </w:rPr>
      </w:pPr>
      <w:r>
        <w:rPr>
          <w:rFonts w:hint="eastAsia" w:ascii="宋体" w:hAnsi="宋体" w:cs="Calibri"/>
          <w:color w:val="auto"/>
          <w:szCs w:val="21"/>
        </w:rPr>
        <w:t>1、疗休养项目及各提供的相关服务单位、营运环节、业务流程均应符合国家法律法规，符合国家、行业、地方标准的要求，维护疗休养人员的合法权益。</w:t>
      </w:r>
    </w:p>
    <w:p w14:paraId="07FAEEA4">
      <w:pPr>
        <w:spacing w:line="360" w:lineRule="auto"/>
        <w:ind w:firstLine="420" w:firstLineChars="200"/>
        <w:rPr>
          <w:rFonts w:ascii="宋体" w:hAnsi="宋体" w:cs="Calibri"/>
          <w:color w:val="auto"/>
          <w:szCs w:val="21"/>
        </w:rPr>
      </w:pPr>
      <w:r>
        <w:rPr>
          <w:rFonts w:hint="eastAsia" w:ascii="宋体" w:hAnsi="宋体" w:cs="Calibri"/>
          <w:color w:val="auto"/>
          <w:szCs w:val="21"/>
        </w:rPr>
        <w:t>2、能确保疗休养的安全、质量、诚信；确保全面履约，发生意外情况时有应急预案。</w:t>
      </w:r>
    </w:p>
    <w:p w14:paraId="7DF00943">
      <w:pPr>
        <w:spacing w:line="360" w:lineRule="auto"/>
        <w:ind w:firstLine="420" w:firstLineChars="200"/>
        <w:rPr>
          <w:rFonts w:ascii="宋体" w:hAnsi="宋体" w:cs="Calibri"/>
          <w:color w:val="auto"/>
          <w:szCs w:val="21"/>
        </w:rPr>
      </w:pPr>
      <w:r>
        <w:rPr>
          <w:rFonts w:hint="eastAsia" w:ascii="宋体" w:hAnsi="宋体" w:cs="Calibri"/>
          <w:color w:val="auto"/>
          <w:szCs w:val="21"/>
        </w:rPr>
        <w:t>3、规范组织管理、提供优质服务。选择资质高，信誉好的地接社，饭店、餐厅、景点、旅游汽车公司、商店等提供疗休养服务，并对其各项资质进行调查、核实、备案。</w:t>
      </w:r>
    </w:p>
    <w:p w14:paraId="7BD9C05C">
      <w:pPr>
        <w:spacing w:line="360" w:lineRule="auto"/>
        <w:ind w:firstLine="420" w:firstLineChars="200"/>
        <w:rPr>
          <w:rFonts w:ascii="宋体" w:hAnsi="宋体" w:cs="Calibri"/>
          <w:color w:val="auto"/>
          <w:szCs w:val="21"/>
        </w:rPr>
      </w:pPr>
      <w:r>
        <w:rPr>
          <w:rFonts w:hint="eastAsia" w:ascii="宋体" w:hAnsi="宋体" w:cs="Calibri"/>
          <w:color w:val="auto"/>
          <w:szCs w:val="21"/>
        </w:rPr>
        <w:t>4、在疗休养过程中，不得擅自增减疗休养项目，压缩疗休养时间，中止疗休养活动，因意外情况需变更行程、增减项目的，应及时征求疗休养人员意见并甲方单位同意后方可实施。</w:t>
      </w:r>
    </w:p>
    <w:p w14:paraId="1027B24C">
      <w:pPr>
        <w:spacing w:line="360" w:lineRule="auto"/>
        <w:ind w:firstLine="420" w:firstLineChars="200"/>
        <w:rPr>
          <w:rFonts w:ascii="宋体" w:hAnsi="宋体" w:cs="Calibri"/>
          <w:color w:val="auto"/>
          <w:szCs w:val="21"/>
        </w:rPr>
      </w:pPr>
      <w:r>
        <w:rPr>
          <w:rFonts w:hint="eastAsia" w:ascii="宋体" w:hAnsi="宋体" w:cs="Calibri"/>
          <w:color w:val="auto"/>
          <w:szCs w:val="21"/>
        </w:rPr>
        <w:t>5、做好疗休养前、中、后的各项服务工作。</w:t>
      </w:r>
    </w:p>
    <w:p w14:paraId="62B38A1E">
      <w:pPr>
        <w:spacing w:line="360" w:lineRule="auto"/>
        <w:ind w:firstLine="420" w:firstLineChars="200"/>
        <w:rPr>
          <w:rFonts w:ascii="宋体" w:hAnsi="宋体" w:cs="Calibri"/>
          <w:color w:val="auto"/>
          <w:szCs w:val="21"/>
          <w:highlight w:val="none"/>
        </w:rPr>
      </w:pPr>
      <w:r>
        <w:rPr>
          <w:rFonts w:hint="eastAsia" w:ascii="宋体" w:hAnsi="宋体" w:cs="Calibri"/>
          <w:color w:val="auto"/>
          <w:szCs w:val="21"/>
        </w:rPr>
        <w:t>6、疗休养项目组团时不得与外单位进</w:t>
      </w:r>
      <w:r>
        <w:rPr>
          <w:rFonts w:hint="eastAsia" w:ascii="宋体" w:hAnsi="宋体" w:cs="Calibri"/>
          <w:color w:val="auto"/>
          <w:szCs w:val="21"/>
          <w:highlight w:val="none"/>
        </w:rPr>
        <w:t>行拼团，如果确实需要，必须在保障职工权益不受影响的前提下，经甲方单位同意方可实施。</w:t>
      </w:r>
    </w:p>
    <w:p w14:paraId="3558FCB7">
      <w:pPr>
        <w:spacing w:line="360" w:lineRule="auto"/>
        <w:ind w:firstLine="420" w:firstLineChars="200"/>
        <w:rPr>
          <w:rFonts w:ascii="宋体" w:hAnsi="宋体" w:cs="Calibri"/>
          <w:color w:val="auto"/>
          <w:szCs w:val="21"/>
          <w:highlight w:val="none"/>
        </w:rPr>
      </w:pPr>
      <w:r>
        <w:rPr>
          <w:rFonts w:hint="eastAsia" w:ascii="宋体" w:hAnsi="宋体" w:cs="Calibri"/>
          <w:color w:val="auto"/>
          <w:szCs w:val="21"/>
          <w:highlight w:val="none"/>
        </w:rPr>
        <w:t>7、中标供应商在行程结束时做好游客满意度调查工作，满意度不足75%的，采购人可在付款时扣除不满意线路总金额的</w:t>
      </w:r>
      <w:r>
        <w:rPr>
          <w:rFonts w:hint="default" w:ascii="宋体" w:hAnsi="宋体" w:cs="Calibri"/>
          <w:color w:val="auto"/>
          <w:szCs w:val="21"/>
          <w:highlight w:val="none"/>
        </w:rPr>
        <w:t>5%--10</w:t>
      </w:r>
      <w:r>
        <w:rPr>
          <w:rFonts w:hint="eastAsia" w:ascii="宋体" w:hAnsi="宋体" w:cs="Calibri"/>
          <w:color w:val="auto"/>
          <w:szCs w:val="21"/>
          <w:highlight w:val="none"/>
        </w:rPr>
        <w:t>%。</w:t>
      </w:r>
    </w:p>
    <w:p w14:paraId="1DED8C15">
      <w:pPr>
        <w:spacing w:line="360" w:lineRule="auto"/>
        <w:ind w:firstLine="105" w:firstLineChars="50"/>
        <w:rPr>
          <w:rFonts w:ascii="宋体" w:hAnsi="宋体"/>
          <w:b/>
          <w:color w:val="auto"/>
          <w:szCs w:val="21"/>
          <w:highlight w:val="none"/>
        </w:rPr>
      </w:pPr>
      <w:r>
        <w:rPr>
          <w:rFonts w:hint="eastAsia" w:ascii="宋体" w:hAnsi="宋体"/>
          <w:b/>
          <w:color w:val="auto"/>
          <w:szCs w:val="21"/>
          <w:highlight w:val="none"/>
        </w:rPr>
        <w:t>四、付款方式：</w:t>
      </w:r>
    </w:p>
    <w:p w14:paraId="7DA15D4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1、预付款政策告知：</w:t>
      </w:r>
    </w:p>
    <w:p w14:paraId="13C054B6">
      <w:pPr>
        <w:spacing w:line="360" w:lineRule="auto"/>
        <w:ind w:firstLine="420" w:firstLineChars="200"/>
        <w:rPr>
          <w:rFonts w:hint="eastAsia" w:ascii="宋体" w:hAnsi="宋体"/>
          <w:color w:val="auto"/>
          <w:szCs w:val="21"/>
        </w:rPr>
      </w:pPr>
      <w:r>
        <w:rPr>
          <w:rFonts w:hint="eastAsia" w:ascii="宋体" w:hAnsi="宋体"/>
          <w:color w:val="auto"/>
          <w:szCs w:val="21"/>
          <w:highlight w:val="none"/>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w:t>
      </w:r>
      <w:r>
        <w:rPr>
          <w:rFonts w:hint="eastAsia" w:ascii="宋体" w:hAnsi="宋体"/>
          <w:color w:val="auto"/>
          <w:szCs w:val="21"/>
        </w:rPr>
        <w:t>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60C5D3F">
      <w:pPr>
        <w:spacing w:line="360" w:lineRule="auto"/>
        <w:ind w:firstLine="420" w:firstLineChars="200"/>
        <w:rPr>
          <w:rFonts w:hint="eastAsia" w:ascii="宋体" w:hAnsi="宋体"/>
          <w:color w:val="auto"/>
          <w:szCs w:val="21"/>
        </w:rPr>
      </w:pPr>
      <w:r>
        <w:rPr>
          <w:rFonts w:hint="eastAsia" w:ascii="宋体" w:hAnsi="宋体"/>
          <w:color w:val="auto"/>
          <w:szCs w:val="21"/>
        </w:rPr>
        <w:t>2、项目进度款：</w:t>
      </w:r>
    </w:p>
    <w:p w14:paraId="52763A3A">
      <w:pPr>
        <w:spacing w:line="360" w:lineRule="auto"/>
        <w:ind w:firstLine="420" w:firstLineChars="200"/>
        <w:rPr>
          <w:rFonts w:ascii="宋体" w:hAnsi="宋体"/>
          <w:color w:val="auto"/>
          <w:szCs w:val="21"/>
        </w:rPr>
      </w:pPr>
      <w:r>
        <w:rPr>
          <w:rFonts w:hint="eastAsia" w:ascii="宋体" w:hAnsi="宋体"/>
          <w:color w:val="auto"/>
          <w:szCs w:val="21"/>
        </w:rPr>
        <w:t>按实际人员结算，最终结算价按照实际参加人数*中标单价，按实结算。行程结束意见反馈合格后，转账支付。路线金额超出采购预算单价的部分由职工自行支付。</w:t>
      </w:r>
    </w:p>
    <w:p w14:paraId="3A3C74ED">
      <w:pPr>
        <w:spacing w:line="360" w:lineRule="auto"/>
        <w:ind w:firstLine="420" w:firstLineChars="200"/>
        <w:rPr>
          <w:rFonts w:hint="eastAsia" w:ascii="宋体" w:hAnsi="宋体" w:eastAsia="宋体" w:cs="Times New Roman"/>
          <w:color w:val="auto"/>
          <w:szCs w:val="21"/>
          <w:highlight w:val="none"/>
        </w:rPr>
      </w:pPr>
    </w:p>
    <w:bookmarkEnd w:id="579"/>
    <w:p w14:paraId="351439B0">
      <w:pPr>
        <w:spacing w:line="360" w:lineRule="auto"/>
        <w:ind w:firstLine="420" w:firstLineChars="200"/>
        <w:rPr>
          <w:rFonts w:hint="eastAsia" w:ascii="宋体" w:hAnsi="宋体" w:eastAsia="宋体" w:cs="Times New Roman"/>
          <w:color w:val="auto"/>
          <w:szCs w:val="21"/>
          <w:highlight w:val="none"/>
        </w:rPr>
        <w:sectPr>
          <w:headerReference r:id="rId18" w:type="first"/>
          <w:footerReference r:id="rId19" w:type="default"/>
          <w:headerReference r:id="rId17" w:type="even"/>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14:paraId="4B231F30">
      <w:pPr>
        <w:pStyle w:val="2"/>
        <w:spacing w:before="360"/>
        <w:jc w:val="center"/>
        <w:rPr>
          <w:rFonts w:ascii="微软雅黑" w:hAnsi="微软雅黑" w:cs="微软雅黑"/>
          <w:color w:val="auto"/>
          <w:szCs w:val="21"/>
          <w:highlight w:val="none"/>
        </w:rPr>
      </w:pPr>
      <w:bookmarkStart w:id="585" w:name="_Toc7584"/>
      <w:r>
        <w:rPr>
          <w:rFonts w:hint="eastAsia" w:ascii="微软雅黑" w:hAnsi="微软雅黑" w:cs="微软雅黑"/>
          <w:color w:val="auto"/>
          <w:szCs w:val="21"/>
          <w:highlight w:val="none"/>
        </w:rPr>
        <w:t>第四章  嘉兴市政府采购合同（指引）</w:t>
      </w:r>
      <w:bookmarkEnd w:id="580"/>
      <w:bookmarkEnd w:id="581"/>
      <w:bookmarkEnd w:id="585"/>
    </w:p>
    <w:p w14:paraId="28BD4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eastAsia" w:ascii="微软雅黑" w:hAnsi="微软雅黑" w:eastAsia="微软雅黑" w:cs="微软雅黑"/>
          <w:color w:val="auto"/>
          <w:kern w:val="0"/>
          <w:szCs w:val="21"/>
          <w:highlight w:val="none"/>
          <w:lang w:eastAsia="zh-CN"/>
        </w:rPr>
      </w:pPr>
      <w:r>
        <w:rPr>
          <w:rFonts w:hint="eastAsia" w:ascii="微软雅黑" w:hAnsi="微软雅黑" w:eastAsia="微软雅黑" w:cs="微软雅黑"/>
          <w:b/>
          <w:color w:val="auto"/>
          <w:kern w:val="0"/>
          <w:szCs w:val="21"/>
          <w:highlight w:val="none"/>
        </w:rPr>
        <w:t>招标编号：</w:t>
      </w:r>
      <w:r>
        <w:rPr>
          <w:rFonts w:hint="eastAsia" w:ascii="微软雅黑" w:hAnsi="微软雅黑" w:eastAsia="微软雅黑" w:cs="微软雅黑"/>
          <w:color w:val="auto"/>
          <w:kern w:val="0"/>
          <w:szCs w:val="21"/>
          <w:highlight w:val="none"/>
          <w:lang w:eastAsia="zh-CN"/>
        </w:rPr>
        <w:t>中际-ZJZJGC（2025）嘉11号</w:t>
      </w:r>
    </w:p>
    <w:p w14:paraId="474E0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eastAsia" w:ascii="微软雅黑" w:hAnsi="微软雅黑" w:eastAsia="微软雅黑" w:cs="微软雅黑"/>
          <w:color w:val="auto"/>
          <w:kern w:val="0"/>
          <w:szCs w:val="21"/>
          <w:highlight w:val="none"/>
          <w:lang w:eastAsia="zh-CN"/>
        </w:rPr>
      </w:pPr>
      <w:r>
        <w:rPr>
          <w:rFonts w:hint="eastAsia" w:ascii="微软雅黑" w:hAnsi="微软雅黑" w:eastAsia="微软雅黑" w:cs="微软雅黑"/>
          <w:b/>
          <w:color w:val="auto"/>
          <w:kern w:val="0"/>
          <w:szCs w:val="21"/>
          <w:highlight w:val="none"/>
        </w:rPr>
        <w:t>合同编号：</w:t>
      </w:r>
      <w:r>
        <w:rPr>
          <w:rFonts w:hint="eastAsia" w:ascii="微软雅黑" w:hAnsi="微软雅黑" w:eastAsia="微软雅黑" w:cs="微软雅黑"/>
          <w:color w:val="auto"/>
          <w:kern w:val="0"/>
          <w:szCs w:val="21"/>
          <w:highlight w:val="none"/>
          <w:lang w:eastAsia="zh-CN"/>
        </w:rPr>
        <w:t>中际-ZJZJGC（2025）嘉11号</w:t>
      </w:r>
    </w:p>
    <w:p w14:paraId="628FD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default" w:ascii="微软雅黑" w:hAnsi="微软雅黑" w:eastAsia="微软雅黑" w:cs="微软雅黑"/>
          <w:b/>
          <w:color w:val="auto"/>
          <w:kern w:val="0"/>
          <w:szCs w:val="21"/>
          <w:highlight w:val="none"/>
          <w:lang w:val="en-US" w:eastAsia="zh-CN"/>
        </w:rPr>
      </w:pPr>
      <w:r>
        <w:rPr>
          <w:rFonts w:hint="eastAsia" w:ascii="微软雅黑" w:hAnsi="微软雅黑" w:eastAsia="微软雅黑" w:cs="微软雅黑"/>
          <w:b/>
          <w:color w:val="auto"/>
          <w:kern w:val="0"/>
          <w:szCs w:val="21"/>
          <w:highlight w:val="none"/>
        </w:rPr>
        <w:t>政府采购计划（预算）确认书号：</w:t>
      </w:r>
    </w:p>
    <w:p w14:paraId="0E199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采购人（以下称甲方）：</w:t>
      </w:r>
    </w:p>
    <w:p w14:paraId="2293B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供应商（以下称乙方）：</w:t>
      </w:r>
    </w:p>
    <w:p w14:paraId="392EE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eastAsia" w:ascii="微软雅黑" w:hAnsi="微软雅黑" w:eastAsia="微软雅黑" w:cs="微软雅黑"/>
          <w:color w:val="auto"/>
          <w:kern w:val="0"/>
          <w:szCs w:val="21"/>
          <w:highlight w:val="none"/>
          <w:lang w:eastAsia="zh-CN"/>
        </w:rPr>
      </w:pPr>
      <w:r>
        <w:rPr>
          <w:rFonts w:hint="eastAsia" w:ascii="微软雅黑" w:hAnsi="微软雅黑" w:eastAsia="微软雅黑" w:cs="微软雅黑"/>
          <w:b/>
          <w:color w:val="auto"/>
          <w:kern w:val="0"/>
          <w:szCs w:val="21"/>
          <w:highlight w:val="none"/>
        </w:rPr>
        <w:t>采购代理机构：</w:t>
      </w:r>
      <w:r>
        <w:rPr>
          <w:rFonts w:hint="eastAsia" w:ascii="微软雅黑" w:hAnsi="微软雅黑" w:eastAsia="微软雅黑" w:cs="微软雅黑"/>
          <w:color w:val="auto"/>
          <w:kern w:val="0"/>
          <w:szCs w:val="21"/>
          <w:highlight w:val="none"/>
          <w:lang w:eastAsia="zh-CN"/>
        </w:rPr>
        <w:t>浙江中际工程项目管理有限公司</w:t>
      </w:r>
    </w:p>
    <w:p w14:paraId="301C7C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b/>
          <w:color w:val="auto"/>
          <w:kern w:val="0"/>
          <w:szCs w:val="21"/>
          <w:highlight w:val="none"/>
        </w:rPr>
        <w:t>采购方式：</w:t>
      </w:r>
      <w:r>
        <w:rPr>
          <w:rFonts w:hint="eastAsia" w:ascii="微软雅黑" w:hAnsi="微软雅黑" w:eastAsia="微软雅黑" w:cs="微软雅黑"/>
          <w:color w:val="auto"/>
          <w:kern w:val="0"/>
          <w:szCs w:val="21"/>
          <w:highlight w:val="none"/>
        </w:rPr>
        <w:t>竞争性磋商</w:t>
      </w:r>
    </w:p>
    <w:p w14:paraId="2CE1CC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根据《中华人民共和国政府采购法》、《中华人民共和国民法典》等法律法规的规定，甲乙双方按照采购结果签订本合同。</w:t>
      </w:r>
    </w:p>
    <w:bookmarkEnd w:id="582"/>
    <w:bookmarkEnd w:id="583"/>
    <w:p w14:paraId="24A82F21">
      <w:pPr>
        <w:shd w:val="clear" w:color="auto" w:fill="FFFFFF"/>
        <w:tabs>
          <w:tab w:val="left" w:pos="916"/>
          <w:tab w:val="left" w:pos="1832"/>
          <w:tab w:val="left" w:pos="2748"/>
        </w:tabs>
        <w:spacing w:after="0" w:line="500" w:lineRule="exact"/>
        <w:ind w:firstLine="420" w:firstLineChars="200"/>
        <w:jc w:val="left"/>
        <w:rPr>
          <w:rFonts w:ascii="微软雅黑" w:hAnsi="微软雅黑" w:eastAsia="微软雅黑" w:cs="微软雅黑"/>
          <w:b/>
          <w:color w:val="auto"/>
          <w:szCs w:val="21"/>
          <w:highlight w:val="none"/>
        </w:rPr>
      </w:pPr>
      <w:bookmarkStart w:id="586" w:name="_Toc493699337"/>
      <w:bookmarkStart w:id="587" w:name="_Toc296611791"/>
      <w:bookmarkStart w:id="588" w:name="_Toc192313125"/>
      <w:bookmarkStart w:id="589" w:name="_Toc170792802"/>
      <w:r>
        <w:rPr>
          <w:rFonts w:hint="eastAsia" w:ascii="微软雅黑" w:hAnsi="微软雅黑" w:eastAsia="微软雅黑" w:cs="微软雅黑"/>
          <w:b/>
          <w:color w:val="auto"/>
          <w:szCs w:val="21"/>
          <w:highlight w:val="none"/>
        </w:rPr>
        <w:t>第一条合同组成</w:t>
      </w:r>
      <w:r>
        <w:rPr>
          <w:rFonts w:hint="eastAsia" w:ascii="微软雅黑" w:hAnsi="微软雅黑" w:eastAsia="微软雅黑" w:cs="微软雅黑"/>
          <w:b/>
          <w:color w:val="auto"/>
          <w:szCs w:val="21"/>
          <w:highlight w:val="none"/>
        </w:rPr>
        <w:tab/>
      </w:r>
    </w:p>
    <w:p w14:paraId="4F340E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本次政府采购活动的相关文件为本合同的组成部分，这些文件包括但不限于：</w:t>
      </w:r>
    </w:p>
    <w:p w14:paraId="1A8E6B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1、本合同文本；</w:t>
      </w:r>
    </w:p>
    <w:p w14:paraId="1F8A4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2、采购文件与采购响应文件；</w:t>
      </w:r>
    </w:p>
    <w:p w14:paraId="3978DD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3、中标或成交通知书；</w:t>
      </w:r>
    </w:p>
    <w:p w14:paraId="5AFBC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组成本合同的所有文件必须为书面形式。</w:t>
      </w:r>
    </w:p>
    <w:p w14:paraId="38989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第二条合同标的与相关属性</w:t>
      </w:r>
    </w:p>
    <w:p w14:paraId="2D487240">
      <w:pPr>
        <w:snapToGrid w:val="0"/>
        <w:spacing w:after="0" w:line="500" w:lineRule="exact"/>
        <w:ind w:firstLine="525" w:firstLineChars="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1、本次采购的是</w:t>
      </w:r>
    </w:p>
    <w:p w14:paraId="697EE4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2、乙方是否属于中小微企业：□是□否</w:t>
      </w:r>
    </w:p>
    <w:p w14:paraId="46508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3、本合同项下产品属于（可多选）：□环保产品；□节能产品；□进口产品</w:t>
      </w:r>
    </w:p>
    <w:p w14:paraId="1E92F2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第三条合同价款</w:t>
      </w:r>
    </w:p>
    <w:p w14:paraId="307AC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1、本合同项下总价款为（大写）人民币，分项价款见“价格清单”（如有）”。</w:t>
      </w:r>
    </w:p>
    <w:p w14:paraId="285A2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2、本合同总价款含所有税费(包括货款、标准附件、备品备件、专用工具、包装、运输、装卸、保险、税金、货到就位以及安装、调试、培训、保修等一切税金和费用。)</w:t>
      </w:r>
    </w:p>
    <w:p w14:paraId="3F73B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3、本合同付款方式为以下第项：</w:t>
      </w:r>
    </w:p>
    <w:p w14:paraId="44DB9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（1）本合同项下的采购资金系甲方自行支付，付款程序为；</w:t>
      </w:r>
    </w:p>
    <w:p w14:paraId="7AC09C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（2）本合同项下的采购资金须财政直接支付，付款程序为；</w:t>
      </w:r>
    </w:p>
    <w:p w14:paraId="7A62E9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（3）其他方式：</w:t>
      </w:r>
    </w:p>
    <w:p w14:paraId="624292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4、本合同项下的采购资金付款进度按招竞争性磋商响应文件规定，未规定时按以下第项支付：</w:t>
      </w:r>
    </w:p>
    <w:p w14:paraId="521E0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（1）一次性付款：乙方合同履行达到（条件）时，一次性付款；</w:t>
      </w:r>
    </w:p>
    <w:p w14:paraId="4BB64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（2）分期付款时支付；时支付；时支付；</w:t>
      </w:r>
    </w:p>
    <w:p w14:paraId="16D1F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若收取了履约保证金，则不应重复设置尾款支付条件。</w:t>
      </w:r>
    </w:p>
    <w:p w14:paraId="04B34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第四条履约保证金</w:t>
      </w:r>
    </w:p>
    <w:p w14:paraId="6B5BA5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按以下第项处理：</w:t>
      </w:r>
    </w:p>
    <w:p w14:paraId="4B2E7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1、本项目设置履约保证金，乙方应于（时间）向甲方提交履约保证金元（不得高于本合同金额的2.5%）。履约保证金在（时间）退还乙方。</w:t>
      </w:r>
    </w:p>
    <w:p w14:paraId="00AB36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2、本项目不设置履约保证金</w:t>
      </w:r>
    </w:p>
    <w:p w14:paraId="180C6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第五条合同的变更和终止</w:t>
      </w:r>
    </w:p>
    <w:p w14:paraId="437D3F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10EB5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第六条合同的转让与分包</w:t>
      </w:r>
    </w:p>
    <w:p w14:paraId="70A018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乙方不得擅自部分或全部转让其应履行的合同义务。乙方分包的，应经过甲方书面同意。</w:t>
      </w:r>
    </w:p>
    <w:p w14:paraId="10A2AF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第七条争议的解决</w:t>
      </w:r>
    </w:p>
    <w:p w14:paraId="4A4509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1、因履行本合同引起的或与本合同有关的争议，甲、乙双方应首先通过友好协商解决，如果协商不能解决争议，则采取以下第种方式解决争议：</w:t>
      </w:r>
    </w:p>
    <w:p w14:paraId="397A98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（1）向甲方所在地有管辖权的人民法院提起诉讼；</w:t>
      </w:r>
    </w:p>
    <w:p w14:paraId="735BDF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（2）向仲裁委员申请仲裁。</w:t>
      </w:r>
    </w:p>
    <w:p w14:paraId="297D5E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第八条合同备案及其他</w:t>
      </w:r>
    </w:p>
    <w:p w14:paraId="38AD5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本合同一式五份，甲乙双方各执二份，一份送招标代理机构存档。</w:t>
      </w:r>
    </w:p>
    <w:p w14:paraId="0489C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二、特殊专用条款部份</w:t>
      </w:r>
    </w:p>
    <w:p w14:paraId="3D6396C9">
      <w:pPr>
        <w:numPr>
          <w:ilvl w:val="0"/>
          <w:numId w:val="24"/>
        </w:numPr>
        <w:autoSpaceDE w:val="0"/>
        <w:autoSpaceDN w:val="0"/>
        <w:adjustRightInd w:val="0"/>
        <w:spacing w:after="0" w:line="500" w:lineRule="exact"/>
        <w:rPr>
          <w:rFonts w:ascii="微软雅黑" w:hAnsi="微软雅黑" w:eastAsia="微软雅黑" w:cs="微软雅黑"/>
          <w:b/>
          <w:color w:val="auto"/>
          <w:kern w:val="36"/>
          <w:szCs w:val="21"/>
          <w:highlight w:val="none"/>
        </w:rPr>
      </w:pPr>
      <w:r>
        <w:rPr>
          <w:rFonts w:hint="eastAsia" w:ascii="微软雅黑" w:hAnsi="微软雅黑" w:eastAsia="微软雅黑" w:cs="微软雅黑"/>
          <w:b/>
          <w:color w:val="auto"/>
          <w:kern w:val="36"/>
          <w:szCs w:val="21"/>
          <w:highlight w:val="none"/>
        </w:rPr>
        <w:t>服务内容</w:t>
      </w:r>
    </w:p>
    <w:p w14:paraId="427D2B46">
      <w:pPr>
        <w:autoSpaceDE w:val="0"/>
        <w:autoSpaceDN w:val="0"/>
        <w:adjustRightInd w:val="0"/>
        <w:spacing w:after="0" w:line="500" w:lineRule="exact"/>
        <w:rPr>
          <w:rFonts w:ascii="微软雅黑" w:hAnsi="微软雅黑" w:eastAsia="微软雅黑" w:cs="微软雅黑"/>
          <w:b/>
          <w:color w:val="auto"/>
          <w:kern w:val="36"/>
          <w:szCs w:val="21"/>
          <w:highlight w:val="none"/>
        </w:rPr>
      </w:pPr>
      <w:r>
        <w:rPr>
          <w:rFonts w:hint="eastAsia" w:ascii="微软雅黑" w:hAnsi="微软雅黑" w:eastAsia="微软雅黑" w:cs="微软雅黑"/>
          <w:b/>
          <w:color w:val="auto"/>
          <w:kern w:val="36"/>
          <w:szCs w:val="21"/>
          <w:highlight w:val="none"/>
        </w:rPr>
        <w:t>……</w:t>
      </w:r>
    </w:p>
    <w:p w14:paraId="43982D8B">
      <w:pPr>
        <w:pStyle w:val="29"/>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第二条合同履行时间、履行方式及履行地点</w:t>
      </w:r>
    </w:p>
    <w:p w14:paraId="5A449483">
      <w:pPr>
        <w:pStyle w:val="29"/>
        <w:snapToGrid w:val="0"/>
        <w:spacing w:after="0" w:line="500" w:lineRule="exact"/>
        <w:ind w:firstLine="411" w:firstLineChars="196"/>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color w:val="auto"/>
          <w:szCs w:val="21"/>
          <w:highlight w:val="none"/>
        </w:rPr>
        <w:t>履行时间</w:t>
      </w:r>
      <w:r>
        <w:rPr>
          <w:rFonts w:hint="eastAsia" w:ascii="微软雅黑" w:hAnsi="微软雅黑" w:eastAsia="微软雅黑" w:cs="微软雅黑"/>
          <w:bCs/>
          <w:color w:val="auto"/>
          <w:szCs w:val="21"/>
          <w:highlight w:val="none"/>
        </w:rPr>
        <w:t>：</w:t>
      </w:r>
    </w:p>
    <w:p w14:paraId="4E0ACFD1">
      <w:pPr>
        <w:pStyle w:val="29"/>
        <w:snapToGrid w:val="0"/>
        <w:spacing w:after="0" w:line="500" w:lineRule="exact"/>
        <w:ind w:firstLine="411" w:firstLineChars="196"/>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w:t>
      </w:r>
      <w:r>
        <w:rPr>
          <w:rFonts w:hint="eastAsia" w:ascii="微软雅黑" w:hAnsi="微软雅黑" w:eastAsia="微软雅黑" w:cs="微软雅黑"/>
          <w:color w:val="auto"/>
          <w:szCs w:val="21"/>
          <w:highlight w:val="none"/>
        </w:rPr>
        <w:t>履行方式</w:t>
      </w:r>
      <w:r>
        <w:rPr>
          <w:rFonts w:hint="eastAsia" w:ascii="微软雅黑" w:hAnsi="微软雅黑" w:eastAsia="微软雅黑" w:cs="微软雅黑"/>
          <w:bCs/>
          <w:color w:val="auto"/>
          <w:szCs w:val="21"/>
          <w:highlight w:val="none"/>
        </w:rPr>
        <w:t>：</w:t>
      </w:r>
    </w:p>
    <w:p w14:paraId="02B4522F">
      <w:pPr>
        <w:pStyle w:val="29"/>
        <w:snapToGrid w:val="0"/>
        <w:spacing w:after="0" w:line="500" w:lineRule="exact"/>
        <w:ind w:firstLine="420" w:firstLineChars="200"/>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w:t>
      </w:r>
      <w:r>
        <w:rPr>
          <w:rFonts w:hint="eastAsia" w:ascii="微软雅黑" w:hAnsi="微软雅黑" w:eastAsia="微软雅黑" w:cs="微软雅黑"/>
          <w:color w:val="auto"/>
          <w:szCs w:val="21"/>
          <w:highlight w:val="none"/>
        </w:rPr>
        <w:t>履行地点</w:t>
      </w:r>
      <w:r>
        <w:rPr>
          <w:rFonts w:hint="eastAsia" w:ascii="微软雅黑" w:hAnsi="微软雅黑" w:eastAsia="微软雅黑" w:cs="微软雅黑"/>
          <w:bCs/>
          <w:color w:val="auto"/>
          <w:szCs w:val="21"/>
          <w:highlight w:val="none"/>
        </w:rPr>
        <w:t>：</w:t>
      </w:r>
    </w:p>
    <w:p w14:paraId="4B0F2F09">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第三条技术资料</w:t>
      </w:r>
    </w:p>
    <w:p w14:paraId="52FBAF45">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1、乙方应按竞争性磋商文件规定的时间向甲方提供有关技术资料。</w:t>
      </w:r>
    </w:p>
    <w:p w14:paraId="72D3CD95">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22C1A9">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第四条知识产权</w:t>
      </w:r>
    </w:p>
    <w:p w14:paraId="43D8B472">
      <w:pPr>
        <w:pStyle w:val="29"/>
        <w:snapToGrid w:val="0"/>
        <w:spacing w:after="0" w:line="500" w:lineRule="exact"/>
        <w:ind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乙方应保证提供服务过程中不会侵犯任何第三方的</w:t>
      </w:r>
      <w:r>
        <w:rPr>
          <w:rFonts w:hint="eastAsia" w:ascii="微软雅黑" w:hAnsi="微软雅黑" w:eastAsia="微软雅黑" w:cs="微软雅黑"/>
          <w:b/>
          <w:color w:val="auto"/>
          <w:szCs w:val="21"/>
          <w:highlight w:val="none"/>
        </w:rPr>
        <w:t>知识产权</w:t>
      </w:r>
      <w:r>
        <w:rPr>
          <w:rFonts w:hint="eastAsia" w:ascii="微软雅黑" w:hAnsi="微软雅黑" w:eastAsia="微软雅黑" w:cs="微软雅黑"/>
          <w:b/>
          <w:bCs/>
          <w:color w:val="auto"/>
          <w:szCs w:val="21"/>
          <w:highlight w:val="none"/>
        </w:rPr>
        <w:t>。</w:t>
      </w:r>
    </w:p>
    <w:p w14:paraId="4B5C5A88">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第五条履约保证金</w:t>
      </w:r>
    </w:p>
    <w:p w14:paraId="0C662967">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乙方交纳人民币△元作为本合同的履约保证金。</w:t>
      </w:r>
    </w:p>
    <w:p w14:paraId="2BF08D6E">
      <w:pPr>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第六条税费</w:t>
      </w:r>
    </w:p>
    <w:p w14:paraId="7720AD06">
      <w:pPr>
        <w:snapToGrid w:val="0"/>
        <w:spacing w:after="0" w:line="500" w:lineRule="exact"/>
        <w:ind w:firstLine="411" w:firstLineChars="196"/>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本合同执行中相关的一切税费均由乙方负担。</w:t>
      </w:r>
    </w:p>
    <w:p w14:paraId="169364A9">
      <w:pPr>
        <w:pStyle w:val="29"/>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第七条违约责任</w:t>
      </w:r>
    </w:p>
    <w:p w14:paraId="1659203E">
      <w:pPr>
        <w:pStyle w:val="29"/>
        <w:snapToGrid w:val="0"/>
        <w:spacing w:after="0" w:line="500" w:lineRule="exact"/>
        <w:ind w:firstLine="411" w:firstLineChars="196"/>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1、甲方无正当理由拒收接受服务的，甲方向乙方偿付合同款项百分之五作为违约金。</w:t>
      </w:r>
    </w:p>
    <w:p w14:paraId="5B6CFABA">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2、甲方无故逾期验收和办理款项支付手续的,甲方应按逾期付款总额每日万分之五向乙方支付违约金。</w:t>
      </w:r>
    </w:p>
    <w:p w14:paraId="4FDF6101">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78575AA">
      <w:pPr>
        <w:pStyle w:val="29"/>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第八条不可抗力事件处理</w:t>
      </w:r>
    </w:p>
    <w:p w14:paraId="1E996DF7">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1、在合同有效期内，任何一方因不可抗力事件导致不能履行合同，则合同履行期可延长，其延长期与不可抗力影响期相同。</w:t>
      </w:r>
    </w:p>
    <w:p w14:paraId="64A4CB1A">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2、不可抗力事件发生后，应立即通知对方，并寄送有关权威机构出具的证明。</w:t>
      </w:r>
    </w:p>
    <w:p w14:paraId="665808F7">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3、不可抗力事件延续120天以上，双方应通过友好协商，确定是否继续履行合同。</w:t>
      </w:r>
    </w:p>
    <w:p w14:paraId="1ACC8B20">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第九条诉讼</w:t>
      </w:r>
    </w:p>
    <w:p w14:paraId="72F5FE0B">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双方在执行合同中所发生的一切争议，应通过协商解决。如协商不成，可向甲方所在地法院起诉。</w:t>
      </w:r>
    </w:p>
    <w:p w14:paraId="41D9C1AF">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第十条合同生效及其它</w:t>
      </w:r>
    </w:p>
    <w:p w14:paraId="4FFECA42">
      <w:pPr>
        <w:autoSpaceDE w:val="0"/>
        <w:autoSpaceDN w:val="0"/>
        <w:adjustRightIn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1、合同经双方法定代表人或授权委托代理人签字并加盖单位公章后生效。</w:t>
      </w:r>
    </w:p>
    <w:p w14:paraId="5551EB6F">
      <w:pPr>
        <w:autoSpaceDE w:val="0"/>
        <w:autoSpaceDN w:val="0"/>
        <w:adjustRightIn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2、本合同未尽事宜，遵照《</w:t>
      </w:r>
      <w:r>
        <w:rPr>
          <w:rFonts w:hint="eastAsia" w:ascii="微软雅黑" w:hAnsi="微软雅黑" w:eastAsia="微软雅黑" w:cs="微软雅黑"/>
          <w:color w:val="auto"/>
          <w:kern w:val="0"/>
          <w:szCs w:val="21"/>
          <w:highlight w:val="none"/>
        </w:rPr>
        <w:t>中华人民共和国民法典</w:t>
      </w:r>
      <w:r>
        <w:rPr>
          <w:rFonts w:hint="eastAsia" w:ascii="微软雅黑" w:hAnsi="微软雅黑" w:eastAsia="微软雅黑" w:cs="微软雅黑"/>
          <w:color w:val="auto"/>
          <w:szCs w:val="21"/>
          <w:highlight w:val="none"/>
        </w:rPr>
        <w:t>》有关条文执行。</w:t>
      </w:r>
    </w:p>
    <w:p w14:paraId="502E35D5">
      <w:pPr>
        <w:pStyle w:val="29"/>
        <w:snapToGrid w:val="0"/>
        <w:spacing w:after="0" w:line="500" w:lineRule="exact"/>
        <w:ind w:left="420" w:hanging="420" w:hangingChars="200"/>
        <w:rPr>
          <w:rFonts w:ascii="微软雅黑" w:hAnsi="微软雅黑" w:eastAsia="微软雅黑" w:cs="微软雅黑"/>
          <w:color w:val="auto"/>
          <w:szCs w:val="21"/>
          <w:highlight w:val="none"/>
        </w:rPr>
      </w:pPr>
    </w:p>
    <w:p w14:paraId="49AD0CF6">
      <w:pPr>
        <w:pStyle w:val="29"/>
        <w:snapToGrid w:val="0"/>
        <w:spacing w:after="0" w:line="500" w:lineRule="exact"/>
        <w:ind w:left="420" w:hanging="420" w:hanging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甲方：乙方：</w:t>
      </w:r>
    </w:p>
    <w:p w14:paraId="5010726B">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地址：地址：</w:t>
      </w:r>
    </w:p>
    <w:p w14:paraId="0F7F0718">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法定（授权）代表人：法定（授权）代表人：</w:t>
      </w:r>
    </w:p>
    <w:p w14:paraId="0C58E0A8">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p w14:paraId="167D2032">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开户银行及账号：</w:t>
      </w:r>
    </w:p>
    <w:p w14:paraId="7BB473C6">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签字日期：年月日签字日期：年</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日</w:t>
      </w:r>
    </w:p>
    <w:p w14:paraId="6F6F36EE">
      <w:pPr>
        <w:pStyle w:val="2"/>
        <w:spacing w:before="360"/>
        <w:jc w:val="center"/>
        <w:rPr>
          <w:rStyle w:val="75"/>
          <w:b/>
          <w:bCs/>
          <w:color w:val="auto"/>
          <w:highlight w:val="none"/>
        </w:rPr>
      </w:pPr>
      <w:r>
        <w:rPr>
          <w:rFonts w:hint="eastAsia" w:ascii="微软雅黑" w:hAnsi="微软雅黑" w:cs="微软雅黑"/>
          <w:color w:val="auto"/>
          <w:szCs w:val="21"/>
          <w:highlight w:val="none"/>
        </w:rPr>
        <w:br w:type="page"/>
      </w:r>
      <w:bookmarkStart w:id="590" w:name="_Toc100764258"/>
      <w:bookmarkStart w:id="591" w:name="_Toc4326"/>
      <w:r>
        <w:rPr>
          <w:rFonts w:hint="eastAsia" w:ascii="微软雅黑" w:hAnsi="微软雅黑" w:cs="微软雅黑"/>
          <w:color w:val="auto"/>
          <w:szCs w:val="21"/>
          <w:highlight w:val="none"/>
        </w:rPr>
        <w:t>第五章</w:t>
      </w:r>
      <w:bookmarkEnd w:id="586"/>
      <w:bookmarkEnd w:id="587"/>
      <w:bookmarkEnd w:id="590"/>
      <w:r>
        <w:rPr>
          <w:rFonts w:hint="eastAsia" w:ascii="微软雅黑" w:hAnsi="微软雅黑" w:cs="微软雅黑"/>
          <w:color w:val="auto"/>
          <w:szCs w:val="21"/>
          <w:highlight w:val="none"/>
        </w:rPr>
        <w:t xml:space="preserve">   </w:t>
      </w:r>
      <w:r>
        <w:rPr>
          <w:rStyle w:val="75"/>
          <w:rFonts w:hint="eastAsia"/>
          <w:b/>
          <w:bCs/>
          <w:color w:val="auto"/>
          <w:highlight w:val="none"/>
        </w:rPr>
        <w:t>评标办法及评分标准</w:t>
      </w:r>
      <w:bookmarkEnd w:id="591"/>
    </w:p>
    <w:bookmarkEnd w:id="588"/>
    <w:p w14:paraId="286C542C">
      <w:pPr>
        <w:ind w:firstLine="420"/>
        <w:rPr>
          <w:rFonts w:ascii="微软雅黑" w:hAnsi="微软雅黑" w:eastAsia="微软雅黑" w:cs="微软雅黑"/>
          <w:color w:val="auto"/>
          <w:szCs w:val="21"/>
          <w:highlight w:val="none"/>
        </w:rPr>
      </w:pPr>
      <w:bookmarkStart w:id="592" w:name="_Toc192313126"/>
      <w:r>
        <w:rPr>
          <w:rFonts w:hint="eastAsia" w:ascii="微软雅黑" w:hAnsi="微软雅黑" w:eastAsia="微软雅黑" w:cs="微软雅黑"/>
          <w:color w:val="auto"/>
          <w:szCs w:val="21"/>
          <w:highlight w:val="none"/>
        </w:rPr>
        <w:t>为公正、公平、科学地选择中标人，根据《中华人民共和国政府采购法》等有关法律法规的规定，并结合本项目的实际，制定本办法。</w:t>
      </w:r>
    </w:p>
    <w:p w14:paraId="560296BB">
      <w:pPr>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一、总则</w:t>
      </w:r>
    </w:p>
    <w:p w14:paraId="25993C7C">
      <w:pPr>
        <w:ind w:firstLine="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本次评标采用综合评分法，总分为100分，其中价格分</w:t>
      </w:r>
      <w:r>
        <w:rPr>
          <w:rFonts w:hint="eastAsia" w:ascii="微软雅黑" w:hAnsi="微软雅黑" w:eastAsia="微软雅黑" w:cs="微软雅黑"/>
          <w:color w:val="auto"/>
          <w:szCs w:val="21"/>
          <w:highlight w:val="none"/>
          <w:lang w:val="en-US" w:eastAsia="zh-CN"/>
        </w:rPr>
        <w:t>10</w:t>
      </w:r>
      <w:r>
        <w:rPr>
          <w:rFonts w:hint="eastAsia" w:ascii="微软雅黑" w:hAnsi="微软雅黑" w:eastAsia="微软雅黑" w:cs="微软雅黑"/>
          <w:color w:val="auto"/>
          <w:szCs w:val="21"/>
          <w:highlight w:val="none"/>
        </w:rPr>
        <w:t>分、技术\资信及其他</w:t>
      </w:r>
      <w:r>
        <w:rPr>
          <w:rFonts w:hint="eastAsia" w:ascii="微软雅黑" w:hAnsi="微软雅黑" w:eastAsia="微软雅黑" w:cs="微软雅黑"/>
          <w:color w:val="auto"/>
          <w:szCs w:val="21"/>
          <w:highlight w:val="none"/>
          <w:lang w:val="en-US" w:eastAsia="zh-CN"/>
        </w:rPr>
        <w:t>90</w:t>
      </w:r>
      <w:r>
        <w:rPr>
          <w:rFonts w:hint="eastAsia" w:ascii="微软雅黑" w:hAnsi="微软雅黑" w:eastAsia="微软雅黑" w:cs="微软雅黑"/>
          <w:color w:val="auto"/>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5F2D1263">
      <w:pPr>
        <w:pStyle w:val="29"/>
        <w:spacing w:line="360"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投标人评标综合得分=价格分+(技术分+商务分+资信分)</w:t>
      </w:r>
    </w:p>
    <w:p w14:paraId="29149132">
      <w:pPr>
        <w:pStyle w:val="29"/>
        <w:spacing w:line="360" w:lineRule="auto"/>
        <w:ind w:firstLine="420" w:firstLineChars="200"/>
        <w:rPr>
          <w:color w:val="auto"/>
          <w:highlight w:val="none"/>
        </w:rPr>
      </w:pPr>
      <w:r>
        <w:rPr>
          <w:rFonts w:hint="eastAsia" w:ascii="微软雅黑" w:hAnsi="微软雅黑" w:eastAsia="微软雅黑"/>
          <w:b/>
          <w:color w:val="auto"/>
          <w:szCs w:val="21"/>
          <w:highlight w:val="none"/>
        </w:rPr>
        <w:t>本项目允许投标投一个或多个标项，但只允许最多中1个标项，按照标顺序依次开标，如投标单位已中先开评标标项，则自动失去未开标项的中标推荐资格。</w:t>
      </w:r>
    </w:p>
    <w:p w14:paraId="53BF4019">
      <w:pPr>
        <w:spacing w:line="240" w:lineRule="auto"/>
        <w:ind w:firstLine="412" w:firstLineChars="196"/>
        <w:rPr>
          <w:rFonts w:ascii="微软雅黑" w:hAnsi="微软雅黑" w:eastAsia="微软雅黑" w:cs="微软雅黑"/>
          <w:b/>
          <w:color w:val="auto"/>
          <w:szCs w:val="21"/>
          <w:highlight w:val="none"/>
        </w:rPr>
      </w:pPr>
      <w:bookmarkStart w:id="593" w:name="_Toc493699338"/>
      <w:bookmarkStart w:id="594" w:name="_Toc100764259"/>
      <w:r>
        <w:rPr>
          <w:rFonts w:hint="eastAsia" w:ascii="微软雅黑" w:hAnsi="微软雅黑" w:eastAsia="微软雅黑" w:cs="微软雅黑"/>
          <w:b/>
          <w:color w:val="auto"/>
          <w:szCs w:val="21"/>
          <w:highlight w:val="none"/>
        </w:rPr>
        <w:t>二、评标内容及标准</w:t>
      </w:r>
    </w:p>
    <w:p w14:paraId="77216027">
      <w:pPr>
        <w:pStyle w:val="3"/>
        <w:spacing w:line="240" w:lineRule="auto"/>
        <w:ind w:firstLine="420"/>
        <w:jc w:val="lef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（一）价格分：</w:t>
      </w:r>
    </w:p>
    <w:p w14:paraId="1875CE6F">
      <w:pPr>
        <w:pStyle w:val="21"/>
        <w:numPr>
          <w:ilvl w:val="0"/>
          <w:numId w:val="25"/>
        </w:numPr>
        <w:spacing w:line="240" w:lineRule="auto"/>
        <w:ind w:left="0" w:firstLine="404"/>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价格分采用低价优先法计算，即满足招标文件要求且投标价格最低的投标报价为评标基准价，其他投标人的价格分按照下列公式计算：</w:t>
      </w:r>
    </w:p>
    <w:p w14:paraId="33A66A63">
      <w:pPr>
        <w:pStyle w:val="29"/>
        <w:spacing w:line="240" w:lineRule="auto"/>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标项一价格分计算方法</w:t>
      </w:r>
    </w:p>
    <w:p w14:paraId="600A874E">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olor w:val="auto"/>
          <w:kern w:val="0"/>
          <w:szCs w:val="21"/>
          <w:highlight w:val="none"/>
        </w:rPr>
        <w:t>每人额定消费为</w:t>
      </w:r>
      <w:r>
        <w:rPr>
          <w:rFonts w:hint="eastAsia" w:ascii="微软雅黑" w:hAnsi="微软雅黑" w:eastAsia="微软雅黑"/>
          <w:color w:val="auto"/>
          <w:kern w:val="0"/>
          <w:szCs w:val="21"/>
          <w:highlight w:val="none"/>
          <w:lang w:val="en-US" w:eastAsia="zh-CN"/>
        </w:rPr>
        <w:t>3000</w:t>
      </w:r>
      <w:r>
        <w:rPr>
          <w:rFonts w:hint="eastAsia" w:ascii="微软雅黑" w:hAnsi="微软雅黑" w:eastAsia="微软雅黑"/>
          <w:color w:val="auto"/>
          <w:kern w:val="0"/>
          <w:szCs w:val="21"/>
          <w:highlight w:val="none"/>
        </w:rPr>
        <w:t>元(固定单价不下浮) ，格式详见报价表。</w:t>
      </w:r>
    </w:p>
    <w:p w14:paraId="6BB0D6F6">
      <w:pPr>
        <w:pStyle w:val="29"/>
        <w:spacing w:line="240" w:lineRule="auto"/>
        <w:ind w:firstLine="420" w:firstLineChars="200"/>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线路一：3000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100</w:t>
      </w:r>
    </w:p>
    <w:p w14:paraId="0DDC54D5">
      <w:pPr>
        <w:pStyle w:val="29"/>
        <w:spacing w:line="240" w:lineRule="auto"/>
        <w:ind w:firstLine="420" w:firstLineChars="200"/>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线路二：3000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100</w:t>
      </w:r>
    </w:p>
    <w:p w14:paraId="14D19E4D">
      <w:pPr>
        <w:pStyle w:val="29"/>
        <w:spacing w:line="240" w:lineRule="auto"/>
        <w:ind w:firstLine="420" w:firstLineChars="200"/>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线路三：3000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4</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100</w:t>
      </w:r>
    </w:p>
    <w:p w14:paraId="2D71A843">
      <w:pPr>
        <w:pStyle w:val="29"/>
        <w:spacing w:line="240" w:lineRule="auto"/>
        <w:ind w:firstLine="420" w:firstLineChars="200"/>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线路四：3000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100</w:t>
      </w:r>
    </w:p>
    <w:p w14:paraId="2BE9BC62">
      <w:pPr>
        <w:pStyle w:val="29"/>
        <w:spacing w:line="240" w:lineRule="auto"/>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标项二价格分计算方法</w:t>
      </w:r>
    </w:p>
    <w:p w14:paraId="09B4C8DB">
      <w:pPr>
        <w:pStyle w:val="29"/>
        <w:spacing w:line="240" w:lineRule="auto"/>
        <w:ind w:firstLine="420" w:firstLineChars="200"/>
        <w:rPr>
          <w:rFonts w:hint="eastAsia" w:ascii="微软雅黑" w:hAnsi="微软雅黑" w:eastAsia="微软雅黑"/>
          <w:color w:val="auto"/>
          <w:kern w:val="0"/>
          <w:szCs w:val="21"/>
          <w:highlight w:val="none"/>
        </w:rPr>
      </w:pPr>
      <w:r>
        <w:rPr>
          <w:rFonts w:hint="eastAsia" w:ascii="微软雅黑" w:hAnsi="微软雅黑" w:eastAsia="微软雅黑"/>
          <w:color w:val="auto"/>
          <w:kern w:val="0"/>
          <w:szCs w:val="21"/>
          <w:highlight w:val="none"/>
        </w:rPr>
        <w:t>每人额定消费为</w:t>
      </w:r>
      <w:r>
        <w:rPr>
          <w:rFonts w:hint="eastAsia" w:ascii="微软雅黑" w:hAnsi="微软雅黑" w:eastAsia="微软雅黑"/>
          <w:color w:val="auto"/>
          <w:kern w:val="0"/>
          <w:szCs w:val="21"/>
          <w:highlight w:val="none"/>
          <w:lang w:val="en-US" w:eastAsia="zh-CN"/>
        </w:rPr>
        <w:t>3000</w:t>
      </w:r>
      <w:r>
        <w:rPr>
          <w:rFonts w:hint="eastAsia" w:ascii="微软雅黑" w:hAnsi="微软雅黑" w:eastAsia="微软雅黑"/>
          <w:color w:val="auto"/>
          <w:kern w:val="0"/>
          <w:szCs w:val="21"/>
          <w:highlight w:val="none"/>
        </w:rPr>
        <w:t>元(固定单价不下浮) ，格式详见报价表。</w:t>
      </w:r>
    </w:p>
    <w:p w14:paraId="245045EA">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线路五：3000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100</w:t>
      </w:r>
    </w:p>
    <w:p w14:paraId="0514C76E">
      <w:pPr>
        <w:pStyle w:val="29"/>
        <w:spacing w:line="240" w:lineRule="auto"/>
        <w:ind w:firstLine="420" w:firstLineChars="200"/>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线路六：3000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3</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100</w:t>
      </w:r>
    </w:p>
    <w:p w14:paraId="19A40D02">
      <w:pPr>
        <w:pStyle w:val="29"/>
        <w:spacing w:line="240" w:lineRule="auto"/>
        <w:ind w:firstLine="420" w:firstLineChars="200"/>
        <w:rPr>
          <w:rFonts w:hint="eastAsia" w:ascii="微软雅黑" w:hAnsi="微软雅黑" w:eastAsia="微软雅黑"/>
          <w:color w:val="auto"/>
          <w:szCs w:val="21"/>
          <w:highlight w:val="none"/>
          <w:lang w:val="en-US" w:eastAsia="zh-CN"/>
        </w:rPr>
      </w:pPr>
      <w:r>
        <w:rPr>
          <w:rFonts w:hint="eastAsia" w:ascii="微软雅黑" w:hAnsi="微软雅黑" w:eastAsia="微软雅黑" w:cs="Times New Roman"/>
          <w:color w:val="auto"/>
          <w:szCs w:val="21"/>
          <w:highlight w:val="none"/>
          <w:lang w:val="en-US" w:eastAsia="zh-CN"/>
        </w:rPr>
        <w:t>线路七：3000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100</w:t>
      </w:r>
    </w:p>
    <w:p w14:paraId="76344444">
      <w:pPr>
        <w:pStyle w:val="29"/>
        <w:spacing w:line="240" w:lineRule="auto"/>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标项</w:t>
      </w:r>
      <w:r>
        <w:rPr>
          <w:rFonts w:hint="eastAsia" w:ascii="微软雅黑" w:hAnsi="微软雅黑" w:eastAsia="微软雅黑"/>
          <w:b/>
          <w:color w:val="auto"/>
          <w:szCs w:val="21"/>
          <w:highlight w:val="none"/>
          <w:lang w:val="en-US" w:eastAsia="zh-CN"/>
        </w:rPr>
        <w:t>三</w:t>
      </w:r>
      <w:r>
        <w:rPr>
          <w:rFonts w:hint="eastAsia" w:ascii="微软雅黑" w:hAnsi="微软雅黑" w:eastAsia="微软雅黑"/>
          <w:b/>
          <w:color w:val="auto"/>
          <w:szCs w:val="21"/>
          <w:highlight w:val="none"/>
        </w:rPr>
        <w:t>价格分计算方法</w:t>
      </w:r>
    </w:p>
    <w:p w14:paraId="0FD2C416">
      <w:pPr>
        <w:pStyle w:val="29"/>
        <w:spacing w:line="240" w:lineRule="auto"/>
        <w:ind w:firstLine="420" w:firstLineChars="200"/>
        <w:rPr>
          <w:rFonts w:hint="eastAsia" w:ascii="微软雅黑" w:hAnsi="微软雅黑" w:eastAsia="微软雅黑"/>
          <w:color w:val="auto"/>
          <w:kern w:val="0"/>
          <w:szCs w:val="21"/>
          <w:highlight w:val="none"/>
        </w:rPr>
      </w:pPr>
      <w:r>
        <w:rPr>
          <w:rFonts w:hint="eastAsia" w:ascii="微软雅黑" w:hAnsi="微软雅黑" w:eastAsia="微软雅黑"/>
          <w:color w:val="auto"/>
          <w:kern w:val="0"/>
          <w:szCs w:val="21"/>
          <w:highlight w:val="none"/>
        </w:rPr>
        <w:t>每人额定消费为</w:t>
      </w:r>
      <w:r>
        <w:rPr>
          <w:rFonts w:hint="eastAsia" w:ascii="微软雅黑" w:hAnsi="微软雅黑" w:eastAsia="微软雅黑"/>
          <w:color w:val="auto"/>
          <w:kern w:val="0"/>
          <w:szCs w:val="21"/>
          <w:highlight w:val="none"/>
          <w:lang w:val="en-US" w:eastAsia="zh-CN"/>
        </w:rPr>
        <w:t>3000</w:t>
      </w:r>
      <w:r>
        <w:rPr>
          <w:rFonts w:hint="eastAsia" w:ascii="微软雅黑" w:hAnsi="微软雅黑" w:eastAsia="微软雅黑"/>
          <w:color w:val="auto"/>
          <w:kern w:val="0"/>
          <w:szCs w:val="21"/>
          <w:highlight w:val="none"/>
        </w:rPr>
        <w:t>元(固定单价不下浮) ，格式详见报价表。</w:t>
      </w:r>
    </w:p>
    <w:p w14:paraId="5C5EDEFD">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s="Times New Roman"/>
          <w:color w:val="auto"/>
          <w:szCs w:val="21"/>
          <w:highlight w:val="none"/>
          <w:lang w:val="en-US" w:eastAsia="zh-CN"/>
        </w:rPr>
        <w:t>线路八：3000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100</w:t>
      </w:r>
    </w:p>
    <w:p w14:paraId="173043AB">
      <w:pPr>
        <w:pStyle w:val="21"/>
        <w:numPr>
          <w:ilvl w:val="0"/>
          <w:numId w:val="25"/>
        </w:numPr>
        <w:spacing w:line="240" w:lineRule="auto"/>
        <w:ind w:left="0" w:firstLine="404"/>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投标人的投标报价超过采购人设定的最高限价，将作为无效标。</w:t>
      </w:r>
    </w:p>
    <w:p w14:paraId="41C1A510">
      <w:pPr>
        <w:pStyle w:val="21"/>
        <w:numPr>
          <w:ilvl w:val="0"/>
          <w:numId w:val="25"/>
        </w:numPr>
        <w:spacing w:line="240" w:lineRule="auto"/>
        <w:ind w:left="0" w:firstLine="404"/>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8372089">
      <w:pPr>
        <w:pStyle w:val="21"/>
        <w:numPr>
          <w:ilvl w:val="0"/>
          <w:numId w:val="25"/>
        </w:numPr>
        <w:spacing w:line="240" w:lineRule="auto"/>
        <w:ind w:left="0" w:firstLine="404"/>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促进中小企业发展</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本次采购为专门面向中小企业预留采购份额的采购项目。</w:t>
      </w:r>
    </w:p>
    <w:p w14:paraId="3867D3F6">
      <w:pPr>
        <w:pStyle w:val="21"/>
        <w:numPr>
          <w:ilvl w:val="0"/>
          <w:numId w:val="25"/>
        </w:numPr>
        <w:spacing w:line="240" w:lineRule="auto"/>
        <w:ind w:left="0" w:firstLine="404"/>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本项目对应的中小企业划分标准所属行业：其他公园和游览景区服务。</w:t>
      </w:r>
    </w:p>
    <w:p w14:paraId="23DECD7E">
      <w:pPr>
        <w:pStyle w:val="21"/>
        <w:numPr>
          <w:ilvl w:val="0"/>
          <w:numId w:val="25"/>
        </w:numPr>
        <w:spacing w:line="240" w:lineRule="auto"/>
        <w:ind w:left="0" w:firstLine="404"/>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CDA3754">
      <w:pPr>
        <w:pStyle w:val="21"/>
        <w:numPr>
          <w:ilvl w:val="0"/>
          <w:numId w:val="25"/>
        </w:numPr>
        <w:spacing w:line="240" w:lineRule="auto"/>
        <w:ind w:left="0" w:firstLine="404"/>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3350FB70">
      <w:pPr>
        <w:pStyle w:val="29"/>
        <w:tabs>
          <w:tab w:val="left" w:pos="630"/>
        </w:tabs>
        <w:spacing w:after="0" w:line="240" w:lineRule="auto"/>
        <w:ind w:firstLine="424" w:firstLineChars="202"/>
        <w:jc w:val="lef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635252C">
      <w:pPr>
        <w:rPr>
          <w:rFonts w:hint="eastAsia" w:ascii="微软雅黑" w:hAnsi="微软雅黑" w:eastAsia="微软雅黑" w:cs="微软雅黑"/>
          <w:color w:val="auto"/>
          <w:sz w:val="21"/>
          <w:szCs w:val="21"/>
        </w:rPr>
      </w:pPr>
      <w:bookmarkStart w:id="595" w:name="_Toc7380"/>
      <w:r>
        <w:rPr>
          <w:rFonts w:hint="eastAsia" w:ascii="微软雅黑" w:hAnsi="微软雅黑" w:eastAsia="微软雅黑" w:cs="微软雅黑"/>
          <w:color w:val="auto"/>
          <w:sz w:val="21"/>
          <w:szCs w:val="21"/>
        </w:rPr>
        <w:br w:type="page"/>
      </w:r>
    </w:p>
    <w:p w14:paraId="4A912B2E">
      <w:pPr>
        <w:pStyle w:val="3"/>
        <w:ind w:firstLine="420"/>
        <w:jc w:val="lef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（二）技术分：</w:t>
      </w:r>
    </w:p>
    <w:tbl>
      <w:tblPr>
        <w:tblStyle w:val="5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480"/>
        <w:gridCol w:w="1163"/>
      </w:tblGrid>
      <w:tr w14:paraId="0998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6" w:type="dxa"/>
            <w:vAlign w:val="center"/>
          </w:tcPr>
          <w:p w14:paraId="56E1F8B7">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序号</w:t>
            </w:r>
          </w:p>
        </w:tc>
        <w:tc>
          <w:tcPr>
            <w:tcW w:w="7480" w:type="dxa"/>
            <w:vAlign w:val="center"/>
          </w:tcPr>
          <w:p w14:paraId="791D8D34">
            <w:pPr>
              <w:pStyle w:val="29"/>
              <w:spacing w:line="300" w:lineRule="exact"/>
              <w:ind w:left="420" w:firstLine="420" w:firstLineChars="200"/>
              <w:jc w:val="center"/>
              <w:rPr>
                <w:rFonts w:ascii="微软雅黑" w:hAnsi="微软雅黑" w:eastAsia="微软雅黑"/>
                <w:color w:val="auto"/>
                <w:szCs w:val="21"/>
              </w:rPr>
            </w:pPr>
            <w:r>
              <w:rPr>
                <w:rFonts w:hint="eastAsia" w:ascii="微软雅黑" w:hAnsi="微软雅黑" w:eastAsia="微软雅黑"/>
                <w:color w:val="auto"/>
                <w:szCs w:val="21"/>
              </w:rPr>
              <w:t>评分标准</w:t>
            </w:r>
          </w:p>
        </w:tc>
        <w:tc>
          <w:tcPr>
            <w:tcW w:w="1163" w:type="dxa"/>
            <w:vAlign w:val="center"/>
          </w:tcPr>
          <w:p w14:paraId="7E8823E7">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最高得分</w:t>
            </w:r>
          </w:p>
        </w:tc>
      </w:tr>
      <w:tr w14:paraId="507C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756" w:type="dxa"/>
            <w:vAlign w:val="center"/>
          </w:tcPr>
          <w:p w14:paraId="4D4D44AB">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1</w:t>
            </w:r>
          </w:p>
        </w:tc>
        <w:tc>
          <w:tcPr>
            <w:tcW w:w="7480" w:type="dxa"/>
            <w:vAlign w:val="center"/>
          </w:tcPr>
          <w:p w14:paraId="431A7314">
            <w:pPr>
              <w:snapToGrid w:val="0"/>
              <w:spacing w:line="300" w:lineRule="exact"/>
              <w:rPr>
                <w:rFonts w:ascii="微软雅黑" w:hAnsi="微软雅黑" w:eastAsia="微软雅黑" w:cs="宋体"/>
                <w:color w:val="auto"/>
                <w:szCs w:val="21"/>
              </w:rPr>
            </w:pPr>
            <w:r>
              <w:rPr>
                <w:rFonts w:hint="eastAsia" w:ascii="微软雅黑" w:hAnsi="微软雅黑" w:eastAsia="微软雅黑" w:cs="宋体"/>
                <w:color w:val="auto"/>
                <w:szCs w:val="21"/>
                <w:lang w:val="zh-CN"/>
              </w:rPr>
              <w:t>投标方案的合理性、科学性、全面性，</w:t>
            </w:r>
            <w:r>
              <w:rPr>
                <w:rFonts w:hint="eastAsia" w:ascii="微软雅黑" w:hAnsi="微软雅黑" w:eastAsia="微软雅黑" w:cs="宋体"/>
                <w:color w:val="auto"/>
                <w:szCs w:val="21"/>
              </w:rPr>
              <w:t>详细提供疗休养整体方案包括</w:t>
            </w:r>
          </w:p>
          <w:p w14:paraId="3D778A5B">
            <w:pPr>
              <w:snapToGrid w:val="0"/>
              <w:spacing w:line="300" w:lineRule="exact"/>
              <w:rPr>
                <w:rFonts w:ascii="微软雅黑" w:hAnsi="微软雅黑" w:eastAsia="微软雅黑" w:cs="宋体"/>
                <w:color w:val="auto"/>
                <w:szCs w:val="21"/>
                <w:lang w:val="zh-CN"/>
              </w:rPr>
            </w:pPr>
            <w:r>
              <w:rPr>
                <w:rFonts w:hint="eastAsia" w:ascii="微软雅黑" w:hAnsi="微软雅黑" w:eastAsia="微软雅黑" w:cs="宋体"/>
                <w:color w:val="auto"/>
                <w:szCs w:val="21"/>
              </w:rPr>
              <w:t>1、</w:t>
            </w:r>
            <w:r>
              <w:rPr>
                <w:rFonts w:hint="eastAsia" w:ascii="微软雅黑" w:hAnsi="微软雅黑" w:eastAsia="微软雅黑" w:cs="宋体"/>
                <w:color w:val="auto"/>
                <w:szCs w:val="21"/>
                <w:lang w:val="zh-CN"/>
              </w:rPr>
              <w:t>吃、住、行，每一项（0-5分）（最高15分）；</w:t>
            </w:r>
          </w:p>
          <w:p w14:paraId="3D4396BD">
            <w:pPr>
              <w:snapToGrid w:val="0"/>
              <w:spacing w:line="300" w:lineRule="exact"/>
              <w:rPr>
                <w:rFonts w:ascii="微软雅黑" w:hAnsi="微软雅黑" w:eastAsia="微软雅黑" w:cs="宋体"/>
                <w:color w:val="auto"/>
                <w:szCs w:val="21"/>
                <w:lang w:val="zh-CN"/>
              </w:rPr>
            </w:pPr>
            <w:r>
              <w:rPr>
                <w:rFonts w:hint="eastAsia" w:ascii="微软雅黑" w:hAnsi="微软雅黑" w:eastAsia="微软雅黑" w:cs="宋体"/>
                <w:color w:val="auto"/>
                <w:szCs w:val="21"/>
                <w:lang w:val="zh-CN"/>
              </w:rPr>
              <w:t>2、线路策划（0-5分）；</w:t>
            </w:r>
          </w:p>
          <w:p w14:paraId="141FCAE2">
            <w:pPr>
              <w:snapToGrid w:val="0"/>
              <w:spacing w:line="300" w:lineRule="exact"/>
              <w:rPr>
                <w:rFonts w:ascii="微软雅黑" w:hAnsi="微软雅黑" w:eastAsia="微软雅黑" w:cs="宋体"/>
                <w:color w:val="auto"/>
                <w:szCs w:val="21"/>
                <w:lang w:val="zh-CN"/>
              </w:rPr>
            </w:pPr>
            <w:r>
              <w:rPr>
                <w:rFonts w:hint="eastAsia" w:ascii="微软雅黑" w:hAnsi="微软雅黑" w:eastAsia="微软雅黑" w:cs="宋体"/>
                <w:color w:val="auto"/>
                <w:szCs w:val="21"/>
                <w:lang w:val="zh-CN"/>
              </w:rPr>
              <w:t>3、</w:t>
            </w:r>
            <w:r>
              <w:rPr>
                <w:rFonts w:hint="eastAsia" w:ascii="微软雅黑" w:hAnsi="微软雅黑" w:eastAsia="微软雅黑" w:cs="宋体"/>
                <w:color w:val="auto"/>
                <w:szCs w:val="21"/>
              </w:rPr>
              <w:t>景点游览</w:t>
            </w:r>
            <w:r>
              <w:rPr>
                <w:rFonts w:hint="eastAsia" w:ascii="微软雅黑" w:hAnsi="微软雅黑" w:eastAsia="微软雅黑" w:cs="宋体"/>
                <w:color w:val="auto"/>
                <w:szCs w:val="21"/>
                <w:lang w:val="zh-CN"/>
              </w:rPr>
              <w:t>等（0-5分）。</w:t>
            </w:r>
          </w:p>
          <w:p w14:paraId="66B3A61F">
            <w:pPr>
              <w:snapToGrid w:val="0"/>
              <w:spacing w:line="300" w:lineRule="exact"/>
              <w:rPr>
                <w:rFonts w:ascii="微软雅黑" w:hAnsi="微软雅黑" w:eastAsia="微软雅黑" w:cs="宋体"/>
                <w:color w:val="auto"/>
                <w:szCs w:val="21"/>
              </w:rPr>
            </w:pPr>
            <w:r>
              <w:rPr>
                <w:rFonts w:hint="eastAsia" w:ascii="微软雅黑" w:hAnsi="微软雅黑" w:eastAsia="微软雅黑" w:cs="宋体"/>
                <w:color w:val="auto"/>
                <w:szCs w:val="21"/>
                <w:lang w:val="zh-CN"/>
              </w:rPr>
              <w:t>针对以上方案，进行比较</w:t>
            </w:r>
            <w:r>
              <w:rPr>
                <w:rFonts w:hint="eastAsia" w:ascii="微软雅黑" w:hAnsi="微软雅黑" w:eastAsia="微软雅黑" w:cs="宋体"/>
                <w:color w:val="auto"/>
                <w:szCs w:val="21"/>
              </w:rPr>
              <w:t>打分。</w:t>
            </w:r>
          </w:p>
        </w:tc>
        <w:tc>
          <w:tcPr>
            <w:tcW w:w="1163" w:type="dxa"/>
            <w:vAlign w:val="center"/>
          </w:tcPr>
          <w:p w14:paraId="2475B54C">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25</w:t>
            </w:r>
          </w:p>
        </w:tc>
      </w:tr>
      <w:tr w14:paraId="1007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756" w:type="dxa"/>
            <w:vAlign w:val="center"/>
          </w:tcPr>
          <w:p w14:paraId="1B0D48A1">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2</w:t>
            </w:r>
          </w:p>
        </w:tc>
        <w:tc>
          <w:tcPr>
            <w:tcW w:w="7480" w:type="dxa"/>
          </w:tcPr>
          <w:p w14:paraId="4572EDC8">
            <w:pPr>
              <w:spacing w:line="300" w:lineRule="exact"/>
              <w:jc w:val="left"/>
              <w:rPr>
                <w:rFonts w:ascii="微软雅黑" w:hAnsi="微软雅黑" w:eastAsia="微软雅黑" w:cs="宋体"/>
                <w:bCs/>
                <w:color w:val="auto"/>
                <w:szCs w:val="21"/>
                <w:lang w:val="zh-CN"/>
              </w:rPr>
            </w:pPr>
            <w:r>
              <w:rPr>
                <w:rFonts w:hint="eastAsia" w:ascii="微软雅黑" w:hAnsi="微软雅黑" w:eastAsia="微软雅黑" w:cs="宋体"/>
                <w:bCs/>
                <w:color w:val="auto"/>
                <w:szCs w:val="21"/>
                <w:lang w:val="zh-CN"/>
              </w:rPr>
              <w:t>投标方案中提供或使用主要设备的优劣等</w:t>
            </w:r>
          </w:p>
          <w:p w14:paraId="4F535C09">
            <w:pPr>
              <w:spacing w:line="300" w:lineRule="exact"/>
              <w:jc w:val="left"/>
              <w:rPr>
                <w:rFonts w:ascii="微软雅黑" w:hAnsi="微软雅黑" w:eastAsia="微软雅黑" w:cs="宋体"/>
                <w:bCs/>
                <w:color w:val="auto"/>
                <w:szCs w:val="21"/>
              </w:rPr>
            </w:pPr>
            <w:r>
              <w:rPr>
                <w:rFonts w:hint="eastAsia" w:ascii="微软雅黑" w:hAnsi="微软雅黑" w:eastAsia="微软雅黑" w:cs="宋体"/>
                <w:bCs/>
                <w:color w:val="auto"/>
                <w:szCs w:val="21"/>
              </w:rPr>
              <w:t>根据车队情况（包括车型、车况、座位比、司机驾龄、当地用车情况等），满足招标需求的得基本分5分，优于招标需求的酌情加分，最多加2分。</w:t>
            </w:r>
          </w:p>
          <w:p w14:paraId="74F5D04B">
            <w:pPr>
              <w:spacing w:line="300" w:lineRule="exact"/>
              <w:jc w:val="left"/>
              <w:rPr>
                <w:rFonts w:ascii="微软雅黑" w:hAnsi="微软雅黑" w:eastAsia="微软雅黑" w:cs="宋体"/>
                <w:color w:val="auto"/>
                <w:szCs w:val="21"/>
              </w:rPr>
            </w:pPr>
            <w:r>
              <w:rPr>
                <w:rFonts w:hint="eastAsia" w:ascii="微软雅黑" w:hAnsi="微软雅黑" w:eastAsia="微软雅黑" w:cs="宋体"/>
                <w:color w:val="auto"/>
                <w:szCs w:val="21"/>
              </w:rPr>
              <w:t>有一项负偏离的本项不得分。</w:t>
            </w:r>
          </w:p>
          <w:p w14:paraId="64069DA8">
            <w:pPr>
              <w:spacing w:line="300" w:lineRule="exact"/>
              <w:jc w:val="left"/>
              <w:rPr>
                <w:rFonts w:ascii="微软雅黑" w:hAnsi="微软雅黑" w:eastAsia="微软雅黑"/>
                <w:color w:val="auto"/>
                <w:szCs w:val="21"/>
              </w:rPr>
            </w:pPr>
            <w:r>
              <w:rPr>
                <w:rFonts w:hint="eastAsia" w:ascii="微软雅黑" w:hAnsi="微软雅黑" w:eastAsia="微软雅黑" w:cs="宋体"/>
                <w:bCs/>
                <w:color w:val="auto"/>
                <w:szCs w:val="21"/>
              </w:rPr>
              <w:t>旅行小伴配置情况满足招标需求的得基本分3分，优于招标需求的酌情加分，最多加2分。</w:t>
            </w:r>
            <w:r>
              <w:rPr>
                <w:rFonts w:hint="eastAsia" w:ascii="微软雅黑" w:hAnsi="微软雅黑" w:eastAsia="微软雅黑" w:cs="宋体"/>
                <w:color w:val="auto"/>
                <w:szCs w:val="21"/>
              </w:rPr>
              <w:t>有一项负偏离的本项不得分。</w:t>
            </w:r>
          </w:p>
        </w:tc>
        <w:tc>
          <w:tcPr>
            <w:tcW w:w="1163" w:type="dxa"/>
            <w:vAlign w:val="center"/>
          </w:tcPr>
          <w:p w14:paraId="2B657D0D">
            <w:pPr>
              <w:widowControl/>
              <w:spacing w:line="300" w:lineRule="exact"/>
              <w:jc w:val="center"/>
              <w:rPr>
                <w:rFonts w:ascii="微软雅黑" w:hAnsi="微软雅黑" w:eastAsia="微软雅黑" w:cs="宋体"/>
                <w:bCs/>
                <w:color w:val="auto"/>
                <w:kern w:val="0"/>
                <w:szCs w:val="21"/>
              </w:rPr>
            </w:pPr>
            <w:r>
              <w:rPr>
                <w:rFonts w:hint="eastAsia" w:ascii="微软雅黑" w:hAnsi="微软雅黑" w:eastAsia="微软雅黑" w:cs="宋体"/>
                <w:bCs/>
                <w:color w:val="auto"/>
                <w:kern w:val="0"/>
                <w:szCs w:val="21"/>
              </w:rPr>
              <w:t>12</w:t>
            </w:r>
          </w:p>
        </w:tc>
      </w:tr>
      <w:tr w14:paraId="49A3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56" w:type="dxa"/>
            <w:vAlign w:val="center"/>
          </w:tcPr>
          <w:p w14:paraId="0B634DDA">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3</w:t>
            </w:r>
          </w:p>
        </w:tc>
        <w:tc>
          <w:tcPr>
            <w:tcW w:w="7480" w:type="dxa"/>
          </w:tcPr>
          <w:p w14:paraId="61E567DC">
            <w:pPr>
              <w:spacing w:line="300" w:lineRule="exact"/>
              <w:rPr>
                <w:rFonts w:ascii="微软雅黑" w:hAnsi="微软雅黑" w:eastAsia="微软雅黑" w:cs="宋体"/>
                <w:color w:val="auto"/>
                <w:szCs w:val="21"/>
                <w:lang w:val="zh-CN"/>
              </w:rPr>
            </w:pPr>
            <w:r>
              <w:rPr>
                <w:rFonts w:hint="eastAsia" w:ascii="微软雅黑" w:hAnsi="微软雅黑" w:eastAsia="微软雅黑" w:cs="宋体"/>
                <w:color w:val="auto"/>
                <w:szCs w:val="21"/>
                <w:lang w:val="zh-CN"/>
              </w:rPr>
              <w:t>保证进度和项目完成的方案和措施等</w:t>
            </w:r>
          </w:p>
          <w:p w14:paraId="1DCBF5FE">
            <w:pPr>
              <w:wordWrap w:val="0"/>
              <w:spacing w:line="300" w:lineRule="exact"/>
              <w:jc w:val="left"/>
              <w:rPr>
                <w:rFonts w:ascii="微软雅黑" w:hAnsi="微软雅黑" w:eastAsia="微软雅黑" w:cs="宋体"/>
                <w:color w:val="auto"/>
                <w:szCs w:val="21"/>
                <w:lang w:val="zh-CN"/>
              </w:rPr>
            </w:pPr>
            <w:r>
              <w:rPr>
                <w:rFonts w:hint="eastAsia" w:ascii="微软雅黑" w:hAnsi="微软雅黑" w:eastAsia="微软雅黑" w:cs="宋体"/>
                <w:color w:val="auto"/>
                <w:szCs w:val="21"/>
              </w:rPr>
              <w:t>1.疗休养实施</w:t>
            </w:r>
            <w:r>
              <w:rPr>
                <w:rFonts w:hint="eastAsia" w:ascii="微软雅黑" w:hAnsi="微软雅黑" w:eastAsia="微软雅黑" w:cs="宋体"/>
                <w:color w:val="auto"/>
                <w:szCs w:val="21"/>
                <w:lang w:val="zh-CN"/>
              </w:rPr>
              <w:t>工作程序和步骤（</w:t>
            </w:r>
            <w:r>
              <w:rPr>
                <w:rFonts w:hint="eastAsia" w:ascii="微软雅黑" w:hAnsi="微软雅黑" w:eastAsia="微软雅黑" w:cs="宋体"/>
                <w:color w:val="auto"/>
                <w:szCs w:val="21"/>
              </w:rPr>
              <w:t>0-2分</w:t>
            </w:r>
            <w:r>
              <w:rPr>
                <w:rFonts w:hint="eastAsia" w:ascii="微软雅黑" w:hAnsi="微软雅黑" w:eastAsia="微软雅黑" w:cs="宋体"/>
                <w:color w:val="auto"/>
                <w:szCs w:val="21"/>
                <w:lang w:val="zh-CN"/>
              </w:rPr>
              <w:t>）；</w:t>
            </w:r>
          </w:p>
          <w:p w14:paraId="45C79886">
            <w:pPr>
              <w:wordWrap w:val="0"/>
              <w:spacing w:line="300" w:lineRule="exact"/>
              <w:jc w:val="left"/>
              <w:rPr>
                <w:rFonts w:ascii="微软雅黑" w:hAnsi="微软雅黑" w:eastAsia="微软雅黑" w:cs="宋体"/>
                <w:color w:val="auto"/>
                <w:szCs w:val="21"/>
              </w:rPr>
            </w:pPr>
            <w:r>
              <w:rPr>
                <w:rFonts w:hint="eastAsia" w:ascii="微软雅黑" w:hAnsi="微软雅黑" w:eastAsia="微软雅黑" w:cs="宋体"/>
                <w:color w:val="auto"/>
                <w:szCs w:val="21"/>
              </w:rPr>
              <w:t>2.</w:t>
            </w:r>
            <w:r>
              <w:rPr>
                <w:rFonts w:hint="eastAsia" w:ascii="微软雅黑" w:hAnsi="微软雅黑" w:eastAsia="微软雅黑" w:cs="宋体"/>
                <w:color w:val="auto"/>
                <w:szCs w:val="21"/>
                <w:lang w:val="zh-CN"/>
              </w:rPr>
              <w:t>管理和协调方法（</w:t>
            </w:r>
            <w:r>
              <w:rPr>
                <w:rFonts w:hint="eastAsia" w:ascii="微软雅黑" w:hAnsi="微软雅黑" w:eastAsia="微软雅黑" w:cs="宋体"/>
                <w:color w:val="auto"/>
                <w:szCs w:val="21"/>
              </w:rPr>
              <w:t>0-2分</w:t>
            </w:r>
            <w:r>
              <w:rPr>
                <w:rFonts w:hint="eastAsia" w:ascii="微软雅黑" w:hAnsi="微软雅黑" w:eastAsia="微软雅黑" w:cs="宋体"/>
                <w:color w:val="auto"/>
                <w:szCs w:val="21"/>
                <w:lang w:val="zh-CN"/>
              </w:rPr>
              <w:t>）；</w:t>
            </w:r>
          </w:p>
          <w:p w14:paraId="7F9EEAA6">
            <w:pPr>
              <w:spacing w:line="300" w:lineRule="exact"/>
              <w:rPr>
                <w:rFonts w:ascii="微软雅黑" w:hAnsi="微软雅黑" w:eastAsia="微软雅黑"/>
                <w:color w:val="auto"/>
                <w:szCs w:val="21"/>
              </w:rPr>
            </w:pPr>
            <w:r>
              <w:rPr>
                <w:rFonts w:hint="eastAsia" w:ascii="微软雅黑" w:hAnsi="微软雅黑" w:eastAsia="微软雅黑" w:cs="宋体"/>
                <w:color w:val="auto"/>
                <w:szCs w:val="21"/>
              </w:rPr>
              <w:t>3.</w:t>
            </w:r>
            <w:r>
              <w:rPr>
                <w:rFonts w:hint="eastAsia" w:ascii="微软雅黑" w:hAnsi="微软雅黑" w:eastAsia="微软雅黑" w:cs="宋体"/>
                <w:color w:val="auto"/>
                <w:szCs w:val="21"/>
                <w:lang w:val="zh-CN"/>
              </w:rPr>
              <w:t>关键步骤和要点（</w:t>
            </w:r>
            <w:r>
              <w:rPr>
                <w:rFonts w:hint="eastAsia" w:ascii="微软雅黑" w:hAnsi="微软雅黑" w:eastAsia="微软雅黑" w:cs="宋体"/>
                <w:color w:val="auto"/>
                <w:szCs w:val="21"/>
              </w:rPr>
              <w:t>0-2分</w:t>
            </w:r>
            <w:r>
              <w:rPr>
                <w:rFonts w:hint="eastAsia" w:ascii="微软雅黑" w:hAnsi="微软雅黑" w:eastAsia="微软雅黑" w:cs="宋体"/>
                <w:color w:val="auto"/>
                <w:szCs w:val="21"/>
                <w:lang w:val="zh-CN"/>
              </w:rPr>
              <w:t>）。</w:t>
            </w:r>
          </w:p>
        </w:tc>
        <w:tc>
          <w:tcPr>
            <w:tcW w:w="1163" w:type="dxa"/>
            <w:vAlign w:val="center"/>
          </w:tcPr>
          <w:p w14:paraId="45D3880B">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6</w:t>
            </w:r>
          </w:p>
        </w:tc>
      </w:tr>
      <w:tr w14:paraId="2F29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56" w:type="dxa"/>
            <w:vAlign w:val="center"/>
          </w:tcPr>
          <w:p w14:paraId="4F77C94D">
            <w:pPr>
              <w:spacing w:line="300" w:lineRule="exact"/>
              <w:jc w:val="center"/>
              <w:rPr>
                <w:rFonts w:ascii="微软雅黑" w:hAnsi="微软雅黑" w:eastAsia="微软雅黑"/>
                <w:b/>
                <w:color w:val="auto"/>
                <w:szCs w:val="21"/>
              </w:rPr>
            </w:pPr>
            <w:r>
              <w:rPr>
                <w:rFonts w:hint="eastAsia" w:ascii="微软雅黑" w:hAnsi="微软雅黑" w:eastAsia="微软雅黑"/>
                <w:b/>
                <w:color w:val="auto"/>
                <w:szCs w:val="21"/>
              </w:rPr>
              <w:t>4</w:t>
            </w:r>
          </w:p>
        </w:tc>
        <w:tc>
          <w:tcPr>
            <w:tcW w:w="7480" w:type="dxa"/>
          </w:tcPr>
          <w:p w14:paraId="4281D517">
            <w:pPr>
              <w:snapToGrid w:val="0"/>
              <w:spacing w:line="300" w:lineRule="exact"/>
              <w:jc w:val="left"/>
              <w:rPr>
                <w:rFonts w:ascii="微软雅黑" w:hAnsi="微软雅黑" w:eastAsia="微软雅黑" w:cs="宋体"/>
                <w:color w:val="auto"/>
                <w:szCs w:val="21"/>
                <w:lang w:val="zh-CN"/>
              </w:rPr>
            </w:pPr>
            <w:r>
              <w:rPr>
                <w:rFonts w:hint="eastAsia" w:ascii="微软雅黑" w:hAnsi="微软雅黑" w:eastAsia="微软雅黑" w:cs="宋体"/>
                <w:color w:val="auto"/>
                <w:szCs w:val="21"/>
                <w:lang w:val="zh-CN"/>
              </w:rPr>
              <w:t>项目负责人及技术力量安排等</w:t>
            </w:r>
          </w:p>
          <w:p w14:paraId="14EDFDA2">
            <w:pPr>
              <w:wordWrap w:val="0"/>
              <w:spacing w:line="300" w:lineRule="exact"/>
              <w:jc w:val="left"/>
              <w:rPr>
                <w:rFonts w:ascii="微软雅黑" w:hAnsi="微软雅黑" w:eastAsia="微软雅黑" w:cs="宋体"/>
                <w:color w:val="auto"/>
                <w:szCs w:val="21"/>
                <w:lang w:val="zh-CN"/>
              </w:rPr>
            </w:pPr>
            <w:r>
              <w:rPr>
                <w:rFonts w:hint="eastAsia" w:ascii="微软雅黑" w:hAnsi="微软雅黑" w:eastAsia="微软雅黑" w:cs="宋体"/>
                <w:color w:val="auto"/>
                <w:szCs w:val="21"/>
                <w:lang w:val="zh-CN"/>
              </w:rPr>
              <w:t>供应商拥有中级及以上导游员或市级及以上优秀或金牌导游员的得</w:t>
            </w:r>
            <w:r>
              <w:rPr>
                <w:rFonts w:hint="eastAsia" w:ascii="微软雅黑" w:hAnsi="微软雅黑" w:eastAsia="微软雅黑" w:cs="宋体"/>
                <w:color w:val="auto"/>
                <w:szCs w:val="21"/>
              </w:rPr>
              <w:t>2</w:t>
            </w:r>
            <w:r>
              <w:rPr>
                <w:rFonts w:hint="eastAsia" w:ascii="微软雅黑" w:hAnsi="微软雅黑" w:eastAsia="微软雅黑" w:cs="宋体"/>
                <w:color w:val="auto"/>
                <w:szCs w:val="21"/>
                <w:lang w:val="zh-CN"/>
              </w:rPr>
              <w:t>分，拥有初级导游员或区县级优秀或金牌导游员的得</w:t>
            </w:r>
            <w:r>
              <w:rPr>
                <w:rFonts w:hint="eastAsia" w:ascii="微软雅黑" w:hAnsi="微软雅黑" w:eastAsia="微软雅黑" w:cs="宋体"/>
                <w:color w:val="auto"/>
                <w:szCs w:val="21"/>
              </w:rPr>
              <w:t>1</w:t>
            </w:r>
            <w:r>
              <w:rPr>
                <w:rFonts w:hint="eastAsia" w:ascii="微软雅黑" w:hAnsi="微软雅黑" w:eastAsia="微软雅黑" w:cs="宋体"/>
                <w:color w:val="auto"/>
                <w:szCs w:val="21"/>
                <w:lang w:val="zh-CN"/>
              </w:rPr>
              <w:t>分。</w:t>
            </w:r>
          </w:p>
          <w:p w14:paraId="7C5F6928">
            <w:pPr>
              <w:snapToGrid w:val="0"/>
              <w:spacing w:line="300" w:lineRule="exact"/>
              <w:jc w:val="left"/>
              <w:rPr>
                <w:rFonts w:ascii="微软雅黑" w:hAnsi="微软雅黑" w:eastAsia="微软雅黑"/>
                <w:color w:val="auto"/>
                <w:szCs w:val="21"/>
              </w:rPr>
            </w:pPr>
            <w:r>
              <w:rPr>
                <w:rFonts w:hint="eastAsia" w:ascii="微软雅黑" w:hAnsi="微软雅黑" w:eastAsia="微软雅黑" w:cs="宋体"/>
                <w:b/>
                <w:bCs/>
                <w:color w:val="auto"/>
                <w:szCs w:val="21"/>
                <w:lang w:val="zh-CN"/>
              </w:rPr>
              <w:t>提供导游员投标截止前1</w:t>
            </w:r>
            <w:r>
              <w:rPr>
                <w:rFonts w:hint="eastAsia" w:ascii="微软雅黑" w:hAnsi="微软雅黑" w:eastAsia="微软雅黑" w:cs="宋体"/>
                <w:b/>
                <w:bCs/>
                <w:color w:val="auto"/>
                <w:szCs w:val="21"/>
              </w:rPr>
              <w:t>个月</w:t>
            </w:r>
            <w:r>
              <w:rPr>
                <w:rFonts w:hint="eastAsia" w:ascii="微软雅黑" w:hAnsi="微软雅黑" w:eastAsia="微软雅黑" w:cs="宋体"/>
                <w:b/>
                <w:bCs/>
                <w:color w:val="auto"/>
                <w:szCs w:val="21"/>
                <w:lang w:val="zh-CN"/>
              </w:rPr>
              <w:t>在本单位的参保证明、导游证、初中高级导游员或优秀导游员或金牌导游员证书材料，</w:t>
            </w:r>
            <w:r>
              <w:rPr>
                <w:rFonts w:hint="eastAsia" w:ascii="微软雅黑" w:hAnsi="微软雅黑" w:eastAsia="微软雅黑" w:cs="宋体"/>
                <w:b/>
                <w:bCs/>
                <w:color w:val="auto"/>
                <w:szCs w:val="21"/>
              </w:rPr>
              <w:t>否则不得分</w:t>
            </w:r>
            <w:r>
              <w:rPr>
                <w:rFonts w:hint="eastAsia" w:ascii="微软雅黑" w:hAnsi="微软雅黑" w:eastAsia="微软雅黑" w:cs="宋体"/>
                <w:b/>
                <w:bCs/>
                <w:color w:val="auto"/>
                <w:szCs w:val="21"/>
                <w:lang w:val="zh-CN"/>
              </w:rPr>
              <w:t>。</w:t>
            </w:r>
          </w:p>
        </w:tc>
        <w:tc>
          <w:tcPr>
            <w:tcW w:w="1163" w:type="dxa"/>
            <w:vAlign w:val="center"/>
          </w:tcPr>
          <w:p w14:paraId="698467D9">
            <w:pPr>
              <w:widowControl/>
              <w:spacing w:line="300" w:lineRule="exact"/>
              <w:jc w:val="center"/>
              <w:rPr>
                <w:rFonts w:ascii="微软雅黑" w:hAnsi="微软雅黑" w:eastAsia="微软雅黑" w:cs="宋体"/>
                <w:bCs/>
                <w:color w:val="auto"/>
                <w:kern w:val="0"/>
                <w:szCs w:val="21"/>
              </w:rPr>
            </w:pPr>
            <w:r>
              <w:rPr>
                <w:rFonts w:hint="eastAsia" w:ascii="微软雅黑" w:hAnsi="微软雅黑" w:eastAsia="微软雅黑" w:cs="宋体"/>
                <w:bCs/>
                <w:color w:val="auto"/>
                <w:kern w:val="0"/>
                <w:szCs w:val="21"/>
              </w:rPr>
              <w:t>2</w:t>
            </w:r>
          </w:p>
        </w:tc>
      </w:tr>
      <w:tr w14:paraId="4DA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56" w:type="dxa"/>
            <w:vAlign w:val="center"/>
          </w:tcPr>
          <w:p w14:paraId="3772DBD5">
            <w:pPr>
              <w:spacing w:line="300" w:lineRule="exact"/>
              <w:jc w:val="center"/>
              <w:rPr>
                <w:rFonts w:ascii="微软雅黑" w:hAnsi="微软雅黑" w:eastAsia="微软雅黑"/>
                <w:b/>
                <w:color w:val="auto"/>
                <w:szCs w:val="21"/>
              </w:rPr>
            </w:pPr>
            <w:r>
              <w:rPr>
                <w:rFonts w:hint="eastAsia" w:ascii="微软雅黑" w:hAnsi="微软雅黑" w:eastAsia="微软雅黑"/>
                <w:b/>
                <w:color w:val="auto"/>
                <w:szCs w:val="21"/>
              </w:rPr>
              <w:t>5</w:t>
            </w:r>
          </w:p>
        </w:tc>
        <w:tc>
          <w:tcPr>
            <w:tcW w:w="7480" w:type="dxa"/>
          </w:tcPr>
          <w:p w14:paraId="189CC94D">
            <w:pPr>
              <w:snapToGrid w:val="0"/>
              <w:spacing w:line="300" w:lineRule="exact"/>
              <w:jc w:val="left"/>
              <w:rPr>
                <w:rFonts w:ascii="微软雅黑" w:hAnsi="微软雅黑" w:eastAsia="微软雅黑" w:cs="宋体"/>
                <w:color w:val="auto"/>
                <w:szCs w:val="21"/>
                <w:lang w:val="zh-CN"/>
              </w:rPr>
            </w:pPr>
            <w:r>
              <w:rPr>
                <w:rFonts w:hint="eastAsia" w:ascii="微软雅黑" w:hAnsi="微软雅黑" w:eastAsia="微软雅黑" w:cs="宋体"/>
                <w:color w:val="auto"/>
                <w:szCs w:val="21"/>
                <w:lang w:val="zh-CN"/>
              </w:rPr>
              <w:t>对本项目的合理化建议</w:t>
            </w:r>
          </w:p>
          <w:p w14:paraId="3B6A0259">
            <w:pPr>
              <w:snapToGrid w:val="0"/>
              <w:spacing w:line="300" w:lineRule="exact"/>
              <w:jc w:val="left"/>
              <w:rPr>
                <w:rFonts w:ascii="微软雅黑" w:hAnsi="微软雅黑" w:eastAsia="微软雅黑"/>
                <w:color w:val="auto"/>
                <w:szCs w:val="21"/>
              </w:rPr>
            </w:pPr>
            <w:r>
              <w:rPr>
                <w:rFonts w:hint="eastAsia" w:ascii="微软雅黑" w:hAnsi="微软雅黑" w:eastAsia="微软雅黑" w:cs="宋体"/>
                <w:color w:val="auto"/>
                <w:szCs w:val="21"/>
              </w:rPr>
              <w:t>在标书中规定的线路标准的基础上，根据投标方优化方案，提出合理化建议，有效的合理化建议每条得</w:t>
            </w:r>
            <w:r>
              <w:rPr>
                <w:rFonts w:ascii="微软雅黑" w:hAnsi="微软雅黑" w:eastAsia="微软雅黑" w:cs="宋体"/>
                <w:color w:val="auto"/>
                <w:szCs w:val="21"/>
              </w:rPr>
              <w:t>1</w:t>
            </w:r>
            <w:r>
              <w:rPr>
                <w:rFonts w:hint="eastAsia" w:ascii="微软雅黑" w:hAnsi="微软雅黑" w:eastAsia="微软雅黑" w:cs="宋体"/>
                <w:color w:val="auto"/>
                <w:szCs w:val="21"/>
              </w:rPr>
              <w:t>分，最多得</w:t>
            </w:r>
            <w:r>
              <w:rPr>
                <w:rFonts w:ascii="微软雅黑" w:hAnsi="微软雅黑" w:eastAsia="微软雅黑" w:cs="宋体"/>
                <w:color w:val="auto"/>
                <w:szCs w:val="21"/>
              </w:rPr>
              <w:t>2</w:t>
            </w:r>
            <w:r>
              <w:rPr>
                <w:rFonts w:hint="eastAsia" w:ascii="微软雅黑" w:hAnsi="微软雅黑" w:eastAsia="微软雅黑" w:cs="宋体"/>
                <w:color w:val="auto"/>
                <w:szCs w:val="21"/>
              </w:rPr>
              <w:t>分。</w:t>
            </w:r>
          </w:p>
        </w:tc>
        <w:tc>
          <w:tcPr>
            <w:tcW w:w="1163" w:type="dxa"/>
            <w:vAlign w:val="center"/>
          </w:tcPr>
          <w:p w14:paraId="77320B41">
            <w:pPr>
              <w:widowControl/>
              <w:spacing w:line="300" w:lineRule="exact"/>
              <w:jc w:val="center"/>
              <w:rPr>
                <w:rFonts w:ascii="微软雅黑" w:hAnsi="微软雅黑" w:eastAsia="微软雅黑" w:cs="宋体"/>
                <w:bCs/>
                <w:color w:val="auto"/>
                <w:kern w:val="0"/>
                <w:szCs w:val="21"/>
              </w:rPr>
            </w:pPr>
            <w:r>
              <w:rPr>
                <w:rFonts w:ascii="微软雅黑" w:hAnsi="微软雅黑" w:eastAsia="微软雅黑" w:cs="宋体"/>
                <w:bCs/>
                <w:color w:val="auto"/>
                <w:kern w:val="0"/>
                <w:szCs w:val="21"/>
              </w:rPr>
              <w:t>2</w:t>
            </w:r>
          </w:p>
        </w:tc>
      </w:tr>
      <w:tr w14:paraId="52D9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756" w:type="dxa"/>
            <w:vAlign w:val="center"/>
          </w:tcPr>
          <w:p w14:paraId="750B324D">
            <w:pPr>
              <w:spacing w:line="300" w:lineRule="exact"/>
              <w:jc w:val="center"/>
              <w:rPr>
                <w:rFonts w:ascii="微软雅黑" w:hAnsi="微软雅黑" w:eastAsia="微软雅黑"/>
                <w:b/>
                <w:color w:val="auto"/>
                <w:szCs w:val="21"/>
              </w:rPr>
            </w:pPr>
            <w:r>
              <w:rPr>
                <w:rFonts w:hint="eastAsia" w:ascii="微软雅黑" w:hAnsi="微软雅黑" w:eastAsia="微软雅黑"/>
                <w:b/>
                <w:color w:val="auto"/>
                <w:szCs w:val="21"/>
              </w:rPr>
              <w:t>6</w:t>
            </w:r>
          </w:p>
        </w:tc>
        <w:tc>
          <w:tcPr>
            <w:tcW w:w="7480" w:type="dxa"/>
            <w:vAlign w:val="center"/>
          </w:tcPr>
          <w:p w14:paraId="65FD2699">
            <w:pPr>
              <w:autoSpaceDE w:val="0"/>
              <w:autoSpaceDN w:val="0"/>
              <w:spacing w:line="300" w:lineRule="exact"/>
              <w:rPr>
                <w:rFonts w:ascii="微软雅黑" w:hAnsi="微软雅黑" w:eastAsia="微软雅黑" w:cs="宋体"/>
                <w:color w:val="auto"/>
                <w:szCs w:val="21"/>
                <w:lang w:val="zh-CN"/>
              </w:rPr>
            </w:pPr>
            <w:r>
              <w:rPr>
                <w:rFonts w:hint="eastAsia" w:ascii="微软雅黑" w:hAnsi="微软雅黑" w:eastAsia="微软雅黑" w:cs="宋体"/>
                <w:color w:val="auto"/>
                <w:szCs w:val="21"/>
                <w:lang w:val="zh-CN"/>
              </w:rPr>
              <w:t>服务质量保证情况</w:t>
            </w:r>
          </w:p>
          <w:p w14:paraId="7CD14F8E">
            <w:pPr>
              <w:autoSpaceDE w:val="0"/>
              <w:autoSpaceDN w:val="0"/>
              <w:spacing w:line="300" w:lineRule="exact"/>
              <w:rPr>
                <w:rFonts w:ascii="微软雅黑" w:hAnsi="微软雅黑" w:eastAsia="微软雅黑" w:cs="宋体"/>
                <w:color w:val="auto"/>
                <w:kern w:val="0"/>
                <w:szCs w:val="21"/>
              </w:rPr>
            </w:pPr>
            <w:r>
              <w:rPr>
                <w:rFonts w:hint="eastAsia" w:ascii="微软雅黑" w:hAnsi="微软雅黑" w:eastAsia="微软雅黑" w:cs="宋体"/>
                <w:color w:val="auto"/>
                <w:szCs w:val="21"/>
              </w:rPr>
              <w:t>根据出行服务（0-2分）、人性化服务（0-2分）、与地接人员衔接服务（0-2分）、安排入住酒店（0-2分）、用餐服务（0-2分）、与本次疗休养有关的服务质量编制详细计划以及免费超值</w:t>
            </w:r>
            <w:r>
              <w:rPr>
                <w:rFonts w:hint="eastAsia" w:ascii="微软雅黑" w:hAnsi="微软雅黑" w:eastAsia="微软雅黑" w:cs="宋体"/>
                <w:color w:val="auto"/>
                <w:szCs w:val="21"/>
                <w:lang w:val="zh-CN"/>
              </w:rPr>
              <w:t>（特色）</w:t>
            </w:r>
            <w:r>
              <w:rPr>
                <w:rFonts w:hint="eastAsia" w:ascii="微软雅黑" w:hAnsi="微软雅黑" w:eastAsia="微软雅黑" w:cs="宋体"/>
                <w:color w:val="auto"/>
                <w:szCs w:val="21"/>
              </w:rPr>
              <w:t>服务、优惠措施（0-2分），酌情打分。</w:t>
            </w:r>
          </w:p>
        </w:tc>
        <w:tc>
          <w:tcPr>
            <w:tcW w:w="1163" w:type="dxa"/>
            <w:vAlign w:val="center"/>
          </w:tcPr>
          <w:p w14:paraId="2501DBE1">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12</w:t>
            </w:r>
          </w:p>
        </w:tc>
      </w:tr>
      <w:tr w14:paraId="56AD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56" w:type="dxa"/>
            <w:vAlign w:val="center"/>
          </w:tcPr>
          <w:p w14:paraId="6A462D3A">
            <w:pPr>
              <w:spacing w:line="300" w:lineRule="exact"/>
              <w:jc w:val="center"/>
              <w:rPr>
                <w:rFonts w:ascii="微软雅黑" w:hAnsi="微软雅黑" w:eastAsia="微软雅黑"/>
                <w:b/>
                <w:color w:val="auto"/>
                <w:szCs w:val="21"/>
              </w:rPr>
            </w:pPr>
            <w:r>
              <w:rPr>
                <w:rFonts w:hint="eastAsia" w:ascii="微软雅黑" w:hAnsi="微软雅黑" w:eastAsia="微软雅黑"/>
                <w:b/>
                <w:color w:val="auto"/>
                <w:szCs w:val="21"/>
              </w:rPr>
              <w:t>7</w:t>
            </w:r>
          </w:p>
        </w:tc>
        <w:tc>
          <w:tcPr>
            <w:tcW w:w="7480" w:type="dxa"/>
          </w:tcPr>
          <w:p w14:paraId="252A3AB9">
            <w:pPr>
              <w:spacing w:line="300" w:lineRule="exact"/>
              <w:rPr>
                <w:rFonts w:ascii="微软雅黑" w:hAnsi="微软雅黑" w:eastAsia="微软雅黑" w:cs="宋体"/>
                <w:color w:val="auto"/>
                <w:szCs w:val="21"/>
                <w:lang w:val="zh-CN"/>
              </w:rPr>
            </w:pPr>
            <w:r>
              <w:rPr>
                <w:rFonts w:hint="eastAsia" w:ascii="微软雅黑" w:hAnsi="微软雅黑" w:eastAsia="微软雅黑" w:cs="宋体"/>
                <w:color w:val="auto"/>
                <w:szCs w:val="21"/>
                <w:lang w:val="zh-CN"/>
              </w:rPr>
              <w:t>服务承诺</w:t>
            </w:r>
          </w:p>
          <w:p w14:paraId="0B1DBC69">
            <w:pPr>
              <w:spacing w:line="300" w:lineRule="exact"/>
              <w:rPr>
                <w:rFonts w:ascii="微软雅黑" w:hAnsi="微软雅黑" w:eastAsia="微软雅黑" w:cs="宋体"/>
                <w:color w:val="auto"/>
                <w:szCs w:val="21"/>
                <w:lang w:val="zh-CN"/>
              </w:rPr>
            </w:pPr>
            <w:r>
              <w:rPr>
                <w:rFonts w:hint="eastAsia" w:ascii="微软雅黑" w:hAnsi="微软雅黑" w:eastAsia="微软雅黑" w:cs="宋体"/>
                <w:color w:val="auto"/>
                <w:szCs w:val="21"/>
                <w:lang w:val="zh-CN"/>
              </w:rPr>
              <w:t>提供后续服务计划（0-1分）</w:t>
            </w:r>
          </w:p>
          <w:p w14:paraId="597F5EAA">
            <w:pPr>
              <w:spacing w:line="300" w:lineRule="exact"/>
              <w:rPr>
                <w:rFonts w:ascii="微软雅黑" w:hAnsi="微软雅黑" w:eastAsia="微软雅黑"/>
                <w:bCs/>
                <w:color w:val="auto"/>
                <w:szCs w:val="21"/>
              </w:rPr>
            </w:pPr>
            <w:r>
              <w:rPr>
                <w:rFonts w:hint="eastAsia" w:ascii="微软雅黑" w:hAnsi="微软雅黑" w:eastAsia="微软雅黑" w:cs="宋体"/>
                <w:color w:val="auto"/>
                <w:szCs w:val="21"/>
                <w:lang w:val="zh-CN"/>
              </w:rPr>
              <w:t>根据投标人是否能方便、快捷、优质提供服务等情况 （</w:t>
            </w:r>
            <w:r>
              <w:rPr>
                <w:rFonts w:hint="eastAsia" w:ascii="微软雅黑" w:hAnsi="微软雅黑" w:eastAsia="微软雅黑" w:cs="宋体"/>
                <w:color w:val="auto"/>
                <w:szCs w:val="21"/>
              </w:rPr>
              <w:t>0-1分</w:t>
            </w:r>
            <w:r>
              <w:rPr>
                <w:rFonts w:hint="eastAsia" w:ascii="微软雅黑" w:hAnsi="微软雅黑" w:eastAsia="微软雅黑" w:cs="宋体"/>
                <w:color w:val="auto"/>
                <w:szCs w:val="21"/>
                <w:lang w:val="zh-CN"/>
              </w:rPr>
              <w:t>）</w:t>
            </w:r>
          </w:p>
        </w:tc>
        <w:tc>
          <w:tcPr>
            <w:tcW w:w="1163" w:type="dxa"/>
            <w:vAlign w:val="center"/>
          </w:tcPr>
          <w:p w14:paraId="2CBF4172">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2</w:t>
            </w:r>
          </w:p>
        </w:tc>
      </w:tr>
      <w:tr w14:paraId="2AF1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56" w:type="dxa"/>
            <w:vAlign w:val="center"/>
          </w:tcPr>
          <w:p w14:paraId="07BC0E30">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8</w:t>
            </w:r>
          </w:p>
        </w:tc>
        <w:tc>
          <w:tcPr>
            <w:tcW w:w="7480" w:type="dxa"/>
          </w:tcPr>
          <w:p w14:paraId="2DE7F811">
            <w:pPr>
              <w:spacing w:line="300" w:lineRule="exact"/>
              <w:rPr>
                <w:rFonts w:ascii="微软雅黑" w:hAnsi="微软雅黑" w:eastAsia="微软雅黑" w:cs="宋体"/>
                <w:color w:val="auto"/>
                <w:szCs w:val="21"/>
                <w:lang w:val="zh-CN"/>
              </w:rPr>
            </w:pPr>
            <w:r>
              <w:rPr>
                <w:rFonts w:hint="eastAsia" w:ascii="微软雅黑" w:hAnsi="微软雅黑" w:eastAsia="微软雅黑" w:cs="宋体"/>
                <w:color w:val="auto"/>
                <w:szCs w:val="21"/>
                <w:lang w:val="zh-CN"/>
              </w:rPr>
              <w:t>安全保障措施</w:t>
            </w:r>
          </w:p>
          <w:p w14:paraId="6E5562AC">
            <w:pPr>
              <w:spacing w:line="300" w:lineRule="exact"/>
              <w:rPr>
                <w:rFonts w:ascii="微软雅黑" w:hAnsi="微软雅黑" w:eastAsia="微软雅黑"/>
                <w:bCs/>
                <w:color w:val="auto"/>
                <w:szCs w:val="21"/>
              </w:rPr>
            </w:pPr>
            <w:r>
              <w:rPr>
                <w:rFonts w:hint="eastAsia" w:ascii="微软雅黑" w:hAnsi="微软雅黑" w:eastAsia="微软雅黑" w:cs="宋体"/>
                <w:color w:val="auto"/>
                <w:szCs w:val="21"/>
                <w:lang w:val="zh-CN"/>
              </w:rPr>
              <w:t>投标人提供详细的突发事件处理方案（0-</w:t>
            </w:r>
            <w:r>
              <w:rPr>
                <w:rFonts w:hint="eastAsia" w:ascii="微软雅黑" w:hAnsi="微软雅黑" w:eastAsia="微软雅黑" w:cs="宋体"/>
                <w:color w:val="auto"/>
                <w:szCs w:val="21"/>
              </w:rPr>
              <w:t>4</w:t>
            </w:r>
            <w:r>
              <w:rPr>
                <w:rFonts w:hint="eastAsia" w:ascii="微软雅黑" w:hAnsi="微软雅黑" w:eastAsia="微软雅黑" w:cs="宋体"/>
                <w:color w:val="auto"/>
                <w:szCs w:val="21"/>
                <w:lang w:val="zh-CN"/>
              </w:rPr>
              <w:t>分）、安防措施（0-</w:t>
            </w:r>
            <w:r>
              <w:rPr>
                <w:rFonts w:hint="eastAsia" w:ascii="微软雅黑" w:hAnsi="微软雅黑" w:eastAsia="微软雅黑" w:cs="宋体"/>
                <w:color w:val="auto"/>
                <w:szCs w:val="21"/>
              </w:rPr>
              <w:t>5</w:t>
            </w:r>
            <w:r>
              <w:rPr>
                <w:rFonts w:hint="eastAsia" w:ascii="微软雅黑" w:hAnsi="微软雅黑" w:eastAsia="微软雅黑" w:cs="宋体"/>
                <w:color w:val="auto"/>
                <w:szCs w:val="21"/>
                <w:lang w:val="zh-CN"/>
              </w:rPr>
              <w:t>分）、投诉处理（0-</w:t>
            </w:r>
            <w:r>
              <w:rPr>
                <w:rFonts w:hint="eastAsia" w:ascii="微软雅黑" w:hAnsi="微软雅黑" w:eastAsia="微软雅黑" w:cs="宋体"/>
                <w:color w:val="auto"/>
                <w:szCs w:val="21"/>
              </w:rPr>
              <w:t>5</w:t>
            </w:r>
            <w:r>
              <w:rPr>
                <w:rFonts w:hint="eastAsia" w:ascii="微软雅黑" w:hAnsi="微软雅黑" w:eastAsia="微软雅黑" w:cs="宋体"/>
                <w:color w:val="auto"/>
                <w:szCs w:val="21"/>
                <w:lang w:val="zh-CN"/>
              </w:rPr>
              <w:t>分）、纠纷处理方案（0-</w:t>
            </w:r>
            <w:r>
              <w:rPr>
                <w:rFonts w:hint="eastAsia" w:ascii="微软雅黑" w:hAnsi="微软雅黑" w:eastAsia="微软雅黑" w:cs="宋体"/>
                <w:color w:val="auto"/>
                <w:szCs w:val="21"/>
              </w:rPr>
              <w:t>4</w:t>
            </w:r>
            <w:r>
              <w:rPr>
                <w:rFonts w:hint="eastAsia" w:ascii="微软雅黑" w:hAnsi="微软雅黑" w:eastAsia="微软雅黑" w:cs="宋体"/>
                <w:color w:val="auto"/>
                <w:szCs w:val="21"/>
                <w:lang w:val="zh-CN"/>
              </w:rPr>
              <w:t>分）。</w:t>
            </w:r>
          </w:p>
        </w:tc>
        <w:tc>
          <w:tcPr>
            <w:tcW w:w="1163" w:type="dxa"/>
            <w:vAlign w:val="center"/>
          </w:tcPr>
          <w:p w14:paraId="039B8BC3">
            <w:pPr>
              <w:pStyle w:val="29"/>
              <w:spacing w:line="300" w:lineRule="exact"/>
              <w:jc w:val="center"/>
              <w:rPr>
                <w:rFonts w:ascii="微软雅黑" w:hAnsi="微软雅黑" w:eastAsia="微软雅黑"/>
                <w:color w:val="auto"/>
                <w:szCs w:val="21"/>
              </w:rPr>
            </w:pPr>
            <w:r>
              <w:rPr>
                <w:rFonts w:ascii="微软雅黑" w:hAnsi="微软雅黑" w:eastAsia="微软雅黑"/>
                <w:color w:val="auto"/>
                <w:szCs w:val="21"/>
              </w:rPr>
              <w:t>1</w:t>
            </w:r>
            <w:r>
              <w:rPr>
                <w:rFonts w:hint="eastAsia" w:ascii="微软雅黑" w:hAnsi="微软雅黑" w:eastAsia="微软雅黑"/>
                <w:color w:val="auto"/>
                <w:szCs w:val="21"/>
              </w:rPr>
              <w:t>8</w:t>
            </w:r>
          </w:p>
        </w:tc>
      </w:tr>
      <w:tr w14:paraId="2914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56" w:type="dxa"/>
            <w:vAlign w:val="center"/>
          </w:tcPr>
          <w:p w14:paraId="6A083761">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9</w:t>
            </w:r>
          </w:p>
        </w:tc>
        <w:tc>
          <w:tcPr>
            <w:tcW w:w="7480" w:type="dxa"/>
            <w:vAlign w:val="center"/>
          </w:tcPr>
          <w:p w14:paraId="5A254005">
            <w:pPr>
              <w:autoSpaceDE w:val="0"/>
              <w:autoSpaceDN w:val="0"/>
              <w:spacing w:line="300" w:lineRule="exact"/>
              <w:rPr>
                <w:rFonts w:ascii="微软雅黑" w:hAnsi="微软雅黑" w:eastAsia="微软雅黑" w:cs="宋体"/>
                <w:color w:val="auto"/>
                <w:szCs w:val="21"/>
              </w:rPr>
            </w:pPr>
            <w:r>
              <w:rPr>
                <w:rFonts w:hint="eastAsia" w:ascii="微软雅黑" w:hAnsi="微软雅黑" w:eastAsia="微软雅黑" w:cs="宋体"/>
                <w:color w:val="auto"/>
                <w:szCs w:val="21"/>
              </w:rPr>
              <w:t>收费标准</w:t>
            </w:r>
          </w:p>
          <w:p w14:paraId="3518EDC4">
            <w:pPr>
              <w:autoSpaceDE w:val="0"/>
              <w:autoSpaceDN w:val="0"/>
              <w:spacing w:line="300" w:lineRule="exact"/>
              <w:rPr>
                <w:rFonts w:ascii="微软雅黑" w:hAnsi="微软雅黑" w:eastAsia="微软雅黑" w:cs="宋体"/>
                <w:color w:val="auto"/>
                <w:kern w:val="0"/>
                <w:szCs w:val="21"/>
              </w:rPr>
            </w:pPr>
            <w:r>
              <w:rPr>
                <w:rFonts w:hint="eastAsia" w:ascii="微软雅黑" w:hAnsi="微软雅黑" w:eastAsia="微软雅黑" w:cs="宋体"/>
                <w:color w:val="auto"/>
                <w:szCs w:val="21"/>
              </w:rPr>
              <w:t>根据投标人在投标文件中明确未成年游客收费标准及加床、用餐、门票、占座等收费明细进行打分（0-4分）。</w:t>
            </w:r>
          </w:p>
        </w:tc>
        <w:tc>
          <w:tcPr>
            <w:tcW w:w="1163" w:type="dxa"/>
            <w:vAlign w:val="center"/>
          </w:tcPr>
          <w:p w14:paraId="3F8F6012">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4</w:t>
            </w:r>
          </w:p>
        </w:tc>
      </w:tr>
      <w:tr w14:paraId="51C2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56" w:type="dxa"/>
            <w:vAlign w:val="center"/>
          </w:tcPr>
          <w:p w14:paraId="7E327AB2">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10</w:t>
            </w:r>
          </w:p>
        </w:tc>
        <w:tc>
          <w:tcPr>
            <w:tcW w:w="7480" w:type="dxa"/>
            <w:vAlign w:val="center"/>
          </w:tcPr>
          <w:p w14:paraId="1A737F34">
            <w:pPr>
              <w:pStyle w:val="192"/>
              <w:spacing w:line="300" w:lineRule="exact"/>
              <w:jc w:val="left"/>
              <w:rPr>
                <w:rFonts w:hint="default" w:ascii="微软雅黑" w:hAnsi="微软雅黑" w:eastAsia="微软雅黑" w:cs="宋体"/>
                <w:color w:val="auto"/>
                <w:szCs w:val="21"/>
              </w:rPr>
            </w:pPr>
            <w:r>
              <w:rPr>
                <w:rFonts w:ascii="微软雅黑" w:hAnsi="微软雅黑" w:eastAsia="微软雅黑" w:cs="宋体"/>
                <w:color w:val="auto"/>
                <w:szCs w:val="21"/>
              </w:rPr>
              <w:t>增值（特色）服务</w:t>
            </w:r>
          </w:p>
          <w:p w14:paraId="2D2DA952">
            <w:pPr>
              <w:autoSpaceDE w:val="0"/>
              <w:autoSpaceDN w:val="0"/>
              <w:spacing w:line="300" w:lineRule="exact"/>
              <w:rPr>
                <w:rFonts w:ascii="微软雅黑" w:hAnsi="微软雅黑" w:eastAsia="微软雅黑" w:cs="宋体"/>
                <w:color w:val="auto"/>
                <w:szCs w:val="21"/>
              </w:rPr>
            </w:pPr>
            <w:r>
              <w:rPr>
                <w:rFonts w:ascii="微软雅黑" w:hAnsi="微软雅黑" w:eastAsia="微软雅黑" w:cs="宋体"/>
                <w:color w:val="auto"/>
                <w:szCs w:val="21"/>
                <w:lang w:val="zh-TW"/>
              </w:rPr>
              <w:t>根据投标人提供的增值（特色）服务内容进行打分0-</w:t>
            </w:r>
            <w:r>
              <w:rPr>
                <w:rFonts w:hint="eastAsia" w:ascii="微软雅黑" w:hAnsi="微软雅黑" w:eastAsia="微软雅黑" w:cs="宋体"/>
                <w:color w:val="auto"/>
                <w:szCs w:val="21"/>
                <w:lang w:val="zh-TW"/>
              </w:rPr>
              <w:t>3</w:t>
            </w:r>
            <w:r>
              <w:rPr>
                <w:rFonts w:ascii="微软雅黑" w:hAnsi="微软雅黑" w:eastAsia="微软雅黑" w:cs="宋体"/>
                <w:color w:val="auto"/>
                <w:szCs w:val="21"/>
                <w:lang w:val="zh-TW"/>
              </w:rPr>
              <w:t>分。</w:t>
            </w:r>
          </w:p>
        </w:tc>
        <w:tc>
          <w:tcPr>
            <w:tcW w:w="1163" w:type="dxa"/>
            <w:vAlign w:val="center"/>
          </w:tcPr>
          <w:p w14:paraId="12A00FB9">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3</w:t>
            </w:r>
          </w:p>
        </w:tc>
      </w:tr>
      <w:tr w14:paraId="667F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6" w:type="dxa"/>
            <w:vAlign w:val="center"/>
          </w:tcPr>
          <w:p w14:paraId="45BD16C4">
            <w:pPr>
              <w:pStyle w:val="29"/>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小计</w:t>
            </w:r>
          </w:p>
        </w:tc>
        <w:tc>
          <w:tcPr>
            <w:tcW w:w="7480" w:type="dxa"/>
            <w:vAlign w:val="center"/>
          </w:tcPr>
          <w:p w14:paraId="48768C9D">
            <w:pPr>
              <w:pStyle w:val="29"/>
              <w:spacing w:line="300" w:lineRule="exact"/>
              <w:ind w:left="420" w:firstLine="420" w:firstLineChars="200"/>
              <w:jc w:val="left"/>
              <w:rPr>
                <w:rFonts w:ascii="微软雅黑" w:hAnsi="微软雅黑" w:eastAsia="微软雅黑"/>
                <w:color w:val="auto"/>
                <w:szCs w:val="21"/>
              </w:rPr>
            </w:pPr>
          </w:p>
        </w:tc>
        <w:tc>
          <w:tcPr>
            <w:tcW w:w="1163" w:type="dxa"/>
          </w:tcPr>
          <w:p w14:paraId="6D1C1437">
            <w:pPr>
              <w:widowControl/>
              <w:spacing w:line="300" w:lineRule="exact"/>
              <w:jc w:val="center"/>
              <w:rPr>
                <w:rFonts w:ascii="微软雅黑" w:hAnsi="微软雅黑" w:eastAsia="微软雅黑" w:cs="宋体"/>
                <w:bCs/>
                <w:color w:val="auto"/>
                <w:kern w:val="0"/>
                <w:szCs w:val="21"/>
              </w:rPr>
            </w:pPr>
            <w:r>
              <w:rPr>
                <w:rFonts w:hint="eastAsia" w:ascii="微软雅黑" w:hAnsi="微软雅黑" w:eastAsia="微软雅黑" w:cs="宋体"/>
                <w:bCs/>
                <w:color w:val="auto"/>
                <w:kern w:val="0"/>
                <w:szCs w:val="21"/>
              </w:rPr>
              <w:t>86</w:t>
            </w:r>
          </w:p>
        </w:tc>
      </w:tr>
    </w:tbl>
    <w:p w14:paraId="2518D9E1">
      <w:pPr>
        <w:pStyle w:val="3"/>
        <w:ind w:firstLine="420"/>
        <w:jc w:val="left"/>
        <w:rPr>
          <w:rFonts w:ascii="微软雅黑" w:hAnsi="微软雅黑" w:eastAsia="微软雅黑" w:cs="微软雅黑"/>
          <w:b w:val="0"/>
          <w:bCs/>
          <w:color w:val="auto"/>
          <w:sz w:val="21"/>
          <w:szCs w:val="21"/>
        </w:rPr>
      </w:pPr>
      <w:r>
        <w:rPr>
          <w:rFonts w:hint="eastAsia" w:ascii="微软雅黑" w:hAnsi="微软雅黑" w:eastAsia="微软雅黑" w:cs="微软雅黑"/>
          <w:color w:val="auto"/>
          <w:sz w:val="21"/>
          <w:szCs w:val="21"/>
        </w:rPr>
        <w:t>（三）资信及其他分</w:t>
      </w:r>
    </w:p>
    <w:tbl>
      <w:tblPr>
        <w:tblStyle w:val="5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228"/>
        <w:gridCol w:w="1112"/>
      </w:tblGrid>
      <w:tr w14:paraId="42A6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59" w:type="dxa"/>
            <w:vAlign w:val="center"/>
          </w:tcPr>
          <w:p w14:paraId="501FBDDE">
            <w:pPr>
              <w:pStyle w:val="29"/>
              <w:spacing w:line="240" w:lineRule="auto"/>
              <w:rPr>
                <w:rFonts w:ascii="微软雅黑" w:hAnsi="微软雅黑" w:eastAsia="微软雅黑"/>
                <w:color w:val="auto"/>
                <w:szCs w:val="21"/>
              </w:rPr>
            </w:pPr>
            <w:r>
              <w:rPr>
                <w:rFonts w:hint="eastAsia" w:ascii="微软雅黑" w:hAnsi="微软雅黑" w:eastAsia="微软雅黑"/>
                <w:color w:val="auto"/>
                <w:szCs w:val="21"/>
              </w:rPr>
              <w:t>序号</w:t>
            </w:r>
          </w:p>
        </w:tc>
        <w:tc>
          <w:tcPr>
            <w:tcW w:w="7228" w:type="dxa"/>
            <w:vAlign w:val="center"/>
          </w:tcPr>
          <w:p w14:paraId="05D48FC0">
            <w:pPr>
              <w:pStyle w:val="29"/>
              <w:spacing w:line="240" w:lineRule="auto"/>
              <w:ind w:left="420" w:firstLine="420" w:firstLineChars="200"/>
              <w:rPr>
                <w:rFonts w:ascii="微软雅黑" w:hAnsi="微软雅黑" w:eastAsia="微软雅黑"/>
                <w:color w:val="auto"/>
                <w:szCs w:val="21"/>
              </w:rPr>
            </w:pPr>
            <w:r>
              <w:rPr>
                <w:rFonts w:hint="eastAsia" w:ascii="微软雅黑" w:hAnsi="微软雅黑" w:eastAsia="微软雅黑"/>
                <w:color w:val="auto"/>
                <w:szCs w:val="21"/>
              </w:rPr>
              <w:t>评分标准</w:t>
            </w:r>
          </w:p>
        </w:tc>
        <w:tc>
          <w:tcPr>
            <w:tcW w:w="1112" w:type="dxa"/>
            <w:vAlign w:val="center"/>
          </w:tcPr>
          <w:p w14:paraId="4B37E695">
            <w:pPr>
              <w:pStyle w:val="29"/>
              <w:spacing w:line="240" w:lineRule="auto"/>
              <w:jc w:val="center"/>
              <w:rPr>
                <w:rFonts w:ascii="微软雅黑" w:hAnsi="微软雅黑" w:eastAsia="微软雅黑"/>
                <w:color w:val="auto"/>
                <w:szCs w:val="21"/>
              </w:rPr>
            </w:pPr>
            <w:r>
              <w:rPr>
                <w:rFonts w:hint="eastAsia" w:ascii="微软雅黑" w:hAnsi="微软雅黑" w:eastAsia="微软雅黑"/>
                <w:color w:val="auto"/>
                <w:szCs w:val="21"/>
              </w:rPr>
              <w:t>最高得分</w:t>
            </w:r>
          </w:p>
        </w:tc>
      </w:tr>
      <w:tr w14:paraId="0F24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59" w:type="dxa"/>
            <w:vAlign w:val="center"/>
          </w:tcPr>
          <w:p w14:paraId="6BD88365">
            <w:pPr>
              <w:pStyle w:val="29"/>
              <w:spacing w:line="240" w:lineRule="auto"/>
              <w:jc w:val="center"/>
              <w:rPr>
                <w:rFonts w:ascii="微软雅黑" w:hAnsi="微软雅黑" w:eastAsia="微软雅黑"/>
                <w:color w:val="auto"/>
                <w:szCs w:val="21"/>
              </w:rPr>
            </w:pPr>
            <w:r>
              <w:rPr>
                <w:rFonts w:hint="eastAsia" w:ascii="微软雅黑" w:hAnsi="微软雅黑" w:eastAsia="微软雅黑"/>
                <w:color w:val="auto"/>
                <w:szCs w:val="21"/>
              </w:rPr>
              <w:t>11</w:t>
            </w:r>
          </w:p>
        </w:tc>
        <w:tc>
          <w:tcPr>
            <w:tcW w:w="7228" w:type="dxa"/>
          </w:tcPr>
          <w:p w14:paraId="440AE114">
            <w:pPr>
              <w:snapToGrid w:val="0"/>
              <w:spacing w:line="240" w:lineRule="auto"/>
              <w:jc w:val="left"/>
              <w:rPr>
                <w:rFonts w:ascii="微软雅黑" w:hAnsi="微软雅黑" w:eastAsia="微软雅黑" w:cs="宋体"/>
                <w:color w:val="auto"/>
                <w:szCs w:val="21"/>
              </w:rPr>
            </w:pPr>
            <w:r>
              <w:rPr>
                <w:rFonts w:hint="eastAsia" w:ascii="微软雅黑" w:hAnsi="微软雅黑" w:eastAsia="微软雅黑" w:cs="宋体"/>
                <w:color w:val="auto"/>
                <w:szCs w:val="21"/>
              </w:rPr>
              <w:t>类似业绩</w:t>
            </w:r>
          </w:p>
          <w:p w14:paraId="3F6BF515">
            <w:pPr>
              <w:snapToGrid w:val="0"/>
              <w:spacing w:line="240" w:lineRule="auto"/>
              <w:jc w:val="left"/>
              <w:rPr>
                <w:rFonts w:ascii="微软雅黑" w:hAnsi="微软雅黑" w:eastAsia="微软雅黑"/>
                <w:b/>
                <w:bCs/>
                <w:color w:val="auto"/>
                <w:szCs w:val="21"/>
              </w:rPr>
            </w:pPr>
            <w:r>
              <w:rPr>
                <w:rFonts w:hint="eastAsia" w:ascii="微软雅黑" w:hAnsi="微软雅黑" w:eastAsia="微软雅黑" w:cs="宋体"/>
                <w:color w:val="auto"/>
                <w:szCs w:val="21"/>
              </w:rPr>
              <w:t>投标人2022年1月1日以来具有的同类项目业绩，每个得0.5分，本项最高得1分。（投标文件中需提供相关业绩的合同材料）</w:t>
            </w:r>
          </w:p>
        </w:tc>
        <w:tc>
          <w:tcPr>
            <w:tcW w:w="1112" w:type="dxa"/>
            <w:vAlign w:val="center"/>
          </w:tcPr>
          <w:p w14:paraId="1A89D737">
            <w:pPr>
              <w:spacing w:line="240" w:lineRule="auto"/>
              <w:jc w:val="center"/>
              <w:rPr>
                <w:rFonts w:ascii="微软雅黑" w:hAnsi="微软雅黑" w:eastAsia="微软雅黑"/>
                <w:bCs/>
                <w:color w:val="auto"/>
                <w:szCs w:val="21"/>
              </w:rPr>
            </w:pPr>
            <w:r>
              <w:rPr>
                <w:rFonts w:hint="eastAsia" w:ascii="微软雅黑" w:hAnsi="微软雅黑" w:eastAsia="微软雅黑"/>
                <w:bCs/>
                <w:color w:val="auto"/>
                <w:szCs w:val="21"/>
              </w:rPr>
              <w:t>1</w:t>
            </w:r>
          </w:p>
        </w:tc>
      </w:tr>
      <w:tr w14:paraId="7287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59" w:type="dxa"/>
            <w:vAlign w:val="center"/>
          </w:tcPr>
          <w:p w14:paraId="3E9B9CE3">
            <w:pPr>
              <w:pStyle w:val="29"/>
              <w:spacing w:line="240" w:lineRule="auto"/>
              <w:jc w:val="center"/>
              <w:rPr>
                <w:rFonts w:ascii="微软雅黑" w:hAnsi="微软雅黑" w:eastAsia="微软雅黑"/>
                <w:color w:val="auto"/>
                <w:szCs w:val="21"/>
              </w:rPr>
            </w:pPr>
            <w:r>
              <w:rPr>
                <w:rFonts w:hint="eastAsia" w:ascii="微软雅黑" w:hAnsi="微软雅黑" w:eastAsia="微软雅黑"/>
                <w:color w:val="auto"/>
                <w:szCs w:val="21"/>
              </w:rPr>
              <w:t>12</w:t>
            </w:r>
          </w:p>
        </w:tc>
        <w:tc>
          <w:tcPr>
            <w:tcW w:w="7228" w:type="dxa"/>
          </w:tcPr>
          <w:p w14:paraId="7762DC3D">
            <w:pPr>
              <w:spacing w:after="0" w:line="500" w:lineRule="exact"/>
              <w:rPr>
                <w:rFonts w:ascii="微软雅黑" w:hAnsi="微软雅黑" w:eastAsia="微软雅黑"/>
                <w:color w:val="auto"/>
                <w:szCs w:val="21"/>
              </w:rPr>
            </w:pPr>
            <w:r>
              <w:rPr>
                <w:rFonts w:hint="eastAsia" w:ascii="微软雅黑" w:hAnsi="微软雅黑" w:eastAsia="微软雅黑"/>
                <w:color w:val="auto"/>
                <w:szCs w:val="21"/>
              </w:rPr>
              <w:t>凡在投标截止时间前三年受到行政处罚、行政处理(含通报)或记入不良行为的，此项得分为0;若无处罚、行政处理(含通)报)或记入不良行为的得</w:t>
            </w:r>
            <w:r>
              <w:rPr>
                <w:rFonts w:ascii="微软雅黑" w:hAnsi="微软雅黑" w:eastAsia="微软雅黑"/>
                <w:color w:val="auto"/>
                <w:szCs w:val="21"/>
              </w:rPr>
              <w:t>3</w:t>
            </w:r>
            <w:r>
              <w:rPr>
                <w:rFonts w:hint="eastAsia" w:ascii="微软雅黑" w:hAnsi="微软雅黑" w:eastAsia="微软雅黑"/>
                <w:color w:val="auto"/>
                <w:szCs w:val="21"/>
              </w:rPr>
              <w:t>分(投标供应商自行提供承诺函，不提供承诺函的得0分，如有不良记录又虚假承诺的，一经发现将取消中标资格并报监管部门依法处理)。</w:t>
            </w:r>
          </w:p>
        </w:tc>
        <w:tc>
          <w:tcPr>
            <w:tcW w:w="1112" w:type="dxa"/>
            <w:vAlign w:val="center"/>
          </w:tcPr>
          <w:p w14:paraId="6CCE7692">
            <w:pPr>
              <w:spacing w:after="0" w:line="500" w:lineRule="exact"/>
              <w:jc w:val="center"/>
              <w:rPr>
                <w:rFonts w:ascii="微软雅黑" w:hAnsi="微软雅黑" w:eastAsia="微软雅黑"/>
                <w:bCs/>
                <w:color w:val="auto"/>
                <w:szCs w:val="21"/>
              </w:rPr>
            </w:pPr>
            <w:r>
              <w:rPr>
                <w:rFonts w:hint="eastAsia" w:ascii="微软雅黑" w:hAnsi="微软雅黑" w:eastAsia="微软雅黑"/>
                <w:bCs/>
                <w:color w:val="auto"/>
                <w:szCs w:val="21"/>
              </w:rPr>
              <w:t>3</w:t>
            </w:r>
          </w:p>
        </w:tc>
      </w:tr>
      <w:tr w14:paraId="296D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59" w:type="dxa"/>
            <w:vAlign w:val="center"/>
          </w:tcPr>
          <w:p w14:paraId="47B4A542">
            <w:pPr>
              <w:pStyle w:val="29"/>
              <w:spacing w:line="240" w:lineRule="auto"/>
              <w:rPr>
                <w:rFonts w:ascii="微软雅黑" w:hAnsi="微软雅黑" w:eastAsia="微软雅黑"/>
                <w:color w:val="auto"/>
                <w:szCs w:val="21"/>
              </w:rPr>
            </w:pPr>
            <w:r>
              <w:rPr>
                <w:rFonts w:hint="eastAsia" w:ascii="微软雅黑" w:hAnsi="微软雅黑" w:eastAsia="微软雅黑"/>
                <w:color w:val="auto"/>
                <w:szCs w:val="21"/>
              </w:rPr>
              <w:t>小计</w:t>
            </w:r>
          </w:p>
        </w:tc>
        <w:tc>
          <w:tcPr>
            <w:tcW w:w="7228" w:type="dxa"/>
            <w:vAlign w:val="center"/>
          </w:tcPr>
          <w:p w14:paraId="6CC5C9B4">
            <w:pPr>
              <w:pStyle w:val="29"/>
              <w:spacing w:line="240" w:lineRule="auto"/>
              <w:ind w:left="420" w:firstLine="420" w:firstLineChars="200"/>
              <w:rPr>
                <w:rFonts w:ascii="微软雅黑" w:hAnsi="微软雅黑" w:eastAsia="微软雅黑"/>
                <w:color w:val="auto"/>
                <w:szCs w:val="21"/>
              </w:rPr>
            </w:pPr>
          </w:p>
        </w:tc>
        <w:tc>
          <w:tcPr>
            <w:tcW w:w="1112" w:type="dxa"/>
            <w:vAlign w:val="center"/>
          </w:tcPr>
          <w:p w14:paraId="78BA9F3D">
            <w:pPr>
              <w:pStyle w:val="29"/>
              <w:spacing w:line="240" w:lineRule="auto"/>
              <w:ind w:left="420"/>
              <w:rPr>
                <w:rFonts w:ascii="微软雅黑" w:hAnsi="微软雅黑" w:eastAsia="微软雅黑"/>
                <w:color w:val="auto"/>
                <w:szCs w:val="21"/>
              </w:rPr>
            </w:pPr>
            <w:r>
              <w:rPr>
                <w:rFonts w:hint="eastAsia" w:ascii="微软雅黑" w:hAnsi="微软雅黑" w:eastAsia="微软雅黑"/>
                <w:color w:val="auto"/>
                <w:szCs w:val="21"/>
              </w:rPr>
              <w:t>4</w:t>
            </w:r>
          </w:p>
        </w:tc>
      </w:tr>
    </w:tbl>
    <w:p w14:paraId="1C21EC8E">
      <w:pP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br w:type="page"/>
      </w:r>
    </w:p>
    <w:p w14:paraId="05E9ED0C">
      <w:pPr>
        <w:pStyle w:val="2"/>
        <w:spacing w:before="36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第六章 磋商相关文件格式</w:t>
      </w:r>
      <w:bookmarkEnd w:id="589"/>
      <w:bookmarkEnd w:id="592"/>
      <w:bookmarkEnd w:id="593"/>
      <w:bookmarkEnd w:id="594"/>
      <w:bookmarkEnd w:id="595"/>
      <w:bookmarkStart w:id="596" w:name="_Toc15813259"/>
      <w:bookmarkStart w:id="597" w:name="_Toc47756041"/>
      <w:bookmarkStart w:id="598" w:name="_Toc15805942"/>
      <w:bookmarkStart w:id="599" w:name="_Toc45506740"/>
    </w:p>
    <w:p w14:paraId="4A24A1C5">
      <w:pPr>
        <w:widowControl/>
        <w:spacing w:after="0" w:line="240" w:lineRule="auto"/>
        <w:jc w:val="left"/>
        <w:rPr>
          <w:rFonts w:ascii="微软雅黑" w:hAnsi="微软雅黑" w:eastAsia="微软雅黑" w:cs="微软雅黑"/>
          <w:b/>
          <w:color w:val="auto"/>
          <w:szCs w:val="21"/>
          <w:highlight w:val="none"/>
        </w:rPr>
      </w:pPr>
    </w:p>
    <w:p w14:paraId="629E090B">
      <w:pPr>
        <w:adjustRightInd w:val="0"/>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磋商响应函</w:t>
      </w:r>
    </w:p>
    <w:p w14:paraId="2589DC0D">
      <w:pPr>
        <w:adjustRightInd w:val="0"/>
        <w:spacing w:line="360" w:lineRule="auto"/>
        <w:rPr>
          <w:rFonts w:hint="eastAsia" w:ascii="微软雅黑" w:hAnsi="微软雅黑" w:eastAsia="微软雅黑" w:cs="微软雅黑"/>
          <w:color w:val="auto"/>
          <w:szCs w:val="21"/>
          <w:highlight w:val="none"/>
          <w:u w:val="single"/>
          <w:lang w:eastAsia="zh-CN"/>
        </w:rPr>
      </w:pPr>
      <w:r>
        <w:rPr>
          <w:rFonts w:hint="eastAsia" w:ascii="微软雅黑" w:hAnsi="微软雅黑" w:eastAsia="微软雅黑" w:cs="微软雅黑"/>
          <w:color w:val="auto"/>
          <w:szCs w:val="21"/>
          <w:highlight w:val="none"/>
        </w:rPr>
        <w:t>致：</w:t>
      </w:r>
      <w:r>
        <w:rPr>
          <w:rFonts w:hint="eastAsia" w:ascii="微软雅黑" w:hAnsi="微软雅黑" w:eastAsia="微软雅黑" w:cs="微软雅黑"/>
          <w:color w:val="auto"/>
          <w:szCs w:val="21"/>
          <w:highlight w:val="none"/>
          <w:lang w:eastAsia="zh-CN"/>
        </w:rPr>
        <w:t>嘉兴市实验小学</w:t>
      </w:r>
    </w:p>
    <w:p w14:paraId="4C677E87">
      <w:pPr>
        <w:adjustRightInd w:val="0"/>
        <w:spacing w:line="360" w:lineRule="auto"/>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根据贵方为</w:t>
      </w:r>
      <w:r>
        <w:rPr>
          <w:rFonts w:hint="eastAsia" w:ascii="微软雅黑" w:hAnsi="微软雅黑" w:eastAsia="微软雅黑" w:cs="微软雅黑"/>
          <w:b/>
          <w:bCs/>
          <w:color w:val="auto"/>
          <w:szCs w:val="21"/>
          <w:highlight w:val="none"/>
          <w:lang w:eastAsia="zh-CN"/>
        </w:rPr>
        <w:t xml:space="preserve">  嘉兴市实验小学2025年度教师疗休养项目</w:t>
      </w:r>
      <w:r>
        <w:rPr>
          <w:rFonts w:hint="eastAsia" w:ascii="微软雅黑" w:hAnsi="微软雅黑" w:eastAsia="微软雅黑" w:cs="微软雅黑"/>
          <w:color w:val="auto"/>
          <w:szCs w:val="21"/>
          <w:highlight w:val="none"/>
        </w:rPr>
        <w:t>的磋商</w:t>
      </w:r>
      <w:r>
        <w:rPr>
          <w:rFonts w:hint="eastAsia" w:ascii="微软雅黑" w:hAnsi="微软雅黑" w:eastAsia="微软雅黑" w:cs="微软雅黑"/>
          <w:color w:val="auto"/>
          <w:szCs w:val="21"/>
          <w:highlight w:val="none"/>
          <w:lang w:eastAsia="zh-CN"/>
        </w:rPr>
        <w:t>[中际-ZJZJGC（2025）嘉11号</w:t>
      </w:r>
      <w:r>
        <w:rPr>
          <w:rFonts w:hint="eastAsia" w:ascii="微软雅黑" w:hAnsi="微软雅黑" w:eastAsia="微软雅黑" w:cs="微软雅黑"/>
          <w:color w:val="auto"/>
          <w:szCs w:val="21"/>
          <w:highlight w:val="none"/>
        </w:rPr>
        <w:t>]（项目编号），签字代表（全名）经正式授权并代表磋商响应方（磋商响应方名称）提交</w:t>
      </w:r>
      <w:r>
        <w:rPr>
          <w:rFonts w:hint="eastAsia" w:ascii="微软雅黑" w:hAnsi="微软雅黑" w:eastAsia="微软雅黑" w:cs="微软雅黑"/>
          <w:b/>
          <w:color w:val="auto"/>
          <w:szCs w:val="21"/>
          <w:highlight w:val="none"/>
        </w:rPr>
        <w:t>资格响应文件、商务技术文件、报价文件</w:t>
      </w:r>
      <w:r>
        <w:rPr>
          <w:rFonts w:hint="eastAsia" w:ascii="微软雅黑" w:hAnsi="微软雅黑" w:eastAsia="微软雅黑" w:cs="微软雅黑"/>
          <w:color w:val="auto"/>
          <w:szCs w:val="21"/>
          <w:highlight w:val="none"/>
        </w:rPr>
        <w:t>各一份。</w:t>
      </w:r>
    </w:p>
    <w:p w14:paraId="13766C39">
      <w:pPr>
        <w:adjustRightInd w:val="0"/>
        <w:spacing w:line="360" w:lineRule="auto"/>
        <w:ind w:left="638" w:leftChars="30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据此函，签字代表宣布同意如下：</w:t>
      </w:r>
    </w:p>
    <w:p w14:paraId="539AC893">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响应方将按“磋商文件”的规定履行协议责任和义务。磋商响应方已详细审查全部“磋商文件”，包括修改文件（如有的话）以及全部参考资料和有关附件。我们完全理解并同意放弃对这方面有不明及误解的权利。</w:t>
      </w:r>
    </w:p>
    <w:p w14:paraId="067E302D">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本磋商响应文件有效期自开标日起至______内有效。磋商响应方同意提供按照贵方要求与磋商有关的一切数据或资料，理解贵方不一定接受最低的磋商报价。</w:t>
      </w:r>
    </w:p>
    <w:p w14:paraId="03098FE6">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与本次磋商有关的一切正式往来通讯请寄：</w:t>
      </w:r>
    </w:p>
    <w:p w14:paraId="77043087">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地址：_______________邮编：______________电话：_______________</w:t>
      </w:r>
    </w:p>
    <w:p w14:paraId="30F00F15">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传真：______________磋商响应方被授权人姓名 ____________</w:t>
      </w:r>
    </w:p>
    <w:p w14:paraId="2E1F4ACA">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职务：_____________电话：___________________</w:t>
      </w:r>
    </w:p>
    <w:p w14:paraId="12A1E63D">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磋商响应方名称(公章):___________________</w:t>
      </w:r>
    </w:p>
    <w:p w14:paraId="7EF1D2FE">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开户银行：银行帐号：</w:t>
      </w:r>
    </w:p>
    <w:p w14:paraId="3CCBAC37">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日期:_____年___月___日</w:t>
      </w:r>
    </w:p>
    <w:p w14:paraId="1434E639">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被授权人签字:___________</w:t>
      </w:r>
    </w:p>
    <w:bookmarkEnd w:id="596"/>
    <w:bookmarkEnd w:id="597"/>
    <w:bookmarkEnd w:id="598"/>
    <w:bookmarkEnd w:id="599"/>
    <w:p w14:paraId="7F8FD785">
      <w:pPr>
        <w:snapToGrid w:val="0"/>
        <w:spacing w:line="360" w:lineRule="auto"/>
        <w:ind w:leftChars="-50" w:hanging="105" w:hangingChars="5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br w:type="page"/>
      </w:r>
      <w:r>
        <w:rPr>
          <w:rFonts w:hint="eastAsia" w:ascii="微软雅黑" w:hAnsi="微软雅黑" w:eastAsia="微软雅黑" w:cs="微软雅黑"/>
          <w:b/>
          <w:color w:val="auto"/>
          <w:szCs w:val="21"/>
          <w:highlight w:val="none"/>
        </w:rPr>
        <w:t>具有履行合同所必需的设备和专业技术能力承诺函：</w:t>
      </w:r>
    </w:p>
    <w:p w14:paraId="04676E02">
      <w:pPr>
        <w:spacing w:line="360" w:lineRule="auto"/>
        <w:jc w:val="center"/>
        <w:rPr>
          <w:rFonts w:ascii="微软雅黑" w:hAnsi="微软雅黑" w:eastAsia="微软雅黑" w:cs="微软雅黑"/>
          <w:b/>
          <w:color w:val="auto"/>
          <w:szCs w:val="21"/>
          <w:highlight w:val="none"/>
        </w:rPr>
      </w:pPr>
    </w:p>
    <w:p w14:paraId="1CBFDBFE">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具有履行合同所必需的设备和专业技术能力承诺函</w:t>
      </w:r>
    </w:p>
    <w:p w14:paraId="101ECD88">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嘉兴市实验小学</w:t>
      </w:r>
      <w:r>
        <w:rPr>
          <w:rFonts w:hint="eastAsia" w:ascii="微软雅黑" w:hAnsi="微软雅黑" w:eastAsia="微软雅黑" w:cs="微软雅黑"/>
          <w:color w:val="auto"/>
          <w:szCs w:val="21"/>
          <w:highlight w:val="none"/>
        </w:rPr>
        <w:t>：</w:t>
      </w:r>
    </w:p>
    <w:p w14:paraId="27C651DD">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p>
    <w:p w14:paraId="0D0CB150">
      <w:pPr>
        <w:snapToGrid w:val="0"/>
        <w:spacing w:line="360" w:lineRule="auto"/>
        <w:ind w:firstLine="420" w:firstLineChars="200"/>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本公司（公司名称）参加</w:t>
      </w:r>
      <w:r>
        <w:rPr>
          <w:rFonts w:hint="eastAsia" w:ascii="微软雅黑" w:hAnsi="微软雅黑" w:eastAsia="微软雅黑" w:cs="微软雅黑"/>
          <w:b/>
          <w:bCs/>
          <w:color w:val="auto"/>
          <w:szCs w:val="21"/>
          <w:highlight w:val="none"/>
          <w:u w:val="single"/>
          <w:lang w:eastAsia="zh-CN"/>
        </w:rPr>
        <w:t xml:space="preserve">  嘉兴市实验小学2025年度教师疗休养项目</w:t>
      </w:r>
      <w:r>
        <w:rPr>
          <w:rFonts w:hint="eastAsia" w:ascii="微软雅黑" w:hAnsi="微软雅黑" w:eastAsia="微软雅黑" w:cs="微软雅黑"/>
          <w:color w:val="auto"/>
          <w:szCs w:val="21"/>
          <w:highlight w:val="none"/>
          <w:shd w:val="clear" w:color="auto" w:fill="FFFFFF"/>
        </w:rPr>
        <w:t>投标活动，现承诺如下：</w:t>
      </w:r>
    </w:p>
    <w:p w14:paraId="0A133FEA">
      <w:pPr>
        <w:pStyle w:val="73"/>
        <w:rPr>
          <w:rFonts w:hint="eastAsia"/>
          <w:color w:val="auto"/>
          <w:highlight w:val="none"/>
          <w:lang w:eastAsia="zh-CN"/>
        </w:rPr>
      </w:pPr>
    </w:p>
    <w:p w14:paraId="4FA068DC">
      <w:pPr>
        <w:snapToGrid w:val="0"/>
        <w:spacing w:line="360" w:lineRule="auto"/>
        <w:ind w:firstLine="420" w:firstLineChars="200"/>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我公司具有履行合同所需的设备和专业技术能力；</w:t>
      </w:r>
    </w:p>
    <w:p w14:paraId="2F9E164E">
      <w:pPr>
        <w:pStyle w:val="73"/>
        <w:rPr>
          <w:rFonts w:hint="eastAsia"/>
          <w:color w:val="auto"/>
          <w:highlight w:val="none"/>
          <w:lang w:eastAsia="zh-CN"/>
        </w:rPr>
      </w:pPr>
    </w:p>
    <w:p w14:paraId="21D06F40">
      <w:pPr>
        <w:pStyle w:val="73"/>
        <w:rPr>
          <w:rFonts w:hint="eastAsia"/>
          <w:color w:val="auto"/>
          <w:highlight w:val="none"/>
          <w:lang w:eastAsia="zh-CN"/>
        </w:rPr>
      </w:pPr>
    </w:p>
    <w:p w14:paraId="7F86124C">
      <w:pPr>
        <w:snapToGrid w:val="0"/>
        <w:spacing w:line="360" w:lineRule="auto"/>
        <w:ind w:firstLine="420" w:firstLineChars="200"/>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如违反以上承诺，本公司愿承担一切法律责任。</w:t>
      </w:r>
    </w:p>
    <w:p w14:paraId="30174AB4">
      <w:pPr>
        <w:pStyle w:val="73"/>
        <w:rPr>
          <w:rFonts w:hint="eastAsia"/>
          <w:color w:val="auto"/>
          <w:highlight w:val="none"/>
          <w:lang w:eastAsia="zh-CN"/>
        </w:rPr>
      </w:pPr>
    </w:p>
    <w:p w14:paraId="5CB9B7EB">
      <w:pPr>
        <w:pStyle w:val="73"/>
        <w:rPr>
          <w:rFonts w:hint="eastAsia"/>
          <w:color w:val="auto"/>
          <w:highlight w:val="none"/>
          <w:lang w:eastAsia="zh-CN"/>
        </w:rPr>
      </w:pPr>
    </w:p>
    <w:p w14:paraId="236C7DC0">
      <w:pPr>
        <w:pStyle w:val="73"/>
        <w:rPr>
          <w:rFonts w:hint="eastAsia"/>
          <w:color w:val="auto"/>
          <w:highlight w:val="none"/>
          <w:lang w:eastAsia="zh-CN"/>
        </w:rPr>
      </w:pPr>
    </w:p>
    <w:p w14:paraId="594F0101">
      <w:pPr>
        <w:snapToGrid w:val="0"/>
        <w:spacing w:line="360" w:lineRule="auto"/>
        <w:ind w:firstLine="420" w:firstLineChars="200"/>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投标人名称：（盖章）</w:t>
      </w:r>
    </w:p>
    <w:p w14:paraId="11753DC2">
      <w:pPr>
        <w:snapToGrid w:val="0"/>
        <w:spacing w:line="360" w:lineRule="auto"/>
        <w:ind w:firstLine="420" w:firstLineChars="200"/>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193D5D5C">
      <w:pPr>
        <w:snapToGrid w:val="0"/>
        <w:spacing w:line="360" w:lineRule="auto"/>
        <w:ind w:firstLine="420" w:firstLineChars="200"/>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投标日期：年月日</w:t>
      </w:r>
    </w:p>
    <w:p w14:paraId="456166FD">
      <w:pPr>
        <w:snapToGrid w:val="0"/>
        <w:spacing w:line="360" w:lineRule="auto"/>
        <w:ind w:firstLine="420" w:firstLineChars="200"/>
        <w:rPr>
          <w:rFonts w:ascii="微软雅黑" w:hAnsi="微软雅黑" w:eastAsia="微软雅黑" w:cs="微软雅黑"/>
          <w:color w:val="auto"/>
          <w:szCs w:val="21"/>
          <w:highlight w:val="none"/>
          <w:u w:val="single"/>
        </w:rPr>
      </w:pPr>
    </w:p>
    <w:p w14:paraId="0091720A">
      <w:pPr>
        <w:snapToGrid w:val="0"/>
        <w:spacing w:line="360" w:lineRule="auto"/>
        <w:ind w:firstLine="420" w:firstLineChars="200"/>
        <w:rPr>
          <w:rFonts w:ascii="微软雅黑" w:hAnsi="微软雅黑" w:eastAsia="微软雅黑" w:cs="微软雅黑"/>
          <w:color w:val="auto"/>
          <w:szCs w:val="21"/>
          <w:highlight w:val="none"/>
          <w:u w:val="single"/>
        </w:rPr>
      </w:pPr>
    </w:p>
    <w:p w14:paraId="2A2BF896">
      <w:pPr>
        <w:snapToGrid w:val="0"/>
        <w:spacing w:line="360" w:lineRule="auto"/>
        <w:ind w:leftChars="-50" w:hanging="105" w:hangingChars="50"/>
        <w:rPr>
          <w:rFonts w:ascii="微软雅黑" w:hAnsi="微软雅黑" w:eastAsia="微软雅黑" w:cs="微软雅黑"/>
          <w:b/>
          <w:color w:val="auto"/>
          <w:szCs w:val="21"/>
          <w:highlight w:val="none"/>
        </w:rPr>
      </w:pPr>
    </w:p>
    <w:p w14:paraId="0B209E10">
      <w:pPr>
        <w:snapToGrid w:val="0"/>
        <w:spacing w:line="360" w:lineRule="auto"/>
        <w:ind w:leftChars="-50" w:hanging="105" w:hangingChars="50"/>
        <w:rPr>
          <w:rFonts w:ascii="微软雅黑" w:hAnsi="微软雅黑" w:eastAsia="微软雅黑" w:cs="微软雅黑"/>
          <w:b/>
          <w:color w:val="auto"/>
          <w:szCs w:val="21"/>
          <w:highlight w:val="none"/>
        </w:rPr>
      </w:pPr>
    </w:p>
    <w:p w14:paraId="7ABBC855">
      <w:pPr>
        <w:snapToGrid w:val="0"/>
        <w:spacing w:line="360" w:lineRule="auto"/>
        <w:ind w:leftChars="-50" w:hanging="105" w:hangingChars="50"/>
        <w:rPr>
          <w:rFonts w:ascii="微软雅黑" w:hAnsi="微软雅黑" w:eastAsia="微软雅黑" w:cs="微软雅黑"/>
          <w:b/>
          <w:color w:val="auto"/>
          <w:szCs w:val="21"/>
          <w:highlight w:val="none"/>
        </w:rPr>
      </w:pPr>
    </w:p>
    <w:p w14:paraId="2C6B9AF8">
      <w:pPr>
        <w:snapToGrid w:val="0"/>
        <w:spacing w:line="360" w:lineRule="auto"/>
        <w:ind w:leftChars="-50" w:hanging="105" w:hangingChars="50"/>
        <w:rPr>
          <w:rFonts w:ascii="微软雅黑" w:hAnsi="微软雅黑" w:eastAsia="微软雅黑" w:cs="微软雅黑"/>
          <w:b/>
          <w:color w:val="auto"/>
          <w:szCs w:val="21"/>
          <w:highlight w:val="none"/>
        </w:rPr>
      </w:pPr>
    </w:p>
    <w:p w14:paraId="793E8C6C">
      <w:pPr>
        <w:snapToGrid w:val="0"/>
        <w:spacing w:line="360" w:lineRule="auto"/>
        <w:ind w:leftChars="-50" w:hanging="105" w:hangingChars="5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参加政府采购活动前三年，在经营活动中没有重大违法记录（承诺函）</w:t>
      </w:r>
    </w:p>
    <w:p w14:paraId="583A702B">
      <w:pPr>
        <w:spacing w:line="360" w:lineRule="auto"/>
        <w:rPr>
          <w:rFonts w:ascii="微软雅黑" w:hAnsi="微软雅黑" w:eastAsia="微软雅黑" w:cs="微软雅黑"/>
          <w:color w:val="auto"/>
          <w:szCs w:val="21"/>
          <w:highlight w:val="none"/>
          <w:u w:val="single"/>
        </w:rPr>
      </w:pPr>
    </w:p>
    <w:p w14:paraId="55C428C2">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嘉兴市实验小学</w:t>
      </w:r>
      <w:r>
        <w:rPr>
          <w:rFonts w:hint="eastAsia" w:ascii="微软雅黑" w:hAnsi="微软雅黑" w:eastAsia="微软雅黑" w:cs="微软雅黑"/>
          <w:color w:val="auto"/>
          <w:szCs w:val="21"/>
          <w:highlight w:val="none"/>
        </w:rPr>
        <w:t>：</w:t>
      </w:r>
    </w:p>
    <w:p w14:paraId="4FC1DF39">
      <w:pPr>
        <w:spacing w:line="360" w:lineRule="auto"/>
        <w:ind w:firstLine="420" w:firstLineChars="200"/>
        <w:rPr>
          <w:rFonts w:ascii="微软雅黑" w:hAnsi="微软雅黑" w:eastAsia="微软雅黑" w:cs="微软雅黑"/>
          <w:color w:val="auto"/>
          <w:szCs w:val="21"/>
          <w:highlight w:val="none"/>
        </w:rPr>
      </w:pPr>
    </w:p>
    <w:p w14:paraId="21D3A96F">
      <w:pPr>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我公司声明截止投标时间近三年以来，在经营活动中没有重大违法记录；也没有因违反《浙江省政府采购投标人注册及诚信管理暂行办法》被列入“黑名单”，正在处罚有效期。</w:t>
      </w:r>
    </w:p>
    <w:p w14:paraId="69FE6C7B">
      <w:pPr>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特此承诺。</w:t>
      </w:r>
    </w:p>
    <w:p w14:paraId="6B04D1F2">
      <w:pPr>
        <w:spacing w:line="360" w:lineRule="auto"/>
        <w:ind w:firstLine="420" w:firstLineChars="200"/>
        <w:rPr>
          <w:rFonts w:ascii="微软雅黑" w:hAnsi="微软雅黑" w:eastAsia="微软雅黑" w:cs="微软雅黑"/>
          <w:color w:val="auto"/>
          <w:szCs w:val="21"/>
          <w:highlight w:val="none"/>
        </w:rPr>
      </w:pPr>
    </w:p>
    <w:p w14:paraId="28C91BCA">
      <w:pPr>
        <w:spacing w:line="360" w:lineRule="auto"/>
        <w:ind w:firstLine="420" w:firstLineChars="200"/>
        <w:rPr>
          <w:rFonts w:ascii="微软雅黑" w:hAnsi="微软雅黑" w:eastAsia="微软雅黑" w:cs="微软雅黑"/>
          <w:color w:val="auto"/>
          <w:szCs w:val="21"/>
          <w:highlight w:val="none"/>
        </w:rPr>
      </w:pPr>
    </w:p>
    <w:p w14:paraId="726BBEF7">
      <w:pPr>
        <w:snapToGrid w:val="0"/>
        <w:spacing w:line="360" w:lineRule="auto"/>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投标人名称：（盖章）</w:t>
      </w:r>
    </w:p>
    <w:p w14:paraId="5B940F7F">
      <w:pPr>
        <w:snapToGrid w:val="0"/>
        <w:spacing w:line="360" w:lineRule="auto"/>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027A358E">
      <w:pPr>
        <w:snapToGrid w:val="0"/>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投标日期：年月日</w:t>
      </w:r>
    </w:p>
    <w:p w14:paraId="4AB34F35">
      <w:pPr>
        <w:snapToGrid w:val="0"/>
        <w:spacing w:line="360" w:lineRule="auto"/>
        <w:ind w:firstLine="420" w:firstLineChars="200"/>
        <w:rPr>
          <w:rFonts w:ascii="微软雅黑" w:hAnsi="微软雅黑" w:eastAsia="微软雅黑" w:cs="微软雅黑"/>
          <w:color w:val="auto"/>
          <w:szCs w:val="21"/>
          <w:highlight w:val="none"/>
          <w:u w:val="single"/>
        </w:rPr>
      </w:pPr>
    </w:p>
    <w:p w14:paraId="676777AB">
      <w:pPr>
        <w:snapToGrid w:val="0"/>
        <w:spacing w:line="360" w:lineRule="auto"/>
        <w:rPr>
          <w:rFonts w:ascii="微软雅黑" w:hAnsi="微软雅黑" w:eastAsia="微软雅黑" w:cs="微软雅黑"/>
          <w:color w:val="auto"/>
          <w:szCs w:val="21"/>
          <w:highlight w:val="none"/>
        </w:rPr>
      </w:pPr>
    </w:p>
    <w:p w14:paraId="6443C4AB">
      <w:pPr>
        <w:snapToGrid w:val="0"/>
        <w:spacing w:line="360" w:lineRule="auto"/>
        <w:jc w:val="left"/>
        <w:rPr>
          <w:rFonts w:ascii="微软雅黑" w:hAnsi="微软雅黑" w:eastAsia="微软雅黑" w:cs="微软雅黑"/>
          <w:color w:val="auto"/>
          <w:szCs w:val="21"/>
          <w:highlight w:val="none"/>
        </w:rPr>
        <w:sectPr>
          <w:pgSz w:w="11906" w:h="16838"/>
          <w:pgMar w:top="1440" w:right="1800" w:bottom="1440" w:left="1800" w:header="851" w:footer="851" w:gutter="0"/>
          <w:pgBorders>
            <w:top w:val="none" w:sz="0" w:space="0"/>
            <w:left w:val="none" w:sz="0" w:space="0"/>
            <w:bottom w:val="none" w:sz="0" w:space="0"/>
            <w:right w:val="none" w:sz="0" w:space="0"/>
          </w:pgBorders>
          <w:cols w:space="720" w:num="1"/>
          <w:docGrid w:linePitch="312" w:charSpace="0"/>
        </w:sectPr>
      </w:pPr>
    </w:p>
    <w:p w14:paraId="0E8F166E">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供应商法定代表人授权书</w:t>
      </w:r>
    </w:p>
    <w:p w14:paraId="212D6567">
      <w:pPr>
        <w:spacing w:line="360" w:lineRule="auto"/>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bCs/>
          <w:color w:val="auto"/>
          <w:szCs w:val="21"/>
          <w:highlight w:val="none"/>
        </w:rPr>
        <w:t>致：</w:t>
      </w:r>
      <w:r>
        <w:rPr>
          <w:rFonts w:hint="eastAsia" w:ascii="微软雅黑" w:hAnsi="微软雅黑" w:eastAsia="微软雅黑" w:cs="微软雅黑"/>
          <w:color w:val="auto"/>
          <w:szCs w:val="21"/>
          <w:highlight w:val="none"/>
          <w:lang w:eastAsia="zh-CN"/>
        </w:rPr>
        <w:t>嘉兴市实验小学</w:t>
      </w:r>
    </w:p>
    <w:p w14:paraId="615B160D">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_______（企业名称）系中华人民共和国合法企业，法定地址_______。</w:t>
      </w:r>
    </w:p>
    <w:p w14:paraId="4421D2AB">
      <w:pPr>
        <w:spacing w:line="360" w:lineRule="auto"/>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val="zh-CN"/>
        </w:rPr>
        <w:t>兹委派我公司</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先生/女士(其在本公司的职务是：</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u w:val="single"/>
          <w:lang w:val="zh-CN"/>
        </w:rPr>
        <w:t>，</w:t>
      </w:r>
      <w:r>
        <w:rPr>
          <w:rFonts w:hint="eastAsia" w:ascii="微软雅黑" w:hAnsi="微软雅黑" w:eastAsia="微软雅黑" w:cs="微软雅黑"/>
          <w:color w:val="auto"/>
          <w:kern w:val="0"/>
          <w:szCs w:val="21"/>
          <w:highlight w:val="none"/>
          <w:lang w:val="zh-CN"/>
        </w:rPr>
        <w:t>联系电话：</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手机：</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传真：</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w:t>
      </w:r>
      <w:r>
        <w:rPr>
          <w:rFonts w:hint="eastAsia" w:ascii="微软雅黑" w:hAnsi="微软雅黑" w:eastAsia="微软雅黑" w:cs="微软雅黑"/>
          <w:color w:val="auto"/>
          <w:szCs w:val="21"/>
          <w:highlight w:val="none"/>
        </w:rPr>
        <w:t>代表我单位全权办理针对</w:t>
      </w:r>
      <w:r>
        <w:rPr>
          <w:rFonts w:hint="eastAsia" w:ascii="微软雅黑" w:hAnsi="微软雅黑" w:eastAsia="微软雅黑" w:cs="微软雅黑"/>
          <w:color w:val="auto"/>
          <w:kern w:val="0"/>
          <w:szCs w:val="21"/>
          <w:highlight w:val="none"/>
          <w:lang w:val="zh-CN"/>
        </w:rPr>
        <w:t>处理</w:t>
      </w:r>
      <w:r>
        <w:rPr>
          <w:rFonts w:hint="eastAsia" w:ascii="微软雅黑" w:hAnsi="微软雅黑" w:eastAsia="微软雅黑" w:cs="微软雅黑"/>
          <w:b/>
          <w:bCs/>
          <w:color w:val="auto"/>
          <w:szCs w:val="21"/>
          <w:highlight w:val="none"/>
          <w:u w:val="single"/>
          <w:lang w:eastAsia="zh-CN"/>
        </w:rPr>
        <w:t xml:space="preserve">  嘉兴市实验小学2025年度教师疗休养项目</w:t>
      </w:r>
      <w:r>
        <w:rPr>
          <w:rFonts w:hint="eastAsia" w:ascii="微软雅黑" w:hAnsi="微软雅黑" w:eastAsia="微软雅黑" w:cs="微软雅黑"/>
          <w:b/>
          <w:bCs/>
          <w:color w:val="auto"/>
          <w:szCs w:val="21"/>
          <w:highlight w:val="none"/>
          <w:u w:val="single"/>
        </w:rPr>
        <w:t>(</w:t>
      </w:r>
      <w:r>
        <w:rPr>
          <w:rFonts w:hint="eastAsia" w:ascii="微软雅黑" w:hAnsi="微软雅黑" w:eastAsia="微软雅黑" w:cs="微软雅黑"/>
          <w:color w:val="auto"/>
          <w:szCs w:val="21"/>
          <w:highlight w:val="none"/>
        </w:rPr>
        <w:t>编号：</w:t>
      </w:r>
      <w:r>
        <w:rPr>
          <w:rFonts w:hint="eastAsia" w:ascii="微软雅黑" w:hAnsi="微软雅黑" w:eastAsia="微软雅黑" w:cs="微软雅黑"/>
          <w:b/>
          <w:bCs/>
          <w:color w:val="auto"/>
          <w:szCs w:val="21"/>
          <w:highlight w:val="none"/>
          <w:u w:val="single"/>
          <w:lang w:eastAsia="zh-CN"/>
        </w:rPr>
        <w:t>中际-ZJZJGC（2025）嘉11号</w:t>
      </w:r>
      <w:r>
        <w:rPr>
          <w:rFonts w:hint="eastAsia" w:ascii="微软雅黑" w:hAnsi="微软雅黑" w:eastAsia="微软雅黑" w:cs="微软雅黑"/>
          <w:color w:val="auto"/>
          <w:szCs w:val="21"/>
          <w:highlight w:val="none"/>
        </w:rPr>
        <w:t>)上述项目的磋商、签约等具体工作，并签署全部有关的文件、协议。</w:t>
      </w:r>
    </w:p>
    <w:p w14:paraId="712DF628">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我单位对被授权人的签名负全部责任。</w:t>
      </w:r>
    </w:p>
    <w:p w14:paraId="73B3C97F">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在撤销授权的书面通知以前，本授权书一直有效。被授权人签署的所有文件（在授权书有效期内签署的）不因授权的撤销而失效。</w:t>
      </w:r>
    </w:p>
    <w:p w14:paraId="1248995F">
      <w:pPr>
        <w:spacing w:line="360" w:lineRule="auto"/>
        <w:rPr>
          <w:rFonts w:ascii="微软雅黑" w:hAnsi="微软雅黑" w:eastAsia="微软雅黑" w:cs="微软雅黑"/>
          <w:color w:val="auto"/>
          <w:szCs w:val="21"/>
          <w:highlight w:val="none"/>
        </w:rPr>
      </w:pPr>
    </w:p>
    <w:p w14:paraId="7312818F">
      <w:pPr>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被授权人签名：                 授权人签名：</w:t>
      </w:r>
    </w:p>
    <w:p w14:paraId="22BA6823">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                         职务：</w:t>
      </w:r>
    </w:p>
    <w:p w14:paraId="1F1FDDAB">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被授权人身份证号码：</w:t>
      </w:r>
    </w:p>
    <w:p w14:paraId="5978A33C">
      <w:pPr>
        <w:spacing w:line="360" w:lineRule="auto"/>
        <w:rPr>
          <w:rFonts w:ascii="微软雅黑" w:hAnsi="微软雅黑" w:eastAsia="微软雅黑" w:cs="微软雅黑"/>
          <w:color w:val="auto"/>
          <w:szCs w:val="21"/>
          <w:highlight w:val="none"/>
        </w:rPr>
      </w:pPr>
    </w:p>
    <w:p w14:paraId="709CFC0E">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附授权人(法定代表人)及被授权人的身份证复印件正反面:</w:t>
      </w:r>
    </w:p>
    <w:p w14:paraId="1E9ECA75">
      <w:pPr>
        <w:spacing w:line="360" w:lineRule="auto"/>
        <w:jc w:val="center"/>
        <w:rPr>
          <w:rFonts w:ascii="微软雅黑" w:hAnsi="微软雅黑" w:eastAsia="微软雅黑" w:cs="微软雅黑"/>
          <w:color w:val="auto"/>
          <w:szCs w:val="21"/>
          <w:highlight w:val="none"/>
        </w:rPr>
      </w:pPr>
    </w:p>
    <w:p w14:paraId="21232060">
      <w:pPr>
        <w:spacing w:line="360" w:lineRule="auto"/>
        <w:jc w:val="righ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供应商公章：</w:t>
      </w:r>
    </w:p>
    <w:p w14:paraId="2DAB4042">
      <w:pPr>
        <w:spacing w:line="360" w:lineRule="auto"/>
        <w:ind w:firstLine="3150" w:firstLineChars="1500"/>
        <w:jc w:val="righ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年  月   日</w:t>
      </w:r>
    </w:p>
    <w:p w14:paraId="2E247DE2">
      <w:pPr>
        <w:spacing w:line="360" w:lineRule="auto"/>
        <w:ind w:firstLine="3360" w:firstLineChars="1600"/>
        <w:rPr>
          <w:rFonts w:ascii="微软雅黑" w:hAnsi="微软雅黑" w:eastAsia="微软雅黑" w:cs="微软雅黑"/>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14:paraId="1D0A1FF7">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投标人的类似成功案例的业绩证明文件：</w:t>
      </w:r>
    </w:p>
    <w:p w14:paraId="657EC332">
      <w:pPr>
        <w:pStyle w:val="39"/>
        <w:snapToGrid w:val="0"/>
        <w:spacing w:line="360" w:lineRule="auto"/>
        <w:ind w:left="420" w:hanging="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投标人同类项目实施情况一览表格式：</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3581"/>
        <w:gridCol w:w="1730"/>
        <w:gridCol w:w="2553"/>
        <w:gridCol w:w="1935"/>
        <w:gridCol w:w="2419"/>
      </w:tblGrid>
      <w:tr w14:paraId="58CEC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5" w:hRule="atLeast"/>
        </w:trPr>
        <w:tc>
          <w:tcPr>
            <w:tcW w:w="1914" w:type="dxa"/>
            <w:tcBorders>
              <w:top w:val="single" w:color="auto" w:sz="4" w:space="0"/>
              <w:left w:val="single" w:color="auto" w:sz="4" w:space="0"/>
              <w:bottom w:val="single" w:color="auto" w:sz="4" w:space="0"/>
              <w:right w:val="single" w:color="auto" w:sz="4" w:space="0"/>
            </w:tcBorders>
            <w:vAlign w:val="center"/>
          </w:tcPr>
          <w:p w14:paraId="27F13843">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采购单位名称</w:t>
            </w:r>
          </w:p>
        </w:tc>
        <w:tc>
          <w:tcPr>
            <w:tcW w:w="3581" w:type="dxa"/>
            <w:tcBorders>
              <w:top w:val="single" w:color="auto" w:sz="4" w:space="0"/>
              <w:left w:val="single" w:color="auto" w:sz="4" w:space="0"/>
              <w:bottom w:val="single" w:color="auto" w:sz="4" w:space="0"/>
              <w:right w:val="single" w:color="auto" w:sz="4" w:space="0"/>
            </w:tcBorders>
            <w:vAlign w:val="center"/>
          </w:tcPr>
          <w:p w14:paraId="4F05F03E">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c>
        <w:tc>
          <w:tcPr>
            <w:tcW w:w="1730" w:type="dxa"/>
            <w:tcBorders>
              <w:top w:val="single" w:color="auto" w:sz="4" w:space="0"/>
              <w:left w:val="single" w:color="auto" w:sz="4" w:space="0"/>
              <w:bottom w:val="single" w:color="auto" w:sz="4" w:space="0"/>
              <w:right w:val="single" w:color="auto" w:sz="4" w:space="0"/>
            </w:tcBorders>
            <w:vAlign w:val="center"/>
          </w:tcPr>
          <w:p w14:paraId="3EFEE3A7">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tc>
        <w:tc>
          <w:tcPr>
            <w:tcW w:w="2553" w:type="dxa"/>
            <w:tcBorders>
              <w:top w:val="single" w:color="auto" w:sz="4" w:space="0"/>
              <w:left w:val="single" w:color="auto" w:sz="4" w:space="0"/>
              <w:bottom w:val="single" w:color="auto" w:sz="4" w:space="0"/>
              <w:right w:val="single" w:color="auto" w:sz="4" w:space="0"/>
            </w:tcBorders>
            <w:vAlign w:val="center"/>
          </w:tcPr>
          <w:p w14:paraId="306167D5">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合同金额</w:t>
            </w:r>
          </w:p>
          <w:p w14:paraId="4CA401E9">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（万元）</w:t>
            </w:r>
          </w:p>
        </w:tc>
        <w:tc>
          <w:tcPr>
            <w:tcW w:w="1935" w:type="dxa"/>
            <w:tcBorders>
              <w:top w:val="single" w:color="auto" w:sz="4" w:space="0"/>
              <w:left w:val="single" w:color="auto" w:sz="4" w:space="0"/>
              <w:right w:val="single" w:color="auto" w:sz="4" w:space="0"/>
            </w:tcBorders>
            <w:vAlign w:val="center"/>
          </w:tcPr>
          <w:p w14:paraId="17C45BEB">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有效证明文件</w:t>
            </w:r>
          </w:p>
        </w:tc>
        <w:tc>
          <w:tcPr>
            <w:tcW w:w="2419" w:type="dxa"/>
            <w:tcBorders>
              <w:top w:val="single" w:color="auto" w:sz="4" w:space="0"/>
              <w:left w:val="single" w:color="auto" w:sz="4" w:space="0"/>
              <w:bottom w:val="single" w:color="auto" w:sz="4" w:space="0"/>
              <w:right w:val="single" w:color="auto" w:sz="4" w:space="0"/>
            </w:tcBorders>
            <w:vAlign w:val="center"/>
          </w:tcPr>
          <w:p w14:paraId="114AC923">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采购单位联系人及</w:t>
            </w:r>
          </w:p>
          <w:p w14:paraId="54B2C21B">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tc>
      </w:tr>
      <w:tr w14:paraId="3BE74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20426F3A">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75DCB82C">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489B195B">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0DAD29C8">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5A65A4CB">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4A47CD4A">
            <w:pPr>
              <w:snapToGrid w:val="0"/>
              <w:spacing w:line="360" w:lineRule="auto"/>
              <w:jc w:val="left"/>
              <w:rPr>
                <w:rFonts w:ascii="微软雅黑" w:hAnsi="微软雅黑" w:eastAsia="微软雅黑" w:cs="微软雅黑"/>
                <w:color w:val="auto"/>
                <w:szCs w:val="21"/>
                <w:highlight w:val="none"/>
              </w:rPr>
            </w:pPr>
          </w:p>
        </w:tc>
      </w:tr>
      <w:tr w14:paraId="47D34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2FFC839F">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5CE7CE41">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7E3C77DF">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3EA8255D">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20B4F3AD">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7E71B1C0">
            <w:pPr>
              <w:snapToGrid w:val="0"/>
              <w:spacing w:line="360" w:lineRule="auto"/>
              <w:jc w:val="left"/>
              <w:rPr>
                <w:rFonts w:ascii="微软雅黑" w:hAnsi="微软雅黑" w:eastAsia="微软雅黑" w:cs="微软雅黑"/>
                <w:color w:val="auto"/>
                <w:szCs w:val="21"/>
                <w:highlight w:val="none"/>
              </w:rPr>
            </w:pPr>
          </w:p>
        </w:tc>
      </w:tr>
      <w:tr w14:paraId="1F447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05DD14AF">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140AFC41">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164053D">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6CA557B4">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42F39A7A">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54F800DB">
            <w:pPr>
              <w:snapToGrid w:val="0"/>
              <w:spacing w:line="360" w:lineRule="auto"/>
              <w:jc w:val="left"/>
              <w:rPr>
                <w:rFonts w:ascii="微软雅黑" w:hAnsi="微软雅黑" w:eastAsia="微软雅黑" w:cs="微软雅黑"/>
                <w:color w:val="auto"/>
                <w:szCs w:val="21"/>
                <w:highlight w:val="none"/>
              </w:rPr>
            </w:pPr>
          </w:p>
        </w:tc>
      </w:tr>
      <w:tr w14:paraId="0164B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5BE6F725">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29EE91AA">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D62EB9D">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736B4071">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2B403C0C">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26958BCA">
            <w:pPr>
              <w:snapToGrid w:val="0"/>
              <w:spacing w:line="360" w:lineRule="auto"/>
              <w:jc w:val="left"/>
              <w:rPr>
                <w:rFonts w:ascii="微软雅黑" w:hAnsi="微软雅黑" w:eastAsia="微软雅黑" w:cs="微软雅黑"/>
                <w:color w:val="auto"/>
                <w:szCs w:val="21"/>
                <w:highlight w:val="none"/>
              </w:rPr>
            </w:pPr>
          </w:p>
        </w:tc>
      </w:tr>
    </w:tbl>
    <w:p w14:paraId="31FC6016">
      <w:pPr>
        <w:pStyle w:val="15"/>
        <w:snapToGrid w:val="0"/>
        <w:spacing w:before="0" w:after="0" w:line="360" w:lineRule="auto"/>
        <w:rPr>
          <w:rFonts w:ascii="微软雅黑" w:hAnsi="微软雅黑" w:eastAsia="微软雅黑" w:cs="微软雅黑"/>
          <w:color w:val="auto"/>
          <w:sz w:val="21"/>
          <w:szCs w:val="21"/>
          <w:highlight w:val="none"/>
        </w:rPr>
      </w:pPr>
    </w:p>
    <w:p w14:paraId="3ED90A9A">
      <w:pPr>
        <w:snapToGrid w:val="0"/>
        <w:spacing w:line="360" w:lineRule="auto"/>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投标人名称：（盖章）</w:t>
      </w:r>
    </w:p>
    <w:p w14:paraId="4D04B921">
      <w:pPr>
        <w:snapToGrid w:val="0"/>
        <w:spacing w:line="360" w:lineRule="auto"/>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0080CFC7">
      <w:pPr>
        <w:snapToGrid w:val="0"/>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投标日期：年月日</w:t>
      </w:r>
    </w:p>
    <w:p w14:paraId="00967A1E">
      <w:pPr>
        <w:snapToGrid w:val="0"/>
        <w:spacing w:line="360" w:lineRule="auto"/>
        <w:jc w:val="left"/>
        <w:rPr>
          <w:rFonts w:ascii="微软雅黑" w:hAnsi="微软雅黑" w:eastAsia="微软雅黑" w:cs="微软雅黑"/>
          <w:b/>
          <w:color w:val="auto"/>
          <w:szCs w:val="21"/>
          <w:highlight w:val="none"/>
        </w:rPr>
        <w:sectPr>
          <w:pgSz w:w="16838" w:h="11906" w:orient="landscape"/>
          <w:pgMar w:top="1440" w:right="1800" w:bottom="1440" w:left="1800" w:header="851" w:footer="851" w:gutter="0"/>
          <w:pgBorders>
            <w:top w:val="none" w:sz="0" w:space="0"/>
            <w:left w:val="none" w:sz="0" w:space="0"/>
            <w:bottom w:val="none" w:sz="0" w:space="0"/>
            <w:right w:val="none" w:sz="0" w:space="0"/>
          </w:pgBorders>
          <w:cols w:space="720" w:num="1"/>
        </w:sectPr>
      </w:pPr>
    </w:p>
    <w:p w14:paraId="3511DB5B">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项目实施人员一览表格式：</w:t>
      </w:r>
    </w:p>
    <w:p w14:paraId="799E2EC2">
      <w:pPr>
        <w:snapToGrid w:val="0"/>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项目实施人员（主要从业人员及其技术资格）一览表</w:t>
      </w:r>
    </w:p>
    <w:p w14:paraId="20CF57C0">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bl>
      <w:tblPr>
        <w:tblStyle w:val="5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1155"/>
        <w:gridCol w:w="1680"/>
        <w:gridCol w:w="1470"/>
        <w:gridCol w:w="1365"/>
        <w:gridCol w:w="1560"/>
      </w:tblGrid>
      <w:tr w14:paraId="12E0C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vAlign w:val="bottom"/>
          </w:tcPr>
          <w:p w14:paraId="11B24316">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姓名</w:t>
            </w:r>
          </w:p>
        </w:tc>
        <w:tc>
          <w:tcPr>
            <w:tcW w:w="1155" w:type="dxa"/>
            <w:tcBorders>
              <w:top w:val="single" w:color="auto" w:sz="4" w:space="0"/>
              <w:left w:val="single" w:color="auto" w:sz="4" w:space="0"/>
              <w:bottom w:val="single" w:color="auto" w:sz="4" w:space="0"/>
              <w:right w:val="single" w:color="auto" w:sz="4" w:space="0"/>
            </w:tcBorders>
            <w:vAlign w:val="bottom"/>
          </w:tcPr>
          <w:p w14:paraId="6CE8F638">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w:t>
            </w:r>
          </w:p>
        </w:tc>
        <w:tc>
          <w:tcPr>
            <w:tcW w:w="1680" w:type="dxa"/>
            <w:tcBorders>
              <w:top w:val="single" w:color="auto" w:sz="4" w:space="0"/>
              <w:left w:val="single" w:color="auto" w:sz="4" w:space="0"/>
              <w:bottom w:val="single" w:color="auto" w:sz="4" w:space="0"/>
              <w:right w:val="single" w:color="auto" w:sz="4" w:space="0"/>
            </w:tcBorders>
            <w:vAlign w:val="bottom"/>
          </w:tcPr>
          <w:p w14:paraId="150085B1">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专业技术资格</w:t>
            </w:r>
          </w:p>
        </w:tc>
        <w:tc>
          <w:tcPr>
            <w:tcW w:w="1470" w:type="dxa"/>
            <w:tcBorders>
              <w:top w:val="single" w:color="auto" w:sz="4" w:space="0"/>
              <w:left w:val="single" w:color="auto" w:sz="4" w:space="0"/>
              <w:bottom w:val="single" w:color="auto" w:sz="4" w:space="0"/>
              <w:right w:val="single" w:color="auto" w:sz="4" w:space="0"/>
            </w:tcBorders>
            <w:vAlign w:val="bottom"/>
          </w:tcPr>
          <w:p w14:paraId="5447BB81">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证书编号</w:t>
            </w:r>
          </w:p>
        </w:tc>
        <w:tc>
          <w:tcPr>
            <w:tcW w:w="1365" w:type="dxa"/>
            <w:tcBorders>
              <w:top w:val="single" w:color="auto" w:sz="4" w:space="0"/>
              <w:left w:val="single" w:color="auto" w:sz="4" w:space="0"/>
              <w:bottom w:val="single" w:color="auto" w:sz="4" w:space="0"/>
              <w:right w:val="single" w:color="auto" w:sz="4" w:space="0"/>
            </w:tcBorders>
            <w:vAlign w:val="bottom"/>
          </w:tcPr>
          <w:p w14:paraId="4B3C7A3C">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参加本单位工作时间</w:t>
            </w:r>
          </w:p>
        </w:tc>
        <w:tc>
          <w:tcPr>
            <w:tcW w:w="1560" w:type="dxa"/>
            <w:tcBorders>
              <w:top w:val="single" w:color="auto" w:sz="4" w:space="0"/>
              <w:left w:val="single" w:color="auto" w:sz="4" w:space="0"/>
              <w:bottom w:val="single" w:color="auto" w:sz="4" w:space="0"/>
              <w:right w:val="single" w:color="auto" w:sz="4" w:space="0"/>
            </w:tcBorders>
            <w:vAlign w:val="bottom"/>
          </w:tcPr>
          <w:p w14:paraId="11E9D47C">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劳动合同编号</w:t>
            </w:r>
          </w:p>
        </w:tc>
      </w:tr>
      <w:tr w14:paraId="1E78A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5D4B101F">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7E803C8B">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79526CC">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0980F6FA">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47219010">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4AB99A4">
            <w:pPr>
              <w:snapToGrid w:val="0"/>
              <w:spacing w:line="360" w:lineRule="auto"/>
              <w:rPr>
                <w:rFonts w:ascii="微软雅黑" w:hAnsi="微软雅黑" w:eastAsia="微软雅黑" w:cs="微软雅黑"/>
                <w:color w:val="auto"/>
                <w:szCs w:val="21"/>
                <w:highlight w:val="none"/>
              </w:rPr>
            </w:pPr>
          </w:p>
        </w:tc>
      </w:tr>
      <w:tr w14:paraId="6471B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1E47CDFF">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5DB10089">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3C116E08">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098B76D2">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0A68C551">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C8585E5">
            <w:pPr>
              <w:snapToGrid w:val="0"/>
              <w:spacing w:line="360" w:lineRule="auto"/>
              <w:rPr>
                <w:rFonts w:ascii="微软雅黑" w:hAnsi="微软雅黑" w:eastAsia="微软雅黑" w:cs="微软雅黑"/>
                <w:color w:val="auto"/>
                <w:szCs w:val="21"/>
                <w:highlight w:val="none"/>
              </w:rPr>
            </w:pPr>
          </w:p>
        </w:tc>
      </w:tr>
      <w:tr w14:paraId="5C73F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5E50D8B0">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7F0136F9">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A9EC917">
            <w:pPr>
              <w:pStyle w:val="31"/>
              <w:snapToGrid w:val="0"/>
              <w:spacing w:line="360" w:lineRule="auto"/>
              <w:ind w:left="5250"/>
              <w:rPr>
                <w:rFonts w:ascii="微软雅黑" w:hAnsi="微软雅黑" w:eastAsia="微软雅黑" w:cs="微软雅黑"/>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165120B7">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7752DEDD">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FB8E4F8">
            <w:pPr>
              <w:snapToGrid w:val="0"/>
              <w:spacing w:line="360" w:lineRule="auto"/>
              <w:rPr>
                <w:rFonts w:ascii="微软雅黑" w:hAnsi="微软雅黑" w:eastAsia="微软雅黑" w:cs="微软雅黑"/>
                <w:color w:val="auto"/>
                <w:szCs w:val="21"/>
                <w:highlight w:val="none"/>
              </w:rPr>
            </w:pPr>
          </w:p>
        </w:tc>
      </w:tr>
      <w:tr w14:paraId="00492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42293202">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A9057C6">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556C1A49">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B24CEEF">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8CA56AB">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946572F">
            <w:pPr>
              <w:snapToGrid w:val="0"/>
              <w:spacing w:line="360" w:lineRule="auto"/>
              <w:rPr>
                <w:rFonts w:ascii="微软雅黑" w:hAnsi="微软雅黑" w:eastAsia="微软雅黑" w:cs="微软雅黑"/>
                <w:color w:val="auto"/>
                <w:szCs w:val="21"/>
                <w:highlight w:val="none"/>
              </w:rPr>
            </w:pPr>
          </w:p>
        </w:tc>
      </w:tr>
      <w:tr w14:paraId="7AEA2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2AC0FBA">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30435200">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38AE7BA">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7AC33B33">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543A5C65">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5CBC505">
            <w:pPr>
              <w:snapToGrid w:val="0"/>
              <w:spacing w:line="360" w:lineRule="auto"/>
              <w:rPr>
                <w:rFonts w:ascii="微软雅黑" w:hAnsi="微软雅黑" w:eastAsia="微软雅黑" w:cs="微软雅黑"/>
                <w:color w:val="auto"/>
                <w:szCs w:val="21"/>
                <w:highlight w:val="none"/>
              </w:rPr>
            </w:pPr>
          </w:p>
        </w:tc>
      </w:tr>
      <w:tr w14:paraId="1CEB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10EDCF7A">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5B7D78A9">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E34D7CF">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B9B85A1">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0D39B646">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37E608E">
            <w:pPr>
              <w:snapToGrid w:val="0"/>
              <w:spacing w:line="360" w:lineRule="auto"/>
              <w:rPr>
                <w:rFonts w:ascii="微软雅黑" w:hAnsi="微软雅黑" w:eastAsia="微软雅黑" w:cs="微软雅黑"/>
                <w:color w:val="auto"/>
                <w:szCs w:val="21"/>
                <w:highlight w:val="none"/>
              </w:rPr>
            </w:pPr>
          </w:p>
        </w:tc>
      </w:tr>
      <w:tr w14:paraId="73D9A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7861F698">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9D42124">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EBA5797">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D55F1E9">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49822410">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3F46830">
            <w:pPr>
              <w:snapToGrid w:val="0"/>
              <w:spacing w:line="360" w:lineRule="auto"/>
              <w:rPr>
                <w:rFonts w:ascii="微软雅黑" w:hAnsi="微软雅黑" w:eastAsia="微软雅黑" w:cs="微软雅黑"/>
                <w:color w:val="auto"/>
                <w:szCs w:val="21"/>
                <w:highlight w:val="none"/>
              </w:rPr>
            </w:pPr>
          </w:p>
        </w:tc>
      </w:tr>
      <w:tr w14:paraId="2A298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D116700">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7C9A8C4">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5580A68">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56E3CC22">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4B59C671">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9CD90DA">
            <w:pPr>
              <w:snapToGrid w:val="0"/>
              <w:spacing w:line="360" w:lineRule="auto"/>
              <w:rPr>
                <w:rFonts w:ascii="微软雅黑" w:hAnsi="微软雅黑" w:eastAsia="微软雅黑" w:cs="微软雅黑"/>
                <w:color w:val="auto"/>
                <w:szCs w:val="21"/>
                <w:highlight w:val="none"/>
              </w:rPr>
            </w:pPr>
          </w:p>
        </w:tc>
      </w:tr>
      <w:tr w14:paraId="2348A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66C1EBC3">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96893C7">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55111EA">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984302B">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1B7CF756">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F546653">
            <w:pPr>
              <w:snapToGrid w:val="0"/>
              <w:spacing w:line="360" w:lineRule="auto"/>
              <w:rPr>
                <w:rFonts w:ascii="微软雅黑" w:hAnsi="微软雅黑" w:eastAsia="微软雅黑" w:cs="微软雅黑"/>
                <w:color w:val="auto"/>
                <w:szCs w:val="21"/>
                <w:highlight w:val="none"/>
              </w:rPr>
            </w:pPr>
          </w:p>
        </w:tc>
      </w:tr>
    </w:tbl>
    <w:p w14:paraId="032FC275">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注：在填写时，如本表格不适合投标单位的实际情况，可根据本表格式自行划表填写。</w:t>
      </w:r>
    </w:p>
    <w:p w14:paraId="3FE7C79F">
      <w:pPr>
        <w:snapToGrid w:val="0"/>
        <w:spacing w:before="50" w:line="360" w:lineRule="auto"/>
        <w:jc w:val="left"/>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投标人名称：（盖章）</w:t>
      </w:r>
    </w:p>
    <w:p w14:paraId="19B5539D">
      <w:pPr>
        <w:snapToGrid w:val="0"/>
        <w:spacing w:before="50" w:line="360" w:lineRule="auto"/>
        <w:jc w:val="left"/>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38DEC00C">
      <w:pPr>
        <w:snapToGrid w:val="0"/>
        <w:spacing w:before="50"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shd w:val="clear" w:color="auto" w:fill="FFFFFF"/>
        </w:rPr>
        <w:t>投标日期： 年 月 日</w:t>
      </w:r>
      <w:r>
        <w:rPr>
          <w:rFonts w:hint="eastAsia" w:ascii="微软雅黑" w:hAnsi="微软雅黑" w:eastAsia="微软雅黑" w:cs="微软雅黑"/>
          <w:b/>
          <w:color w:val="auto"/>
          <w:szCs w:val="21"/>
          <w:highlight w:val="none"/>
        </w:rPr>
        <w:br w:type="page"/>
      </w:r>
      <w:r>
        <w:rPr>
          <w:rFonts w:hint="eastAsia" w:ascii="微软雅黑" w:hAnsi="微软雅黑" w:eastAsia="微软雅黑" w:cs="微软雅黑"/>
          <w:b/>
          <w:color w:val="auto"/>
          <w:szCs w:val="21"/>
          <w:highlight w:val="none"/>
        </w:rPr>
        <w:t>商务响应表格式：</w:t>
      </w:r>
    </w:p>
    <w:p w14:paraId="20789506">
      <w:pPr>
        <w:snapToGrid w:val="0"/>
        <w:spacing w:before="50" w:line="360" w:lineRule="auto"/>
        <w:jc w:val="lef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标项：</w:t>
      </w:r>
    </w:p>
    <w:tbl>
      <w:tblPr>
        <w:tblStyle w:val="53"/>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906"/>
        <w:gridCol w:w="1701"/>
        <w:gridCol w:w="1757"/>
      </w:tblGrid>
      <w:tr w14:paraId="5930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AFB8D5C">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1701" w:type="dxa"/>
            <w:vAlign w:val="center"/>
          </w:tcPr>
          <w:p w14:paraId="1E911554">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w:t>
            </w:r>
          </w:p>
        </w:tc>
        <w:tc>
          <w:tcPr>
            <w:tcW w:w="2906" w:type="dxa"/>
            <w:vAlign w:val="center"/>
          </w:tcPr>
          <w:p w14:paraId="7578FE2D">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竞争性磋商文件要求</w:t>
            </w:r>
          </w:p>
        </w:tc>
        <w:tc>
          <w:tcPr>
            <w:tcW w:w="1701" w:type="dxa"/>
            <w:vAlign w:val="center"/>
          </w:tcPr>
          <w:p w14:paraId="6ED5058E">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竞争性磋商响应文件要求</w:t>
            </w:r>
          </w:p>
        </w:tc>
        <w:tc>
          <w:tcPr>
            <w:tcW w:w="1757" w:type="dxa"/>
            <w:vAlign w:val="center"/>
          </w:tcPr>
          <w:p w14:paraId="4C08FF43">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偏离说明</w:t>
            </w:r>
          </w:p>
        </w:tc>
      </w:tr>
      <w:tr w14:paraId="7C9B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96A2B81">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1701" w:type="dxa"/>
            <w:vAlign w:val="center"/>
          </w:tcPr>
          <w:p w14:paraId="441019DC">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服务期限</w:t>
            </w:r>
          </w:p>
        </w:tc>
        <w:tc>
          <w:tcPr>
            <w:tcW w:w="2906" w:type="dxa"/>
          </w:tcPr>
          <w:p w14:paraId="209F452E">
            <w:pPr>
              <w:spacing w:after="0" w:line="500" w:lineRule="exact"/>
              <w:rPr>
                <w:rFonts w:ascii="微软雅黑" w:hAnsi="微软雅黑" w:eastAsia="微软雅黑" w:cs="微软雅黑"/>
                <w:color w:val="auto"/>
                <w:szCs w:val="21"/>
                <w:highlight w:val="none"/>
              </w:rPr>
            </w:pPr>
          </w:p>
        </w:tc>
        <w:tc>
          <w:tcPr>
            <w:tcW w:w="1701" w:type="dxa"/>
          </w:tcPr>
          <w:p w14:paraId="1CAE592C">
            <w:pPr>
              <w:pStyle w:val="29"/>
              <w:spacing w:after="0" w:line="500" w:lineRule="exact"/>
              <w:rPr>
                <w:rFonts w:ascii="微软雅黑" w:hAnsi="微软雅黑" w:eastAsia="微软雅黑" w:cs="微软雅黑"/>
                <w:color w:val="auto"/>
                <w:szCs w:val="21"/>
                <w:highlight w:val="none"/>
              </w:rPr>
            </w:pPr>
          </w:p>
        </w:tc>
        <w:tc>
          <w:tcPr>
            <w:tcW w:w="1757" w:type="dxa"/>
          </w:tcPr>
          <w:p w14:paraId="7DB521B9">
            <w:pPr>
              <w:pStyle w:val="29"/>
              <w:spacing w:after="0" w:line="500" w:lineRule="exact"/>
              <w:rPr>
                <w:rFonts w:ascii="微软雅黑" w:hAnsi="微软雅黑" w:eastAsia="微软雅黑" w:cs="微软雅黑"/>
                <w:color w:val="auto"/>
                <w:szCs w:val="21"/>
                <w:highlight w:val="none"/>
              </w:rPr>
            </w:pPr>
          </w:p>
        </w:tc>
      </w:tr>
      <w:tr w14:paraId="46C9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E5B9DC3">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1701" w:type="dxa"/>
            <w:vAlign w:val="center"/>
          </w:tcPr>
          <w:p w14:paraId="009CDB3A">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付款方式</w:t>
            </w:r>
          </w:p>
        </w:tc>
        <w:tc>
          <w:tcPr>
            <w:tcW w:w="2906" w:type="dxa"/>
          </w:tcPr>
          <w:p w14:paraId="29C0402D">
            <w:pPr>
              <w:spacing w:after="0" w:line="500" w:lineRule="exact"/>
              <w:ind w:firstLine="420" w:firstLineChars="200"/>
              <w:rPr>
                <w:rFonts w:ascii="微软雅黑" w:hAnsi="微软雅黑" w:eastAsia="微软雅黑" w:cs="微软雅黑"/>
                <w:color w:val="auto"/>
                <w:szCs w:val="21"/>
                <w:highlight w:val="none"/>
              </w:rPr>
            </w:pPr>
          </w:p>
        </w:tc>
        <w:tc>
          <w:tcPr>
            <w:tcW w:w="1701" w:type="dxa"/>
          </w:tcPr>
          <w:p w14:paraId="59C965B0">
            <w:pPr>
              <w:pStyle w:val="29"/>
              <w:spacing w:after="0" w:line="500" w:lineRule="exact"/>
              <w:rPr>
                <w:rFonts w:ascii="微软雅黑" w:hAnsi="微软雅黑" w:eastAsia="微软雅黑" w:cs="微软雅黑"/>
                <w:color w:val="auto"/>
                <w:szCs w:val="21"/>
                <w:highlight w:val="none"/>
              </w:rPr>
            </w:pPr>
          </w:p>
        </w:tc>
        <w:tc>
          <w:tcPr>
            <w:tcW w:w="1757" w:type="dxa"/>
          </w:tcPr>
          <w:p w14:paraId="6DD09899">
            <w:pPr>
              <w:pStyle w:val="29"/>
              <w:spacing w:after="0" w:line="500" w:lineRule="exact"/>
              <w:rPr>
                <w:rFonts w:ascii="微软雅黑" w:hAnsi="微软雅黑" w:eastAsia="微软雅黑" w:cs="微软雅黑"/>
                <w:color w:val="auto"/>
                <w:szCs w:val="21"/>
                <w:highlight w:val="none"/>
              </w:rPr>
            </w:pPr>
          </w:p>
        </w:tc>
      </w:tr>
      <w:tr w14:paraId="29D4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84C0FB0">
            <w:pPr>
              <w:pStyle w:val="29"/>
              <w:spacing w:after="0" w:line="500" w:lineRule="exact"/>
              <w:jc w:val="center"/>
              <w:rPr>
                <w:rFonts w:ascii="微软雅黑" w:hAnsi="微软雅黑" w:eastAsia="微软雅黑" w:cs="微软雅黑"/>
                <w:color w:val="auto"/>
                <w:szCs w:val="21"/>
                <w:highlight w:val="none"/>
              </w:rPr>
            </w:pPr>
          </w:p>
        </w:tc>
        <w:tc>
          <w:tcPr>
            <w:tcW w:w="1701" w:type="dxa"/>
            <w:vAlign w:val="center"/>
          </w:tcPr>
          <w:p w14:paraId="54F5EC69">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c>
          <w:tcPr>
            <w:tcW w:w="2906" w:type="dxa"/>
          </w:tcPr>
          <w:p w14:paraId="302AF7FA">
            <w:pPr>
              <w:spacing w:after="0" w:line="500" w:lineRule="exact"/>
              <w:ind w:firstLine="420" w:firstLineChars="200"/>
              <w:rPr>
                <w:rFonts w:ascii="微软雅黑" w:hAnsi="微软雅黑" w:eastAsia="微软雅黑" w:cs="微软雅黑"/>
                <w:color w:val="auto"/>
                <w:szCs w:val="21"/>
                <w:highlight w:val="none"/>
              </w:rPr>
            </w:pPr>
          </w:p>
        </w:tc>
        <w:tc>
          <w:tcPr>
            <w:tcW w:w="1701" w:type="dxa"/>
          </w:tcPr>
          <w:p w14:paraId="731640B2">
            <w:pPr>
              <w:pStyle w:val="29"/>
              <w:spacing w:after="0" w:line="500" w:lineRule="exact"/>
              <w:rPr>
                <w:rFonts w:ascii="微软雅黑" w:hAnsi="微软雅黑" w:eastAsia="微软雅黑" w:cs="微软雅黑"/>
                <w:color w:val="auto"/>
                <w:szCs w:val="21"/>
                <w:highlight w:val="none"/>
              </w:rPr>
            </w:pPr>
          </w:p>
        </w:tc>
        <w:tc>
          <w:tcPr>
            <w:tcW w:w="1757" w:type="dxa"/>
          </w:tcPr>
          <w:p w14:paraId="6C58AEA1">
            <w:pPr>
              <w:pStyle w:val="29"/>
              <w:spacing w:after="0" w:line="500" w:lineRule="exact"/>
              <w:rPr>
                <w:rFonts w:ascii="微软雅黑" w:hAnsi="微软雅黑" w:eastAsia="微软雅黑" w:cs="微软雅黑"/>
                <w:color w:val="auto"/>
                <w:szCs w:val="21"/>
                <w:highlight w:val="none"/>
              </w:rPr>
            </w:pPr>
          </w:p>
        </w:tc>
      </w:tr>
    </w:tbl>
    <w:p w14:paraId="4DB1E3F0">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供应商的响应文件（除技术规格部分）与磋商文件之规定存在偏离的，应在此表中如实说明。未在上表中说明的，将被认为完全响应磋商文件的规定.</w:t>
      </w:r>
    </w:p>
    <w:p w14:paraId="64FDBFB0">
      <w:pPr>
        <w:widowControl/>
        <w:spacing w:line="360" w:lineRule="auto"/>
        <w:jc w:val="left"/>
        <w:rPr>
          <w:rFonts w:ascii="微软雅黑" w:hAnsi="微软雅黑" w:eastAsia="微软雅黑" w:cs="微软雅黑"/>
          <w:color w:val="auto"/>
          <w:szCs w:val="21"/>
          <w:highlight w:val="none"/>
        </w:rPr>
      </w:pPr>
    </w:p>
    <w:p w14:paraId="567A1B8A">
      <w:pPr>
        <w:widowControl/>
        <w:spacing w:line="360" w:lineRule="auto"/>
        <w:jc w:val="left"/>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投标人名称：（盖章）</w:t>
      </w:r>
    </w:p>
    <w:p w14:paraId="15A089BF">
      <w:pPr>
        <w:widowControl/>
        <w:spacing w:line="360" w:lineRule="auto"/>
        <w:jc w:val="left"/>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5CDF0DA0">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shd w:val="clear" w:color="auto" w:fill="FFFFFF"/>
        </w:rPr>
        <w:t>投标日期：  年  月  日</w:t>
      </w:r>
    </w:p>
    <w:p w14:paraId="0E77EEF2">
      <w:pPr>
        <w:snapToGrid w:val="0"/>
        <w:spacing w:before="50" w:line="360" w:lineRule="auto"/>
        <w:jc w:val="left"/>
        <w:rPr>
          <w:rFonts w:ascii="微软雅黑" w:hAnsi="微软雅黑" w:eastAsia="微软雅黑" w:cs="微软雅黑"/>
          <w:b/>
          <w:color w:val="auto"/>
          <w:szCs w:val="21"/>
          <w:highlight w:val="none"/>
        </w:rPr>
        <w:sectPr>
          <w:pgSz w:w="11906" w:h="16838"/>
          <w:pgMar w:top="1440" w:right="1800" w:bottom="1440" w:left="1800" w:header="851" w:footer="851" w:gutter="0"/>
          <w:pgBorders>
            <w:top w:val="none" w:sz="0" w:space="0"/>
            <w:left w:val="none" w:sz="0" w:space="0"/>
            <w:bottom w:val="none" w:sz="0" w:space="0"/>
            <w:right w:val="none" w:sz="0" w:space="0"/>
          </w:pgBorders>
          <w:cols w:space="720" w:num="1"/>
        </w:sectPr>
      </w:pPr>
    </w:p>
    <w:p w14:paraId="4CA5D5C4">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中小企业声明函</w:t>
      </w:r>
    </w:p>
    <w:p w14:paraId="1E1B931F">
      <w:pPr>
        <w:snapToGrid w:val="0"/>
        <w:spacing w:before="50" w:after="50"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中小企业声明函（工程、服务）</w:t>
      </w:r>
    </w:p>
    <w:p w14:paraId="6B5B1F72">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s="微软雅黑"/>
          <w:color w:val="auto"/>
          <w:sz w:val="21"/>
          <w:szCs w:val="21"/>
          <w:highlight w:val="none"/>
          <w:u w:val="single"/>
        </w:rPr>
        <w:t>（单位名称）</w:t>
      </w:r>
      <w:r>
        <w:rPr>
          <w:rFonts w:ascii="微软雅黑" w:hAnsi="微软雅黑" w:eastAsia="微软雅黑" w:cs="微软雅黑"/>
          <w:color w:val="auto"/>
          <w:sz w:val="21"/>
          <w:szCs w:val="21"/>
          <w:highlight w:val="none"/>
        </w:rPr>
        <w:t>的</w:t>
      </w:r>
      <w:r>
        <w:rPr>
          <w:rFonts w:ascii="微软雅黑" w:hAnsi="微软雅黑" w:eastAsia="微软雅黑" w:cs="微软雅黑"/>
          <w:color w:val="auto"/>
          <w:sz w:val="21"/>
          <w:szCs w:val="21"/>
          <w:highlight w:val="none"/>
          <w:u w:val="single"/>
        </w:rPr>
        <w:t>（项目名称）</w:t>
      </w:r>
      <w:r>
        <w:rPr>
          <w:rFonts w:ascii="微软雅黑" w:hAnsi="微软雅黑" w:eastAsia="微软雅黑" w:cs="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3358EBB">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 xml:space="preserve">1. </w:t>
      </w:r>
      <w:r>
        <w:rPr>
          <w:rFonts w:ascii="微软雅黑" w:hAnsi="微软雅黑" w:eastAsia="微软雅黑" w:cs="微软雅黑"/>
          <w:color w:val="auto"/>
          <w:sz w:val="21"/>
          <w:szCs w:val="21"/>
          <w:highlight w:val="none"/>
          <w:u w:val="single"/>
        </w:rPr>
        <w:t>（标的名称）</w:t>
      </w:r>
      <w:r>
        <w:rPr>
          <w:rFonts w:ascii="微软雅黑" w:hAnsi="微软雅黑" w:eastAsia="微软雅黑" w:cs="微软雅黑"/>
          <w:color w:val="auto"/>
          <w:sz w:val="21"/>
          <w:szCs w:val="21"/>
          <w:highlight w:val="none"/>
        </w:rPr>
        <w:t>，属于</w:t>
      </w:r>
      <w:r>
        <w:rPr>
          <w:rFonts w:ascii="微软雅黑" w:hAnsi="微软雅黑" w:eastAsia="微软雅黑" w:cs="微软雅黑"/>
          <w:color w:val="auto"/>
          <w:sz w:val="21"/>
          <w:szCs w:val="21"/>
          <w:highlight w:val="none"/>
          <w:u w:val="single"/>
        </w:rPr>
        <w:t>（采购文件中明确的所属行业）</w:t>
      </w:r>
      <w:r>
        <w:rPr>
          <w:rFonts w:ascii="微软雅黑" w:hAnsi="微软雅黑" w:eastAsia="微软雅黑" w:cs="微软雅黑"/>
          <w:color w:val="auto"/>
          <w:sz w:val="21"/>
          <w:szCs w:val="21"/>
          <w:highlight w:val="none"/>
        </w:rPr>
        <w:t>；承建（承接）企业为</w:t>
      </w:r>
      <w:r>
        <w:rPr>
          <w:rFonts w:ascii="微软雅黑" w:hAnsi="微软雅黑" w:eastAsia="微软雅黑" w:cs="微软雅黑"/>
          <w:color w:val="auto"/>
          <w:sz w:val="21"/>
          <w:szCs w:val="21"/>
          <w:highlight w:val="none"/>
          <w:u w:val="single"/>
        </w:rPr>
        <w:t>（企业名称）</w:t>
      </w:r>
      <w:r>
        <w:rPr>
          <w:rFonts w:ascii="微软雅黑" w:hAnsi="微软雅黑" w:eastAsia="微软雅黑" w:cs="微软雅黑"/>
          <w:color w:val="auto"/>
          <w:sz w:val="21"/>
          <w:szCs w:val="21"/>
          <w:highlight w:val="none"/>
        </w:rPr>
        <w:t>，从业人员人，营业收入为万元，资产总额为万元，属于（中型企业、小型企业、微型企业）；</w:t>
      </w:r>
    </w:p>
    <w:p w14:paraId="69F32219">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 xml:space="preserve">2. </w:t>
      </w:r>
      <w:r>
        <w:rPr>
          <w:rFonts w:ascii="微软雅黑" w:hAnsi="微软雅黑" w:eastAsia="微软雅黑" w:cs="微软雅黑"/>
          <w:color w:val="auto"/>
          <w:sz w:val="21"/>
          <w:szCs w:val="21"/>
          <w:highlight w:val="none"/>
          <w:u w:val="single"/>
        </w:rPr>
        <w:t>（标的名称）</w:t>
      </w:r>
      <w:r>
        <w:rPr>
          <w:rFonts w:ascii="微软雅黑" w:hAnsi="微软雅黑" w:eastAsia="微软雅黑" w:cs="微软雅黑"/>
          <w:color w:val="auto"/>
          <w:sz w:val="21"/>
          <w:szCs w:val="21"/>
          <w:highlight w:val="none"/>
        </w:rPr>
        <w:t>，属于</w:t>
      </w:r>
      <w:r>
        <w:rPr>
          <w:rFonts w:ascii="微软雅黑" w:hAnsi="微软雅黑" w:eastAsia="微软雅黑" w:cs="微软雅黑"/>
          <w:color w:val="auto"/>
          <w:sz w:val="21"/>
          <w:szCs w:val="21"/>
          <w:highlight w:val="none"/>
          <w:u w:val="single"/>
        </w:rPr>
        <w:t>（采购文件中明确的所属行业）</w:t>
      </w:r>
      <w:r>
        <w:rPr>
          <w:rFonts w:ascii="微软雅黑" w:hAnsi="微软雅黑" w:eastAsia="微软雅黑" w:cs="微软雅黑"/>
          <w:color w:val="auto"/>
          <w:sz w:val="21"/>
          <w:szCs w:val="21"/>
          <w:highlight w:val="none"/>
        </w:rPr>
        <w:t>；承建（承接）企业为</w:t>
      </w:r>
      <w:r>
        <w:rPr>
          <w:rFonts w:ascii="微软雅黑" w:hAnsi="微软雅黑" w:eastAsia="微软雅黑" w:cs="微软雅黑"/>
          <w:color w:val="auto"/>
          <w:sz w:val="21"/>
          <w:szCs w:val="21"/>
          <w:highlight w:val="none"/>
          <w:u w:val="single"/>
        </w:rPr>
        <w:t>（企业名称）</w:t>
      </w:r>
      <w:r>
        <w:rPr>
          <w:rFonts w:ascii="微软雅黑" w:hAnsi="微软雅黑" w:eastAsia="微软雅黑" w:cs="微软雅黑"/>
          <w:color w:val="auto"/>
          <w:sz w:val="21"/>
          <w:szCs w:val="21"/>
          <w:highlight w:val="none"/>
        </w:rPr>
        <w:t>，从业人员人，营业收入为万元，资产总额为万元，属于</w:t>
      </w:r>
      <w:r>
        <w:rPr>
          <w:rFonts w:ascii="微软雅黑" w:hAnsi="微软雅黑" w:eastAsia="微软雅黑" w:cs="微软雅黑"/>
          <w:color w:val="auto"/>
          <w:sz w:val="21"/>
          <w:szCs w:val="21"/>
          <w:highlight w:val="none"/>
          <w:u w:val="single"/>
        </w:rPr>
        <w:t>（中型企业、小型企业、微型企业）</w:t>
      </w:r>
      <w:r>
        <w:rPr>
          <w:rFonts w:ascii="微软雅黑" w:hAnsi="微软雅黑" w:eastAsia="微软雅黑" w:cs="微软雅黑"/>
          <w:color w:val="auto"/>
          <w:sz w:val="21"/>
          <w:szCs w:val="21"/>
          <w:highlight w:val="none"/>
        </w:rPr>
        <w:t>；</w:t>
      </w:r>
    </w:p>
    <w:p w14:paraId="51B98E8F">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w:t>
      </w:r>
    </w:p>
    <w:p w14:paraId="6D9645D1">
      <w:pPr>
        <w:pStyle w:val="201"/>
        <w:spacing w:line="360" w:lineRule="auto"/>
        <w:ind w:right="157" w:firstLine="642"/>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以上企业，不属于大企业的分支机构，不存在控股股东为大企业的情形，也不存在与大企业的负责人为同一人的情形。</w:t>
      </w:r>
    </w:p>
    <w:p w14:paraId="4997DD38">
      <w:pPr>
        <w:pStyle w:val="201"/>
        <w:spacing w:line="360" w:lineRule="auto"/>
        <w:ind w:right="157" w:firstLine="642"/>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本企业对上述声明内容的真实性负责。如有虚假，将依法承担相应责任。</w:t>
      </w:r>
    </w:p>
    <w:p w14:paraId="1CC0E9F7">
      <w:pPr>
        <w:pStyle w:val="151"/>
        <w:rPr>
          <w:rFonts w:ascii="微软雅黑" w:hAnsi="微软雅黑" w:eastAsia="微软雅黑" w:cs="微软雅黑"/>
          <w:color w:val="auto"/>
          <w:sz w:val="21"/>
          <w:szCs w:val="21"/>
          <w:highlight w:val="none"/>
        </w:rPr>
      </w:pPr>
    </w:p>
    <w:p w14:paraId="22B1742C">
      <w:pPr>
        <w:pStyle w:val="151"/>
        <w:rPr>
          <w:rFonts w:ascii="微软雅黑" w:hAnsi="微软雅黑" w:eastAsia="微软雅黑" w:cs="微软雅黑"/>
          <w:color w:val="auto"/>
          <w:sz w:val="21"/>
          <w:szCs w:val="21"/>
          <w:highlight w:val="none"/>
        </w:rPr>
      </w:pPr>
    </w:p>
    <w:p w14:paraId="3CE39795">
      <w:pPr>
        <w:pStyle w:val="201"/>
        <w:spacing w:line="360" w:lineRule="auto"/>
        <w:ind w:right="157" w:firstLine="642"/>
        <w:rPr>
          <w:rFonts w:hint="default" w:ascii="微软雅黑" w:hAnsi="微软雅黑" w:eastAsia="微软雅黑" w:cs="微软雅黑"/>
          <w:color w:val="auto"/>
          <w:spacing w:val="20"/>
          <w:sz w:val="21"/>
          <w:szCs w:val="21"/>
          <w:highlight w:val="none"/>
          <w:u w:val="single"/>
        </w:rPr>
      </w:pPr>
      <w:r>
        <w:rPr>
          <w:rFonts w:ascii="微软雅黑" w:hAnsi="微软雅黑" w:eastAsia="微软雅黑" w:cs="微软雅黑"/>
          <w:color w:val="auto"/>
          <w:spacing w:val="20"/>
          <w:sz w:val="21"/>
          <w:szCs w:val="21"/>
          <w:highlight w:val="none"/>
        </w:rPr>
        <w:t>供应商名称：</w:t>
      </w:r>
      <w:r>
        <w:rPr>
          <w:rFonts w:ascii="微软雅黑" w:hAnsi="微软雅黑" w:eastAsia="微软雅黑" w:cs="微软雅黑"/>
          <w:color w:val="auto"/>
          <w:spacing w:val="20"/>
          <w:sz w:val="21"/>
          <w:szCs w:val="21"/>
          <w:highlight w:val="none"/>
          <w:u w:val="single"/>
        </w:rPr>
        <w:t>（盖章）</w:t>
      </w:r>
      <w:r>
        <w:rPr>
          <w:rFonts w:ascii="微软雅黑" w:hAnsi="微软雅黑" w:eastAsia="微软雅黑" w:cs="微软雅黑"/>
          <w:color w:val="auto"/>
          <w:spacing w:val="20"/>
          <w:sz w:val="21"/>
          <w:szCs w:val="21"/>
          <w:highlight w:val="none"/>
        </w:rPr>
        <w:t>日期：</w:t>
      </w:r>
    </w:p>
    <w:p w14:paraId="22B273D2">
      <w:pPr>
        <w:pStyle w:val="151"/>
        <w:rPr>
          <w:rFonts w:ascii="微软雅黑" w:hAnsi="微软雅黑" w:eastAsia="微软雅黑" w:cs="微软雅黑"/>
          <w:color w:val="auto"/>
          <w:sz w:val="21"/>
          <w:szCs w:val="21"/>
          <w:highlight w:val="none"/>
        </w:rPr>
      </w:pPr>
    </w:p>
    <w:p w14:paraId="45424FA1">
      <w:pPr>
        <w:pStyle w:val="40"/>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从业人员、营业收入、资产总额填报上一年度数据，无上一年度数据的新成立企业可不填报。</w:t>
      </w:r>
    </w:p>
    <w:p w14:paraId="04B57D42">
      <w:pPr>
        <w:snapToGrid w:val="0"/>
        <w:spacing w:line="360" w:lineRule="auto"/>
        <w:jc w:val="left"/>
        <w:rPr>
          <w:rFonts w:ascii="微软雅黑" w:hAnsi="微软雅黑" w:eastAsia="微软雅黑" w:cs="微软雅黑"/>
          <w:color w:val="auto"/>
          <w:szCs w:val="21"/>
          <w:highlight w:val="none"/>
        </w:rPr>
      </w:pPr>
    </w:p>
    <w:p w14:paraId="1988376D">
      <w:pPr>
        <w:widowControl/>
        <w:jc w:val="left"/>
        <w:rPr>
          <w:rFonts w:ascii="微软雅黑" w:hAnsi="微软雅黑" w:eastAsia="微软雅黑" w:cs="微软雅黑"/>
          <w:b/>
          <w:color w:val="auto"/>
          <w:szCs w:val="21"/>
          <w:highlight w:val="none"/>
        </w:rPr>
      </w:pPr>
    </w:p>
    <w:p w14:paraId="1617ECF6">
      <w:pPr>
        <w:pStyle w:val="19"/>
        <w:rPr>
          <w:rFonts w:ascii="微软雅黑" w:hAnsi="微软雅黑" w:eastAsia="微软雅黑" w:cs="微软雅黑"/>
          <w:color w:val="auto"/>
          <w:szCs w:val="21"/>
          <w:highlight w:val="none"/>
        </w:rPr>
      </w:pPr>
    </w:p>
    <w:p w14:paraId="780EA5BF">
      <w:pPr>
        <w:widowControl/>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残疾人福利性单位声明函（非残疾人福利性单位无需提供）</w:t>
      </w:r>
    </w:p>
    <w:p w14:paraId="1F90D3E7">
      <w:pPr>
        <w:widowControl/>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残疾人福利性单位声明函</w:t>
      </w:r>
    </w:p>
    <w:p w14:paraId="741787B1">
      <w:pPr>
        <w:widowControl/>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87E12">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本单位对上述声明的真实性负责。如有虚假，将依法承担相应责任。</w:t>
      </w:r>
    </w:p>
    <w:p w14:paraId="091F8DAE">
      <w:pPr>
        <w:widowControl/>
        <w:spacing w:line="360" w:lineRule="auto"/>
        <w:jc w:val="center"/>
        <w:outlineLvl w:val="0"/>
        <w:rPr>
          <w:rFonts w:ascii="微软雅黑" w:hAnsi="微软雅黑" w:eastAsia="微软雅黑" w:cs="微软雅黑"/>
          <w:color w:val="auto"/>
          <w:szCs w:val="21"/>
          <w:highlight w:val="none"/>
        </w:rPr>
      </w:pPr>
      <w:bookmarkStart w:id="600" w:name="_Toc806"/>
      <w:r>
        <w:rPr>
          <w:rFonts w:hint="eastAsia" w:ascii="微软雅黑" w:hAnsi="微软雅黑" w:eastAsia="微软雅黑" w:cs="微软雅黑"/>
          <w:color w:val="auto"/>
          <w:szCs w:val="21"/>
          <w:highlight w:val="none"/>
        </w:rPr>
        <w:t>投标人（盖章）：</w:t>
      </w:r>
      <w:bookmarkEnd w:id="600"/>
    </w:p>
    <w:p w14:paraId="0DD5D37D">
      <w:pPr>
        <w:widowControl/>
        <w:spacing w:line="360" w:lineRule="auto"/>
        <w:jc w:val="center"/>
        <w:outlineLvl w:val="0"/>
        <w:rPr>
          <w:rFonts w:ascii="微软雅黑" w:hAnsi="微软雅黑" w:eastAsia="微软雅黑" w:cs="微软雅黑"/>
          <w:color w:val="auto"/>
          <w:szCs w:val="21"/>
          <w:highlight w:val="none"/>
        </w:rPr>
      </w:pPr>
      <w:bookmarkStart w:id="601" w:name="_Toc19957"/>
      <w:r>
        <w:rPr>
          <w:rFonts w:hint="eastAsia" w:ascii="微软雅黑" w:hAnsi="微软雅黑" w:eastAsia="微软雅黑" w:cs="微软雅黑"/>
          <w:color w:val="auto"/>
          <w:szCs w:val="21"/>
          <w:highlight w:val="none"/>
        </w:rPr>
        <w:t>日期：</w:t>
      </w:r>
      <w:bookmarkEnd w:id="601"/>
    </w:p>
    <w:p w14:paraId="1AD8734C">
      <w:pPr>
        <w:pStyle w:val="19"/>
        <w:rPr>
          <w:rFonts w:ascii="微软雅黑" w:hAnsi="微软雅黑" w:eastAsia="微软雅黑" w:cs="微软雅黑"/>
          <w:color w:val="auto"/>
          <w:szCs w:val="21"/>
          <w:highlight w:val="none"/>
        </w:rPr>
      </w:pPr>
    </w:p>
    <w:p w14:paraId="100C9961">
      <w:pPr>
        <w:pStyle w:val="20"/>
        <w:ind w:firstLine="210"/>
        <w:rPr>
          <w:rFonts w:ascii="微软雅黑" w:hAnsi="微软雅黑" w:eastAsia="微软雅黑" w:cs="微软雅黑"/>
          <w:color w:val="auto"/>
          <w:szCs w:val="21"/>
          <w:highlight w:val="none"/>
        </w:rPr>
      </w:pPr>
    </w:p>
    <w:p w14:paraId="2EC04D75">
      <w:pPr>
        <w:rPr>
          <w:rFonts w:ascii="微软雅黑" w:hAnsi="微软雅黑" w:eastAsia="微软雅黑" w:cs="微软雅黑"/>
          <w:color w:val="auto"/>
          <w:szCs w:val="21"/>
          <w:highlight w:val="none"/>
        </w:rPr>
      </w:pPr>
    </w:p>
    <w:p w14:paraId="3DD5927F">
      <w:pPr>
        <w:pStyle w:val="19"/>
        <w:rPr>
          <w:rFonts w:ascii="微软雅黑" w:hAnsi="微软雅黑" w:eastAsia="微软雅黑" w:cs="微软雅黑"/>
          <w:color w:val="auto"/>
          <w:szCs w:val="21"/>
          <w:highlight w:val="none"/>
        </w:rPr>
      </w:pPr>
    </w:p>
    <w:p w14:paraId="08C24B9A">
      <w:pPr>
        <w:pStyle w:val="20"/>
        <w:ind w:firstLine="210"/>
        <w:rPr>
          <w:rFonts w:ascii="微软雅黑" w:hAnsi="微软雅黑" w:eastAsia="微软雅黑" w:cs="微软雅黑"/>
          <w:color w:val="auto"/>
          <w:szCs w:val="21"/>
          <w:highlight w:val="none"/>
        </w:rPr>
      </w:pPr>
    </w:p>
    <w:p w14:paraId="5F62CD44">
      <w:pPr>
        <w:rPr>
          <w:rFonts w:ascii="微软雅黑" w:hAnsi="微软雅黑" w:eastAsia="微软雅黑" w:cs="微软雅黑"/>
          <w:color w:val="auto"/>
          <w:szCs w:val="21"/>
          <w:highlight w:val="none"/>
        </w:rPr>
      </w:pPr>
    </w:p>
    <w:p w14:paraId="2B127212">
      <w:pPr>
        <w:pStyle w:val="19"/>
        <w:rPr>
          <w:rFonts w:ascii="微软雅黑" w:hAnsi="微软雅黑" w:eastAsia="微软雅黑" w:cs="微软雅黑"/>
          <w:color w:val="auto"/>
          <w:szCs w:val="21"/>
          <w:highlight w:val="none"/>
        </w:rPr>
      </w:pPr>
    </w:p>
    <w:p w14:paraId="4E6703F0">
      <w:pPr>
        <w:pStyle w:val="20"/>
        <w:ind w:firstLine="210"/>
        <w:rPr>
          <w:rFonts w:ascii="微软雅黑" w:hAnsi="微软雅黑" w:eastAsia="微软雅黑" w:cs="微软雅黑"/>
          <w:color w:val="auto"/>
          <w:szCs w:val="21"/>
          <w:highlight w:val="none"/>
        </w:rPr>
      </w:pPr>
    </w:p>
    <w:p w14:paraId="5942ED20">
      <w:pPr>
        <w:rPr>
          <w:rFonts w:ascii="微软雅黑" w:hAnsi="微软雅黑" w:eastAsia="微软雅黑" w:cs="微软雅黑"/>
          <w:color w:val="auto"/>
          <w:szCs w:val="21"/>
          <w:highlight w:val="none"/>
        </w:rPr>
      </w:pPr>
    </w:p>
    <w:p w14:paraId="71964113">
      <w:pPr>
        <w:pStyle w:val="19"/>
        <w:rPr>
          <w:rFonts w:ascii="微软雅黑" w:hAnsi="微软雅黑" w:eastAsia="微软雅黑" w:cs="微软雅黑"/>
          <w:color w:val="auto"/>
          <w:szCs w:val="21"/>
          <w:highlight w:val="none"/>
        </w:rPr>
      </w:pPr>
    </w:p>
    <w:p w14:paraId="66DDDB09">
      <w:pPr>
        <w:pStyle w:val="20"/>
        <w:ind w:firstLine="210"/>
        <w:rPr>
          <w:rFonts w:ascii="微软雅黑" w:hAnsi="微软雅黑" w:eastAsia="微软雅黑" w:cs="微软雅黑"/>
          <w:color w:val="auto"/>
          <w:szCs w:val="21"/>
          <w:highlight w:val="none"/>
        </w:rPr>
      </w:pPr>
    </w:p>
    <w:p w14:paraId="1094C73B">
      <w:pPr>
        <w:rPr>
          <w:rFonts w:ascii="微软雅黑" w:hAnsi="微软雅黑" w:eastAsia="微软雅黑" w:cs="微软雅黑"/>
          <w:color w:val="auto"/>
          <w:szCs w:val="21"/>
          <w:highlight w:val="none"/>
        </w:rPr>
      </w:pPr>
    </w:p>
    <w:p w14:paraId="1E1A96B6">
      <w:pPr>
        <w:pStyle w:val="19"/>
        <w:rPr>
          <w:rFonts w:ascii="微软雅黑" w:hAnsi="微软雅黑" w:eastAsia="微软雅黑" w:cs="微软雅黑"/>
          <w:color w:val="auto"/>
          <w:szCs w:val="21"/>
          <w:highlight w:val="none"/>
        </w:rPr>
      </w:pPr>
    </w:p>
    <w:p w14:paraId="7EC3D8B7">
      <w:pPr>
        <w:pStyle w:val="20"/>
        <w:ind w:firstLine="210"/>
        <w:rPr>
          <w:rFonts w:ascii="微软雅黑" w:hAnsi="微软雅黑" w:eastAsia="微软雅黑" w:cs="微软雅黑"/>
          <w:color w:val="auto"/>
          <w:szCs w:val="21"/>
          <w:highlight w:val="none"/>
        </w:rPr>
      </w:pPr>
    </w:p>
    <w:p w14:paraId="48FBEEFB">
      <w:pPr>
        <w:rPr>
          <w:rFonts w:ascii="微软雅黑" w:hAnsi="微软雅黑" w:eastAsia="微软雅黑" w:cs="微软雅黑"/>
          <w:color w:val="auto"/>
          <w:szCs w:val="21"/>
          <w:highlight w:val="none"/>
        </w:rPr>
      </w:pPr>
    </w:p>
    <w:p w14:paraId="769B197F">
      <w:pPr>
        <w:pStyle w:val="20"/>
        <w:ind w:firstLine="210"/>
        <w:rPr>
          <w:rFonts w:ascii="微软雅黑" w:hAnsi="微软雅黑" w:eastAsia="微软雅黑" w:cs="微软雅黑"/>
          <w:color w:val="auto"/>
          <w:szCs w:val="21"/>
          <w:highlight w:val="none"/>
        </w:rPr>
      </w:pPr>
    </w:p>
    <w:p w14:paraId="5CF4B4C2">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监狱企业证明文件</w:t>
      </w:r>
    </w:p>
    <w:p w14:paraId="7D14C85C">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监狱企业证明文件</w:t>
      </w:r>
    </w:p>
    <w:tbl>
      <w:tblPr>
        <w:tblStyle w:val="53"/>
        <w:tblW w:w="864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647"/>
      </w:tblGrid>
      <w:tr w14:paraId="0AA9BDE3">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8647" w:type="dxa"/>
            <w:vAlign w:val="center"/>
          </w:tcPr>
          <w:p w14:paraId="127816FF">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相关部门出具的监狱企业证明文件</w:t>
            </w:r>
          </w:p>
          <w:p w14:paraId="7385A77E">
            <w:pPr>
              <w:spacing w:line="360" w:lineRule="auto"/>
              <w:jc w:val="center"/>
              <w:rPr>
                <w:rFonts w:ascii="微软雅黑" w:hAnsi="微软雅黑" w:eastAsia="微软雅黑" w:cs="微软雅黑"/>
                <w:b/>
                <w:i/>
                <w:color w:val="auto"/>
                <w:kern w:val="0"/>
                <w:szCs w:val="21"/>
                <w:highlight w:val="none"/>
              </w:rPr>
            </w:pPr>
            <w:r>
              <w:rPr>
                <w:rFonts w:hint="eastAsia" w:ascii="微软雅黑" w:hAnsi="微软雅黑" w:eastAsia="微软雅黑" w:cs="微软雅黑"/>
                <w:color w:val="auto"/>
                <w:szCs w:val="21"/>
                <w:highlight w:val="none"/>
              </w:rPr>
              <w:t>（如是，提供</w:t>
            </w:r>
            <w:r>
              <w:rPr>
                <w:rFonts w:hint="eastAsia" w:ascii="微软雅黑" w:hAnsi="微软雅黑" w:eastAsia="微软雅黑" w:cs="微软雅黑"/>
                <w:color w:val="auto"/>
                <w:kern w:val="0"/>
                <w:szCs w:val="21"/>
                <w:highlight w:val="none"/>
              </w:rPr>
              <w:t>复印件加盖投标供应商公章）</w:t>
            </w:r>
          </w:p>
        </w:tc>
      </w:tr>
    </w:tbl>
    <w:p w14:paraId="3CE3CA71">
      <w:pPr>
        <w:spacing w:line="360" w:lineRule="auto"/>
        <w:rPr>
          <w:rFonts w:ascii="微软雅黑" w:hAnsi="微软雅黑" w:eastAsia="微软雅黑" w:cs="微软雅黑"/>
          <w:i/>
          <w:color w:val="auto"/>
          <w:szCs w:val="21"/>
          <w:highlight w:val="none"/>
        </w:rPr>
      </w:pPr>
    </w:p>
    <w:p w14:paraId="7F5FF580">
      <w:pPr>
        <w:snapToGrid w:val="0"/>
        <w:spacing w:line="360" w:lineRule="auto"/>
        <w:jc w:val="left"/>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投标人名称：（盖章）</w:t>
      </w:r>
    </w:p>
    <w:p w14:paraId="424BAEB9">
      <w:pPr>
        <w:snapToGrid w:val="0"/>
        <w:spacing w:line="360" w:lineRule="auto"/>
        <w:jc w:val="left"/>
        <w:rPr>
          <w:rFonts w:hint="eastAsia" w:ascii="微软雅黑" w:hAnsi="微软雅黑" w:eastAsia="微软雅黑" w:cs="微软雅黑"/>
          <w:color w:val="auto"/>
          <w:szCs w:val="21"/>
          <w:highlight w:val="none"/>
          <w:shd w:val="clear" w:color="auto" w:fill="FFFFFF"/>
          <w:lang w:eastAsia="zh-CN"/>
        </w:rPr>
      </w:pPr>
      <w:r>
        <w:rPr>
          <w:rFonts w:hint="eastAsia" w:ascii="微软雅黑" w:hAnsi="微软雅黑" w:eastAsia="微软雅黑" w:cs="微软雅黑"/>
          <w:color w:val="auto"/>
          <w:szCs w:val="21"/>
          <w:highlight w:val="none"/>
          <w:shd w:val="clear" w:color="auto" w:fill="FFFFFF"/>
        </w:rPr>
        <w:t>法定代表人或授权代表（签字）：</w:t>
      </w:r>
    </w:p>
    <w:p w14:paraId="6CD0D680">
      <w:pPr>
        <w:snapToGrid w:val="0"/>
        <w:spacing w:line="360" w:lineRule="auto"/>
        <w:jc w:val="lef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 年 月 日</w:t>
      </w:r>
    </w:p>
    <w:p w14:paraId="63DCCC36">
      <w:pPr>
        <w:pStyle w:val="552"/>
        <w:rPr>
          <w:rFonts w:ascii="微软雅黑" w:hAnsi="微软雅黑" w:eastAsia="微软雅黑" w:cs="微软雅黑"/>
          <w:color w:val="auto"/>
          <w:szCs w:val="21"/>
          <w:highlight w:val="none"/>
        </w:rPr>
      </w:pPr>
    </w:p>
    <w:p w14:paraId="5D5FB742">
      <w:pPr>
        <w:snapToGrid w:val="0"/>
        <w:spacing w:line="360" w:lineRule="auto"/>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初次报价表</w:t>
      </w:r>
    </w:p>
    <w:p w14:paraId="65363CA9">
      <w:pPr>
        <w:snapToGrid w:val="0"/>
        <w:spacing w:line="360" w:lineRule="auto"/>
        <w:jc w:val="center"/>
        <w:rPr>
          <w:rFonts w:ascii="微软雅黑" w:hAnsi="微软雅黑" w:eastAsia="微软雅黑" w:cs="Tahoma"/>
          <w:b/>
          <w:bCs/>
          <w:color w:val="auto"/>
          <w:kern w:val="36"/>
          <w:sz w:val="32"/>
          <w:szCs w:val="32"/>
          <w:highlight w:val="none"/>
        </w:rPr>
      </w:pPr>
      <w:r>
        <w:rPr>
          <w:rFonts w:ascii="微软雅黑" w:hAnsi="微软雅黑" w:eastAsia="微软雅黑"/>
          <w:b/>
          <w:color w:val="auto"/>
          <w:szCs w:val="21"/>
          <w:highlight w:val="none"/>
        </w:rPr>
        <w:t>开标一览表（标项</w:t>
      </w:r>
      <w:r>
        <w:rPr>
          <w:rFonts w:hint="eastAsia" w:ascii="微软雅黑" w:hAnsi="微软雅黑" w:eastAsia="微软雅黑"/>
          <w:b/>
          <w:color w:val="auto"/>
          <w:szCs w:val="21"/>
          <w:highlight w:val="none"/>
          <w:lang w:val="en-US" w:eastAsia="zh-CN"/>
        </w:rPr>
        <w:t>一</w:t>
      </w:r>
      <w:r>
        <w:rPr>
          <w:rFonts w:ascii="微软雅黑" w:hAnsi="微软雅黑" w:eastAsia="微软雅黑"/>
          <w:b/>
          <w:color w:val="auto"/>
          <w:szCs w:val="21"/>
          <w:highlight w:val="none"/>
        </w:rPr>
        <w:t>）</w:t>
      </w:r>
    </w:p>
    <w:p w14:paraId="13CBFA93">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bCs/>
          <w:color w:val="auto"/>
          <w:highlight w:val="none"/>
          <w:lang w:eastAsia="zh-CN"/>
        </w:rPr>
        <w:t xml:space="preserve">  嘉兴市实验小学2025年度教师疗休养项目</w:t>
      </w:r>
      <w:r>
        <w:rPr>
          <w:rFonts w:hint="eastAsia" w:ascii="微软雅黑" w:hAnsi="微软雅黑" w:eastAsia="微软雅黑" w:cs="Tahoma"/>
          <w:bCs/>
          <w:color w:val="auto"/>
          <w:kern w:val="36"/>
          <w:highlight w:val="none"/>
        </w:rPr>
        <w:t>单位：元/人·次</w:t>
      </w:r>
    </w:p>
    <w:tbl>
      <w:tblPr>
        <w:tblStyle w:val="53"/>
        <w:tblW w:w="8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3"/>
        <w:gridCol w:w="787"/>
        <w:gridCol w:w="673"/>
        <w:gridCol w:w="1506"/>
      </w:tblGrid>
      <w:tr w14:paraId="6E804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3F180637">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名          称</w:t>
            </w:r>
          </w:p>
        </w:tc>
        <w:tc>
          <w:tcPr>
            <w:tcW w:w="787" w:type="dxa"/>
            <w:tcBorders>
              <w:top w:val="single" w:color="auto" w:sz="4" w:space="0"/>
              <w:left w:val="single" w:color="auto" w:sz="4" w:space="0"/>
              <w:bottom w:val="single" w:color="auto" w:sz="4" w:space="0"/>
              <w:right w:val="single" w:color="auto" w:sz="4" w:space="0"/>
            </w:tcBorders>
            <w:vAlign w:val="center"/>
          </w:tcPr>
          <w:p w14:paraId="495251EF">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单 位</w:t>
            </w:r>
          </w:p>
        </w:tc>
        <w:tc>
          <w:tcPr>
            <w:tcW w:w="673" w:type="dxa"/>
            <w:tcBorders>
              <w:top w:val="single" w:color="auto" w:sz="4" w:space="0"/>
              <w:left w:val="single" w:color="auto" w:sz="4" w:space="0"/>
              <w:bottom w:val="single" w:color="auto" w:sz="4" w:space="0"/>
              <w:right w:val="single" w:color="auto" w:sz="4" w:space="0"/>
            </w:tcBorders>
            <w:vAlign w:val="center"/>
          </w:tcPr>
          <w:p w14:paraId="7E235297">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数量</w:t>
            </w:r>
          </w:p>
        </w:tc>
        <w:tc>
          <w:tcPr>
            <w:tcW w:w="1506" w:type="dxa"/>
            <w:tcBorders>
              <w:top w:val="single" w:color="auto" w:sz="4" w:space="0"/>
              <w:left w:val="single" w:color="auto" w:sz="4" w:space="0"/>
              <w:bottom w:val="single" w:color="auto" w:sz="4" w:space="0"/>
              <w:right w:val="single" w:color="auto" w:sz="4" w:space="0"/>
            </w:tcBorders>
            <w:vAlign w:val="center"/>
          </w:tcPr>
          <w:p w14:paraId="3BC2967B">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投标报价</w:t>
            </w:r>
          </w:p>
        </w:tc>
      </w:tr>
      <w:tr w14:paraId="105A2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2322AA72">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线路一：嘉兴（开元森泊）五日游</w:t>
            </w:r>
          </w:p>
        </w:tc>
        <w:tc>
          <w:tcPr>
            <w:tcW w:w="787" w:type="dxa"/>
            <w:tcBorders>
              <w:top w:val="single" w:color="auto" w:sz="4" w:space="0"/>
              <w:left w:val="single" w:color="auto" w:sz="4" w:space="0"/>
              <w:bottom w:val="single" w:color="auto" w:sz="4" w:space="0"/>
              <w:right w:val="single" w:color="auto" w:sz="4" w:space="0"/>
            </w:tcBorders>
            <w:vAlign w:val="center"/>
          </w:tcPr>
          <w:p w14:paraId="08BD5576">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5BC3864A">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2CA3FA1A">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3000</w:t>
            </w:r>
          </w:p>
        </w:tc>
      </w:tr>
      <w:tr w14:paraId="309B0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3FE7F4E1">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线路二：舟山五日游</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722D6E4F">
            <w:pPr>
              <w:widowControl/>
              <w:spacing w:before="75" w:after="75" w:line="300" w:lineRule="atLeast"/>
              <w:jc w:val="center"/>
              <w:rPr>
                <w:rFonts w:hint="eastAsia" w:ascii="微软雅黑" w:hAnsi="微软雅黑" w:eastAsia="微软雅黑" w:cs="Arial"/>
                <w:color w:val="auto"/>
                <w:kern w:val="0"/>
                <w:sz w:val="21"/>
                <w:szCs w:val="21"/>
                <w:highlight w:val="none"/>
                <w:lang w:val="en-US" w:eastAsia="zh-CN" w:bidi="ar-SA"/>
              </w:rPr>
            </w:pPr>
            <w:r>
              <w:rPr>
                <w:rFonts w:hint="eastAsia" w:ascii="微软雅黑" w:hAnsi="微软雅黑" w:eastAsia="微软雅黑" w:cs="Arial"/>
                <w:color w:val="auto"/>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5292ABA2">
            <w:pPr>
              <w:widowControl/>
              <w:spacing w:before="75" w:after="75" w:line="300" w:lineRule="atLeast"/>
              <w:jc w:val="center"/>
              <w:rPr>
                <w:rFonts w:hint="eastAsia" w:ascii="微软雅黑" w:hAnsi="微软雅黑" w:eastAsia="微软雅黑" w:cs="Arial"/>
                <w:color w:val="auto"/>
                <w:kern w:val="0"/>
                <w:sz w:val="21"/>
                <w:szCs w:val="21"/>
                <w:highlight w:val="none"/>
                <w:lang w:val="en-US" w:eastAsia="zh-CN" w:bidi="ar-SA"/>
              </w:rPr>
            </w:pPr>
            <w:r>
              <w:rPr>
                <w:rFonts w:hint="eastAsia" w:ascii="微软雅黑" w:hAnsi="微软雅黑" w:eastAsia="微软雅黑" w:cs="Arial"/>
                <w:color w:val="auto"/>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0D858843">
            <w:pPr>
              <w:widowControl/>
              <w:spacing w:before="75" w:after="75" w:line="300" w:lineRule="atLeast"/>
              <w:jc w:val="center"/>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3000</w:t>
            </w:r>
          </w:p>
        </w:tc>
      </w:tr>
      <w:tr w14:paraId="129F6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7CD5D244">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线路三：台州五日游</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18AABE0">
            <w:pPr>
              <w:widowControl/>
              <w:spacing w:before="75" w:after="75" w:line="300" w:lineRule="atLeast"/>
              <w:jc w:val="center"/>
              <w:rPr>
                <w:rFonts w:hint="eastAsia" w:ascii="微软雅黑" w:hAnsi="微软雅黑" w:eastAsia="微软雅黑" w:cs="Arial"/>
                <w:color w:val="auto"/>
                <w:kern w:val="0"/>
                <w:sz w:val="21"/>
                <w:szCs w:val="21"/>
                <w:highlight w:val="none"/>
                <w:lang w:val="en-US" w:eastAsia="zh-CN" w:bidi="ar-SA"/>
              </w:rPr>
            </w:pPr>
            <w:r>
              <w:rPr>
                <w:rFonts w:hint="eastAsia" w:ascii="微软雅黑" w:hAnsi="微软雅黑" w:eastAsia="微软雅黑" w:cs="Arial"/>
                <w:color w:val="auto"/>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708CA92A">
            <w:pPr>
              <w:widowControl/>
              <w:spacing w:before="75" w:after="75" w:line="300" w:lineRule="atLeast"/>
              <w:jc w:val="center"/>
              <w:rPr>
                <w:rFonts w:hint="eastAsia" w:ascii="微软雅黑" w:hAnsi="微软雅黑" w:eastAsia="微软雅黑" w:cs="Arial"/>
                <w:color w:val="auto"/>
                <w:kern w:val="0"/>
                <w:sz w:val="21"/>
                <w:szCs w:val="21"/>
                <w:highlight w:val="none"/>
                <w:lang w:val="en-US" w:eastAsia="zh-CN" w:bidi="ar-SA"/>
              </w:rPr>
            </w:pPr>
            <w:r>
              <w:rPr>
                <w:rFonts w:hint="eastAsia" w:ascii="微软雅黑" w:hAnsi="微软雅黑" w:eastAsia="微软雅黑" w:cs="Arial"/>
                <w:color w:val="auto"/>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3ABE6C3F">
            <w:pPr>
              <w:widowControl/>
              <w:spacing w:before="75" w:after="75" w:line="300" w:lineRule="atLeast"/>
              <w:jc w:val="center"/>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3000</w:t>
            </w:r>
          </w:p>
        </w:tc>
      </w:tr>
      <w:tr w14:paraId="0F397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3DD1B836">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线路四：桐庐五日游</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4ECA54EA">
            <w:pPr>
              <w:widowControl/>
              <w:spacing w:before="75" w:after="75" w:line="300" w:lineRule="atLeast"/>
              <w:jc w:val="center"/>
              <w:rPr>
                <w:rFonts w:hint="eastAsia" w:ascii="微软雅黑" w:hAnsi="微软雅黑" w:eastAsia="微软雅黑" w:cs="Arial"/>
                <w:color w:val="auto"/>
                <w:kern w:val="0"/>
                <w:sz w:val="21"/>
                <w:szCs w:val="21"/>
                <w:highlight w:val="none"/>
                <w:lang w:val="en-US" w:eastAsia="zh-CN" w:bidi="ar-SA"/>
              </w:rPr>
            </w:pPr>
            <w:r>
              <w:rPr>
                <w:rFonts w:hint="eastAsia" w:ascii="微软雅黑" w:hAnsi="微软雅黑" w:eastAsia="微软雅黑" w:cs="Arial"/>
                <w:color w:val="auto"/>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14:paraId="7D0B48AB">
            <w:pPr>
              <w:widowControl/>
              <w:spacing w:before="75" w:after="75" w:line="300" w:lineRule="atLeast"/>
              <w:jc w:val="center"/>
              <w:rPr>
                <w:rFonts w:hint="eastAsia" w:ascii="微软雅黑" w:hAnsi="微软雅黑" w:eastAsia="微软雅黑" w:cs="Arial"/>
                <w:color w:val="auto"/>
                <w:kern w:val="0"/>
                <w:sz w:val="21"/>
                <w:szCs w:val="21"/>
                <w:highlight w:val="none"/>
                <w:lang w:val="en-US" w:eastAsia="zh-CN" w:bidi="ar-SA"/>
              </w:rPr>
            </w:pPr>
            <w:r>
              <w:rPr>
                <w:rFonts w:hint="eastAsia" w:ascii="微软雅黑" w:hAnsi="微软雅黑" w:eastAsia="微软雅黑" w:cs="Arial"/>
                <w:color w:val="auto"/>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38312E2D">
            <w:pPr>
              <w:widowControl/>
              <w:spacing w:before="75" w:after="75" w:line="300" w:lineRule="atLeast"/>
              <w:jc w:val="center"/>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3000</w:t>
            </w:r>
          </w:p>
        </w:tc>
      </w:tr>
    </w:tbl>
    <w:p w14:paraId="451D8299">
      <w:pPr>
        <w:pStyle w:val="29"/>
        <w:snapToGrid w:val="0"/>
        <w:spacing w:line="360" w:lineRule="auto"/>
        <w:rPr>
          <w:rFonts w:hint="eastAsia" w:ascii="微软雅黑" w:hAnsi="微软雅黑" w:eastAsia="微软雅黑"/>
          <w:b/>
          <w:color w:val="auto"/>
          <w:sz w:val="28"/>
          <w:szCs w:val="28"/>
          <w:highlight w:val="none"/>
          <w:shd w:val="pct10" w:color="auto" w:fill="FFFFFF"/>
        </w:rPr>
      </w:pPr>
      <w:r>
        <w:rPr>
          <w:rFonts w:hint="eastAsia" w:ascii="微软雅黑" w:hAnsi="微软雅黑" w:eastAsia="微软雅黑"/>
          <w:b/>
          <w:color w:val="auto"/>
          <w:sz w:val="28"/>
          <w:szCs w:val="28"/>
          <w:highlight w:val="none"/>
          <w:shd w:val="pct10" w:color="auto" w:fill="FFFFFF"/>
        </w:rPr>
        <w:t>注:▲以上价格不做调整，按单价</w:t>
      </w:r>
      <w:r>
        <w:rPr>
          <w:rFonts w:hint="eastAsia" w:ascii="微软雅黑" w:hAnsi="微软雅黑" w:eastAsia="微软雅黑"/>
          <w:b/>
          <w:color w:val="auto"/>
          <w:sz w:val="28"/>
          <w:szCs w:val="28"/>
          <w:highlight w:val="none"/>
          <w:shd w:val="pct10" w:color="auto" w:fill="FFFFFF"/>
          <w:lang w:val="en-US" w:eastAsia="zh-CN"/>
        </w:rPr>
        <w:t>30</w:t>
      </w:r>
      <w:r>
        <w:rPr>
          <w:rFonts w:ascii="微软雅黑" w:hAnsi="微软雅黑" w:eastAsia="微软雅黑"/>
          <w:b/>
          <w:color w:val="auto"/>
          <w:sz w:val="28"/>
          <w:szCs w:val="28"/>
          <w:highlight w:val="none"/>
          <w:shd w:val="pct10" w:color="auto" w:fill="FFFFFF"/>
        </w:rPr>
        <w:t>00</w:t>
      </w:r>
      <w:r>
        <w:rPr>
          <w:rFonts w:hint="eastAsia" w:ascii="微软雅黑" w:hAnsi="微软雅黑" w:eastAsia="微软雅黑"/>
          <w:b/>
          <w:color w:val="auto"/>
          <w:sz w:val="28"/>
          <w:szCs w:val="28"/>
          <w:highlight w:val="none"/>
          <w:shd w:val="pct10" w:color="auto" w:fill="FFFFFF"/>
        </w:rPr>
        <w:t>元/</w:t>
      </w:r>
      <w:r>
        <w:rPr>
          <w:rFonts w:ascii="微软雅黑" w:hAnsi="微软雅黑" w:eastAsia="微软雅黑"/>
          <w:b/>
          <w:color w:val="auto"/>
          <w:spacing w:val="20"/>
          <w:sz w:val="28"/>
          <w:szCs w:val="28"/>
          <w:highlight w:val="none"/>
          <w:shd w:val="pct10" w:color="auto" w:fill="FFFFFF"/>
        </w:rPr>
        <w:t>人·</w:t>
      </w:r>
      <w:r>
        <w:rPr>
          <w:rFonts w:hint="eastAsia" w:ascii="微软雅黑" w:hAnsi="微软雅黑" w:eastAsia="微软雅黑"/>
          <w:b/>
          <w:color w:val="auto"/>
          <w:spacing w:val="20"/>
          <w:sz w:val="28"/>
          <w:szCs w:val="28"/>
          <w:highlight w:val="none"/>
          <w:shd w:val="pct10" w:color="auto" w:fill="FFFFFF"/>
        </w:rPr>
        <w:t>次进行报价</w:t>
      </w:r>
      <w:r>
        <w:rPr>
          <w:rFonts w:hint="eastAsia" w:ascii="微软雅黑" w:hAnsi="微软雅黑" w:eastAsia="微软雅黑"/>
          <w:b/>
          <w:color w:val="auto"/>
          <w:sz w:val="28"/>
          <w:szCs w:val="28"/>
          <w:highlight w:val="none"/>
          <w:shd w:val="pct10" w:color="auto" w:fill="FFFFFF"/>
        </w:rPr>
        <w:t>,任何改变价格的行为均视为</w:t>
      </w:r>
      <w:r>
        <w:rPr>
          <w:rFonts w:hint="eastAsia" w:ascii="微软雅黑" w:hAnsi="微软雅黑" w:eastAsia="微软雅黑" w:cs="Times New Roman"/>
          <w:b/>
          <w:color w:val="auto"/>
          <w:sz w:val="28"/>
          <w:szCs w:val="28"/>
          <w:highlight w:val="none"/>
          <w:shd w:val="pct10" w:color="auto" w:fill="FFFFFF"/>
        </w:rPr>
        <w:t>无效投标</w:t>
      </w:r>
      <w:r>
        <w:rPr>
          <w:rFonts w:hint="eastAsia" w:ascii="微软雅黑" w:hAnsi="微软雅黑" w:eastAsia="微软雅黑" w:cs="Times New Roman"/>
          <w:b/>
          <w:color w:val="auto"/>
          <w:sz w:val="28"/>
          <w:szCs w:val="28"/>
          <w:highlight w:val="none"/>
          <w:shd w:val="pct10" w:color="auto" w:fill="FFFFFF"/>
          <w:lang w:val="en-US" w:eastAsia="zh-CN"/>
        </w:rPr>
        <w:t>。</w:t>
      </w:r>
    </w:p>
    <w:p w14:paraId="54D21906">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14:paraId="2687EA7A">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2、投标费用包括项目实施所需的人工费、服务费、税费及其他一切费用。</w:t>
      </w:r>
    </w:p>
    <w:p w14:paraId="10CEC7E9">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、以上报价不得超过上限价，任何超过上限价的报价均导致投标被否决。</w:t>
      </w:r>
    </w:p>
    <w:p w14:paraId="284DB7CA">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 xml:space="preserve">法定代表人或授权代表（签字或盖章）： </w:t>
      </w:r>
    </w:p>
    <w:p w14:paraId="55854AFE">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投标人名称（盖章）：</w:t>
      </w:r>
    </w:p>
    <w:p w14:paraId="0F8F0EE5">
      <w:pPr>
        <w:pStyle w:val="29"/>
        <w:snapToGrid w:val="0"/>
        <w:spacing w:line="360" w:lineRule="auto"/>
        <w:rPr>
          <w:rFonts w:hint="eastAsia" w:ascii="微软雅黑" w:hAnsi="微软雅黑" w:eastAsia="微软雅黑"/>
          <w:b/>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eastAsia="微软雅黑"/>
          <w:b/>
          <w:color w:val="auto"/>
          <w:szCs w:val="21"/>
          <w:highlight w:val="none"/>
        </w:rPr>
        <w:t>日 期：</w:t>
      </w:r>
    </w:p>
    <w:p w14:paraId="574039EF">
      <w:pPr>
        <w:snapToGrid w:val="0"/>
        <w:spacing w:line="360" w:lineRule="auto"/>
        <w:jc w:val="center"/>
        <w:rPr>
          <w:rFonts w:ascii="微软雅黑" w:hAnsi="微软雅黑" w:eastAsia="微软雅黑" w:cs="Tahoma"/>
          <w:b/>
          <w:bCs/>
          <w:color w:val="auto"/>
          <w:kern w:val="36"/>
          <w:sz w:val="32"/>
          <w:szCs w:val="32"/>
          <w:highlight w:val="none"/>
        </w:rPr>
      </w:pPr>
      <w:r>
        <w:rPr>
          <w:rFonts w:ascii="微软雅黑" w:hAnsi="微软雅黑" w:eastAsia="微软雅黑"/>
          <w:b/>
          <w:color w:val="auto"/>
          <w:szCs w:val="21"/>
          <w:highlight w:val="none"/>
        </w:rPr>
        <w:t>开标一览表（标项</w:t>
      </w:r>
      <w:r>
        <w:rPr>
          <w:rFonts w:hint="eastAsia" w:ascii="微软雅黑" w:hAnsi="微软雅黑" w:eastAsia="微软雅黑"/>
          <w:b/>
          <w:color w:val="auto"/>
          <w:szCs w:val="21"/>
          <w:highlight w:val="none"/>
          <w:lang w:val="en-US" w:eastAsia="zh-CN"/>
        </w:rPr>
        <w:t>二</w:t>
      </w:r>
      <w:r>
        <w:rPr>
          <w:rFonts w:ascii="微软雅黑" w:hAnsi="微软雅黑" w:eastAsia="微软雅黑"/>
          <w:b/>
          <w:color w:val="auto"/>
          <w:szCs w:val="21"/>
          <w:highlight w:val="none"/>
        </w:rPr>
        <w:t>）</w:t>
      </w:r>
    </w:p>
    <w:p w14:paraId="7F1CD6FD">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bCs/>
          <w:color w:val="auto"/>
          <w:highlight w:val="none"/>
          <w:lang w:eastAsia="zh-CN"/>
        </w:rPr>
        <w:t xml:space="preserve">  嘉兴市实验小学2025年度教师疗休养项目</w:t>
      </w:r>
      <w:r>
        <w:rPr>
          <w:rFonts w:hint="eastAsia" w:ascii="微软雅黑" w:hAnsi="微软雅黑" w:eastAsia="微软雅黑" w:cs="Tahoma"/>
          <w:bCs/>
          <w:color w:val="auto"/>
          <w:kern w:val="36"/>
          <w:highlight w:val="none"/>
        </w:rPr>
        <w:t>单位：元/人·次</w:t>
      </w:r>
    </w:p>
    <w:tbl>
      <w:tblPr>
        <w:tblStyle w:val="53"/>
        <w:tblW w:w="8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3"/>
        <w:gridCol w:w="787"/>
        <w:gridCol w:w="673"/>
        <w:gridCol w:w="1506"/>
      </w:tblGrid>
      <w:tr w14:paraId="6818A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2EED8C66">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名          称</w:t>
            </w:r>
          </w:p>
        </w:tc>
        <w:tc>
          <w:tcPr>
            <w:tcW w:w="787" w:type="dxa"/>
            <w:tcBorders>
              <w:top w:val="single" w:color="auto" w:sz="4" w:space="0"/>
              <w:left w:val="single" w:color="auto" w:sz="4" w:space="0"/>
              <w:bottom w:val="single" w:color="auto" w:sz="4" w:space="0"/>
              <w:right w:val="single" w:color="auto" w:sz="4" w:space="0"/>
            </w:tcBorders>
            <w:vAlign w:val="center"/>
          </w:tcPr>
          <w:p w14:paraId="58689841">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单 位</w:t>
            </w:r>
          </w:p>
        </w:tc>
        <w:tc>
          <w:tcPr>
            <w:tcW w:w="673" w:type="dxa"/>
            <w:tcBorders>
              <w:top w:val="single" w:color="auto" w:sz="4" w:space="0"/>
              <w:left w:val="single" w:color="auto" w:sz="4" w:space="0"/>
              <w:bottom w:val="single" w:color="auto" w:sz="4" w:space="0"/>
              <w:right w:val="single" w:color="auto" w:sz="4" w:space="0"/>
            </w:tcBorders>
            <w:vAlign w:val="center"/>
          </w:tcPr>
          <w:p w14:paraId="7BC79CF7">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数量</w:t>
            </w:r>
          </w:p>
        </w:tc>
        <w:tc>
          <w:tcPr>
            <w:tcW w:w="1506" w:type="dxa"/>
            <w:tcBorders>
              <w:top w:val="single" w:color="auto" w:sz="4" w:space="0"/>
              <w:left w:val="single" w:color="auto" w:sz="4" w:space="0"/>
              <w:bottom w:val="single" w:color="auto" w:sz="4" w:space="0"/>
              <w:right w:val="single" w:color="auto" w:sz="4" w:space="0"/>
            </w:tcBorders>
            <w:vAlign w:val="center"/>
          </w:tcPr>
          <w:p w14:paraId="1E2DD231">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投标报价</w:t>
            </w:r>
          </w:p>
        </w:tc>
      </w:tr>
      <w:tr w14:paraId="75FE9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64C8E8E0">
            <w:pPr>
              <w:widowControl/>
              <w:spacing w:before="75" w:after="75" w:line="300" w:lineRule="atLeast"/>
              <w:jc w:val="center"/>
              <w:rPr>
                <w:rFonts w:hint="default" w:ascii="微软雅黑" w:hAnsi="微软雅黑" w:eastAsia="微软雅黑" w:cs="Arial"/>
                <w:color w:val="auto"/>
                <w:kern w:val="0"/>
                <w:szCs w:val="21"/>
                <w:highlight w:val="none"/>
                <w:lang w:val="en-US" w:eastAsia="zh-CN"/>
              </w:rPr>
            </w:pPr>
            <w:r>
              <w:rPr>
                <w:rFonts w:hint="eastAsia" w:ascii="宋体" w:hAnsi="宋体" w:cs="宋体"/>
                <w:bCs/>
                <w:color w:val="auto"/>
                <w:szCs w:val="21"/>
                <w:lang w:val="en-US" w:eastAsia="zh-CN"/>
              </w:rPr>
              <w:t>线路五：成都六日游</w:t>
            </w:r>
          </w:p>
        </w:tc>
        <w:tc>
          <w:tcPr>
            <w:tcW w:w="787" w:type="dxa"/>
            <w:tcBorders>
              <w:top w:val="single" w:color="auto" w:sz="4" w:space="0"/>
              <w:left w:val="single" w:color="auto" w:sz="4" w:space="0"/>
              <w:bottom w:val="single" w:color="auto" w:sz="4" w:space="0"/>
              <w:right w:val="single" w:color="auto" w:sz="4" w:space="0"/>
            </w:tcBorders>
            <w:vAlign w:val="center"/>
          </w:tcPr>
          <w:p w14:paraId="1C23013C">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46028915">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3E985ACD">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3000</w:t>
            </w:r>
          </w:p>
        </w:tc>
      </w:tr>
      <w:tr w14:paraId="6D79C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5E8A111F">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宋体" w:hAnsi="宋体" w:cs="宋体"/>
                <w:bCs/>
                <w:color w:val="auto"/>
                <w:szCs w:val="21"/>
                <w:lang w:val="en-US" w:eastAsia="zh-CN"/>
              </w:rPr>
              <w:t>线路六：成都六日游</w:t>
            </w:r>
          </w:p>
        </w:tc>
        <w:tc>
          <w:tcPr>
            <w:tcW w:w="787" w:type="dxa"/>
            <w:tcBorders>
              <w:top w:val="single" w:color="auto" w:sz="4" w:space="0"/>
              <w:left w:val="single" w:color="auto" w:sz="4" w:space="0"/>
              <w:bottom w:val="single" w:color="auto" w:sz="4" w:space="0"/>
              <w:right w:val="single" w:color="auto" w:sz="4" w:space="0"/>
            </w:tcBorders>
            <w:vAlign w:val="center"/>
          </w:tcPr>
          <w:p w14:paraId="65EFD858">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43D08D9F">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47880915">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3000</w:t>
            </w:r>
          </w:p>
        </w:tc>
      </w:tr>
      <w:tr w14:paraId="79D8E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1CCC4B98">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宋体" w:hAnsi="宋体" w:cs="宋体"/>
                <w:bCs/>
                <w:color w:val="auto"/>
                <w:szCs w:val="21"/>
                <w:lang w:val="en-US" w:eastAsia="zh-CN"/>
              </w:rPr>
              <w:t>线路七：</w:t>
            </w:r>
            <w:r>
              <w:rPr>
                <w:rFonts w:hint="eastAsia" w:ascii="宋体" w:hAnsi="宋体" w:eastAsia="宋体" w:cs="宋体"/>
                <w:bCs/>
                <w:color w:val="auto"/>
                <w:szCs w:val="21"/>
                <w:lang w:val="en-US" w:eastAsia="zh-CN"/>
              </w:rPr>
              <w:t>嘉兴</w:t>
            </w:r>
            <w:r>
              <w:rPr>
                <w:rFonts w:hint="eastAsia" w:ascii="宋体" w:hAnsi="宋体" w:cs="宋体"/>
                <w:bCs/>
                <w:color w:val="auto"/>
                <w:szCs w:val="21"/>
                <w:lang w:val="en-US" w:eastAsia="zh-CN"/>
              </w:rPr>
              <w:t>（开元森泊）</w:t>
            </w:r>
            <w:r>
              <w:rPr>
                <w:rFonts w:hint="eastAsia" w:ascii="宋体" w:hAnsi="宋体" w:eastAsia="宋体" w:cs="宋体"/>
                <w:bCs/>
                <w:color w:val="auto"/>
                <w:szCs w:val="21"/>
                <w:lang w:val="en-US" w:eastAsia="zh-CN"/>
              </w:rPr>
              <w:t>五日游</w:t>
            </w:r>
          </w:p>
        </w:tc>
        <w:tc>
          <w:tcPr>
            <w:tcW w:w="787" w:type="dxa"/>
            <w:tcBorders>
              <w:top w:val="single" w:color="auto" w:sz="4" w:space="0"/>
              <w:left w:val="single" w:color="auto" w:sz="4" w:space="0"/>
              <w:bottom w:val="single" w:color="auto" w:sz="4" w:space="0"/>
              <w:right w:val="single" w:color="auto" w:sz="4" w:space="0"/>
            </w:tcBorders>
            <w:vAlign w:val="center"/>
          </w:tcPr>
          <w:p w14:paraId="08344DA0">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096A2E90">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169AA4D3">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3000</w:t>
            </w:r>
          </w:p>
        </w:tc>
      </w:tr>
    </w:tbl>
    <w:p w14:paraId="5AF80ECC">
      <w:pPr>
        <w:pStyle w:val="29"/>
        <w:snapToGrid w:val="0"/>
        <w:spacing w:line="360" w:lineRule="auto"/>
        <w:rPr>
          <w:rFonts w:hint="eastAsia" w:ascii="微软雅黑" w:hAnsi="微软雅黑" w:eastAsia="微软雅黑"/>
          <w:b/>
          <w:color w:val="auto"/>
          <w:sz w:val="28"/>
          <w:szCs w:val="28"/>
          <w:highlight w:val="none"/>
          <w:shd w:val="pct10" w:color="auto" w:fill="FFFFFF"/>
        </w:rPr>
      </w:pPr>
      <w:r>
        <w:rPr>
          <w:rFonts w:hint="eastAsia" w:ascii="微软雅黑" w:hAnsi="微软雅黑" w:eastAsia="微软雅黑"/>
          <w:b/>
          <w:color w:val="auto"/>
          <w:sz w:val="28"/>
          <w:szCs w:val="28"/>
          <w:highlight w:val="none"/>
          <w:shd w:val="pct10" w:color="auto" w:fill="FFFFFF"/>
        </w:rPr>
        <w:t>注:▲以上价格不做调整，按单价</w:t>
      </w:r>
      <w:r>
        <w:rPr>
          <w:rFonts w:hint="eastAsia" w:ascii="微软雅黑" w:hAnsi="微软雅黑" w:eastAsia="微软雅黑"/>
          <w:b/>
          <w:color w:val="auto"/>
          <w:sz w:val="28"/>
          <w:szCs w:val="28"/>
          <w:highlight w:val="none"/>
          <w:shd w:val="pct10" w:color="auto" w:fill="FFFFFF"/>
          <w:lang w:val="en-US" w:eastAsia="zh-CN"/>
        </w:rPr>
        <w:t>30</w:t>
      </w:r>
      <w:r>
        <w:rPr>
          <w:rFonts w:ascii="微软雅黑" w:hAnsi="微软雅黑" w:eastAsia="微软雅黑"/>
          <w:b/>
          <w:color w:val="auto"/>
          <w:sz w:val="28"/>
          <w:szCs w:val="28"/>
          <w:highlight w:val="none"/>
          <w:shd w:val="pct10" w:color="auto" w:fill="FFFFFF"/>
        </w:rPr>
        <w:t>00</w:t>
      </w:r>
      <w:r>
        <w:rPr>
          <w:rFonts w:hint="eastAsia" w:ascii="微软雅黑" w:hAnsi="微软雅黑" w:eastAsia="微软雅黑"/>
          <w:b/>
          <w:color w:val="auto"/>
          <w:sz w:val="28"/>
          <w:szCs w:val="28"/>
          <w:highlight w:val="none"/>
          <w:shd w:val="pct10" w:color="auto" w:fill="FFFFFF"/>
        </w:rPr>
        <w:t>元/</w:t>
      </w:r>
      <w:r>
        <w:rPr>
          <w:rFonts w:ascii="微软雅黑" w:hAnsi="微软雅黑" w:eastAsia="微软雅黑"/>
          <w:b/>
          <w:color w:val="auto"/>
          <w:spacing w:val="20"/>
          <w:sz w:val="28"/>
          <w:szCs w:val="28"/>
          <w:highlight w:val="none"/>
          <w:shd w:val="pct10" w:color="auto" w:fill="FFFFFF"/>
        </w:rPr>
        <w:t>人·</w:t>
      </w:r>
      <w:r>
        <w:rPr>
          <w:rFonts w:hint="eastAsia" w:ascii="微软雅黑" w:hAnsi="微软雅黑" w:eastAsia="微软雅黑"/>
          <w:b/>
          <w:color w:val="auto"/>
          <w:spacing w:val="20"/>
          <w:sz w:val="28"/>
          <w:szCs w:val="28"/>
          <w:highlight w:val="none"/>
          <w:shd w:val="pct10" w:color="auto" w:fill="FFFFFF"/>
        </w:rPr>
        <w:t>次进行报价</w:t>
      </w:r>
      <w:r>
        <w:rPr>
          <w:rFonts w:hint="eastAsia" w:ascii="微软雅黑" w:hAnsi="微软雅黑" w:eastAsia="微软雅黑"/>
          <w:b/>
          <w:color w:val="auto"/>
          <w:sz w:val="28"/>
          <w:szCs w:val="28"/>
          <w:highlight w:val="none"/>
          <w:shd w:val="pct10" w:color="auto" w:fill="FFFFFF"/>
        </w:rPr>
        <w:t>,任何改变价格的行为均视为</w:t>
      </w:r>
      <w:r>
        <w:rPr>
          <w:rFonts w:hint="eastAsia" w:ascii="微软雅黑" w:hAnsi="微软雅黑" w:eastAsia="微软雅黑" w:cs="Times New Roman"/>
          <w:b/>
          <w:color w:val="auto"/>
          <w:sz w:val="28"/>
          <w:szCs w:val="28"/>
          <w:highlight w:val="none"/>
          <w:shd w:val="pct10" w:color="auto" w:fill="FFFFFF"/>
        </w:rPr>
        <w:t>无效投标</w:t>
      </w:r>
      <w:r>
        <w:rPr>
          <w:rFonts w:hint="eastAsia" w:ascii="微软雅黑" w:hAnsi="微软雅黑" w:eastAsia="微软雅黑" w:cs="Times New Roman"/>
          <w:b/>
          <w:color w:val="auto"/>
          <w:sz w:val="28"/>
          <w:szCs w:val="28"/>
          <w:highlight w:val="none"/>
          <w:shd w:val="pct10" w:color="auto" w:fill="FFFFFF"/>
          <w:lang w:val="en-US" w:eastAsia="zh-CN"/>
        </w:rPr>
        <w:t>。</w:t>
      </w:r>
    </w:p>
    <w:p w14:paraId="508C6790">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14:paraId="070D20F3">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2、投标费用包括项目实施所需的人工费、服务费、税费及其他一切费用。</w:t>
      </w:r>
    </w:p>
    <w:p w14:paraId="2093BCAF">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、以上报价不得超过上限价，任何超过上限价的报价均导致投标被否决。</w:t>
      </w:r>
    </w:p>
    <w:p w14:paraId="30DD5917">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 xml:space="preserve">法定代表人或授权代表（签字或盖章）： </w:t>
      </w:r>
    </w:p>
    <w:p w14:paraId="74E352B7">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投标人名称（盖章）：</w:t>
      </w:r>
    </w:p>
    <w:p w14:paraId="26F1CA4A">
      <w:pPr>
        <w:pStyle w:val="29"/>
        <w:snapToGrid w:val="0"/>
        <w:spacing w:line="360" w:lineRule="auto"/>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日 期：</w:t>
      </w:r>
    </w:p>
    <w:p w14:paraId="5DED3DFB">
      <w:pPr>
        <w:pStyle w:val="29"/>
        <w:snapToGrid w:val="0"/>
        <w:spacing w:line="360" w:lineRule="auto"/>
        <w:rPr>
          <w:rFonts w:hint="eastAsia" w:ascii="微软雅黑" w:hAnsi="微软雅黑" w:eastAsia="微软雅黑"/>
          <w:b/>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14:paraId="2C13F23E">
      <w:pPr>
        <w:snapToGrid w:val="0"/>
        <w:spacing w:line="360" w:lineRule="auto"/>
        <w:jc w:val="center"/>
        <w:rPr>
          <w:rFonts w:ascii="微软雅黑" w:hAnsi="微软雅黑" w:eastAsia="微软雅黑" w:cs="Tahoma"/>
          <w:b/>
          <w:bCs/>
          <w:color w:val="auto"/>
          <w:kern w:val="36"/>
          <w:sz w:val="32"/>
          <w:szCs w:val="32"/>
          <w:highlight w:val="none"/>
        </w:rPr>
      </w:pPr>
      <w:r>
        <w:rPr>
          <w:rFonts w:ascii="微软雅黑" w:hAnsi="微软雅黑" w:eastAsia="微软雅黑"/>
          <w:b/>
          <w:color w:val="auto"/>
          <w:szCs w:val="21"/>
          <w:highlight w:val="none"/>
        </w:rPr>
        <w:t>开标一览表（标项</w:t>
      </w:r>
      <w:r>
        <w:rPr>
          <w:rFonts w:hint="eastAsia" w:ascii="微软雅黑" w:hAnsi="微软雅黑" w:eastAsia="微软雅黑"/>
          <w:b/>
          <w:color w:val="auto"/>
          <w:szCs w:val="21"/>
          <w:highlight w:val="none"/>
          <w:lang w:val="en-US" w:eastAsia="zh-CN"/>
        </w:rPr>
        <w:t>三</w:t>
      </w:r>
      <w:r>
        <w:rPr>
          <w:rFonts w:ascii="微软雅黑" w:hAnsi="微软雅黑" w:eastAsia="微软雅黑"/>
          <w:b/>
          <w:color w:val="auto"/>
          <w:szCs w:val="21"/>
          <w:highlight w:val="none"/>
        </w:rPr>
        <w:t>）</w:t>
      </w:r>
    </w:p>
    <w:p w14:paraId="3FF27280">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bCs/>
          <w:color w:val="auto"/>
          <w:highlight w:val="none"/>
          <w:lang w:eastAsia="zh-CN"/>
        </w:rPr>
        <w:t xml:space="preserve">  嘉兴市实验小学2025年度教师疗休养项目</w:t>
      </w:r>
      <w:r>
        <w:rPr>
          <w:rFonts w:hint="eastAsia" w:ascii="微软雅黑" w:hAnsi="微软雅黑" w:eastAsia="微软雅黑" w:cs="Tahoma"/>
          <w:bCs/>
          <w:color w:val="auto"/>
          <w:kern w:val="36"/>
          <w:highlight w:val="none"/>
        </w:rPr>
        <w:t>单位：元/人·次</w:t>
      </w:r>
    </w:p>
    <w:tbl>
      <w:tblPr>
        <w:tblStyle w:val="53"/>
        <w:tblW w:w="8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3"/>
        <w:gridCol w:w="787"/>
        <w:gridCol w:w="673"/>
        <w:gridCol w:w="1506"/>
      </w:tblGrid>
      <w:tr w14:paraId="10C5F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47BB6F22">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名          称</w:t>
            </w:r>
          </w:p>
        </w:tc>
        <w:tc>
          <w:tcPr>
            <w:tcW w:w="787" w:type="dxa"/>
            <w:tcBorders>
              <w:top w:val="single" w:color="auto" w:sz="4" w:space="0"/>
              <w:left w:val="single" w:color="auto" w:sz="4" w:space="0"/>
              <w:bottom w:val="single" w:color="auto" w:sz="4" w:space="0"/>
              <w:right w:val="single" w:color="auto" w:sz="4" w:space="0"/>
            </w:tcBorders>
            <w:vAlign w:val="center"/>
          </w:tcPr>
          <w:p w14:paraId="2E6F57A8">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单 位</w:t>
            </w:r>
          </w:p>
        </w:tc>
        <w:tc>
          <w:tcPr>
            <w:tcW w:w="673" w:type="dxa"/>
            <w:tcBorders>
              <w:top w:val="single" w:color="auto" w:sz="4" w:space="0"/>
              <w:left w:val="single" w:color="auto" w:sz="4" w:space="0"/>
              <w:bottom w:val="single" w:color="auto" w:sz="4" w:space="0"/>
              <w:right w:val="single" w:color="auto" w:sz="4" w:space="0"/>
            </w:tcBorders>
            <w:vAlign w:val="center"/>
          </w:tcPr>
          <w:p w14:paraId="3B944C20">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数量</w:t>
            </w:r>
          </w:p>
        </w:tc>
        <w:tc>
          <w:tcPr>
            <w:tcW w:w="1506" w:type="dxa"/>
            <w:tcBorders>
              <w:top w:val="single" w:color="auto" w:sz="4" w:space="0"/>
              <w:left w:val="single" w:color="auto" w:sz="4" w:space="0"/>
              <w:bottom w:val="single" w:color="auto" w:sz="4" w:space="0"/>
              <w:right w:val="single" w:color="auto" w:sz="4" w:space="0"/>
            </w:tcBorders>
            <w:vAlign w:val="center"/>
          </w:tcPr>
          <w:p w14:paraId="3C41D789">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投标报价</w:t>
            </w:r>
          </w:p>
        </w:tc>
      </w:tr>
      <w:tr w14:paraId="465CF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233D92CC">
            <w:pPr>
              <w:widowControl/>
              <w:spacing w:before="75" w:after="75" w:line="300" w:lineRule="atLeast"/>
              <w:jc w:val="center"/>
              <w:rPr>
                <w:rFonts w:hint="default" w:ascii="微软雅黑" w:hAnsi="微软雅黑" w:eastAsia="微软雅黑" w:cs="Arial"/>
                <w:color w:val="auto"/>
                <w:kern w:val="0"/>
                <w:szCs w:val="21"/>
                <w:highlight w:val="none"/>
                <w:lang w:val="en-US" w:eastAsia="zh-CN"/>
              </w:rPr>
            </w:pPr>
            <w:bookmarkStart w:id="603" w:name="_GoBack"/>
            <w:r>
              <w:rPr>
                <w:rFonts w:hint="eastAsia" w:ascii="微软雅黑" w:hAnsi="微软雅黑" w:eastAsia="微软雅黑" w:cs="Arial"/>
                <w:color w:val="auto"/>
                <w:kern w:val="0"/>
                <w:szCs w:val="21"/>
                <w:highlight w:val="none"/>
                <w:lang w:val="en-US" w:eastAsia="zh-CN"/>
              </w:rPr>
              <w:t>线路八：嘉兴红色之旅五日游</w:t>
            </w:r>
            <w:bookmarkEnd w:id="603"/>
          </w:p>
        </w:tc>
        <w:tc>
          <w:tcPr>
            <w:tcW w:w="787" w:type="dxa"/>
            <w:tcBorders>
              <w:top w:val="single" w:color="auto" w:sz="4" w:space="0"/>
              <w:left w:val="single" w:color="auto" w:sz="4" w:space="0"/>
              <w:bottom w:val="single" w:color="auto" w:sz="4" w:space="0"/>
              <w:right w:val="single" w:color="auto" w:sz="4" w:space="0"/>
            </w:tcBorders>
            <w:vAlign w:val="center"/>
          </w:tcPr>
          <w:p w14:paraId="5A5A2ABE">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54C60401">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1</w:t>
            </w:r>
          </w:p>
        </w:tc>
        <w:tc>
          <w:tcPr>
            <w:tcW w:w="1506" w:type="dxa"/>
            <w:tcBorders>
              <w:top w:val="single" w:color="auto" w:sz="4" w:space="0"/>
              <w:left w:val="single" w:color="auto" w:sz="4" w:space="0"/>
              <w:bottom w:val="single" w:color="auto" w:sz="4" w:space="0"/>
              <w:right w:val="single" w:color="auto" w:sz="4" w:space="0"/>
            </w:tcBorders>
            <w:vAlign w:val="center"/>
          </w:tcPr>
          <w:p w14:paraId="0A655E83">
            <w:pPr>
              <w:widowControl/>
              <w:spacing w:before="75" w:after="75" w:line="300" w:lineRule="atLeast"/>
              <w:jc w:val="center"/>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3000</w:t>
            </w:r>
          </w:p>
        </w:tc>
      </w:tr>
    </w:tbl>
    <w:p w14:paraId="01BD9AF4">
      <w:pPr>
        <w:pStyle w:val="29"/>
        <w:snapToGrid w:val="0"/>
        <w:spacing w:line="360" w:lineRule="auto"/>
        <w:rPr>
          <w:rFonts w:hint="eastAsia" w:ascii="微软雅黑" w:hAnsi="微软雅黑" w:eastAsia="微软雅黑"/>
          <w:b/>
          <w:color w:val="auto"/>
          <w:sz w:val="28"/>
          <w:szCs w:val="28"/>
          <w:highlight w:val="none"/>
          <w:shd w:val="pct10" w:color="auto" w:fill="FFFFFF"/>
        </w:rPr>
      </w:pPr>
      <w:r>
        <w:rPr>
          <w:rFonts w:hint="eastAsia" w:ascii="微软雅黑" w:hAnsi="微软雅黑" w:eastAsia="微软雅黑"/>
          <w:b/>
          <w:color w:val="auto"/>
          <w:sz w:val="28"/>
          <w:szCs w:val="28"/>
          <w:highlight w:val="none"/>
          <w:shd w:val="pct10" w:color="auto" w:fill="FFFFFF"/>
        </w:rPr>
        <w:t>注:▲以上价格不做调整，按单价</w:t>
      </w:r>
      <w:r>
        <w:rPr>
          <w:rFonts w:hint="eastAsia" w:ascii="微软雅黑" w:hAnsi="微软雅黑" w:eastAsia="微软雅黑"/>
          <w:b/>
          <w:color w:val="auto"/>
          <w:sz w:val="28"/>
          <w:szCs w:val="28"/>
          <w:highlight w:val="none"/>
          <w:shd w:val="pct10" w:color="auto" w:fill="FFFFFF"/>
          <w:lang w:val="en-US" w:eastAsia="zh-CN"/>
        </w:rPr>
        <w:t>30</w:t>
      </w:r>
      <w:r>
        <w:rPr>
          <w:rFonts w:ascii="微软雅黑" w:hAnsi="微软雅黑" w:eastAsia="微软雅黑"/>
          <w:b/>
          <w:color w:val="auto"/>
          <w:sz w:val="28"/>
          <w:szCs w:val="28"/>
          <w:highlight w:val="none"/>
          <w:shd w:val="pct10" w:color="auto" w:fill="FFFFFF"/>
        </w:rPr>
        <w:t>00</w:t>
      </w:r>
      <w:r>
        <w:rPr>
          <w:rFonts w:hint="eastAsia" w:ascii="微软雅黑" w:hAnsi="微软雅黑" w:eastAsia="微软雅黑"/>
          <w:b/>
          <w:color w:val="auto"/>
          <w:sz w:val="28"/>
          <w:szCs w:val="28"/>
          <w:highlight w:val="none"/>
          <w:shd w:val="pct10" w:color="auto" w:fill="FFFFFF"/>
        </w:rPr>
        <w:t>元/</w:t>
      </w:r>
      <w:r>
        <w:rPr>
          <w:rFonts w:ascii="微软雅黑" w:hAnsi="微软雅黑" w:eastAsia="微软雅黑"/>
          <w:b/>
          <w:color w:val="auto"/>
          <w:spacing w:val="20"/>
          <w:sz w:val="28"/>
          <w:szCs w:val="28"/>
          <w:highlight w:val="none"/>
          <w:shd w:val="pct10" w:color="auto" w:fill="FFFFFF"/>
        </w:rPr>
        <w:t>人·</w:t>
      </w:r>
      <w:r>
        <w:rPr>
          <w:rFonts w:hint="eastAsia" w:ascii="微软雅黑" w:hAnsi="微软雅黑" w:eastAsia="微软雅黑"/>
          <w:b/>
          <w:color w:val="auto"/>
          <w:spacing w:val="20"/>
          <w:sz w:val="28"/>
          <w:szCs w:val="28"/>
          <w:highlight w:val="none"/>
          <w:shd w:val="pct10" w:color="auto" w:fill="FFFFFF"/>
        </w:rPr>
        <w:t>次进行报价</w:t>
      </w:r>
      <w:r>
        <w:rPr>
          <w:rFonts w:hint="eastAsia" w:ascii="微软雅黑" w:hAnsi="微软雅黑" w:eastAsia="微软雅黑"/>
          <w:b/>
          <w:color w:val="auto"/>
          <w:sz w:val="28"/>
          <w:szCs w:val="28"/>
          <w:highlight w:val="none"/>
          <w:shd w:val="pct10" w:color="auto" w:fill="FFFFFF"/>
        </w:rPr>
        <w:t>,任何改变价格的行为均视为</w:t>
      </w:r>
      <w:r>
        <w:rPr>
          <w:rFonts w:hint="eastAsia" w:ascii="微软雅黑" w:hAnsi="微软雅黑" w:eastAsia="微软雅黑" w:cs="Times New Roman"/>
          <w:b/>
          <w:color w:val="auto"/>
          <w:sz w:val="28"/>
          <w:szCs w:val="28"/>
          <w:highlight w:val="none"/>
          <w:shd w:val="pct10" w:color="auto" w:fill="FFFFFF"/>
        </w:rPr>
        <w:t>无效投标</w:t>
      </w:r>
      <w:r>
        <w:rPr>
          <w:rFonts w:hint="eastAsia" w:ascii="微软雅黑" w:hAnsi="微软雅黑" w:eastAsia="微软雅黑" w:cs="Times New Roman"/>
          <w:b/>
          <w:color w:val="auto"/>
          <w:sz w:val="28"/>
          <w:szCs w:val="28"/>
          <w:highlight w:val="none"/>
          <w:shd w:val="pct10" w:color="auto" w:fill="FFFFFF"/>
          <w:lang w:val="en-US" w:eastAsia="zh-CN"/>
        </w:rPr>
        <w:t>。</w:t>
      </w:r>
    </w:p>
    <w:p w14:paraId="71A30944">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14:paraId="2F237A6E">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2、投标费用包括项目实施所需的人工费、服务费、税费及其他一切费用。</w:t>
      </w:r>
    </w:p>
    <w:p w14:paraId="20001E73">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、以上报价不得超过上限价，任何超过上限价的报价均导致投标被否决。</w:t>
      </w:r>
    </w:p>
    <w:p w14:paraId="55AB2BCC">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 xml:space="preserve">法定代表人或授权代表（签字或盖章）： </w:t>
      </w:r>
    </w:p>
    <w:p w14:paraId="33D4459B">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投标人名称（盖章）：</w:t>
      </w:r>
    </w:p>
    <w:p w14:paraId="320B4818">
      <w:pPr>
        <w:pStyle w:val="29"/>
        <w:snapToGrid w:val="0"/>
        <w:spacing w:line="360" w:lineRule="auto"/>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日 期：</w:t>
      </w:r>
    </w:p>
    <w:p w14:paraId="1FA8BFAC">
      <w:pPr>
        <w:pStyle w:val="29"/>
        <w:snapToGrid w:val="0"/>
        <w:spacing w:line="360" w:lineRule="auto"/>
        <w:rPr>
          <w:rFonts w:hint="eastAsia" w:ascii="微软雅黑" w:hAnsi="微软雅黑" w:eastAsia="微软雅黑"/>
          <w:b/>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14:paraId="7A3E13FB">
      <w:pPr>
        <w:shd w:val="clear" w:color="auto" w:fill="FFFFFF"/>
        <w:spacing w:before="156" w:line="330" w:lineRule="atLeast"/>
        <w:ind w:firstLine="42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附件：</w:t>
      </w:r>
    </w:p>
    <w:p w14:paraId="68B342D5">
      <w:pPr>
        <w:shd w:val="clear" w:color="auto" w:fill="FFFFFF"/>
        <w:spacing w:before="156" w:line="330" w:lineRule="atLeast"/>
        <w:ind w:firstLine="420"/>
        <w:jc w:val="center"/>
        <w:rPr>
          <w:rFonts w:ascii="微软雅黑" w:hAnsi="微软雅黑" w:eastAsia="微软雅黑" w:cs="微软雅黑"/>
          <w:b/>
          <w:color w:val="auto"/>
          <w:szCs w:val="21"/>
          <w:highlight w:val="none"/>
        </w:rPr>
      </w:pPr>
    </w:p>
    <w:p w14:paraId="56BFEFC0">
      <w:pPr>
        <w:shd w:val="clear" w:color="auto" w:fill="FFFFFF"/>
        <w:spacing w:before="156" w:line="330" w:lineRule="atLeast"/>
        <w:ind w:firstLine="42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国家统计局关于印发统计上大中小微型企业划分办法的通知</w:t>
      </w:r>
    </w:p>
    <w:p w14:paraId="106DBF5F">
      <w:pPr>
        <w:shd w:val="clear" w:color="auto" w:fill="FFFFFF"/>
        <w:spacing w:line="330" w:lineRule="atLeast"/>
        <w:ind w:firstLine="420"/>
        <w:jc w:val="center"/>
        <w:outlineLvl w:val="0"/>
        <w:rPr>
          <w:rFonts w:ascii="微软雅黑" w:hAnsi="微软雅黑" w:eastAsia="微软雅黑" w:cs="微软雅黑"/>
          <w:bCs/>
          <w:color w:val="auto"/>
          <w:szCs w:val="21"/>
          <w:highlight w:val="none"/>
        </w:rPr>
      </w:pPr>
      <w:bookmarkStart w:id="602" w:name="_Toc26183"/>
      <w:r>
        <w:rPr>
          <w:rFonts w:hint="eastAsia" w:ascii="微软雅黑" w:hAnsi="微软雅黑" w:eastAsia="微软雅黑" w:cs="微软雅黑"/>
          <w:color w:val="auto"/>
          <w:szCs w:val="21"/>
          <w:highlight w:val="none"/>
        </w:rPr>
        <w:t>国统字〔2011〕75号</w:t>
      </w:r>
      <w:bookmarkEnd w:id="602"/>
    </w:p>
    <w:p w14:paraId="724BAC24">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79C289D5">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各省、自治区、直辖市统计局，新疆生产建设兵团统计局，国家统计局各调查总队，国务院有关部门：</w:t>
      </w:r>
    </w:p>
    <w:p w14:paraId="3435D766">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0EBE9559">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04D7028E">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662D0A56">
      <w:pPr>
        <w:shd w:val="clear" w:color="auto" w:fill="FFFFFF"/>
        <w:wordWrap w:val="0"/>
        <w:spacing w:line="330" w:lineRule="atLeast"/>
        <w:ind w:firstLine="420"/>
        <w:jc w:val="righ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国家统计局 </w:t>
      </w:r>
    </w:p>
    <w:p w14:paraId="220B1849">
      <w:pPr>
        <w:shd w:val="clear" w:color="auto" w:fill="FFFFFF"/>
        <w:spacing w:line="330" w:lineRule="atLeast"/>
        <w:ind w:firstLine="420"/>
        <w:jc w:val="righ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二〇一一年九月二日</w:t>
      </w:r>
    </w:p>
    <w:p w14:paraId="3D536F2C">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65F508E6">
      <w:pPr>
        <w:shd w:val="clear" w:color="auto" w:fill="FFFFFF"/>
        <w:spacing w:line="330" w:lineRule="atLeast"/>
        <w:ind w:firstLine="42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统计上大中小微型企业划分办法</w:t>
      </w:r>
    </w:p>
    <w:p w14:paraId="7B0DEFA7">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599D7D74">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一、根据工业和信息化部、国家统计局、国家发展改革委、财政部《关于印发中小企业划型标准规定的通知》（工信部联企业〔2011〕300号），结合统计工作的实际情况，特制定本办法。</w:t>
      </w:r>
    </w:p>
    <w:p w14:paraId="109BB088">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5C8EC3A2">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二、本办法适用对象为在中华人民共和国境内依法设立的各种组织形式的法人企业或单位。个体工商户参照本办法进行划分。</w:t>
      </w:r>
    </w:p>
    <w:p w14:paraId="5FE9A22A">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DA9A5BC">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42567325">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五、企业划分由政府综合统计部门根据统计年报每年确定一次，定报统计原则上不进行调整。</w:t>
      </w:r>
    </w:p>
    <w:p w14:paraId="131DF696">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六、本办法自印发之日起执行，国家统计局2003年印发的《统计上大中小型企业划分办法（暂行）》（国统字〔2003〕17号）同时废止。</w:t>
      </w:r>
    </w:p>
    <w:p w14:paraId="12F26113">
      <w:pPr>
        <w:shd w:val="clear" w:color="auto" w:fill="FFFFFF"/>
        <w:spacing w:line="330" w:lineRule="atLeast"/>
        <w:ind w:firstLine="482"/>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 </w:t>
      </w:r>
      <w:r>
        <w:rPr>
          <w:rFonts w:hint="eastAsia" w:ascii="微软雅黑" w:hAnsi="微软雅黑" w:eastAsia="微软雅黑" w:cs="微软雅黑"/>
          <w:color w:val="auto"/>
          <w:szCs w:val="21"/>
          <w:highlight w:val="none"/>
        </w:rPr>
        <w:t>　　附表：</w:t>
      </w:r>
    </w:p>
    <w:p w14:paraId="71A7C5B4">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b/>
          <w:color w:val="auto"/>
          <w:szCs w:val="21"/>
          <w:highlight w:val="none"/>
        </w:rPr>
        <w:t>统计上大中小微型企业划分标准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0"/>
        <w:gridCol w:w="1281"/>
        <w:gridCol w:w="758"/>
        <w:gridCol w:w="1060"/>
        <w:gridCol w:w="1491"/>
        <w:gridCol w:w="1315"/>
        <w:gridCol w:w="908"/>
      </w:tblGrid>
      <w:tr w14:paraId="7CF6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560" w:type="dxa"/>
            <w:shd w:val="clear" w:color="auto" w:fill="auto"/>
            <w:tcMar>
              <w:top w:w="0" w:type="dxa"/>
              <w:left w:w="108" w:type="dxa"/>
              <w:bottom w:w="0" w:type="dxa"/>
              <w:right w:w="108" w:type="dxa"/>
            </w:tcMar>
            <w:vAlign w:val="center"/>
          </w:tcPr>
          <w:p w14:paraId="61D17B30">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b/>
                <w:color w:val="auto"/>
                <w:szCs w:val="21"/>
                <w:highlight w:val="none"/>
              </w:rPr>
              <w:t>行业名称</w:t>
            </w:r>
          </w:p>
        </w:tc>
        <w:tc>
          <w:tcPr>
            <w:tcW w:w="1281" w:type="dxa"/>
            <w:shd w:val="clear" w:color="auto" w:fill="auto"/>
            <w:tcMar>
              <w:top w:w="0" w:type="dxa"/>
              <w:left w:w="108" w:type="dxa"/>
              <w:bottom w:w="0" w:type="dxa"/>
              <w:right w:w="108" w:type="dxa"/>
            </w:tcMar>
            <w:vAlign w:val="center"/>
          </w:tcPr>
          <w:p w14:paraId="2837871C">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指标名称</w:t>
            </w:r>
          </w:p>
        </w:tc>
        <w:tc>
          <w:tcPr>
            <w:tcW w:w="758" w:type="dxa"/>
            <w:shd w:val="clear" w:color="auto" w:fill="auto"/>
            <w:tcMar>
              <w:top w:w="0" w:type="dxa"/>
              <w:left w:w="108" w:type="dxa"/>
              <w:bottom w:w="0" w:type="dxa"/>
              <w:right w:w="108" w:type="dxa"/>
            </w:tcMar>
            <w:vAlign w:val="center"/>
          </w:tcPr>
          <w:p w14:paraId="1E22EEC0">
            <w:pPr>
              <w:spacing w:after="0" w:line="240" w:lineRule="auto"/>
              <w:ind w:left="105" w:leftChars="50"/>
              <w:jc w:val="center"/>
              <w:rPr>
                <w:rFonts w:hint="eastAsia" w:ascii="微软雅黑" w:hAnsi="微软雅黑" w:eastAsia="微软雅黑" w:cs="微软雅黑"/>
                <w:b/>
                <w:color w:val="auto"/>
                <w:szCs w:val="21"/>
                <w:highlight w:val="none"/>
                <w:lang w:eastAsia="zh-CN"/>
              </w:rPr>
            </w:pPr>
            <w:r>
              <w:rPr>
                <w:rFonts w:hint="eastAsia" w:ascii="微软雅黑" w:hAnsi="微软雅黑" w:eastAsia="微软雅黑" w:cs="微软雅黑"/>
                <w:b/>
                <w:color w:val="auto"/>
                <w:szCs w:val="21"/>
                <w:highlight w:val="none"/>
              </w:rPr>
              <w:t>计量</w:t>
            </w:r>
          </w:p>
          <w:p w14:paraId="08B79C5F">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单位</w:t>
            </w:r>
          </w:p>
        </w:tc>
        <w:tc>
          <w:tcPr>
            <w:tcW w:w="993" w:type="dxa"/>
            <w:shd w:val="clear" w:color="auto" w:fill="auto"/>
            <w:tcMar>
              <w:top w:w="0" w:type="dxa"/>
              <w:left w:w="108" w:type="dxa"/>
              <w:bottom w:w="0" w:type="dxa"/>
              <w:right w:w="108" w:type="dxa"/>
            </w:tcMar>
            <w:vAlign w:val="center"/>
          </w:tcPr>
          <w:p w14:paraId="7C08B9D2">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大型</w:t>
            </w:r>
          </w:p>
        </w:tc>
        <w:tc>
          <w:tcPr>
            <w:tcW w:w="1491" w:type="dxa"/>
            <w:shd w:val="clear" w:color="auto" w:fill="auto"/>
            <w:tcMar>
              <w:top w:w="0" w:type="dxa"/>
              <w:left w:w="108" w:type="dxa"/>
              <w:bottom w:w="0" w:type="dxa"/>
              <w:right w:w="108" w:type="dxa"/>
            </w:tcMar>
            <w:vAlign w:val="center"/>
          </w:tcPr>
          <w:p w14:paraId="193CD74B">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中型</w:t>
            </w:r>
          </w:p>
        </w:tc>
        <w:tc>
          <w:tcPr>
            <w:tcW w:w="1315" w:type="dxa"/>
            <w:shd w:val="clear" w:color="auto" w:fill="auto"/>
            <w:tcMar>
              <w:top w:w="0" w:type="dxa"/>
              <w:left w:w="108" w:type="dxa"/>
              <w:bottom w:w="0" w:type="dxa"/>
              <w:right w:w="108" w:type="dxa"/>
            </w:tcMar>
            <w:vAlign w:val="center"/>
          </w:tcPr>
          <w:p w14:paraId="2C713EEB">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小型</w:t>
            </w:r>
          </w:p>
        </w:tc>
        <w:tc>
          <w:tcPr>
            <w:tcW w:w="908" w:type="dxa"/>
            <w:shd w:val="clear" w:color="auto" w:fill="auto"/>
            <w:tcMar>
              <w:top w:w="0" w:type="dxa"/>
              <w:left w:w="108" w:type="dxa"/>
              <w:bottom w:w="0" w:type="dxa"/>
              <w:right w:w="108" w:type="dxa"/>
            </w:tcMar>
            <w:vAlign w:val="center"/>
          </w:tcPr>
          <w:p w14:paraId="7774E564">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微型</w:t>
            </w:r>
          </w:p>
        </w:tc>
      </w:tr>
      <w:tr w14:paraId="3025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shd w:val="clear" w:color="auto" w:fill="auto"/>
            <w:tcMar>
              <w:top w:w="0" w:type="dxa"/>
              <w:left w:w="108" w:type="dxa"/>
              <w:bottom w:w="0" w:type="dxa"/>
              <w:right w:w="108" w:type="dxa"/>
            </w:tcMar>
            <w:vAlign w:val="center"/>
          </w:tcPr>
          <w:p w14:paraId="713D3D9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农、林、牧、渔业</w:t>
            </w:r>
          </w:p>
        </w:tc>
        <w:tc>
          <w:tcPr>
            <w:tcW w:w="1281" w:type="dxa"/>
            <w:shd w:val="clear" w:color="auto" w:fill="auto"/>
            <w:tcMar>
              <w:top w:w="0" w:type="dxa"/>
              <w:left w:w="108" w:type="dxa"/>
              <w:bottom w:w="0" w:type="dxa"/>
              <w:right w:w="108" w:type="dxa"/>
            </w:tcMar>
            <w:vAlign w:val="center"/>
          </w:tcPr>
          <w:p w14:paraId="56F9A9A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60671B4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42A33E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w:t>
            </w:r>
          </w:p>
        </w:tc>
        <w:tc>
          <w:tcPr>
            <w:tcW w:w="1491" w:type="dxa"/>
            <w:shd w:val="clear" w:color="auto" w:fill="auto"/>
            <w:tcMar>
              <w:top w:w="0" w:type="dxa"/>
              <w:left w:w="108" w:type="dxa"/>
              <w:bottom w:w="0" w:type="dxa"/>
              <w:right w:w="108" w:type="dxa"/>
            </w:tcMar>
            <w:vAlign w:val="center"/>
          </w:tcPr>
          <w:p w14:paraId="0909402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500≤Y＜20000</w:t>
            </w:r>
          </w:p>
        </w:tc>
        <w:tc>
          <w:tcPr>
            <w:tcW w:w="1315" w:type="dxa"/>
            <w:shd w:val="clear" w:color="auto" w:fill="auto"/>
            <w:tcMar>
              <w:top w:w="0" w:type="dxa"/>
              <w:left w:w="108" w:type="dxa"/>
              <w:bottom w:w="0" w:type="dxa"/>
              <w:right w:w="108" w:type="dxa"/>
            </w:tcMar>
            <w:vAlign w:val="center"/>
          </w:tcPr>
          <w:p w14:paraId="638B8F2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50≤Y＜500</w:t>
            </w:r>
          </w:p>
        </w:tc>
        <w:tc>
          <w:tcPr>
            <w:tcW w:w="908" w:type="dxa"/>
            <w:shd w:val="clear" w:color="auto" w:fill="auto"/>
            <w:tcMar>
              <w:top w:w="0" w:type="dxa"/>
              <w:left w:w="108" w:type="dxa"/>
              <w:bottom w:w="0" w:type="dxa"/>
              <w:right w:w="108" w:type="dxa"/>
            </w:tcMar>
            <w:vAlign w:val="center"/>
          </w:tcPr>
          <w:p w14:paraId="7633F49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w:t>
            </w:r>
          </w:p>
        </w:tc>
      </w:tr>
      <w:tr w14:paraId="2D0A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11A9E5E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工业 *</w:t>
            </w:r>
          </w:p>
        </w:tc>
        <w:tc>
          <w:tcPr>
            <w:tcW w:w="1281" w:type="dxa"/>
            <w:shd w:val="clear" w:color="auto" w:fill="auto"/>
            <w:tcMar>
              <w:top w:w="0" w:type="dxa"/>
              <w:left w:w="108" w:type="dxa"/>
              <w:bottom w:w="0" w:type="dxa"/>
              <w:right w:w="108" w:type="dxa"/>
            </w:tcMar>
            <w:vAlign w:val="center"/>
          </w:tcPr>
          <w:p w14:paraId="0069CA0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2BC0AE0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1ADEB8E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6D44003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6EA0FD5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908" w:type="dxa"/>
            <w:shd w:val="clear" w:color="auto" w:fill="auto"/>
            <w:tcMar>
              <w:top w:w="0" w:type="dxa"/>
              <w:left w:w="108" w:type="dxa"/>
              <w:bottom w:w="0" w:type="dxa"/>
              <w:right w:w="108" w:type="dxa"/>
            </w:tcMar>
            <w:vAlign w:val="center"/>
          </w:tcPr>
          <w:p w14:paraId="18D3899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37A7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EF0CF64">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7D12AB5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00F48A2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EDD6E7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Y≥40000</w:t>
            </w:r>
          </w:p>
        </w:tc>
        <w:tc>
          <w:tcPr>
            <w:tcW w:w="1491" w:type="dxa"/>
            <w:shd w:val="clear" w:color="auto" w:fill="auto"/>
            <w:tcMar>
              <w:top w:w="0" w:type="dxa"/>
              <w:left w:w="108" w:type="dxa"/>
              <w:bottom w:w="0" w:type="dxa"/>
              <w:right w:w="108" w:type="dxa"/>
            </w:tcMar>
            <w:vAlign w:val="center"/>
          </w:tcPr>
          <w:p w14:paraId="5E98AEA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2000≤Y＜40000</w:t>
            </w:r>
          </w:p>
        </w:tc>
        <w:tc>
          <w:tcPr>
            <w:tcW w:w="1315" w:type="dxa"/>
            <w:shd w:val="clear" w:color="auto" w:fill="auto"/>
            <w:tcMar>
              <w:top w:w="0" w:type="dxa"/>
              <w:left w:w="108" w:type="dxa"/>
              <w:bottom w:w="0" w:type="dxa"/>
              <w:right w:w="108" w:type="dxa"/>
            </w:tcMar>
            <w:vAlign w:val="center"/>
          </w:tcPr>
          <w:p w14:paraId="5BD7824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300≤Y＜2000</w:t>
            </w:r>
          </w:p>
        </w:tc>
        <w:tc>
          <w:tcPr>
            <w:tcW w:w="908" w:type="dxa"/>
            <w:shd w:val="clear" w:color="auto" w:fill="auto"/>
            <w:tcMar>
              <w:top w:w="0" w:type="dxa"/>
              <w:left w:w="108" w:type="dxa"/>
              <w:bottom w:w="0" w:type="dxa"/>
              <w:right w:w="108" w:type="dxa"/>
            </w:tcMar>
            <w:vAlign w:val="center"/>
          </w:tcPr>
          <w:p w14:paraId="3BBB644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w:t>
            </w:r>
          </w:p>
        </w:tc>
      </w:tr>
      <w:tr w14:paraId="7725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68F6E3F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建筑业</w:t>
            </w:r>
          </w:p>
        </w:tc>
        <w:tc>
          <w:tcPr>
            <w:tcW w:w="1281" w:type="dxa"/>
            <w:shd w:val="clear" w:color="auto" w:fill="auto"/>
            <w:tcMar>
              <w:top w:w="0" w:type="dxa"/>
              <w:left w:w="108" w:type="dxa"/>
              <w:bottom w:w="0" w:type="dxa"/>
              <w:right w:w="108" w:type="dxa"/>
            </w:tcMar>
            <w:vAlign w:val="center"/>
          </w:tcPr>
          <w:p w14:paraId="1EADF46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7525208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ACD812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Y≥80000</w:t>
            </w:r>
          </w:p>
        </w:tc>
        <w:tc>
          <w:tcPr>
            <w:tcW w:w="1491" w:type="dxa"/>
            <w:shd w:val="clear" w:color="auto" w:fill="auto"/>
            <w:tcMar>
              <w:top w:w="0" w:type="dxa"/>
              <w:left w:w="108" w:type="dxa"/>
              <w:bottom w:w="0" w:type="dxa"/>
              <w:right w:w="108" w:type="dxa"/>
            </w:tcMar>
            <w:vAlign w:val="center"/>
          </w:tcPr>
          <w:p w14:paraId="6D2BE94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6000≤Y＜80000</w:t>
            </w:r>
          </w:p>
        </w:tc>
        <w:tc>
          <w:tcPr>
            <w:tcW w:w="1315" w:type="dxa"/>
            <w:shd w:val="clear" w:color="auto" w:fill="auto"/>
            <w:tcMar>
              <w:top w:w="0" w:type="dxa"/>
              <w:left w:w="108" w:type="dxa"/>
              <w:bottom w:w="0" w:type="dxa"/>
              <w:right w:w="108" w:type="dxa"/>
            </w:tcMar>
            <w:vAlign w:val="center"/>
          </w:tcPr>
          <w:p w14:paraId="012BB20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300≤Y＜6000</w:t>
            </w:r>
          </w:p>
        </w:tc>
        <w:tc>
          <w:tcPr>
            <w:tcW w:w="908" w:type="dxa"/>
            <w:shd w:val="clear" w:color="auto" w:fill="auto"/>
            <w:tcMar>
              <w:top w:w="0" w:type="dxa"/>
              <w:left w:w="108" w:type="dxa"/>
              <w:bottom w:w="0" w:type="dxa"/>
              <w:right w:w="108" w:type="dxa"/>
            </w:tcMar>
            <w:vAlign w:val="center"/>
          </w:tcPr>
          <w:p w14:paraId="26B3203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w:t>
            </w:r>
          </w:p>
        </w:tc>
      </w:tr>
      <w:tr w14:paraId="1E6B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71DC9E5C">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13E92B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14:paraId="5834107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E3F504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Z≥80000</w:t>
            </w:r>
          </w:p>
        </w:tc>
        <w:tc>
          <w:tcPr>
            <w:tcW w:w="1491" w:type="dxa"/>
            <w:shd w:val="clear" w:color="auto" w:fill="auto"/>
            <w:tcMar>
              <w:top w:w="0" w:type="dxa"/>
              <w:left w:w="108" w:type="dxa"/>
              <w:bottom w:w="0" w:type="dxa"/>
              <w:right w:w="108" w:type="dxa"/>
            </w:tcMar>
            <w:vAlign w:val="center"/>
          </w:tcPr>
          <w:p w14:paraId="3A25D00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5000≤Z＜80000</w:t>
            </w:r>
          </w:p>
        </w:tc>
        <w:tc>
          <w:tcPr>
            <w:tcW w:w="1315" w:type="dxa"/>
            <w:shd w:val="clear" w:color="auto" w:fill="auto"/>
            <w:tcMar>
              <w:top w:w="0" w:type="dxa"/>
              <w:left w:w="108" w:type="dxa"/>
              <w:bottom w:w="0" w:type="dxa"/>
              <w:right w:w="108" w:type="dxa"/>
            </w:tcMar>
            <w:vAlign w:val="center"/>
          </w:tcPr>
          <w:p w14:paraId="32FB8CF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300≤Z＜5000</w:t>
            </w:r>
          </w:p>
        </w:tc>
        <w:tc>
          <w:tcPr>
            <w:tcW w:w="908" w:type="dxa"/>
            <w:shd w:val="clear" w:color="auto" w:fill="auto"/>
            <w:tcMar>
              <w:top w:w="0" w:type="dxa"/>
              <w:left w:w="108" w:type="dxa"/>
              <w:bottom w:w="0" w:type="dxa"/>
              <w:right w:w="108" w:type="dxa"/>
            </w:tcMar>
            <w:vAlign w:val="center"/>
          </w:tcPr>
          <w:p w14:paraId="55B3808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Z＜300</w:t>
            </w:r>
          </w:p>
        </w:tc>
      </w:tr>
      <w:tr w14:paraId="0DD4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1CC32DB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批发业</w:t>
            </w:r>
          </w:p>
        </w:tc>
        <w:tc>
          <w:tcPr>
            <w:tcW w:w="1281" w:type="dxa"/>
            <w:shd w:val="clear" w:color="auto" w:fill="auto"/>
            <w:tcMar>
              <w:top w:w="0" w:type="dxa"/>
              <w:left w:w="108" w:type="dxa"/>
              <w:bottom w:w="0" w:type="dxa"/>
              <w:right w:w="108" w:type="dxa"/>
            </w:tcMar>
            <w:vAlign w:val="center"/>
          </w:tcPr>
          <w:p w14:paraId="380E48C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64A0272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35B46F4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w:t>
            </w:r>
          </w:p>
        </w:tc>
        <w:tc>
          <w:tcPr>
            <w:tcW w:w="1491" w:type="dxa"/>
            <w:shd w:val="clear" w:color="auto" w:fill="auto"/>
            <w:tcMar>
              <w:top w:w="0" w:type="dxa"/>
              <w:left w:w="108" w:type="dxa"/>
              <w:bottom w:w="0" w:type="dxa"/>
              <w:right w:w="108" w:type="dxa"/>
            </w:tcMar>
            <w:vAlign w:val="center"/>
          </w:tcPr>
          <w:p w14:paraId="69709A0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20≤X＜200</w:t>
            </w:r>
          </w:p>
        </w:tc>
        <w:tc>
          <w:tcPr>
            <w:tcW w:w="1315" w:type="dxa"/>
            <w:shd w:val="clear" w:color="auto" w:fill="auto"/>
            <w:tcMar>
              <w:top w:w="0" w:type="dxa"/>
              <w:left w:w="108" w:type="dxa"/>
              <w:bottom w:w="0" w:type="dxa"/>
              <w:right w:w="108" w:type="dxa"/>
            </w:tcMar>
            <w:vAlign w:val="center"/>
          </w:tcPr>
          <w:p w14:paraId="5BD9AB0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5≤X＜20</w:t>
            </w:r>
          </w:p>
        </w:tc>
        <w:tc>
          <w:tcPr>
            <w:tcW w:w="908" w:type="dxa"/>
            <w:shd w:val="clear" w:color="auto" w:fill="auto"/>
            <w:tcMar>
              <w:top w:w="0" w:type="dxa"/>
              <w:left w:w="108" w:type="dxa"/>
              <w:bottom w:w="0" w:type="dxa"/>
              <w:right w:w="108" w:type="dxa"/>
            </w:tcMar>
            <w:vAlign w:val="center"/>
          </w:tcPr>
          <w:p w14:paraId="6D01249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X＜5</w:t>
            </w:r>
          </w:p>
        </w:tc>
      </w:tr>
      <w:tr w14:paraId="4D45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041CCA53">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3D187B9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0C3B9CA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4318434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Y≥40000</w:t>
            </w:r>
          </w:p>
        </w:tc>
        <w:tc>
          <w:tcPr>
            <w:tcW w:w="1491" w:type="dxa"/>
            <w:shd w:val="clear" w:color="auto" w:fill="auto"/>
            <w:tcMar>
              <w:top w:w="0" w:type="dxa"/>
              <w:left w:w="108" w:type="dxa"/>
              <w:bottom w:w="0" w:type="dxa"/>
              <w:right w:w="108" w:type="dxa"/>
            </w:tcMar>
            <w:vAlign w:val="center"/>
          </w:tcPr>
          <w:p w14:paraId="62F6B50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5000≤Y＜40000</w:t>
            </w:r>
          </w:p>
        </w:tc>
        <w:tc>
          <w:tcPr>
            <w:tcW w:w="1315" w:type="dxa"/>
            <w:shd w:val="clear" w:color="auto" w:fill="auto"/>
            <w:tcMar>
              <w:top w:w="0" w:type="dxa"/>
              <w:left w:w="108" w:type="dxa"/>
              <w:bottom w:w="0" w:type="dxa"/>
              <w:right w:w="108" w:type="dxa"/>
            </w:tcMar>
            <w:vAlign w:val="center"/>
          </w:tcPr>
          <w:p w14:paraId="1952D9C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1000≤Y＜5000</w:t>
            </w:r>
          </w:p>
        </w:tc>
        <w:tc>
          <w:tcPr>
            <w:tcW w:w="908" w:type="dxa"/>
            <w:shd w:val="clear" w:color="auto" w:fill="auto"/>
            <w:tcMar>
              <w:top w:w="0" w:type="dxa"/>
              <w:left w:w="108" w:type="dxa"/>
              <w:bottom w:w="0" w:type="dxa"/>
              <w:right w:w="108" w:type="dxa"/>
            </w:tcMar>
            <w:vAlign w:val="center"/>
          </w:tcPr>
          <w:p w14:paraId="6297F02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w:t>
            </w:r>
          </w:p>
        </w:tc>
      </w:tr>
      <w:tr w14:paraId="216E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302057B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零售业</w:t>
            </w:r>
          </w:p>
        </w:tc>
        <w:tc>
          <w:tcPr>
            <w:tcW w:w="1281" w:type="dxa"/>
            <w:shd w:val="clear" w:color="auto" w:fill="auto"/>
            <w:tcMar>
              <w:top w:w="0" w:type="dxa"/>
              <w:left w:w="108" w:type="dxa"/>
              <w:bottom w:w="0" w:type="dxa"/>
              <w:right w:w="108" w:type="dxa"/>
            </w:tcMar>
            <w:vAlign w:val="center"/>
          </w:tcPr>
          <w:p w14:paraId="72884BE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01E85A4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733D74E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7800451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50≤X＜300</w:t>
            </w:r>
          </w:p>
        </w:tc>
        <w:tc>
          <w:tcPr>
            <w:tcW w:w="1315" w:type="dxa"/>
            <w:shd w:val="clear" w:color="auto" w:fill="auto"/>
            <w:tcMar>
              <w:top w:w="0" w:type="dxa"/>
              <w:left w:w="108" w:type="dxa"/>
              <w:bottom w:w="0" w:type="dxa"/>
              <w:right w:w="108" w:type="dxa"/>
            </w:tcMar>
            <w:vAlign w:val="center"/>
          </w:tcPr>
          <w:p w14:paraId="3EB9751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10≤X＜50</w:t>
            </w:r>
          </w:p>
        </w:tc>
        <w:tc>
          <w:tcPr>
            <w:tcW w:w="908" w:type="dxa"/>
            <w:shd w:val="clear" w:color="auto" w:fill="auto"/>
            <w:tcMar>
              <w:top w:w="0" w:type="dxa"/>
              <w:left w:w="108" w:type="dxa"/>
              <w:bottom w:w="0" w:type="dxa"/>
              <w:right w:w="108" w:type="dxa"/>
            </w:tcMar>
            <w:vAlign w:val="center"/>
          </w:tcPr>
          <w:p w14:paraId="729A067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1792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7066628A">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723770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7F43B02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8F3D69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w:t>
            </w:r>
          </w:p>
        </w:tc>
        <w:tc>
          <w:tcPr>
            <w:tcW w:w="1491" w:type="dxa"/>
            <w:shd w:val="clear" w:color="auto" w:fill="auto"/>
            <w:tcMar>
              <w:top w:w="0" w:type="dxa"/>
              <w:left w:w="108" w:type="dxa"/>
              <w:bottom w:w="0" w:type="dxa"/>
              <w:right w:w="108" w:type="dxa"/>
            </w:tcMar>
            <w:vAlign w:val="center"/>
          </w:tcPr>
          <w:p w14:paraId="7CF0A47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500≤Y＜20000</w:t>
            </w:r>
          </w:p>
        </w:tc>
        <w:tc>
          <w:tcPr>
            <w:tcW w:w="1315" w:type="dxa"/>
            <w:shd w:val="clear" w:color="auto" w:fill="auto"/>
            <w:tcMar>
              <w:top w:w="0" w:type="dxa"/>
              <w:left w:w="108" w:type="dxa"/>
              <w:bottom w:w="0" w:type="dxa"/>
              <w:right w:w="108" w:type="dxa"/>
            </w:tcMar>
            <w:vAlign w:val="center"/>
          </w:tcPr>
          <w:p w14:paraId="5460176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100≤Y＜500</w:t>
            </w:r>
          </w:p>
        </w:tc>
        <w:tc>
          <w:tcPr>
            <w:tcW w:w="908" w:type="dxa"/>
            <w:shd w:val="clear" w:color="auto" w:fill="auto"/>
            <w:tcMar>
              <w:top w:w="0" w:type="dxa"/>
              <w:left w:w="108" w:type="dxa"/>
              <w:bottom w:w="0" w:type="dxa"/>
              <w:right w:w="108" w:type="dxa"/>
            </w:tcMar>
            <w:vAlign w:val="center"/>
          </w:tcPr>
          <w:p w14:paraId="534C37D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7C95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179AAE9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交通运输业 *</w:t>
            </w:r>
          </w:p>
        </w:tc>
        <w:tc>
          <w:tcPr>
            <w:tcW w:w="1281" w:type="dxa"/>
            <w:shd w:val="clear" w:color="auto" w:fill="auto"/>
            <w:tcMar>
              <w:top w:w="0" w:type="dxa"/>
              <w:left w:w="108" w:type="dxa"/>
              <w:bottom w:w="0" w:type="dxa"/>
              <w:right w:w="108" w:type="dxa"/>
            </w:tcMar>
            <w:vAlign w:val="center"/>
          </w:tcPr>
          <w:p w14:paraId="6163E1C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663D57B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5EE4106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2777938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32EF77F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908" w:type="dxa"/>
            <w:shd w:val="clear" w:color="auto" w:fill="auto"/>
            <w:tcMar>
              <w:top w:w="0" w:type="dxa"/>
              <w:left w:w="108" w:type="dxa"/>
              <w:bottom w:w="0" w:type="dxa"/>
              <w:right w:w="108" w:type="dxa"/>
            </w:tcMar>
            <w:vAlign w:val="center"/>
          </w:tcPr>
          <w:p w14:paraId="21554A0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577E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13CCECAF">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06C2D24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70FAE7E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FA6D5E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491" w:type="dxa"/>
            <w:shd w:val="clear" w:color="auto" w:fill="auto"/>
            <w:tcMar>
              <w:top w:w="0" w:type="dxa"/>
              <w:left w:w="108" w:type="dxa"/>
              <w:bottom w:w="0" w:type="dxa"/>
              <w:right w:w="108" w:type="dxa"/>
            </w:tcMar>
            <w:vAlign w:val="center"/>
          </w:tcPr>
          <w:p w14:paraId="5DCC560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3000≤Y＜30000</w:t>
            </w:r>
          </w:p>
        </w:tc>
        <w:tc>
          <w:tcPr>
            <w:tcW w:w="1315" w:type="dxa"/>
            <w:shd w:val="clear" w:color="auto" w:fill="auto"/>
            <w:tcMar>
              <w:top w:w="0" w:type="dxa"/>
              <w:left w:w="108" w:type="dxa"/>
              <w:bottom w:w="0" w:type="dxa"/>
              <w:right w:w="108" w:type="dxa"/>
            </w:tcMar>
            <w:vAlign w:val="center"/>
          </w:tcPr>
          <w:p w14:paraId="5C7766F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200≤Y＜3000</w:t>
            </w:r>
          </w:p>
        </w:tc>
        <w:tc>
          <w:tcPr>
            <w:tcW w:w="908" w:type="dxa"/>
            <w:shd w:val="clear" w:color="auto" w:fill="auto"/>
            <w:tcMar>
              <w:top w:w="0" w:type="dxa"/>
              <w:left w:w="108" w:type="dxa"/>
              <w:bottom w:w="0" w:type="dxa"/>
              <w:right w:w="108" w:type="dxa"/>
            </w:tcMar>
            <w:vAlign w:val="center"/>
          </w:tcPr>
          <w:p w14:paraId="29483BE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w:t>
            </w:r>
          </w:p>
        </w:tc>
      </w:tr>
      <w:tr w14:paraId="0C57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02FDA27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仓储业</w:t>
            </w:r>
          </w:p>
        </w:tc>
        <w:tc>
          <w:tcPr>
            <w:tcW w:w="1281" w:type="dxa"/>
            <w:shd w:val="clear" w:color="auto" w:fill="auto"/>
            <w:tcMar>
              <w:top w:w="0" w:type="dxa"/>
              <w:left w:w="108" w:type="dxa"/>
              <w:bottom w:w="0" w:type="dxa"/>
              <w:right w:w="108" w:type="dxa"/>
            </w:tcMar>
            <w:vAlign w:val="center"/>
          </w:tcPr>
          <w:p w14:paraId="34A5F64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3D7DCB2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568DB69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w:t>
            </w:r>
          </w:p>
        </w:tc>
        <w:tc>
          <w:tcPr>
            <w:tcW w:w="1491" w:type="dxa"/>
            <w:shd w:val="clear" w:color="auto" w:fill="auto"/>
            <w:tcMar>
              <w:top w:w="0" w:type="dxa"/>
              <w:left w:w="108" w:type="dxa"/>
              <w:bottom w:w="0" w:type="dxa"/>
              <w:right w:w="108" w:type="dxa"/>
            </w:tcMar>
            <w:vAlign w:val="center"/>
          </w:tcPr>
          <w:p w14:paraId="62B0366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100≤X＜200</w:t>
            </w:r>
          </w:p>
        </w:tc>
        <w:tc>
          <w:tcPr>
            <w:tcW w:w="1315" w:type="dxa"/>
            <w:shd w:val="clear" w:color="auto" w:fill="auto"/>
            <w:tcMar>
              <w:top w:w="0" w:type="dxa"/>
              <w:left w:w="108" w:type="dxa"/>
              <w:bottom w:w="0" w:type="dxa"/>
              <w:right w:w="108" w:type="dxa"/>
            </w:tcMar>
            <w:vAlign w:val="center"/>
          </w:tcPr>
          <w:p w14:paraId="6E8AF5E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20≤X＜100</w:t>
            </w:r>
          </w:p>
        </w:tc>
        <w:tc>
          <w:tcPr>
            <w:tcW w:w="908" w:type="dxa"/>
            <w:shd w:val="clear" w:color="auto" w:fill="auto"/>
            <w:tcMar>
              <w:top w:w="0" w:type="dxa"/>
              <w:left w:w="108" w:type="dxa"/>
              <w:bottom w:w="0" w:type="dxa"/>
              <w:right w:w="108" w:type="dxa"/>
            </w:tcMar>
            <w:vAlign w:val="center"/>
          </w:tcPr>
          <w:p w14:paraId="5D07830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417D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5CD6423B">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6011166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327F8BD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2DAB06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491" w:type="dxa"/>
            <w:shd w:val="clear" w:color="auto" w:fill="auto"/>
            <w:tcMar>
              <w:top w:w="0" w:type="dxa"/>
              <w:left w:w="108" w:type="dxa"/>
              <w:bottom w:w="0" w:type="dxa"/>
              <w:right w:w="108" w:type="dxa"/>
            </w:tcMar>
            <w:vAlign w:val="center"/>
          </w:tcPr>
          <w:p w14:paraId="05EAB3C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1000≤Y＜30000</w:t>
            </w:r>
          </w:p>
        </w:tc>
        <w:tc>
          <w:tcPr>
            <w:tcW w:w="1315" w:type="dxa"/>
            <w:shd w:val="clear" w:color="auto" w:fill="auto"/>
            <w:tcMar>
              <w:top w:w="0" w:type="dxa"/>
              <w:left w:w="108" w:type="dxa"/>
              <w:bottom w:w="0" w:type="dxa"/>
              <w:right w:w="108" w:type="dxa"/>
            </w:tcMar>
            <w:vAlign w:val="center"/>
          </w:tcPr>
          <w:p w14:paraId="5A727FD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908" w:type="dxa"/>
            <w:shd w:val="clear" w:color="auto" w:fill="auto"/>
            <w:tcMar>
              <w:top w:w="0" w:type="dxa"/>
              <w:left w:w="108" w:type="dxa"/>
              <w:bottom w:w="0" w:type="dxa"/>
              <w:right w:w="108" w:type="dxa"/>
            </w:tcMar>
            <w:vAlign w:val="center"/>
          </w:tcPr>
          <w:p w14:paraId="19C1ABA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5D7C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0594236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邮政业</w:t>
            </w:r>
          </w:p>
        </w:tc>
        <w:tc>
          <w:tcPr>
            <w:tcW w:w="1281" w:type="dxa"/>
            <w:shd w:val="clear" w:color="auto" w:fill="auto"/>
            <w:tcMar>
              <w:top w:w="0" w:type="dxa"/>
              <w:left w:w="108" w:type="dxa"/>
              <w:bottom w:w="0" w:type="dxa"/>
              <w:right w:w="108" w:type="dxa"/>
            </w:tcMar>
            <w:vAlign w:val="center"/>
          </w:tcPr>
          <w:p w14:paraId="1CD0A6F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732CB35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32C6EA9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66479D0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30FC9D3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908" w:type="dxa"/>
            <w:shd w:val="clear" w:color="auto" w:fill="auto"/>
            <w:tcMar>
              <w:top w:w="0" w:type="dxa"/>
              <w:left w:w="108" w:type="dxa"/>
              <w:bottom w:w="0" w:type="dxa"/>
              <w:right w:w="108" w:type="dxa"/>
            </w:tcMar>
            <w:vAlign w:val="center"/>
          </w:tcPr>
          <w:p w14:paraId="212B4B4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7849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223CAFF9">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514A31E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7949602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5ACE56B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491" w:type="dxa"/>
            <w:shd w:val="clear" w:color="auto" w:fill="auto"/>
            <w:tcMar>
              <w:top w:w="0" w:type="dxa"/>
              <w:left w:w="108" w:type="dxa"/>
              <w:bottom w:w="0" w:type="dxa"/>
              <w:right w:w="108" w:type="dxa"/>
            </w:tcMar>
            <w:vAlign w:val="center"/>
          </w:tcPr>
          <w:p w14:paraId="26B36CE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2000≤Y＜30000</w:t>
            </w:r>
          </w:p>
        </w:tc>
        <w:tc>
          <w:tcPr>
            <w:tcW w:w="1315" w:type="dxa"/>
            <w:shd w:val="clear" w:color="auto" w:fill="auto"/>
            <w:tcMar>
              <w:top w:w="0" w:type="dxa"/>
              <w:left w:w="108" w:type="dxa"/>
              <w:bottom w:w="0" w:type="dxa"/>
              <w:right w:w="108" w:type="dxa"/>
            </w:tcMar>
            <w:vAlign w:val="center"/>
          </w:tcPr>
          <w:p w14:paraId="6D4983B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908" w:type="dxa"/>
            <w:shd w:val="clear" w:color="auto" w:fill="auto"/>
            <w:tcMar>
              <w:top w:w="0" w:type="dxa"/>
              <w:left w:w="108" w:type="dxa"/>
              <w:bottom w:w="0" w:type="dxa"/>
              <w:right w:w="108" w:type="dxa"/>
            </w:tcMar>
            <w:vAlign w:val="center"/>
          </w:tcPr>
          <w:p w14:paraId="14BA191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5CCA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59B16DA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住宿业</w:t>
            </w:r>
          </w:p>
        </w:tc>
        <w:tc>
          <w:tcPr>
            <w:tcW w:w="1281" w:type="dxa"/>
            <w:shd w:val="clear" w:color="auto" w:fill="auto"/>
            <w:tcMar>
              <w:top w:w="0" w:type="dxa"/>
              <w:left w:w="108" w:type="dxa"/>
              <w:bottom w:w="0" w:type="dxa"/>
              <w:right w:w="108" w:type="dxa"/>
            </w:tcMar>
            <w:vAlign w:val="center"/>
          </w:tcPr>
          <w:p w14:paraId="500DEA2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6C6A0AB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2B97FB8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68CA89A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3B80728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54D618F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13E2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A980552">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2443C6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1BAAF21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13EB087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491" w:type="dxa"/>
            <w:shd w:val="clear" w:color="auto" w:fill="auto"/>
            <w:tcMar>
              <w:top w:w="0" w:type="dxa"/>
              <w:left w:w="108" w:type="dxa"/>
              <w:bottom w:w="0" w:type="dxa"/>
              <w:right w:w="108" w:type="dxa"/>
            </w:tcMar>
            <w:vAlign w:val="center"/>
          </w:tcPr>
          <w:p w14:paraId="36D2353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2000≤Y＜10000</w:t>
            </w:r>
          </w:p>
        </w:tc>
        <w:tc>
          <w:tcPr>
            <w:tcW w:w="1315" w:type="dxa"/>
            <w:shd w:val="clear" w:color="auto" w:fill="auto"/>
            <w:tcMar>
              <w:top w:w="0" w:type="dxa"/>
              <w:left w:w="108" w:type="dxa"/>
              <w:bottom w:w="0" w:type="dxa"/>
              <w:right w:w="108" w:type="dxa"/>
            </w:tcMar>
            <w:vAlign w:val="center"/>
          </w:tcPr>
          <w:p w14:paraId="447754A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908" w:type="dxa"/>
            <w:shd w:val="clear" w:color="auto" w:fill="auto"/>
            <w:tcMar>
              <w:top w:w="0" w:type="dxa"/>
              <w:left w:w="108" w:type="dxa"/>
              <w:bottom w:w="0" w:type="dxa"/>
              <w:right w:w="108" w:type="dxa"/>
            </w:tcMar>
            <w:vAlign w:val="center"/>
          </w:tcPr>
          <w:p w14:paraId="0C2B6A1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32BB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2ED7613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餐饮业</w:t>
            </w:r>
          </w:p>
        </w:tc>
        <w:tc>
          <w:tcPr>
            <w:tcW w:w="1281" w:type="dxa"/>
            <w:shd w:val="clear" w:color="auto" w:fill="auto"/>
            <w:tcMar>
              <w:top w:w="0" w:type="dxa"/>
              <w:left w:w="108" w:type="dxa"/>
              <w:bottom w:w="0" w:type="dxa"/>
              <w:right w:w="108" w:type="dxa"/>
            </w:tcMar>
            <w:vAlign w:val="center"/>
          </w:tcPr>
          <w:p w14:paraId="7DD8BB3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23B8A62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631108A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3027686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79E3A71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66599D4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03F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744C40DE">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53B104E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0A758E9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4254A47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491" w:type="dxa"/>
            <w:shd w:val="clear" w:color="auto" w:fill="auto"/>
            <w:tcMar>
              <w:top w:w="0" w:type="dxa"/>
              <w:left w:w="108" w:type="dxa"/>
              <w:bottom w:w="0" w:type="dxa"/>
              <w:right w:w="108" w:type="dxa"/>
            </w:tcMar>
            <w:vAlign w:val="center"/>
          </w:tcPr>
          <w:p w14:paraId="6501B29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2000≤Y＜10000</w:t>
            </w:r>
          </w:p>
        </w:tc>
        <w:tc>
          <w:tcPr>
            <w:tcW w:w="1315" w:type="dxa"/>
            <w:shd w:val="clear" w:color="auto" w:fill="auto"/>
            <w:tcMar>
              <w:top w:w="0" w:type="dxa"/>
              <w:left w:w="108" w:type="dxa"/>
              <w:bottom w:w="0" w:type="dxa"/>
              <w:right w:w="108" w:type="dxa"/>
            </w:tcMar>
            <w:vAlign w:val="center"/>
          </w:tcPr>
          <w:p w14:paraId="3D48B07F">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908" w:type="dxa"/>
            <w:shd w:val="clear" w:color="auto" w:fill="auto"/>
            <w:tcMar>
              <w:top w:w="0" w:type="dxa"/>
              <w:left w:w="108" w:type="dxa"/>
              <w:bottom w:w="0" w:type="dxa"/>
              <w:right w:w="108" w:type="dxa"/>
            </w:tcMar>
            <w:vAlign w:val="center"/>
          </w:tcPr>
          <w:p w14:paraId="7E56246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411C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13CF294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信息传输业 *</w:t>
            </w:r>
          </w:p>
        </w:tc>
        <w:tc>
          <w:tcPr>
            <w:tcW w:w="1281" w:type="dxa"/>
            <w:shd w:val="clear" w:color="auto" w:fill="auto"/>
            <w:tcMar>
              <w:top w:w="0" w:type="dxa"/>
              <w:left w:w="108" w:type="dxa"/>
              <w:bottom w:w="0" w:type="dxa"/>
              <w:right w:w="108" w:type="dxa"/>
            </w:tcMar>
            <w:vAlign w:val="center"/>
          </w:tcPr>
          <w:p w14:paraId="29C5A4F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30D888E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1EAC1A5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X≥2000</w:t>
            </w:r>
          </w:p>
        </w:tc>
        <w:tc>
          <w:tcPr>
            <w:tcW w:w="1491" w:type="dxa"/>
            <w:shd w:val="clear" w:color="auto" w:fill="auto"/>
            <w:tcMar>
              <w:top w:w="0" w:type="dxa"/>
              <w:left w:w="108" w:type="dxa"/>
              <w:bottom w:w="0" w:type="dxa"/>
              <w:right w:w="108" w:type="dxa"/>
            </w:tcMar>
            <w:vAlign w:val="center"/>
          </w:tcPr>
          <w:p w14:paraId="402755B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100≤X＜2000</w:t>
            </w:r>
          </w:p>
        </w:tc>
        <w:tc>
          <w:tcPr>
            <w:tcW w:w="1315" w:type="dxa"/>
            <w:shd w:val="clear" w:color="auto" w:fill="auto"/>
            <w:tcMar>
              <w:top w:w="0" w:type="dxa"/>
              <w:left w:w="108" w:type="dxa"/>
              <w:bottom w:w="0" w:type="dxa"/>
              <w:right w:w="108" w:type="dxa"/>
            </w:tcMar>
            <w:vAlign w:val="center"/>
          </w:tcPr>
          <w:p w14:paraId="677DB2F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0E21F9E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3AEE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24CC7EF4">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337C8A2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490F9FF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5AB130C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Y≥100000</w:t>
            </w:r>
          </w:p>
        </w:tc>
        <w:tc>
          <w:tcPr>
            <w:tcW w:w="1491" w:type="dxa"/>
            <w:shd w:val="clear" w:color="auto" w:fill="auto"/>
            <w:tcMar>
              <w:top w:w="0" w:type="dxa"/>
              <w:left w:w="108" w:type="dxa"/>
              <w:bottom w:w="0" w:type="dxa"/>
              <w:right w:w="108" w:type="dxa"/>
            </w:tcMar>
            <w:vAlign w:val="center"/>
          </w:tcPr>
          <w:p w14:paraId="1CCEE61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1000≤Y＜100000</w:t>
            </w:r>
          </w:p>
        </w:tc>
        <w:tc>
          <w:tcPr>
            <w:tcW w:w="1315" w:type="dxa"/>
            <w:shd w:val="clear" w:color="auto" w:fill="auto"/>
            <w:tcMar>
              <w:top w:w="0" w:type="dxa"/>
              <w:left w:w="108" w:type="dxa"/>
              <w:bottom w:w="0" w:type="dxa"/>
              <w:right w:w="108" w:type="dxa"/>
            </w:tcMar>
            <w:vAlign w:val="center"/>
          </w:tcPr>
          <w:p w14:paraId="4879B8F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908" w:type="dxa"/>
            <w:shd w:val="clear" w:color="auto" w:fill="auto"/>
            <w:tcMar>
              <w:top w:w="0" w:type="dxa"/>
              <w:left w:w="108" w:type="dxa"/>
              <w:bottom w:w="0" w:type="dxa"/>
              <w:right w:w="108" w:type="dxa"/>
            </w:tcMar>
            <w:vAlign w:val="center"/>
          </w:tcPr>
          <w:p w14:paraId="4BD3937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21A3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44BAF81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12"/>
                <w:szCs w:val="21"/>
                <w:highlight w:val="none"/>
              </w:rPr>
              <w:t>软件和信息技术服</w:t>
            </w:r>
            <w:r>
              <w:rPr>
                <w:rFonts w:hint="eastAsia" w:ascii="微软雅黑" w:hAnsi="微软雅黑" w:eastAsia="微软雅黑" w:cs="微软雅黑"/>
                <w:color w:val="auto"/>
                <w:szCs w:val="21"/>
                <w:highlight w:val="none"/>
              </w:rPr>
              <w:t>务业</w:t>
            </w:r>
          </w:p>
        </w:tc>
        <w:tc>
          <w:tcPr>
            <w:tcW w:w="1281" w:type="dxa"/>
            <w:shd w:val="clear" w:color="auto" w:fill="auto"/>
            <w:tcMar>
              <w:top w:w="0" w:type="dxa"/>
              <w:left w:w="108" w:type="dxa"/>
              <w:bottom w:w="0" w:type="dxa"/>
              <w:right w:w="108" w:type="dxa"/>
            </w:tcMar>
            <w:vAlign w:val="center"/>
          </w:tcPr>
          <w:p w14:paraId="5280FFC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69BA474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037F12EC">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0F798A70">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66FBD40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5252354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67C8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0A88E1BB">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0A9DAD2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337D198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723D1D26">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491" w:type="dxa"/>
            <w:shd w:val="clear" w:color="auto" w:fill="auto"/>
            <w:tcMar>
              <w:top w:w="0" w:type="dxa"/>
              <w:left w:w="108" w:type="dxa"/>
              <w:bottom w:w="0" w:type="dxa"/>
              <w:right w:w="108" w:type="dxa"/>
            </w:tcMar>
            <w:vAlign w:val="center"/>
          </w:tcPr>
          <w:p w14:paraId="311EFEAD">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1000≤Y＜10000</w:t>
            </w:r>
          </w:p>
        </w:tc>
        <w:tc>
          <w:tcPr>
            <w:tcW w:w="1315" w:type="dxa"/>
            <w:shd w:val="clear" w:color="auto" w:fill="auto"/>
            <w:tcMar>
              <w:top w:w="0" w:type="dxa"/>
              <w:left w:w="108" w:type="dxa"/>
              <w:bottom w:w="0" w:type="dxa"/>
              <w:right w:w="108" w:type="dxa"/>
            </w:tcMar>
            <w:vAlign w:val="center"/>
          </w:tcPr>
          <w:p w14:paraId="6444A06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50≤Y＜1000</w:t>
            </w:r>
          </w:p>
        </w:tc>
        <w:tc>
          <w:tcPr>
            <w:tcW w:w="908" w:type="dxa"/>
            <w:shd w:val="clear" w:color="auto" w:fill="auto"/>
            <w:tcMar>
              <w:top w:w="0" w:type="dxa"/>
              <w:left w:w="108" w:type="dxa"/>
              <w:bottom w:w="0" w:type="dxa"/>
              <w:right w:w="108" w:type="dxa"/>
            </w:tcMar>
            <w:vAlign w:val="center"/>
          </w:tcPr>
          <w:p w14:paraId="434F9A0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w:t>
            </w:r>
          </w:p>
        </w:tc>
      </w:tr>
      <w:tr w14:paraId="1E39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3603836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房地产开发经营</w:t>
            </w:r>
          </w:p>
        </w:tc>
        <w:tc>
          <w:tcPr>
            <w:tcW w:w="1281" w:type="dxa"/>
            <w:shd w:val="clear" w:color="auto" w:fill="auto"/>
            <w:tcMar>
              <w:top w:w="0" w:type="dxa"/>
              <w:left w:w="108" w:type="dxa"/>
              <w:bottom w:w="0" w:type="dxa"/>
              <w:right w:w="108" w:type="dxa"/>
            </w:tcMar>
            <w:vAlign w:val="center"/>
          </w:tcPr>
          <w:p w14:paraId="16B4129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66FF366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3B820CE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Y≥200000</w:t>
            </w:r>
          </w:p>
        </w:tc>
        <w:tc>
          <w:tcPr>
            <w:tcW w:w="1491" w:type="dxa"/>
            <w:shd w:val="clear" w:color="auto" w:fill="auto"/>
            <w:tcMar>
              <w:top w:w="0" w:type="dxa"/>
              <w:left w:w="108" w:type="dxa"/>
              <w:bottom w:w="0" w:type="dxa"/>
              <w:right w:w="108" w:type="dxa"/>
            </w:tcMar>
            <w:vAlign w:val="center"/>
          </w:tcPr>
          <w:p w14:paraId="5FD2F0E4">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1000≤Y＜200000</w:t>
            </w:r>
          </w:p>
        </w:tc>
        <w:tc>
          <w:tcPr>
            <w:tcW w:w="1315" w:type="dxa"/>
            <w:shd w:val="clear" w:color="auto" w:fill="auto"/>
            <w:tcMar>
              <w:top w:w="0" w:type="dxa"/>
              <w:left w:w="108" w:type="dxa"/>
              <w:bottom w:w="0" w:type="dxa"/>
              <w:right w:w="108" w:type="dxa"/>
            </w:tcMar>
            <w:vAlign w:val="center"/>
          </w:tcPr>
          <w:p w14:paraId="2D7A0C4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908" w:type="dxa"/>
            <w:shd w:val="clear" w:color="auto" w:fill="auto"/>
            <w:tcMar>
              <w:top w:w="0" w:type="dxa"/>
              <w:left w:w="108" w:type="dxa"/>
              <w:bottom w:w="0" w:type="dxa"/>
              <w:right w:w="108" w:type="dxa"/>
            </w:tcMar>
            <w:vAlign w:val="center"/>
          </w:tcPr>
          <w:p w14:paraId="29C5925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529A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1D03BBBC">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AC50CA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14:paraId="4288307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F63C29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Z≥10000</w:t>
            </w:r>
          </w:p>
        </w:tc>
        <w:tc>
          <w:tcPr>
            <w:tcW w:w="1491" w:type="dxa"/>
            <w:shd w:val="clear" w:color="auto" w:fill="auto"/>
            <w:tcMar>
              <w:top w:w="0" w:type="dxa"/>
              <w:left w:w="108" w:type="dxa"/>
              <w:bottom w:w="0" w:type="dxa"/>
              <w:right w:w="108" w:type="dxa"/>
            </w:tcMar>
            <w:vAlign w:val="center"/>
          </w:tcPr>
          <w:p w14:paraId="5C2A841A">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5000≤Z＜10000</w:t>
            </w:r>
          </w:p>
        </w:tc>
        <w:tc>
          <w:tcPr>
            <w:tcW w:w="1315" w:type="dxa"/>
            <w:shd w:val="clear" w:color="auto" w:fill="auto"/>
            <w:tcMar>
              <w:top w:w="0" w:type="dxa"/>
              <w:left w:w="108" w:type="dxa"/>
              <w:bottom w:w="0" w:type="dxa"/>
              <w:right w:w="108" w:type="dxa"/>
            </w:tcMar>
            <w:vAlign w:val="center"/>
          </w:tcPr>
          <w:p w14:paraId="41EEE9E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2000≤Z＜5000  </w:t>
            </w:r>
          </w:p>
        </w:tc>
        <w:tc>
          <w:tcPr>
            <w:tcW w:w="908" w:type="dxa"/>
            <w:shd w:val="clear" w:color="auto" w:fill="auto"/>
            <w:tcMar>
              <w:top w:w="0" w:type="dxa"/>
              <w:left w:w="108" w:type="dxa"/>
              <w:bottom w:w="0" w:type="dxa"/>
              <w:right w:w="108" w:type="dxa"/>
            </w:tcMar>
            <w:vAlign w:val="center"/>
          </w:tcPr>
          <w:p w14:paraId="6098BF7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Z＜2000</w:t>
            </w:r>
          </w:p>
        </w:tc>
      </w:tr>
      <w:tr w14:paraId="6071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16B6078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物业管理</w:t>
            </w:r>
          </w:p>
        </w:tc>
        <w:tc>
          <w:tcPr>
            <w:tcW w:w="1281" w:type="dxa"/>
            <w:shd w:val="clear" w:color="auto" w:fill="auto"/>
            <w:tcMar>
              <w:top w:w="0" w:type="dxa"/>
              <w:left w:w="108" w:type="dxa"/>
              <w:bottom w:w="0" w:type="dxa"/>
              <w:right w:w="108" w:type="dxa"/>
            </w:tcMar>
            <w:vAlign w:val="center"/>
          </w:tcPr>
          <w:p w14:paraId="2E7DAF1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40FF877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2C17C19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35818C4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6F1D0F5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908" w:type="dxa"/>
            <w:shd w:val="clear" w:color="auto" w:fill="auto"/>
            <w:tcMar>
              <w:top w:w="0" w:type="dxa"/>
              <w:left w:w="108" w:type="dxa"/>
              <w:bottom w:w="0" w:type="dxa"/>
              <w:right w:w="108" w:type="dxa"/>
            </w:tcMar>
            <w:vAlign w:val="center"/>
          </w:tcPr>
          <w:p w14:paraId="57EF19E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w:t>
            </w:r>
          </w:p>
        </w:tc>
      </w:tr>
      <w:tr w14:paraId="643E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05C8D5A4">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7CD2FE7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55224B4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DE87AE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Y≥5000</w:t>
            </w:r>
          </w:p>
        </w:tc>
        <w:tc>
          <w:tcPr>
            <w:tcW w:w="1491" w:type="dxa"/>
            <w:shd w:val="clear" w:color="auto" w:fill="auto"/>
            <w:tcMar>
              <w:top w:w="0" w:type="dxa"/>
              <w:left w:w="108" w:type="dxa"/>
              <w:bottom w:w="0" w:type="dxa"/>
              <w:right w:w="108" w:type="dxa"/>
            </w:tcMar>
            <w:vAlign w:val="center"/>
          </w:tcPr>
          <w:p w14:paraId="33564C6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1000≤Y＜5000</w:t>
            </w:r>
          </w:p>
        </w:tc>
        <w:tc>
          <w:tcPr>
            <w:tcW w:w="1315" w:type="dxa"/>
            <w:shd w:val="clear" w:color="auto" w:fill="auto"/>
            <w:tcMar>
              <w:top w:w="0" w:type="dxa"/>
              <w:left w:w="108" w:type="dxa"/>
              <w:bottom w:w="0" w:type="dxa"/>
              <w:right w:w="108" w:type="dxa"/>
            </w:tcMar>
            <w:vAlign w:val="center"/>
          </w:tcPr>
          <w:p w14:paraId="45D5661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500≤Y＜1000</w:t>
            </w:r>
          </w:p>
        </w:tc>
        <w:tc>
          <w:tcPr>
            <w:tcW w:w="908" w:type="dxa"/>
            <w:shd w:val="clear" w:color="auto" w:fill="auto"/>
            <w:tcMar>
              <w:top w:w="0" w:type="dxa"/>
              <w:left w:w="108" w:type="dxa"/>
              <w:bottom w:w="0" w:type="dxa"/>
              <w:right w:w="108" w:type="dxa"/>
            </w:tcMar>
            <w:vAlign w:val="center"/>
          </w:tcPr>
          <w:p w14:paraId="5763FD0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Y＜500</w:t>
            </w:r>
          </w:p>
        </w:tc>
      </w:tr>
      <w:tr w14:paraId="6C84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4362E62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租赁和商务服务业</w:t>
            </w:r>
          </w:p>
        </w:tc>
        <w:tc>
          <w:tcPr>
            <w:tcW w:w="1281" w:type="dxa"/>
            <w:shd w:val="clear" w:color="auto" w:fill="auto"/>
            <w:tcMar>
              <w:top w:w="0" w:type="dxa"/>
              <w:left w:w="108" w:type="dxa"/>
              <w:bottom w:w="0" w:type="dxa"/>
              <w:right w:w="108" w:type="dxa"/>
            </w:tcMar>
            <w:vAlign w:val="center"/>
          </w:tcPr>
          <w:p w14:paraId="4384600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141CF52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25699D6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02166BC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52A18E5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58E9E47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4463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7902D359">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38E8B63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14:paraId="7E142D0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1E00036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Z≥120000</w:t>
            </w:r>
          </w:p>
        </w:tc>
        <w:tc>
          <w:tcPr>
            <w:tcW w:w="1491" w:type="dxa"/>
            <w:shd w:val="clear" w:color="auto" w:fill="auto"/>
            <w:tcMar>
              <w:top w:w="0" w:type="dxa"/>
              <w:left w:w="108" w:type="dxa"/>
              <w:bottom w:w="0" w:type="dxa"/>
              <w:right w:w="108" w:type="dxa"/>
            </w:tcMar>
            <w:vAlign w:val="center"/>
          </w:tcPr>
          <w:p w14:paraId="4A01069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8000≤Z＜120000</w:t>
            </w:r>
          </w:p>
        </w:tc>
        <w:tc>
          <w:tcPr>
            <w:tcW w:w="1315" w:type="dxa"/>
            <w:shd w:val="clear" w:color="auto" w:fill="auto"/>
            <w:tcMar>
              <w:top w:w="0" w:type="dxa"/>
              <w:left w:w="108" w:type="dxa"/>
              <w:bottom w:w="0" w:type="dxa"/>
              <w:right w:w="108" w:type="dxa"/>
            </w:tcMar>
            <w:vAlign w:val="center"/>
          </w:tcPr>
          <w:p w14:paraId="5B5E827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100≤Z＜8000</w:t>
            </w:r>
          </w:p>
        </w:tc>
        <w:tc>
          <w:tcPr>
            <w:tcW w:w="908" w:type="dxa"/>
            <w:shd w:val="clear" w:color="auto" w:fill="auto"/>
            <w:tcMar>
              <w:top w:w="0" w:type="dxa"/>
              <w:left w:w="108" w:type="dxa"/>
              <w:bottom w:w="0" w:type="dxa"/>
              <w:right w:w="108" w:type="dxa"/>
            </w:tcMar>
            <w:vAlign w:val="center"/>
          </w:tcPr>
          <w:p w14:paraId="4B091FB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Z＜100</w:t>
            </w:r>
          </w:p>
        </w:tc>
      </w:tr>
      <w:tr w14:paraId="1445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shd w:val="clear" w:color="auto" w:fill="auto"/>
            <w:tcMar>
              <w:top w:w="0" w:type="dxa"/>
              <w:left w:w="108" w:type="dxa"/>
              <w:bottom w:w="0" w:type="dxa"/>
              <w:right w:w="108" w:type="dxa"/>
            </w:tcMar>
            <w:vAlign w:val="center"/>
          </w:tcPr>
          <w:p w14:paraId="631C451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其他未列明行业 *</w:t>
            </w:r>
          </w:p>
        </w:tc>
        <w:tc>
          <w:tcPr>
            <w:tcW w:w="1281" w:type="dxa"/>
            <w:shd w:val="clear" w:color="auto" w:fill="auto"/>
            <w:tcMar>
              <w:top w:w="0" w:type="dxa"/>
              <w:left w:w="108" w:type="dxa"/>
              <w:bottom w:w="0" w:type="dxa"/>
              <w:right w:w="108" w:type="dxa"/>
            </w:tcMar>
            <w:vAlign w:val="center"/>
          </w:tcPr>
          <w:p w14:paraId="2295316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51E961F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45E8F27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0069537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224932E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082B891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bl>
    <w:p w14:paraId="6A4C9D94">
      <w:pPr>
        <w:shd w:val="clear" w:color="auto" w:fill="FFFFFF"/>
        <w:spacing w:line="375"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color w:val="auto"/>
          <w:spacing w:val="8"/>
          <w:szCs w:val="21"/>
          <w:highlight w:val="none"/>
        </w:rPr>
        <w:t>　　说明：</w:t>
      </w:r>
    </w:p>
    <w:p w14:paraId="7FCBDD7B">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1.大型、中型和小型企业须同时满足所列指标的下限，否则下划一档；微型企业只须满足所列指标中的一项即可。</w:t>
      </w:r>
    </w:p>
    <w:p w14:paraId="17EFBFF7">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55F3236">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ECEC151">
      <w:pPr>
        <w:pStyle w:val="29"/>
        <w:snapToGrid w:val="0"/>
        <w:spacing w:line="360" w:lineRule="auto"/>
        <w:ind w:left="5250"/>
        <w:rPr>
          <w:rFonts w:ascii="微软雅黑" w:hAnsi="微软雅黑" w:eastAsia="微软雅黑" w:cs="微软雅黑"/>
          <w:color w:val="auto"/>
          <w:szCs w:val="21"/>
          <w:highlight w:val="none"/>
          <w:shd w:val="clear" w:color="auto" w:fill="FFFFFF"/>
        </w:rPr>
      </w:pPr>
    </w:p>
    <w:p w14:paraId="10172411">
      <w:pPr>
        <w:pStyle w:val="29"/>
        <w:snapToGrid w:val="0"/>
        <w:spacing w:line="360" w:lineRule="auto"/>
        <w:rPr>
          <w:rFonts w:ascii="微软雅黑" w:hAnsi="微软雅黑" w:eastAsia="微软雅黑" w:cs="微软雅黑"/>
          <w:b/>
          <w:color w:val="auto"/>
          <w:szCs w:val="21"/>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长城仿宋">
    <w:altName w:val="仿宋"/>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FDE9E">
    <w:pPr>
      <w:keepNext w:val="0"/>
      <w:keepLines w:val="0"/>
      <w:pageBreakBefore w:val="0"/>
      <w:widowControl w:val="0"/>
      <w:kinsoku/>
      <w:wordWrap/>
      <w:overflowPunct/>
      <w:topLinePunct w:val="0"/>
      <w:autoSpaceDE/>
      <w:autoSpaceDN/>
      <w:bidi w:val="0"/>
      <w:adjustRightInd/>
      <w:spacing w:line="240" w:lineRule="exact"/>
      <w:ind w:firstLine="540" w:firstLineChars="300"/>
      <w:textAlignment w:val="auto"/>
      <w:rPr>
        <w:rFonts w:ascii="宋体" w:hAnsi="宋体"/>
        <w:color w:val="366091"/>
        <w:sz w:val="18"/>
        <w:szCs w:val="18"/>
      </w:rPr>
    </w:pPr>
    <w:r>
      <w:rPr>
        <w:sz w:val="18"/>
        <w:szCs w:val="18"/>
      </w:rPr>
      <mc:AlternateContent>
        <mc:Choice Requires="wps">
          <w:drawing>
            <wp:anchor distT="0" distB="0" distL="114300" distR="114300" simplePos="0" relativeHeight="251672576" behindDoc="0" locked="0" layoutInCell="1" allowOverlap="1">
              <wp:simplePos x="0" y="0"/>
              <wp:positionH relativeFrom="margin">
                <wp:posOffset>5093335</wp:posOffset>
              </wp:positionH>
              <wp:positionV relativeFrom="paragraph">
                <wp:posOffset>63500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2B5412">
                          <w:pPr>
                            <w:pStyle w:val="3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01.05pt;margin-top:5pt;height:144pt;width:144pt;mso-position-horizontal-relative:margin;mso-wrap-style:none;z-index:251672576;mso-width-relative:page;mso-height-relative:page;" filled="f" stroked="f" coordsize="21600,21600" o:gfxdata="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x4ZzUAAAACwEAAA8AAAAAAAAAAQAgAAAAIgAAAGRycy9k&#10;b3ducmV2LnhtbFBLAQIUABQAAAAIAIdO4kBAlEQlzQEAAKkDAAAOAAAAAAAAAAEAIAAAACMBAABk&#10;cnMvZTJvRG9jLnhtbFBLBQYAAAAABgAGAFkBAABiBQAAAAA=&#10;">
              <v:fill on="f" focussize="0,0"/>
              <v:stroke on="f"/>
              <v:imagedata o:title=""/>
              <o:lock v:ext="edit" aspectratio="f"/>
              <v:textbox inset="0mm,0mm,0mm,0mm" style="mso-fit-shape-to-text:t;">
                <w:txbxContent>
                  <w:p w14:paraId="072B5412">
                    <w:pPr>
                      <w:pStyle w:val="3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Times New Roman"/>
        <w:color w:val="366091"/>
        <w:sz w:val="18"/>
        <w:szCs w:val="18"/>
        <w:lang w:eastAsia="zh-CN"/>
      </w:rPr>
      <mc:AlternateContent>
        <mc:Choice Requires="wps">
          <w:drawing>
            <wp:anchor distT="0" distB="0" distL="114300" distR="114300" simplePos="0" relativeHeight="251670528" behindDoc="0" locked="0" layoutInCell="1" allowOverlap="1">
              <wp:simplePos x="0" y="0"/>
              <wp:positionH relativeFrom="column">
                <wp:posOffset>40640</wp:posOffset>
              </wp:positionH>
              <wp:positionV relativeFrom="paragraph">
                <wp:posOffset>-44450</wp:posOffset>
              </wp:positionV>
              <wp:extent cx="5208270" cy="23495"/>
              <wp:effectExtent l="0" t="28575" r="11430" b="43180"/>
              <wp:wrapNone/>
              <wp:docPr id="6" name="直接箭头连接符 6"/>
              <wp:cNvGraphicFramePr/>
              <a:graphic xmlns:a="http://schemas.openxmlformats.org/drawingml/2006/main">
                <a:graphicData uri="http://schemas.microsoft.com/office/word/2010/wordprocessingShape">
                  <wps:wsp>
                    <wps:cNvCnPr/>
                    <wps:spPr>
                      <a:xfrm>
                        <a:off x="0" y="0"/>
                        <a:ext cx="5208270" cy="2349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3.5pt;height:1.85pt;width:410.1pt;z-index:251670528;mso-width-relative:page;mso-height-relative:page;" filled="f" stroked="t" coordsize="21600,21600" o:gfxdata="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xpij1QAAAAcBAAAPAAAAAAAAAAEAIAAA&#10;ACIAAABkcnMvZG93bnJldi54bWxQSwECFAAUAAAACACHTuJAwj/7fg8CAAABBAAADgAAAAAAAAAB&#10;ACAAAAAk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sz w:val="18"/>
        <w:szCs w:val="18"/>
      </w:rPr>
      <w:drawing>
        <wp:anchor distT="0" distB="0" distL="114300" distR="114300" simplePos="0" relativeHeight="251671552" behindDoc="0" locked="0" layoutInCell="1" allowOverlap="1">
          <wp:simplePos x="0" y="0"/>
          <wp:positionH relativeFrom="column">
            <wp:posOffset>-133350</wp:posOffset>
          </wp:positionH>
          <wp:positionV relativeFrom="paragraph">
            <wp:posOffset>18415</wp:posOffset>
          </wp:positionV>
          <wp:extent cx="407670" cy="415290"/>
          <wp:effectExtent l="0" t="0" r="11430" b="3810"/>
          <wp:wrapSquare wrapText="bothSides"/>
          <wp:docPr id="7"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中际徽标.jpg"/>
                  <pic:cNvPicPr>
                    <a:picLocks noChangeAspect="1"/>
                  </pic:cNvPicPr>
                </pic:nvPicPr>
                <pic:blipFill>
                  <a:blip r:embed="rId1"/>
                  <a:stretch>
                    <a:fillRect/>
                  </a:stretch>
                </pic:blipFill>
                <pic:spPr>
                  <a:xfrm>
                    <a:off x="0" y="0"/>
                    <a:ext cx="407670" cy="415290"/>
                  </a:xfrm>
                  <a:prstGeom prst="rect">
                    <a:avLst/>
                  </a:prstGeom>
                  <a:noFill/>
                  <a:ln>
                    <a:noFill/>
                  </a:ln>
                </pic:spPr>
              </pic:pic>
            </a:graphicData>
          </a:graphic>
        </wp:anchor>
      </w:drawing>
    </w:r>
    <w:r>
      <w:rPr>
        <w:rFonts w:hint="eastAsia" w:ascii="宋体" w:hAnsi="宋体"/>
        <w:color w:val="366091"/>
        <w:sz w:val="18"/>
        <w:szCs w:val="18"/>
      </w:rPr>
      <w:t>浙江中际工程项目管理有限公司</w:t>
    </w:r>
  </w:p>
  <w:p w14:paraId="3CFBC647">
    <w:pPr>
      <w:pStyle w:val="34"/>
      <w:keepNext w:val="0"/>
      <w:keepLines w:val="0"/>
      <w:pageBreakBefore w:val="0"/>
      <w:widowControl w:val="0"/>
      <w:kinsoku/>
      <w:wordWrap/>
      <w:overflowPunct/>
      <w:topLinePunct w:val="0"/>
      <w:autoSpaceDE/>
      <w:autoSpaceDN/>
      <w:bidi w:val="0"/>
      <w:adjustRightInd/>
      <w:spacing w:line="240" w:lineRule="exact"/>
      <w:jc w:val="both"/>
      <w:textAlignment w:val="auto"/>
      <w:rPr>
        <w:sz w:val="21"/>
        <w:szCs w:val="21"/>
      </w:rPr>
    </w:pPr>
    <w:r>
      <w:rPr>
        <w:rFonts w:hint="eastAsia" w:ascii="宋体" w:hAnsi="宋体"/>
        <w:color w:val="366091"/>
        <w:sz w:val="18"/>
        <w:szCs w:val="18"/>
      </w:rPr>
      <w:t xml:space="preserve">ZHEJIANG GEOKEY ENGINEERING PROJECT MANGEMENT CO. LTD. </w: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432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14:paraId="0CF8B96A">
                          <w:pPr>
                            <w:pStyle w:val="34"/>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9.15pt;width:9.05pt;mso-position-horizontal:center;mso-position-horizontal-relative:margin;mso-wrap-style:none;z-index:251659264;mso-width-relative:page;mso-height-relative:page;" filled="f" stroked="f" coordsize="21600,21600" o:gfxdata="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b0XotAAAAADAQAADwAAAAAAAAABACAAAAAiAAAAZHJz&#10;L2Rvd25yZXYueG1sUEsBAhQAFAAAAAgAh07iQFFSDU/TAQAApQMAAA4AAAAAAAAAAQAgAAAAHwEA&#10;AGRycy9lMm9Eb2MueG1sUEsFBgAAAAAGAAYAWQEAAGQFAAAAAA==&#10;">
              <v:fill on="f" focussize="0,0"/>
              <v:stroke on="f"/>
              <v:imagedata o:title=""/>
              <o:lock v:ext="edit" aspectratio="f"/>
              <v:textbox inset="0mm,0mm,0mm,0mm" style="mso-fit-shape-to-text:t;">
                <w:txbxContent>
                  <w:p w14:paraId="0CF8B96A">
                    <w:pPr>
                      <w:pStyle w:val="3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D884">
    <w:pPr>
      <w:pStyle w:val="34"/>
      <w:framePr w:wrap="around" w:vAnchor="text" w:hAnchor="margin" w:xAlign="right" w:y="1"/>
      <w:rPr>
        <w:rStyle w:val="58"/>
      </w:rPr>
    </w:pPr>
    <w:r>
      <w:fldChar w:fldCharType="begin"/>
    </w:r>
    <w:r>
      <w:rPr>
        <w:rStyle w:val="58"/>
      </w:rPr>
      <w:instrText xml:space="preserve">PAGE  </w:instrText>
    </w:r>
    <w:r>
      <w:fldChar w:fldCharType="end"/>
    </w:r>
  </w:p>
  <w:p w14:paraId="07851DD3">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4306">
    <w:pPr>
      <w:pStyle w:val="3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4AA0A">
    <w:pPr>
      <w:keepNext w:val="0"/>
      <w:keepLines w:val="0"/>
      <w:pageBreakBefore w:val="0"/>
      <w:widowControl w:val="0"/>
      <w:kinsoku/>
      <w:wordWrap/>
      <w:overflowPunct/>
      <w:topLinePunct w:val="0"/>
      <w:autoSpaceDE/>
      <w:autoSpaceDN/>
      <w:bidi w:val="0"/>
      <w:adjustRightInd/>
      <w:spacing w:line="240" w:lineRule="exact"/>
      <w:ind w:firstLine="540" w:firstLineChars="300"/>
      <w:textAlignment w:val="auto"/>
      <w:rPr>
        <w:rFonts w:ascii="宋体" w:hAnsi="宋体"/>
        <w:color w:val="366091"/>
        <w:sz w:val="18"/>
        <w:szCs w:val="18"/>
      </w:rPr>
    </w:pPr>
    <w:r>
      <w:rPr>
        <w:sz w:val="18"/>
        <w:szCs w:val="18"/>
      </w:rPr>
      <mc:AlternateContent>
        <mc:Choice Requires="wps">
          <w:drawing>
            <wp:anchor distT="0" distB="0" distL="114300" distR="114300" simplePos="0" relativeHeight="251675648" behindDoc="0" locked="0" layoutInCell="1" allowOverlap="1">
              <wp:simplePos x="0" y="0"/>
              <wp:positionH relativeFrom="margin">
                <wp:posOffset>5093335</wp:posOffset>
              </wp:positionH>
              <wp:positionV relativeFrom="paragraph">
                <wp:posOffset>63500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DD05B8">
                          <w:pPr>
                            <w:pStyle w:val="3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01.05pt;margin-top:5pt;height:144pt;width:144pt;mso-position-horizontal-relative:margin;mso-wrap-style:none;z-index:251675648;mso-width-relative:page;mso-height-relative:page;" filled="f" stroked="f" coordsize="21600,21600" o:gfxdata="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zHhnNQAAAALAQAADwAAAAAAAAABACAAAAAiAAAAZHJzL2Rv&#10;d25yZXYueG1sUEsBAhQAFAAAAAgAh07iQAJfYaTMAQAApwMAAA4AAAAAAAAAAQAgAAAAIwEAAGRy&#10;cy9lMm9Eb2MueG1sUEsFBgAAAAAGAAYAWQEAAGEFAAAAAA==&#10;">
              <v:fill on="f" focussize="0,0"/>
              <v:stroke on="f"/>
              <v:imagedata o:title=""/>
              <o:lock v:ext="edit" aspectratio="f"/>
              <v:textbox inset="0mm,0mm,0mm,0mm" style="mso-fit-shape-to-text:t;">
                <w:txbxContent>
                  <w:p w14:paraId="42DD05B8">
                    <w:pPr>
                      <w:pStyle w:val="3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Times New Roman"/>
        <w:color w:val="366091"/>
        <w:sz w:val="18"/>
        <w:szCs w:val="18"/>
        <w:lang w:eastAsia="zh-CN"/>
      </w:rPr>
      <mc:AlternateContent>
        <mc:Choice Requires="wps">
          <w:drawing>
            <wp:anchor distT="0" distB="0" distL="114300" distR="114300" simplePos="0" relativeHeight="251673600" behindDoc="0" locked="0" layoutInCell="1" allowOverlap="1">
              <wp:simplePos x="0" y="0"/>
              <wp:positionH relativeFrom="column">
                <wp:posOffset>40640</wp:posOffset>
              </wp:positionH>
              <wp:positionV relativeFrom="paragraph">
                <wp:posOffset>-44450</wp:posOffset>
              </wp:positionV>
              <wp:extent cx="5208270" cy="23495"/>
              <wp:effectExtent l="0" t="28575" r="11430" b="43180"/>
              <wp:wrapNone/>
              <wp:docPr id="9" name="直接箭头连接符 9"/>
              <wp:cNvGraphicFramePr/>
              <a:graphic xmlns:a="http://schemas.openxmlformats.org/drawingml/2006/main">
                <a:graphicData uri="http://schemas.microsoft.com/office/word/2010/wordprocessingShape">
                  <wps:wsp>
                    <wps:cNvCnPr/>
                    <wps:spPr>
                      <a:xfrm>
                        <a:off x="0" y="0"/>
                        <a:ext cx="5208270" cy="2349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3.5pt;height:1.85pt;width:410.1pt;z-index:251673600;mso-width-relative:page;mso-height-relative:page;" filled="f" stroked="t" coordsize="21600,21600" o:gfxdata="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xpij1QAAAAcBAAAPAAAAAAAAAAEAIAAA&#10;ACIAAABkcnMvZG93bnJldi54bWxQSwECFAAUAAAACACHTuJAiL4mlw8CAAABBAAADgAAAAAAAAAB&#10;ACAAAAAk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sz w:val="18"/>
        <w:szCs w:val="18"/>
      </w:rPr>
      <w:drawing>
        <wp:anchor distT="0" distB="0" distL="114300" distR="114300" simplePos="0" relativeHeight="251674624" behindDoc="0" locked="0" layoutInCell="1" allowOverlap="1">
          <wp:simplePos x="0" y="0"/>
          <wp:positionH relativeFrom="column">
            <wp:posOffset>-133350</wp:posOffset>
          </wp:positionH>
          <wp:positionV relativeFrom="paragraph">
            <wp:posOffset>18415</wp:posOffset>
          </wp:positionV>
          <wp:extent cx="407670" cy="415290"/>
          <wp:effectExtent l="0" t="0" r="11430" b="3810"/>
          <wp:wrapSquare wrapText="bothSides"/>
          <wp:docPr id="10"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中际徽标.jpg"/>
                  <pic:cNvPicPr>
                    <a:picLocks noChangeAspect="1"/>
                  </pic:cNvPicPr>
                </pic:nvPicPr>
                <pic:blipFill>
                  <a:blip r:embed="rId1"/>
                  <a:stretch>
                    <a:fillRect/>
                  </a:stretch>
                </pic:blipFill>
                <pic:spPr>
                  <a:xfrm>
                    <a:off x="0" y="0"/>
                    <a:ext cx="407670" cy="415290"/>
                  </a:xfrm>
                  <a:prstGeom prst="rect">
                    <a:avLst/>
                  </a:prstGeom>
                  <a:noFill/>
                  <a:ln>
                    <a:noFill/>
                  </a:ln>
                </pic:spPr>
              </pic:pic>
            </a:graphicData>
          </a:graphic>
        </wp:anchor>
      </w:drawing>
    </w:r>
    <w:r>
      <w:rPr>
        <w:rFonts w:hint="eastAsia" w:ascii="宋体" w:hAnsi="宋体"/>
        <w:color w:val="366091"/>
        <w:sz w:val="18"/>
        <w:szCs w:val="18"/>
      </w:rPr>
      <w:t>浙江中际工程项目管理有限公司</w:t>
    </w:r>
  </w:p>
  <w:p w14:paraId="0ECC3E1E">
    <w:pPr>
      <w:pStyle w:val="34"/>
    </w:pPr>
    <w:r>
      <w:rPr>
        <w:rFonts w:hint="eastAsia" w:ascii="宋体" w:hAnsi="宋体"/>
        <w:color w:val="366091"/>
        <w:sz w:val="18"/>
        <w:szCs w:val="18"/>
      </w:rPr>
      <w:t xml:space="preserve">ZHEJIANG GEOKEY ENGINEERING PROJECT MANGEMENT CO. LTD.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A5DF">
    <w:pPr>
      <w:pStyle w:val="34"/>
      <w:framePr w:wrap="around" w:vAnchor="text" w:hAnchor="margin" w:xAlign="right" w:y="1"/>
      <w:rPr>
        <w:rStyle w:val="58"/>
      </w:rPr>
    </w:pPr>
    <w:r>
      <w:fldChar w:fldCharType="begin"/>
    </w:r>
    <w:r>
      <w:rPr>
        <w:rStyle w:val="58"/>
      </w:rPr>
      <w:instrText xml:space="preserve">PAGE  </w:instrText>
    </w:r>
    <w:r>
      <w:fldChar w:fldCharType="end"/>
    </w:r>
  </w:p>
  <w:p w14:paraId="6BBB5F36">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B99D">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212F6">
    <w:pPr>
      <w:pStyle w:val="34"/>
      <w:framePr w:wrap="around" w:vAnchor="text" w:hAnchor="margin" w:xAlign="center" w:y="1"/>
      <w:ind w:right="360"/>
      <w:jc w:val="center"/>
      <w:rPr>
        <w:rStyle w:val="58"/>
      </w:rPr>
    </w:pPr>
  </w:p>
  <w:p w14:paraId="52E94172">
    <w:pPr>
      <w:pStyle w:val="34"/>
      <w:ind w:firstLine="7920" w:firstLineChars="4400"/>
    </w:pPr>
    <w:r>
      <w:fldChar w:fldCharType="begin"/>
    </w:r>
    <w:r>
      <w:instrText xml:space="preserve"> PAGE   \* MERGEFORMAT </w:instrText>
    </w:r>
    <w:r>
      <w:fldChar w:fldCharType="separate"/>
    </w:r>
    <w:r>
      <w:rPr>
        <w:lang w:val="zh-CN"/>
      </w:rPr>
      <w:t>24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910C">
    <w:pPr>
      <w:pStyle w:val="34"/>
      <w:spacing w:line="240" w:lineRule="auto"/>
      <w:ind w:left="535" w:leftChars="255" w:firstLine="1305" w:firstLineChars="725"/>
      <w:jc w:val="right"/>
    </w:pPr>
    <w:r>
      <w:rPr>
        <w:rFonts w:hint="eastAsia" w:ascii="宋体" w:hAnsi="宋体" w:eastAsia="宋体" w:cs="Times New Roman"/>
        <w:color w:val="366091"/>
        <w:lang w:eastAsia="zh-CN"/>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175895</wp:posOffset>
              </wp:positionV>
              <wp:extent cx="5226685" cy="6350"/>
              <wp:effectExtent l="0" t="28575" r="12065" b="41275"/>
              <wp:wrapNone/>
              <wp:docPr id="2" name="直接箭头连接符 2"/>
              <wp:cNvGraphicFramePr/>
              <a:graphic xmlns:a="http://schemas.openxmlformats.org/drawingml/2006/main">
                <a:graphicData uri="http://schemas.microsoft.com/office/word/2010/wordprocessingShape">
                  <wps:wsp>
                    <wps:cNvCnPr/>
                    <wps:spPr>
                      <a:xfrm>
                        <a:off x="0" y="0"/>
                        <a:ext cx="5226685" cy="6350"/>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55pt;margin-top:13.85pt;height:0.5pt;width:411.55pt;z-index:251667456;mso-width-relative:page;mso-height-relative:page;" filled="f" stroked="t" coordsize="21600,21600" o:gfxdata="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MFnj1AAAAAcBAAAPAAAAAAAAAAEAIAAA&#10;ACIAAABkcnMvZG93bnJldi54bWxQSwECFAAUAAAACACHTuJALmkYmBACAAAABAAADgAAAAAAAAAB&#10;ACAAAAAj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cs="Times New Roman"/>
        <w:color w:val="366091"/>
        <w:lang w:val="en-US" w:eastAsia="zh-CN"/>
      </w:rPr>
      <w:t xml:space="preserve">  嘉兴市实验小学2025年度教师疗休养项目</w:t>
    </w:r>
    <w:r>
      <w:rPr>
        <w:rFonts w:hint="eastAsia" w:ascii="宋体" w:hAnsi="宋体" w:eastAsia="宋体" w:cs="Times New Roman"/>
        <w:color w:val="366091"/>
        <w:lang w:val="en-US" w:eastAsia="zh-CN"/>
      </w:rPr>
      <w:t>•招标文件</w:t>
    </w:r>
    <w:r>
      <w:rPr>
        <w:sz w:val="18"/>
      </w:rPr>
      <w:pict>
        <v:shape id="PowerPlusWaterMarkObject53472" o:spid="_x0000_s3074" o:spt="136" type="#_x0000_t136" style="position:absolute;left:0pt;margin-left:-31.75pt;margin-top:323.45pt;height:50.1pt;width:537.15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浙江中际工程项目管理有限公司"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466B">
    <w:pPr>
      <w:pStyle w:val="35"/>
    </w:pPr>
    <w:r>
      <w:pict>
        <v:shape id="PowerPlusWaterMarkObject4865172" o:spid="_x0000_s3075" o:spt="136" type="#_x0000_t136" style="position:absolute;left:0pt;height:45.15pt;width:58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F36F3">
    <w:pPr>
      <w:pStyle w:val="35"/>
    </w:pPr>
    <w:r>
      <w:pict>
        <v:shape id="PowerPlusWaterMarkObject4865171" o:spid="_x0000_s3073" o:spt="136" type="#_x0000_t136" style="position:absolute;left:0pt;height:45.15pt;width:58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FA307">
    <w:pPr>
      <w:pStyle w:val="34"/>
      <w:spacing w:line="240" w:lineRule="auto"/>
      <w:ind w:left="535" w:leftChars="255" w:firstLine="1305" w:firstLineChars="725"/>
      <w:jc w:val="right"/>
    </w:pPr>
    <w:r>
      <w:rPr>
        <w:rFonts w:hint="eastAsia" w:ascii="宋体" w:hAnsi="宋体" w:eastAsia="宋体" w:cs="Times New Roman"/>
        <w:color w:val="366091"/>
        <w:lang w:eastAsia="zh-CN"/>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167640</wp:posOffset>
              </wp:positionV>
              <wp:extent cx="5247005" cy="8255"/>
              <wp:effectExtent l="0" t="28575" r="10795" b="39370"/>
              <wp:wrapNone/>
              <wp:docPr id="3" name="直接箭头连接符 3"/>
              <wp:cNvGraphicFramePr/>
              <a:graphic xmlns:a="http://schemas.openxmlformats.org/drawingml/2006/main">
                <a:graphicData uri="http://schemas.microsoft.com/office/word/2010/wordprocessingShape">
                  <wps:wsp>
                    <wps:cNvCnPr/>
                    <wps:spPr>
                      <a:xfrm flipV="1">
                        <a:off x="0" y="0"/>
                        <a:ext cx="5247005" cy="825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55pt;margin-top:13.2pt;height:0.65pt;width:413.15pt;z-index:251669504;mso-width-relative:page;mso-height-relative:page;" filled="f" stroked="t" coordsize="21600,21600" o:gfxdata="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39Fv1QAAAAcBAAAPAAAAAAAA&#10;AAEAIAAAACIAAABkcnMvZG93bnJldi54bWxQSwECFAAUAAAACACHTuJAzi1cFxUCAAAKBAAADgAA&#10;AAAAAAABACAAAAAkAQAAZHJzL2Uyb0RvYy54bWxQSwUGAAAAAAYABgBZAQAAqwUAAAAA&#10;">
              <v:fill on="f" focussize="0,0"/>
              <v:stroke weight="4.5pt" color="#2E74B5" linestyle="thinThick" joinstyle="round"/>
              <v:imagedata o:title=""/>
              <o:lock v:ext="edit" aspectratio="f"/>
            </v:shape>
          </w:pict>
        </mc:Fallback>
      </mc:AlternateContent>
    </w:r>
    <w:r>
      <w:rPr>
        <w:rFonts w:hint="eastAsia" w:ascii="宋体" w:hAnsi="宋体" w:cs="Times New Roman"/>
        <w:color w:val="366091"/>
        <w:lang w:val="en-US" w:eastAsia="zh-CN"/>
      </w:rPr>
      <w:t xml:space="preserve">  嘉兴市实验小学2025年度教师疗休养项目</w:t>
    </w:r>
    <w:r>
      <w:rPr>
        <w:rFonts w:hint="eastAsia" w:ascii="宋体" w:hAnsi="宋体" w:eastAsia="宋体" w:cs="Times New Roman"/>
        <w:color w:val="366091"/>
        <w:lang w:val="en-US" w:eastAsia="zh-CN"/>
      </w:rPr>
      <w:t>•招标文件</w:t>
    </w:r>
    <w:r>
      <w:rPr>
        <w:sz w:val="18"/>
      </w:rPr>
      <w:pict>
        <v:shape id="_x0000_s3077" o:spid="_x0000_s3077" o:spt="136" type="#_x0000_t136" style="position:absolute;left:0pt;margin-left:-31.75pt;margin-top:323.45pt;height:50.1pt;width:537.15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浙江中际工程项目管理有限公司"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9541D">
    <w:pPr>
      <w:pStyle w:val="35"/>
    </w:pPr>
    <w:r>
      <w:pict>
        <v:shape id="PowerPlusWaterMarkObject4865175" o:spid="_x0000_s3078" o:spt="136" type="#_x0000_t136" style="position:absolute;left:0pt;height:45.15pt;width:58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EDC7A">
    <w:pPr>
      <w:pStyle w:val="35"/>
    </w:pPr>
    <w:r>
      <w:pict>
        <v:shape id="PowerPlusWaterMarkObject4865174" o:spid="_x0000_s3076" o:spt="136" type="#_x0000_t136" style="position:absolute;left:0pt;height:45.15pt;width:58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7CE3">
    <w:pPr>
      <w:pStyle w:val="35"/>
    </w:pPr>
    <w:r>
      <w:pict>
        <v:shape id="PowerPlusWaterMarkObject4865181" o:spid="_x0000_s3080" o:spt="136" type="#_x0000_t136" style="position:absolute;left:0pt;height:45.15pt;width:587.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5EFB">
    <w:pPr>
      <w:pStyle w:val="35"/>
    </w:pPr>
    <w:r>
      <w:pict>
        <v:shape id="PowerPlusWaterMarkObject4865180" o:spid="_x0000_s3079" o:spt="136" type="#_x0000_t136" style="position:absolute;left:0pt;height:45.15pt;width:587.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091FE"/>
    <w:multiLevelType w:val="singleLevel"/>
    <w:tmpl w:val="92A091FE"/>
    <w:lvl w:ilvl="0" w:tentative="0">
      <w:start w:val="1"/>
      <w:numFmt w:val="decimal"/>
      <w:lvlText w:val="%1."/>
      <w:lvlJc w:val="left"/>
      <w:pPr>
        <w:ind w:left="425" w:hanging="425"/>
      </w:pPr>
      <w:rPr>
        <w:rFonts w:hint="default"/>
      </w:rPr>
    </w:lvl>
  </w:abstractNum>
  <w:abstractNum w:abstractNumId="1">
    <w:nsid w:val="EB3E1868"/>
    <w:multiLevelType w:val="singleLevel"/>
    <w:tmpl w:val="EB3E1868"/>
    <w:lvl w:ilvl="0" w:tentative="0">
      <w:start w:val="4"/>
      <w:numFmt w:val="decimal"/>
      <w:suff w:val="nothing"/>
      <w:lvlText w:val="%1、"/>
      <w:lvlJc w:val="left"/>
    </w:lvl>
  </w:abstractNum>
  <w:abstractNum w:abstractNumId="2">
    <w:nsid w:val="00684585"/>
    <w:multiLevelType w:val="multilevel"/>
    <w:tmpl w:val="00684585"/>
    <w:lvl w:ilvl="0" w:tentative="0">
      <w:start w:val="1"/>
      <w:numFmt w:val="decimal"/>
      <w:pStyle w:val="53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AB67EE"/>
    <w:multiLevelType w:val="multilevel"/>
    <w:tmpl w:val="03AB67EE"/>
    <w:lvl w:ilvl="0" w:tentative="0">
      <w:start w:val="1"/>
      <w:numFmt w:val="bullet"/>
      <w:pStyle w:val="496"/>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6F212CC"/>
    <w:multiLevelType w:val="multilevel"/>
    <w:tmpl w:val="06F212CC"/>
    <w:lvl w:ilvl="0" w:tentative="0">
      <w:start w:val="1"/>
      <w:numFmt w:val="decimal"/>
      <w:pStyle w:val="284"/>
      <w:lvlText w:val="2.%1."/>
      <w:lvlJc w:val="left"/>
      <w:pPr>
        <w:tabs>
          <w:tab w:val="left" w:pos="1145"/>
        </w:tabs>
        <w:ind w:left="114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6240AB4"/>
    <w:multiLevelType w:val="multilevel"/>
    <w:tmpl w:val="16240AB4"/>
    <w:lvl w:ilvl="0" w:tentative="0">
      <w:start w:val="1"/>
      <w:numFmt w:val="bullet"/>
      <w:pStyle w:val="24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033215"/>
    <w:multiLevelType w:val="multilevel"/>
    <w:tmpl w:val="1D033215"/>
    <w:lvl w:ilvl="0" w:tentative="0">
      <w:start w:val="1"/>
      <w:numFmt w:val="bullet"/>
      <w:pStyle w:val="533"/>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2387661"/>
    <w:multiLevelType w:val="multilevel"/>
    <w:tmpl w:val="22387661"/>
    <w:lvl w:ilvl="0" w:tentative="0">
      <w:start w:val="1"/>
      <w:numFmt w:val="decimal"/>
      <w:pStyle w:val="488"/>
      <w:lvlText w:val="8.3.3.%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3B7F25"/>
    <w:multiLevelType w:val="multilevel"/>
    <w:tmpl w:val="2D3B7F25"/>
    <w:lvl w:ilvl="0" w:tentative="0">
      <w:start w:val="1"/>
      <w:numFmt w:val="decimal"/>
      <w:lvlText w:val="%1."/>
      <w:lvlJc w:val="left"/>
      <w:pPr>
        <w:ind w:left="786"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9">
    <w:nsid w:val="2EE3724F"/>
    <w:multiLevelType w:val="multilevel"/>
    <w:tmpl w:val="2EE3724F"/>
    <w:lvl w:ilvl="0" w:tentative="0">
      <w:start w:val="1"/>
      <w:numFmt w:val="bullet"/>
      <w:pStyle w:val="472"/>
      <w:lvlText w:val=""/>
      <w:lvlJc w:val="left"/>
      <w:pPr>
        <w:tabs>
          <w:tab w:val="left" w:pos="704"/>
        </w:tabs>
        <w:ind w:left="704" w:hanging="420"/>
      </w:pPr>
      <w:rPr>
        <w:rFonts w:hint="default" w:ascii="Wingdings" w:hAnsi="Wingdings"/>
      </w:rPr>
    </w:lvl>
    <w:lvl w:ilvl="1" w:tentative="0">
      <w:start w:val="1"/>
      <w:numFmt w:val="bullet"/>
      <w:pStyle w:val="471"/>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493"/>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7FA0EFA"/>
    <w:multiLevelType w:val="multilevel"/>
    <w:tmpl w:val="47FA0EFA"/>
    <w:lvl w:ilvl="0" w:tentative="0">
      <w:start w:val="1"/>
      <w:numFmt w:val="bullet"/>
      <w:pStyle w:val="286"/>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8484612"/>
    <w:multiLevelType w:val="singleLevel"/>
    <w:tmpl w:val="48484612"/>
    <w:lvl w:ilvl="0" w:tentative="0">
      <w:start w:val="1"/>
      <w:numFmt w:val="bullet"/>
      <w:pStyle w:val="277"/>
      <w:lvlText w:val=""/>
      <w:lvlJc w:val="left"/>
      <w:pPr>
        <w:tabs>
          <w:tab w:val="left" w:pos="1843"/>
        </w:tabs>
        <w:ind w:left="1843" w:hanging="425"/>
      </w:pPr>
      <w:rPr>
        <w:rFonts w:hint="default" w:ascii="Wingdings" w:hAnsi="Wingdings"/>
        <w:sz w:val="20"/>
      </w:rPr>
    </w:lvl>
  </w:abstractNum>
  <w:abstractNum w:abstractNumId="13">
    <w:nsid w:val="4C714CCA"/>
    <w:multiLevelType w:val="multilevel"/>
    <w:tmpl w:val="4C714CCA"/>
    <w:lvl w:ilvl="0" w:tentative="0">
      <w:start w:val="1"/>
      <w:numFmt w:val="bullet"/>
      <w:pStyle w:val="5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09821AF"/>
    <w:multiLevelType w:val="multilevel"/>
    <w:tmpl w:val="509821AF"/>
    <w:lvl w:ilvl="0" w:tentative="0">
      <w:start w:val="1"/>
      <w:numFmt w:val="none"/>
      <w:pStyle w:val="290"/>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295"/>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pStyle w:val="291"/>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292"/>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293"/>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294"/>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pStyle w:val="287"/>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pStyle w:val="288"/>
      <w:suff w:val="nothing"/>
      <w:lvlText w:val="%7.%8  "/>
      <w:lvlJc w:val="left"/>
      <w:pPr>
        <w:ind w:left="0" w:firstLine="0"/>
      </w:pPr>
      <w:rPr>
        <w:rFonts w:hint="default" w:ascii="Trebuchet MS" w:hAnsi="Trebuchet MS"/>
        <w:b/>
        <w:i w:val="0"/>
        <w:color w:val="0085C3"/>
        <w:sz w:val="32"/>
        <w:szCs w:val="22"/>
      </w:rPr>
    </w:lvl>
    <w:lvl w:ilvl="8" w:tentative="0">
      <w:start w:val="1"/>
      <w:numFmt w:val="decimal"/>
      <w:pStyle w:val="289"/>
      <w:suff w:val="nothing"/>
      <w:lvlText w:val="%7.%8.%9  "/>
      <w:lvlJc w:val="left"/>
      <w:pPr>
        <w:ind w:left="0" w:firstLine="0"/>
      </w:pPr>
      <w:rPr>
        <w:rFonts w:hint="default" w:ascii="Trebuchet MS" w:hAnsi="Trebuchet MS"/>
        <w:b/>
        <w:i w:val="0"/>
        <w:color w:val="0085C3"/>
        <w:sz w:val="28"/>
        <w:szCs w:val="20"/>
      </w:rPr>
    </w:lvl>
  </w:abstractNum>
  <w:abstractNum w:abstractNumId="15">
    <w:nsid w:val="55B005B9"/>
    <w:multiLevelType w:val="multilevel"/>
    <w:tmpl w:val="55B005B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95675C2"/>
    <w:multiLevelType w:val="multilevel"/>
    <w:tmpl w:val="595675C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518"/>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18">
    <w:nsid w:val="65F53776"/>
    <w:multiLevelType w:val="multilevel"/>
    <w:tmpl w:val="65F53776"/>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84A1E8D"/>
    <w:multiLevelType w:val="multilevel"/>
    <w:tmpl w:val="684A1E8D"/>
    <w:lvl w:ilvl="0" w:tentative="0">
      <w:start w:val="1"/>
      <w:numFmt w:val="bullet"/>
      <w:pStyle w:val="247"/>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0">
    <w:nsid w:val="69DA2676"/>
    <w:multiLevelType w:val="multilevel"/>
    <w:tmpl w:val="69DA2676"/>
    <w:lvl w:ilvl="0" w:tentative="0">
      <w:start w:val="1"/>
      <w:numFmt w:val="bullet"/>
      <w:pStyle w:val="536"/>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1">
    <w:nsid w:val="6E993F20"/>
    <w:multiLevelType w:val="multilevel"/>
    <w:tmpl w:val="6E993F20"/>
    <w:lvl w:ilvl="0" w:tentative="0">
      <w:start w:val="1"/>
      <w:numFmt w:val="decimal"/>
      <w:pStyle w:val="490"/>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0023C59"/>
    <w:multiLevelType w:val="multilevel"/>
    <w:tmpl w:val="70023C59"/>
    <w:lvl w:ilvl="0" w:tentative="0">
      <w:start w:val="1"/>
      <w:numFmt w:val="bullet"/>
      <w:lvlText w:val=""/>
      <w:lvlJc w:val="left"/>
      <w:pPr>
        <w:ind w:left="846" w:hanging="420"/>
      </w:pPr>
      <w:rPr>
        <w:rFonts w:hint="default" w:ascii="Wingdings" w:hAnsi="Wingdings"/>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pStyle w:val="411"/>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7C564804"/>
    <w:multiLevelType w:val="multilevel"/>
    <w:tmpl w:val="7C564804"/>
    <w:lvl w:ilvl="0" w:tentative="0">
      <w:start w:val="1"/>
      <w:numFmt w:val="decimal"/>
      <w:pStyle w:val="238"/>
      <w:lvlText w:val="%1"/>
      <w:lvlJc w:val="left"/>
      <w:pPr>
        <w:ind w:left="629" w:hanging="629"/>
      </w:pPr>
      <w:rPr>
        <w:rFonts w:hint="eastAsia"/>
      </w:rPr>
    </w:lvl>
    <w:lvl w:ilvl="1" w:tentative="0">
      <w:start w:val="1"/>
      <w:numFmt w:val="decimal"/>
      <w:pStyle w:val="239"/>
      <w:lvlText w:val="%1.%2"/>
      <w:lvlJc w:val="left"/>
      <w:pPr>
        <w:ind w:left="629" w:hanging="629"/>
      </w:pPr>
      <w:rPr>
        <w:rFonts w:hint="eastAsia"/>
      </w:rPr>
    </w:lvl>
    <w:lvl w:ilvl="2" w:tentative="0">
      <w:start w:val="1"/>
      <w:numFmt w:val="decimal"/>
      <w:pStyle w:val="240"/>
      <w:lvlText w:val="%1.%2.%3"/>
      <w:lvlJc w:val="left"/>
      <w:pPr>
        <w:ind w:left="629" w:hanging="629"/>
      </w:pPr>
      <w:rPr>
        <w:rFonts w:hint="eastAsia"/>
      </w:rPr>
    </w:lvl>
    <w:lvl w:ilvl="3" w:tentative="0">
      <w:start w:val="1"/>
      <w:numFmt w:val="decimal"/>
      <w:pStyle w:val="241"/>
      <w:lvlText w:val="%1.%2.%3.%4"/>
      <w:lvlJc w:val="left"/>
      <w:pPr>
        <w:ind w:left="629" w:hanging="629"/>
      </w:pPr>
      <w:rPr>
        <w:rFonts w:hint="eastAsia"/>
      </w:rPr>
    </w:lvl>
    <w:lvl w:ilvl="4" w:tentative="0">
      <w:start w:val="1"/>
      <w:numFmt w:val="decimal"/>
      <w:pStyle w:val="242"/>
      <w:lvlText w:val="%1.%2.%3.%4.%5"/>
      <w:lvlJc w:val="left"/>
      <w:pPr>
        <w:ind w:left="629" w:hanging="629"/>
      </w:pPr>
      <w:rPr>
        <w:rFonts w:hint="eastAsia"/>
      </w:rPr>
    </w:lvl>
    <w:lvl w:ilvl="5" w:tentative="0">
      <w:start w:val="1"/>
      <w:numFmt w:val="decimal"/>
      <w:pStyle w:val="245"/>
      <w:lvlText w:val="表%6"/>
      <w:lvlJc w:val="left"/>
      <w:pPr>
        <w:ind w:left="629" w:hanging="629"/>
      </w:pPr>
      <w:rPr>
        <w:rFonts w:hint="eastAsia"/>
      </w:rPr>
    </w:lvl>
    <w:lvl w:ilvl="6" w:tentative="0">
      <w:start w:val="1"/>
      <w:numFmt w:val="decimal"/>
      <w:lvlRestart w:val="1"/>
      <w:pStyle w:val="244"/>
      <w:suff w:val="space"/>
      <w:lvlText w:val="图 %1-%7"/>
      <w:lvlJc w:val="left"/>
      <w:pPr>
        <w:ind w:left="4599" w:hanging="629"/>
      </w:pPr>
      <w:rPr>
        <w:rFonts w:hint="eastAsia"/>
      </w:rPr>
    </w:lvl>
    <w:lvl w:ilvl="7" w:tentative="0">
      <w:start w:val="1"/>
      <w:numFmt w:val="decimal"/>
      <w:lvlText w:val="%1.%2.%3.%4.%5.%6.%7.%8"/>
      <w:lvlJc w:val="left"/>
      <w:pPr>
        <w:ind w:left="629" w:hanging="629"/>
      </w:pPr>
      <w:rPr>
        <w:rFonts w:hint="eastAsia"/>
      </w:rPr>
    </w:lvl>
    <w:lvl w:ilvl="8" w:tentative="0">
      <w:start w:val="1"/>
      <w:numFmt w:val="decimal"/>
      <w:lvlText w:val="%1.%2.%3.%4.%5.%6.%7.%8.%9"/>
      <w:lvlJc w:val="left"/>
      <w:pPr>
        <w:ind w:left="629" w:hanging="629"/>
      </w:pPr>
      <w:rPr>
        <w:rFonts w:hint="eastAsia"/>
      </w:rPr>
    </w:lvl>
  </w:abstractNum>
  <w:abstractNum w:abstractNumId="24">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23"/>
  </w:num>
  <w:num w:numId="2">
    <w:abstractNumId w:val="5"/>
  </w:num>
  <w:num w:numId="3">
    <w:abstractNumId w:val="19"/>
  </w:num>
  <w:num w:numId="4">
    <w:abstractNumId w:val="12"/>
  </w:num>
  <w:num w:numId="5">
    <w:abstractNumId w:val="4"/>
  </w:num>
  <w:num w:numId="6">
    <w:abstractNumId w:val="11"/>
  </w:num>
  <w:num w:numId="7">
    <w:abstractNumId w:val="14"/>
  </w:num>
  <w:num w:numId="8">
    <w:abstractNumId w:val="22"/>
  </w:num>
  <w:num w:numId="9">
    <w:abstractNumId w:val="9"/>
  </w:num>
  <w:num w:numId="10">
    <w:abstractNumId w:val="7"/>
  </w:num>
  <w:num w:numId="11">
    <w:abstractNumId w:val="21"/>
  </w:num>
  <w:num w:numId="12">
    <w:abstractNumId w:val="10"/>
  </w:num>
  <w:num w:numId="13">
    <w:abstractNumId w:val="3"/>
  </w:num>
  <w:num w:numId="14">
    <w:abstractNumId w:val="17"/>
  </w:num>
  <w:num w:numId="15">
    <w:abstractNumId w:val="2"/>
  </w:num>
  <w:num w:numId="16">
    <w:abstractNumId w:val="6"/>
  </w:num>
  <w:num w:numId="17">
    <w:abstractNumId w:val="13"/>
  </w:num>
  <w:num w:numId="18">
    <w:abstractNumId w:val="20"/>
  </w:num>
  <w:num w:numId="19">
    <w:abstractNumId w:val="18"/>
  </w:num>
  <w:num w:numId="20">
    <w:abstractNumId w:val="1"/>
  </w:num>
  <w:num w:numId="21">
    <w:abstractNumId w:val="8"/>
  </w:num>
  <w:num w:numId="22">
    <w:abstractNumId w:val="15"/>
  </w:num>
  <w:num w:numId="23">
    <w:abstractNumId w:val="16"/>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MDQ4NjVjYTZkODMyNzRkMzMzYWIxMzBlMzY1ZDQifQ=="/>
  </w:docVars>
  <w:rsids>
    <w:rsidRoot w:val="00172A27"/>
    <w:rsid w:val="00000511"/>
    <w:rsid w:val="000006A5"/>
    <w:rsid w:val="000023DC"/>
    <w:rsid w:val="00004E52"/>
    <w:rsid w:val="00005657"/>
    <w:rsid w:val="000116CD"/>
    <w:rsid w:val="00015404"/>
    <w:rsid w:val="00017A48"/>
    <w:rsid w:val="0002213E"/>
    <w:rsid w:val="00023B6B"/>
    <w:rsid w:val="0002587C"/>
    <w:rsid w:val="00035D5E"/>
    <w:rsid w:val="0004151C"/>
    <w:rsid w:val="00041EA5"/>
    <w:rsid w:val="00043839"/>
    <w:rsid w:val="000604EE"/>
    <w:rsid w:val="00062B85"/>
    <w:rsid w:val="000644A5"/>
    <w:rsid w:val="00064E3A"/>
    <w:rsid w:val="00067EE6"/>
    <w:rsid w:val="00070DF6"/>
    <w:rsid w:val="00072083"/>
    <w:rsid w:val="000733E8"/>
    <w:rsid w:val="0007441D"/>
    <w:rsid w:val="00077BDF"/>
    <w:rsid w:val="00081881"/>
    <w:rsid w:val="00081D3E"/>
    <w:rsid w:val="00087297"/>
    <w:rsid w:val="00091BDB"/>
    <w:rsid w:val="00092737"/>
    <w:rsid w:val="00096AC8"/>
    <w:rsid w:val="000977D1"/>
    <w:rsid w:val="000A3958"/>
    <w:rsid w:val="000A42EA"/>
    <w:rsid w:val="000B2C9B"/>
    <w:rsid w:val="000B5CD6"/>
    <w:rsid w:val="000B7EBB"/>
    <w:rsid w:val="000C0166"/>
    <w:rsid w:val="000C08EC"/>
    <w:rsid w:val="000C700C"/>
    <w:rsid w:val="000D04DE"/>
    <w:rsid w:val="000D4B1D"/>
    <w:rsid w:val="000D5233"/>
    <w:rsid w:val="000D5371"/>
    <w:rsid w:val="000D549B"/>
    <w:rsid w:val="000E2149"/>
    <w:rsid w:val="000E58F4"/>
    <w:rsid w:val="000E5D86"/>
    <w:rsid w:val="000E7167"/>
    <w:rsid w:val="000F351C"/>
    <w:rsid w:val="000F67AE"/>
    <w:rsid w:val="000F6B7B"/>
    <w:rsid w:val="000F741D"/>
    <w:rsid w:val="000F761E"/>
    <w:rsid w:val="000F773A"/>
    <w:rsid w:val="0010113D"/>
    <w:rsid w:val="001011B5"/>
    <w:rsid w:val="001108E1"/>
    <w:rsid w:val="00110C79"/>
    <w:rsid w:val="0011197C"/>
    <w:rsid w:val="00112255"/>
    <w:rsid w:val="00112B16"/>
    <w:rsid w:val="00113957"/>
    <w:rsid w:val="00113FC7"/>
    <w:rsid w:val="0011414D"/>
    <w:rsid w:val="00114E28"/>
    <w:rsid w:val="00117238"/>
    <w:rsid w:val="001209D6"/>
    <w:rsid w:val="0012126B"/>
    <w:rsid w:val="00121BD9"/>
    <w:rsid w:val="00123B4A"/>
    <w:rsid w:val="00127AA8"/>
    <w:rsid w:val="00127E90"/>
    <w:rsid w:val="00130234"/>
    <w:rsid w:val="0013174E"/>
    <w:rsid w:val="00131DBD"/>
    <w:rsid w:val="00133A2F"/>
    <w:rsid w:val="00136E07"/>
    <w:rsid w:val="00143377"/>
    <w:rsid w:val="00152308"/>
    <w:rsid w:val="00152C1C"/>
    <w:rsid w:val="001561BF"/>
    <w:rsid w:val="0015726C"/>
    <w:rsid w:val="00160243"/>
    <w:rsid w:val="00161FD3"/>
    <w:rsid w:val="00162C95"/>
    <w:rsid w:val="00163C2C"/>
    <w:rsid w:val="00163EC2"/>
    <w:rsid w:val="0016451C"/>
    <w:rsid w:val="00166E5C"/>
    <w:rsid w:val="00172745"/>
    <w:rsid w:val="00172A27"/>
    <w:rsid w:val="00176503"/>
    <w:rsid w:val="00176925"/>
    <w:rsid w:val="00177404"/>
    <w:rsid w:val="00182477"/>
    <w:rsid w:val="00182DBB"/>
    <w:rsid w:val="001839D9"/>
    <w:rsid w:val="00185D10"/>
    <w:rsid w:val="00186B2C"/>
    <w:rsid w:val="00190127"/>
    <w:rsid w:val="001943A3"/>
    <w:rsid w:val="00194A46"/>
    <w:rsid w:val="0019645E"/>
    <w:rsid w:val="001A3617"/>
    <w:rsid w:val="001A45CD"/>
    <w:rsid w:val="001A57CB"/>
    <w:rsid w:val="001A6572"/>
    <w:rsid w:val="001A693B"/>
    <w:rsid w:val="001B03EB"/>
    <w:rsid w:val="001B3639"/>
    <w:rsid w:val="001B475E"/>
    <w:rsid w:val="001B6045"/>
    <w:rsid w:val="001B6B4C"/>
    <w:rsid w:val="001B6F7D"/>
    <w:rsid w:val="001B7948"/>
    <w:rsid w:val="001B7CED"/>
    <w:rsid w:val="001C0673"/>
    <w:rsid w:val="001C2DEC"/>
    <w:rsid w:val="001C2EAF"/>
    <w:rsid w:val="001C4030"/>
    <w:rsid w:val="001C4595"/>
    <w:rsid w:val="001C564C"/>
    <w:rsid w:val="001D6C40"/>
    <w:rsid w:val="001D748F"/>
    <w:rsid w:val="001E0460"/>
    <w:rsid w:val="001E1308"/>
    <w:rsid w:val="001E1C8B"/>
    <w:rsid w:val="001E2A2A"/>
    <w:rsid w:val="001E674B"/>
    <w:rsid w:val="001F06A5"/>
    <w:rsid w:val="001F6E62"/>
    <w:rsid w:val="002016BF"/>
    <w:rsid w:val="0020404B"/>
    <w:rsid w:val="002058EF"/>
    <w:rsid w:val="002130FC"/>
    <w:rsid w:val="0021416C"/>
    <w:rsid w:val="002142B8"/>
    <w:rsid w:val="00214533"/>
    <w:rsid w:val="00214BF5"/>
    <w:rsid w:val="002158E8"/>
    <w:rsid w:val="00217D21"/>
    <w:rsid w:val="00222A49"/>
    <w:rsid w:val="00226127"/>
    <w:rsid w:val="002274A3"/>
    <w:rsid w:val="00231144"/>
    <w:rsid w:val="00231691"/>
    <w:rsid w:val="0023255F"/>
    <w:rsid w:val="00233877"/>
    <w:rsid w:val="0023659D"/>
    <w:rsid w:val="00237EC6"/>
    <w:rsid w:val="002455BF"/>
    <w:rsid w:val="00245DC9"/>
    <w:rsid w:val="00246C65"/>
    <w:rsid w:val="00247312"/>
    <w:rsid w:val="00247466"/>
    <w:rsid w:val="0025395F"/>
    <w:rsid w:val="00253BE1"/>
    <w:rsid w:val="00256FC0"/>
    <w:rsid w:val="00257210"/>
    <w:rsid w:val="00257D38"/>
    <w:rsid w:val="00261343"/>
    <w:rsid w:val="00261496"/>
    <w:rsid w:val="00262DAB"/>
    <w:rsid w:val="00267263"/>
    <w:rsid w:val="00270DED"/>
    <w:rsid w:val="00271C1C"/>
    <w:rsid w:val="00273871"/>
    <w:rsid w:val="00273AAF"/>
    <w:rsid w:val="00274EB9"/>
    <w:rsid w:val="00277F24"/>
    <w:rsid w:val="00281738"/>
    <w:rsid w:val="00281FA9"/>
    <w:rsid w:val="0028350F"/>
    <w:rsid w:val="0028580B"/>
    <w:rsid w:val="0028616E"/>
    <w:rsid w:val="0029221A"/>
    <w:rsid w:val="00294EBD"/>
    <w:rsid w:val="0029784E"/>
    <w:rsid w:val="002A37A3"/>
    <w:rsid w:val="002A4C97"/>
    <w:rsid w:val="002B431A"/>
    <w:rsid w:val="002B5E50"/>
    <w:rsid w:val="002B70EF"/>
    <w:rsid w:val="002B738A"/>
    <w:rsid w:val="002C5391"/>
    <w:rsid w:val="002C5645"/>
    <w:rsid w:val="002C67AD"/>
    <w:rsid w:val="002C696B"/>
    <w:rsid w:val="002D3144"/>
    <w:rsid w:val="002D329C"/>
    <w:rsid w:val="002D61CF"/>
    <w:rsid w:val="002D7762"/>
    <w:rsid w:val="002E4C7D"/>
    <w:rsid w:val="002E51AF"/>
    <w:rsid w:val="002E5542"/>
    <w:rsid w:val="002E743E"/>
    <w:rsid w:val="002E770A"/>
    <w:rsid w:val="002F1683"/>
    <w:rsid w:val="002F1789"/>
    <w:rsid w:val="002F19DC"/>
    <w:rsid w:val="002F3C12"/>
    <w:rsid w:val="002F5B6D"/>
    <w:rsid w:val="002F73EC"/>
    <w:rsid w:val="002F7560"/>
    <w:rsid w:val="002F77AF"/>
    <w:rsid w:val="003031BB"/>
    <w:rsid w:val="003045F0"/>
    <w:rsid w:val="00313496"/>
    <w:rsid w:val="00322642"/>
    <w:rsid w:val="00322C8A"/>
    <w:rsid w:val="00324D7B"/>
    <w:rsid w:val="00330353"/>
    <w:rsid w:val="003317CC"/>
    <w:rsid w:val="00332E9F"/>
    <w:rsid w:val="00337D01"/>
    <w:rsid w:val="003449E7"/>
    <w:rsid w:val="003459AD"/>
    <w:rsid w:val="00346B98"/>
    <w:rsid w:val="003476E0"/>
    <w:rsid w:val="0035076B"/>
    <w:rsid w:val="003509BA"/>
    <w:rsid w:val="0035575A"/>
    <w:rsid w:val="0035634D"/>
    <w:rsid w:val="00363A85"/>
    <w:rsid w:val="00365CC4"/>
    <w:rsid w:val="00367A55"/>
    <w:rsid w:val="003701D9"/>
    <w:rsid w:val="003705F7"/>
    <w:rsid w:val="00377345"/>
    <w:rsid w:val="0038109F"/>
    <w:rsid w:val="0038182E"/>
    <w:rsid w:val="0038266F"/>
    <w:rsid w:val="00384EBA"/>
    <w:rsid w:val="00384FF3"/>
    <w:rsid w:val="00386A98"/>
    <w:rsid w:val="003920DD"/>
    <w:rsid w:val="00393CE9"/>
    <w:rsid w:val="0039489A"/>
    <w:rsid w:val="0039732A"/>
    <w:rsid w:val="003A1D41"/>
    <w:rsid w:val="003A2BDC"/>
    <w:rsid w:val="003A47C5"/>
    <w:rsid w:val="003B0EA2"/>
    <w:rsid w:val="003B5D54"/>
    <w:rsid w:val="003C0AC9"/>
    <w:rsid w:val="003C14C3"/>
    <w:rsid w:val="003C464E"/>
    <w:rsid w:val="003C6425"/>
    <w:rsid w:val="003C6E0F"/>
    <w:rsid w:val="003D238A"/>
    <w:rsid w:val="003D457A"/>
    <w:rsid w:val="003D5714"/>
    <w:rsid w:val="003D6EF8"/>
    <w:rsid w:val="003D70C7"/>
    <w:rsid w:val="003D7B46"/>
    <w:rsid w:val="003E097B"/>
    <w:rsid w:val="003E4323"/>
    <w:rsid w:val="003E5776"/>
    <w:rsid w:val="003E793F"/>
    <w:rsid w:val="003F0954"/>
    <w:rsid w:val="003F3E50"/>
    <w:rsid w:val="003F58FE"/>
    <w:rsid w:val="0040064E"/>
    <w:rsid w:val="0040260D"/>
    <w:rsid w:val="00402919"/>
    <w:rsid w:val="00405D62"/>
    <w:rsid w:val="00410D4F"/>
    <w:rsid w:val="00411640"/>
    <w:rsid w:val="00415963"/>
    <w:rsid w:val="00415D83"/>
    <w:rsid w:val="00416A95"/>
    <w:rsid w:val="00422D39"/>
    <w:rsid w:val="00424337"/>
    <w:rsid w:val="004249C7"/>
    <w:rsid w:val="0042552E"/>
    <w:rsid w:val="00426764"/>
    <w:rsid w:val="00426E54"/>
    <w:rsid w:val="00426E94"/>
    <w:rsid w:val="004271A3"/>
    <w:rsid w:val="0042746B"/>
    <w:rsid w:val="004305B2"/>
    <w:rsid w:val="0043353B"/>
    <w:rsid w:val="0043483A"/>
    <w:rsid w:val="004453F8"/>
    <w:rsid w:val="0045171D"/>
    <w:rsid w:val="00456313"/>
    <w:rsid w:val="00461B48"/>
    <w:rsid w:val="00464DAA"/>
    <w:rsid w:val="00466D7D"/>
    <w:rsid w:val="0047010B"/>
    <w:rsid w:val="00474292"/>
    <w:rsid w:val="00477D6C"/>
    <w:rsid w:val="00480F31"/>
    <w:rsid w:val="00482768"/>
    <w:rsid w:val="00483B12"/>
    <w:rsid w:val="00487863"/>
    <w:rsid w:val="00494F9D"/>
    <w:rsid w:val="004A02B2"/>
    <w:rsid w:val="004A0DBA"/>
    <w:rsid w:val="004A0E81"/>
    <w:rsid w:val="004A2332"/>
    <w:rsid w:val="004A325D"/>
    <w:rsid w:val="004A4B4B"/>
    <w:rsid w:val="004A6689"/>
    <w:rsid w:val="004B31DD"/>
    <w:rsid w:val="004C72D3"/>
    <w:rsid w:val="004C7F59"/>
    <w:rsid w:val="004D14AD"/>
    <w:rsid w:val="004D279B"/>
    <w:rsid w:val="004D5747"/>
    <w:rsid w:val="004D5BE0"/>
    <w:rsid w:val="004E0F33"/>
    <w:rsid w:val="004F571C"/>
    <w:rsid w:val="004F77A0"/>
    <w:rsid w:val="0050117A"/>
    <w:rsid w:val="00502AA0"/>
    <w:rsid w:val="005054CB"/>
    <w:rsid w:val="00510B15"/>
    <w:rsid w:val="0051216E"/>
    <w:rsid w:val="00512230"/>
    <w:rsid w:val="005254EA"/>
    <w:rsid w:val="00530901"/>
    <w:rsid w:val="00532233"/>
    <w:rsid w:val="0054376F"/>
    <w:rsid w:val="005442DB"/>
    <w:rsid w:val="00546EDA"/>
    <w:rsid w:val="005474A4"/>
    <w:rsid w:val="0055094F"/>
    <w:rsid w:val="00551E18"/>
    <w:rsid w:val="00552D07"/>
    <w:rsid w:val="00563357"/>
    <w:rsid w:val="00564D97"/>
    <w:rsid w:val="00567B58"/>
    <w:rsid w:val="005715AD"/>
    <w:rsid w:val="0057313B"/>
    <w:rsid w:val="005806CF"/>
    <w:rsid w:val="00581601"/>
    <w:rsid w:val="00583154"/>
    <w:rsid w:val="00584A88"/>
    <w:rsid w:val="0058518B"/>
    <w:rsid w:val="00586313"/>
    <w:rsid w:val="005910AB"/>
    <w:rsid w:val="005929DC"/>
    <w:rsid w:val="005A0173"/>
    <w:rsid w:val="005A1BB4"/>
    <w:rsid w:val="005A3215"/>
    <w:rsid w:val="005A48D7"/>
    <w:rsid w:val="005A4C42"/>
    <w:rsid w:val="005A6DF5"/>
    <w:rsid w:val="005A7696"/>
    <w:rsid w:val="005A791E"/>
    <w:rsid w:val="005B1D3E"/>
    <w:rsid w:val="005B23B7"/>
    <w:rsid w:val="005B48A2"/>
    <w:rsid w:val="005B4A8A"/>
    <w:rsid w:val="005C299D"/>
    <w:rsid w:val="005C4D5D"/>
    <w:rsid w:val="005D02E9"/>
    <w:rsid w:val="005D09CD"/>
    <w:rsid w:val="005D0F60"/>
    <w:rsid w:val="005D1091"/>
    <w:rsid w:val="005D1BEB"/>
    <w:rsid w:val="005D3E00"/>
    <w:rsid w:val="005D7B2F"/>
    <w:rsid w:val="005D7D8E"/>
    <w:rsid w:val="005D7DF2"/>
    <w:rsid w:val="005E0B2B"/>
    <w:rsid w:val="005E15DE"/>
    <w:rsid w:val="005E17A0"/>
    <w:rsid w:val="005E2904"/>
    <w:rsid w:val="005E3514"/>
    <w:rsid w:val="005E3EA2"/>
    <w:rsid w:val="005E48C4"/>
    <w:rsid w:val="005E4AE2"/>
    <w:rsid w:val="005E4F00"/>
    <w:rsid w:val="005E682B"/>
    <w:rsid w:val="005F072E"/>
    <w:rsid w:val="005F0C64"/>
    <w:rsid w:val="005F6552"/>
    <w:rsid w:val="005F6EE9"/>
    <w:rsid w:val="00603D97"/>
    <w:rsid w:val="00605D8B"/>
    <w:rsid w:val="00607CAC"/>
    <w:rsid w:val="006132C0"/>
    <w:rsid w:val="00622814"/>
    <w:rsid w:val="006240CF"/>
    <w:rsid w:val="00624988"/>
    <w:rsid w:val="00626281"/>
    <w:rsid w:val="006315A3"/>
    <w:rsid w:val="00632FD3"/>
    <w:rsid w:val="00635ED1"/>
    <w:rsid w:val="0064011D"/>
    <w:rsid w:val="00640CE0"/>
    <w:rsid w:val="0064232C"/>
    <w:rsid w:val="00642D53"/>
    <w:rsid w:val="006551A8"/>
    <w:rsid w:val="00656C46"/>
    <w:rsid w:val="00662139"/>
    <w:rsid w:val="006670DD"/>
    <w:rsid w:val="006722DD"/>
    <w:rsid w:val="0067678C"/>
    <w:rsid w:val="00676D64"/>
    <w:rsid w:val="00676F7C"/>
    <w:rsid w:val="006851EC"/>
    <w:rsid w:val="00686F48"/>
    <w:rsid w:val="00692E3A"/>
    <w:rsid w:val="00693E22"/>
    <w:rsid w:val="00696493"/>
    <w:rsid w:val="00697521"/>
    <w:rsid w:val="00697DEB"/>
    <w:rsid w:val="006A095B"/>
    <w:rsid w:val="006A1C49"/>
    <w:rsid w:val="006A1D93"/>
    <w:rsid w:val="006A3D70"/>
    <w:rsid w:val="006A6F53"/>
    <w:rsid w:val="006A7477"/>
    <w:rsid w:val="006A7EAA"/>
    <w:rsid w:val="006B43F5"/>
    <w:rsid w:val="006B5F89"/>
    <w:rsid w:val="006C062D"/>
    <w:rsid w:val="006C1653"/>
    <w:rsid w:val="006C1945"/>
    <w:rsid w:val="006C3BCD"/>
    <w:rsid w:val="006C4B87"/>
    <w:rsid w:val="006C4C2F"/>
    <w:rsid w:val="006C525E"/>
    <w:rsid w:val="006C7928"/>
    <w:rsid w:val="006D3568"/>
    <w:rsid w:val="006D3ED4"/>
    <w:rsid w:val="006D65FD"/>
    <w:rsid w:val="006D736E"/>
    <w:rsid w:val="006E0FC0"/>
    <w:rsid w:val="006E1BFE"/>
    <w:rsid w:val="006E25F1"/>
    <w:rsid w:val="006E3404"/>
    <w:rsid w:val="006E5A77"/>
    <w:rsid w:val="006F0289"/>
    <w:rsid w:val="006F1346"/>
    <w:rsid w:val="006F1B8E"/>
    <w:rsid w:val="006F24EC"/>
    <w:rsid w:val="006F38D1"/>
    <w:rsid w:val="006F54EB"/>
    <w:rsid w:val="007028CA"/>
    <w:rsid w:val="0070517C"/>
    <w:rsid w:val="00707EF9"/>
    <w:rsid w:val="00717DD0"/>
    <w:rsid w:val="00717E59"/>
    <w:rsid w:val="007218D0"/>
    <w:rsid w:val="007237C8"/>
    <w:rsid w:val="0073177C"/>
    <w:rsid w:val="007321ED"/>
    <w:rsid w:val="00732945"/>
    <w:rsid w:val="00733032"/>
    <w:rsid w:val="007353A6"/>
    <w:rsid w:val="00735C79"/>
    <w:rsid w:val="00740BC6"/>
    <w:rsid w:val="00744513"/>
    <w:rsid w:val="007458BB"/>
    <w:rsid w:val="00747B60"/>
    <w:rsid w:val="00760CBD"/>
    <w:rsid w:val="007619E4"/>
    <w:rsid w:val="0076237B"/>
    <w:rsid w:val="0076315B"/>
    <w:rsid w:val="00765CF0"/>
    <w:rsid w:val="00766181"/>
    <w:rsid w:val="007674BF"/>
    <w:rsid w:val="00773888"/>
    <w:rsid w:val="007739B4"/>
    <w:rsid w:val="00773C4B"/>
    <w:rsid w:val="00774654"/>
    <w:rsid w:val="00780680"/>
    <w:rsid w:val="00790C19"/>
    <w:rsid w:val="00792B7E"/>
    <w:rsid w:val="007938AC"/>
    <w:rsid w:val="007A6928"/>
    <w:rsid w:val="007B392C"/>
    <w:rsid w:val="007B3FE6"/>
    <w:rsid w:val="007B4277"/>
    <w:rsid w:val="007B7686"/>
    <w:rsid w:val="007C018D"/>
    <w:rsid w:val="007C03E8"/>
    <w:rsid w:val="007C32B9"/>
    <w:rsid w:val="007C6C19"/>
    <w:rsid w:val="007D134B"/>
    <w:rsid w:val="007D1C01"/>
    <w:rsid w:val="007D3034"/>
    <w:rsid w:val="007D5A83"/>
    <w:rsid w:val="007D7157"/>
    <w:rsid w:val="007E0EC3"/>
    <w:rsid w:val="007E11F3"/>
    <w:rsid w:val="007E1B08"/>
    <w:rsid w:val="007E23FE"/>
    <w:rsid w:val="007E2FE0"/>
    <w:rsid w:val="007E4A26"/>
    <w:rsid w:val="007F14E2"/>
    <w:rsid w:val="007F3D0B"/>
    <w:rsid w:val="007F3FF1"/>
    <w:rsid w:val="007F645F"/>
    <w:rsid w:val="00805D87"/>
    <w:rsid w:val="008128E7"/>
    <w:rsid w:val="00812C9C"/>
    <w:rsid w:val="0081329A"/>
    <w:rsid w:val="00815FE6"/>
    <w:rsid w:val="00816F0B"/>
    <w:rsid w:val="00817EFD"/>
    <w:rsid w:val="00820B7E"/>
    <w:rsid w:val="00825AC3"/>
    <w:rsid w:val="0082649A"/>
    <w:rsid w:val="00827727"/>
    <w:rsid w:val="00833778"/>
    <w:rsid w:val="00833DED"/>
    <w:rsid w:val="00836238"/>
    <w:rsid w:val="00836948"/>
    <w:rsid w:val="008421A3"/>
    <w:rsid w:val="00842B72"/>
    <w:rsid w:val="00855376"/>
    <w:rsid w:val="00855DF5"/>
    <w:rsid w:val="00856711"/>
    <w:rsid w:val="00857FE3"/>
    <w:rsid w:val="0086289B"/>
    <w:rsid w:val="00863328"/>
    <w:rsid w:val="00866119"/>
    <w:rsid w:val="00870A6A"/>
    <w:rsid w:val="00872D17"/>
    <w:rsid w:val="008750FE"/>
    <w:rsid w:val="00876D9F"/>
    <w:rsid w:val="00880549"/>
    <w:rsid w:val="008813C4"/>
    <w:rsid w:val="008919A3"/>
    <w:rsid w:val="00897550"/>
    <w:rsid w:val="00897C6E"/>
    <w:rsid w:val="00897D29"/>
    <w:rsid w:val="008A060C"/>
    <w:rsid w:val="008A3955"/>
    <w:rsid w:val="008A638A"/>
    <w:rsid w:val="008A7AFB"/>
    <w:rsid w:val="008B0FFF"/>
    <w:rsid w:val="008B218E"/>
    <w:rsid w:val="008B5E6B"/>
    <w:rsid w:val="008C0721"/>
    <w:rsid w:val="008C0990"/>
    <w:rsid w:val="008C3B2E"/>
    <w:rsid w:val="008C4C49"/>
    <w:rsid w:val="008C6001"/>
    <w:rsid w:val="008D1F88"/>
    <w:rsid w:val="008D2728"/>
    <w:rsid w:val="008D3DAD"/>
    <w:rsid w:val="008D4640"/>
    <w:rsid w:val="008D4FC1"/>
    <w:rsid w:val="008D79F2"/>
    <w:rsid w:val="008E2CB7"/>
    <w:rsid w:val="008E68EA"/>
    <w:rsid w:val="008F0F86"/>
    <w:rsid w:val="008F30D0"/>
    <w:rsid w:val="008F62CD"/>
    <w:rsid w:val="008F6DBD"/>
    <w:rsid w:val="009115DA"/>
    <w:rsid w:val="0091465D"/>
    <w:rsid w:val="009150F9"/>
    <w:rsid w:val="00915133"/>
    <w:rsid w:val="00915DC2"/>
    <w:rsid w:val="009163E4"/>
    <w:rsid w:val="009210A1"/>
    <w:rsid w:val="0092382B"/>
    <w:rsid w:val="00924A2B"/>
    <w:rsid w:val="00925001"/>
    <w:rsid w:val="00926BF5"/>
    <w:rsid w:val="00931C19"/>
    <w:rsid w:val="00934710"/>
    <w:rsid w:val="009429CF"/>
    <w:rsid w:val="009429DF"/>
    <w:rsid w:val="00942F20"/>
    <w:rsid w:val="009430E0"/>
    <w:rsid w:val="009464CC"/>
    <w:rsid w:val="00947506"/>
    <w:rsid w:val="00947673"/>
    <w:rsid w:val="009510FC"/>
    <w:rsid w:val="00951A05"/>
    <w:rsid w:val="00952916"/>
    <w:rsid w:val="009545E8"/>
    <w:rsid w:val="00954670"/>
    <w:rsid w:val="009552DE"/>
    <w:rsid w:val="0096022E"/>
    <w:rsid w:val="009652FF"/>
    <w:rsid w:val="00965B39"/>
    <w:rsid w:val="00965CA3"/>
    <w:rsid w:val="009723FB"/>
    <w:rsid w:val="00972670"/>
    <w:rsid w:val="0097381B"/>
    <w:rsid w:val="00980697"/>
    <w:rsid w:val="00980A21"/>
    <w:rsid w:val="00980F90"/>
    <w:rsid w:val="00982319"/>
    <w:rsid w:val="00982506"/>
    <w:rsid w:val="009857BA"/>
    <w:rsid w:val="00985C9C"/>
    <w:rsid w:val="0099197C"/>
    <w:rsid w:val="00991EA4"/>
    <w:rsid w:val="00992B4C"/>
    <w:rsid w:val="009A07C8"/>
    <w:rsid w:val="009A3972"/>
    <w:rsid w:val="009A56CC"/>
    <w:rsid w:val="009B33BC"/>
    <w:rsid w:val="009B4526"/>
    <w:rsid w:val="009B6A51"/>
    <w:rsid w:val="009B7368"/>
    <w:rsid w:val="009C0244"/>
    <w:rsid w:val="009C0962"/>
    <w:rsid w:val="009C6E0C"/>
    <w:rsid w:val="009D1A95"/>
    <w:rsid w:val="009D4D3B"/>
    <w:rsid w:val="009D4FCE"/>
    <w:rsid w:val="009E3B2F"/>
    <w:rsid w:val="009E4AAD"/>
    <w:rsid w:val="009E5FFA"/>
    <w:rsid w:val="009F1AA8"/>
    <w:rsid w:val="009F1E5C"/>
    <w:rsid w:val="009F3143"/>
    <w:rsid w:val="009F3701"/>
    <w:rsid w:val="009F377A"/>
    <w:rsid w:val="009F56BE"/>
    <w:rsid w:val="009F748A"/>
    <w:rsid w:val="009F74A5"/>
    <w:rsid w:val="009F7B93"/>
    <w:rsid w:val="00A0029B"/>
    <w:rsid w:val="00A01076"/>
    <w:rsid w:val="00A03624"/>
    <w:rsid w:val="00A04CB5"/>
    <w:rsid w:val="00A111A5"/>
    <w:rsid w:val="00A131B5"/>
    <w:rsid w:val="00A13D50"/>
    <w:rsid w:val="00A15936"/>
    <w:rsid w:val="00A226AC"/>
    <w:rsid w:val="00A307DE"/>
    <w:rsid w:val="00A41944"/>
    <w:rsid w:val="00A41E0C"/>
    <w:rsid w:val="00A45B2C"/>
    <w:rsid w:val="00A47036"/>
    <w:rsid w:val="00A50B71"/>
    <w:rsid w:val="00A52C21"/>
    <w:rsid w:val="00A55AE6"/>
    <w:rsid w:val="00A5724A"/>
    <w:rsid w:val="00A602EC"/>
    <w:rsid w:val="00A6049C"/>
    <w:rsid w:val="00A625B7"/>
    <w:rsid w:val="00A62886"/>
    <w:rsid w:val="00A70EA9"/>
    <w:rsid w:val="00A722AA"/>
    <w:rsid w:val="00A74678"/>
    <w:rsid w:val="00A75467"/>
    <w:rsid w:val="00A76ADE"/>
    <w:rsid w:val="00A820B4"/>
    <w:rsid w:val="00A82326"/>
    <w:rsid w:val="00A825FF"/>
    <w:rsid w:val="00A84D62"/>
    <w:rsid w:val="00A852F3"/>
    <w:rsid w:val="00A86285"/>
    <w:rsid w:val="00A863B5"/>
    <w:rsid w:val="00A87C86"/>
    <w:rsid w:val="00A951EC"/>
    <w:rsid w:val="00AA414B"/>
    <w:rsid w:val="00AA47D7"/>
    <w:rsid w:val="00AA557B"/>
    <w:rsid w:val="00AA6C77"/>
    <w:rsid w:val="00AA7949"/>
    <w:rsid w:val="00AB0574"/>
    <w:rsid w:val="00AB0C64"/>
    <w:rsid w:val="00AB0F57"/>
    <w:rsid w:val="00AB6824"/>
    <w:rsid w:val="00AB70DD"/>
    <w:rsid w:val="00AC0995"/>
    <w:rsid w:val="00AC4302"/>
    <w:rsid w:val="00AC7123"/>
    <w:rsid w:val="00AC7F96"/>
    <w:rsid w:val="00AD069B"/>
    <w:rsid w:val="00AD4FA0"/>
    <w:rsid w:val="00AE7E3C"/>
    <w:rsid w:val="00AF3C99"/>
    <w:rsid w:val="00AF3DFC"/>
    <w:rsid w:val="00AF53D3"/>
    <w:rsid w:val="00AF7C87"/>
    <w:rsid w:val="00B01960"/>
    <w:rsid w:val="00B01C41"/>
    <w:rsid w:val="00B06295"/>
    <w:rsid w:val="00B07089"/>
    <w:rsid w:val="00B103AD"/>
    <w:rsid w:val="00B15CFC"/>
    <w:rsid w:val="00B20ECE"/>
    <w:rsid w:val="00B211A8"/>
    <w:rsid w:val="00B21D8D"/>
    <w:rsid w:val="00B31E78"/>
    <w:rsid w:val="00B331E8"/>
    <w:rsid w:val="00B33EF4"/>
    <w:rsid w:val="00B33FFA"/>
    <w:rsid w:val="00B340C4"/>
    <w:rsid w:val="00B372B4"/>
    <w:rsid w:val="00B40C25"/>
    <w:rsid w:val="00B42126"/>
    <w:rsid w:val="00B42204"/>
    <w:rsid w:val="00B43C9A"/>
    <w:rsid w:val="00B44CD4"/>
    <w:rsid w:val="00B471AC"/>
    <w:rsid w:val="00B53B7D"/>
    <w:rsid w:val="00B5500F"/>
    <w:rsid w:val="00B6620C"/>
    <w:rsid w:val="00B66AE8"/>
    <w:rsid w:val="00B73208"/>
    <w:rsid w:val="00B75F2E"/>
    <w:rsid w:val="00B77408"/>
    <w:rsid w:val="00B80632"/>
    <w:rsid w:val="00B840B0"/>
    <w:rsid w:val="00B86EBD"/>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1880"/>
    <w:rsid w:val="00BB28BE"/>
    <w:rsid w:val="00BB374D"/>
    <w:rsid w:val="00BC4B30"/>
    <w:rsid w:val="00BC4DF6"/>
    <w:rsid w:val="00BC7A6E"/>
    <w:rsid w:val="00BD1967"/>
    <w:rsid w:val="00BD3E69"/>
    <w:rsid w:val="00BE1F1A"/>
    <w:rsid w:val="00BE3A80"/>
    <w:rsid w:val="00BE49DF"/>
    <w:rsid w:val="00BF0B2A"/>
    <w:rsid w:val="00BF5147"/>
    <w:rsid w:val="00BF64C8"/>
    <w:rsid w:val="00BF7339"/>
    <w:rsid w:val="00C04C7F"/>
    <w:rsid w:val="00C04F98"/>
    <w:rsid w:val="00C0681F"/>
    <w:rsid w:val="00C11409"/>
    <w:rsid w:val="00C17581"/>
    <w:rsid w:val="00C209E9"/>
    <w:rsid w:val="00C22B98"/>
    <w:rsid w:val="00C2318A"/>
    <w:rsid w:val="00C27B04"/>
    <w:rsid w:val="00C3107E"/>
    <w:rsid w:val="00C312D5"/>
    <w:rsid w:val="00C31C4C"/>
    <w:rsid w:val="00C34DD2"/>
    <w:rsid w:val="00C352EB"/>
    <w:rsid w:val="00C360ED"/>
    <w:rsid w:val="00C439F4"/>
    <w:rsid w:val="00C44808"/>
    <w:rsid w:val="00C5062D"/>
    <w:rsid w:val="00C554B6"/>
    <w:rsid w:val="00C6075D"/>
    <w:rsid w:val="00C61C36"/>
    <w:rsid w:val="00C63C13"/>
    <w:rsid w:val="00C643D9"/>
    <w:rsid w:val="00C659EF"/>
    <w:rsid w:val="00C65D59"/>
    <w:rsid w:val="00C706AB"/>
    <w:rsid w:val="00C70B62"/>
    <w:rsid w:val="00C7431A"/>
    <w:rsid w:val="00C7726F"/>
    <w:rsid w:val="00C8287E"/>
    <w:rsid w:val="00C830AC"/>
    <w:rsid w:val="00C837C1"/>
    <w:rsid w:val="00C84A44"/>
    <w:rsid w:val="00C856CD"/>
    <w:rsid w:val="00C87907"/>
    <w:rsid w:val="00C9002C"/>
    <w:rsid w:val="00C91E86"/>
    <w:rsid w:val="00C9476D"/>
    <w:rsid w:val="00C978DC"/>
    <w:rsid w:val="00CA02F3"/>
    <w:rsid w:val="00CA0ADB"/>
    <w:rsid w:val="00CA184D"/>
    <w:rsid w:val="00CA3213"/>
    <w:rsid w:val="00CA5915"/>
    <w:rsid w:val="00CA709F"/>
    <w:rsid w:val="00CA7135"/>
    <w:rsid w:val="00CA75FD"/>
    <w:rsid w:val="00CB2371"/>
    <w:rsid w:val="00CB3350"/>
    <w:rsid w:val="00CB4394"/>
    <w:rsid w:val="00CB4DA7"/>
    <w:rsid w:val="00CB7206"/>
    <w:rsid w:val="00CC0020"/>
    <w:rsid w:val="00CC0276"/>
    <w:rsid w:val="00CC1F85"/>
    <w:rsid w:val="00CC49F2"/>
    <w:rsid w:val="00CC65CC"/>
    <w:rsid w:val="00CD00A0"/>
    <w:rsid w:val="00CD013D"/>
    <w:rsid w:val="00CD30C4"/>
    <w:rsid w:val="00CD7664"/>
    <w:rsid w:val="00CE27F6"/>
    <w:rsid w:val="00CE384C"/>
    <w:rsid w:val="00CE411B"/>
    <w:rsid w:val="00CE7184"/>
    <w:rsid w:val="00CF1A97"/>
    <w:rsid w:val="00CF5103"/>
    <w:rsid w:val="00D01E88"/>
    <w:rsid w:val="00D027C6"/>
    <w:rsid w:val="00D0357C"/>
    <w:rsid w:val="00D066B0"/>
    <w:rsid w:val="00D0719D"/>
    <w:rsid w:val="00D1033A"/>
    <w:rsid w:val="00D1193B"/>
    <w:rsid w:val="00D11A73"/>
    <w:rsid w:val="00D124B9"/>
    <w:rsid w:val="00D13787"/>
    <w:rsid w:val="00D145FB"/>
    <w:rsid w:val="00D168BC"/>
    <w:rsid w:val="00D20319"/>
    <w:rsid w:val="00D20518"/>
    <w:rsid w:val="00D21065"/>
    <w:rsid w:val="00D2347E"/>
    <w:rsid w:val="00D24CEE"/>
    <w:rsid w:val="00D31F21"/>
    <w:rsid w:val="00D33908"/>
    <w:rsid w:val="00D3491A"/>
    <w:rsid w:val="00D40CA2"/>
    <w:rsid w:val="00D41E4A"/>
    <w:rsid w:val="00D43E43"/>
    <w:rsid w:val="00D44718"/>
    <w:rsid w:val="00D474F7"/>
    <w:rsid w:val="00D47F87"/>
    <w:rsid w:val="00D51A59"/>
    <w:rsid w:val="00D524F1"/>
    <w:rsid w:val="00D52C6D"/>
    <w:rsid w:val="00D55420"/>
    <w:rsid w:val="00D560EC"/>
    <w:rsid w:val="00D571C3"/>
    <w:rsid w:val="00D640CD"/>
    <w:rsid w:val="00D65239"/>
    <w:rsid w:val="00D67AE4"/>
    <w:rsid w:val="00D75A5B"/>
    <w:rsid w:val="00D7795F"/>
    <w:rsid w:val="00D800FC"/>
    <w:rsid w:val="00D8049F"/>
    <w:rsid w:val="00D806E7"/>
    <w:rsid w:val="00D85B0D"/>
    <w:rsid w:val="00D911AF"/>
    <w:rsid w:val="00D91739"/>
    <w:rsid w:val="00D95FAF"/>
    <w:rsid w:val="00DA51F5"/>
    <w:rsid w:val="00DB496B"/>
    <w:rsid w:val="00DB52AA"/>
    <w:rsid w:val="00DB5A8E"/>
    <w:rsid w:val="00DC1106"/>
    <w:rsid w:val="00DC1696"/>
    <w:rsid w:val="00DC39E4"/>
    <w:rsid w:val="00DC4BD4"/>
    <w:rsid w:val="00DC4D78"/>
    <w:rsid w:val="00DC5E69"/>
    <w:rsid w:val="00DD33E7"/>
    <w:rsid w:val="00DD478C"/>
    <w:rsid w:val="00DE3323"/>
    <w:rsid w:val="00DE6573"/>
    <w:rsid w:val="00DE7D1D"/>
    <w:rsid w:val="00DF2F1A"/>
    <w:rsid w:val="00DF5638"/>
    <w:rsid w:val="00DF5CF4"/>
    <w:rsid w:val="00DF62AB"/>
    <w:rsid w:val="00DF7222"/>
    <w:rsid w:val="00DF7CD1"/>
    <w:rsid w:val="00E05D2E"/>
    <w:rsid w:val="00E07306"/>
    <w:rsid w:val="00E10E0B"/>
    <w:rsid w:val="00E15104"/>
    <w:rsid w:val="00E16577"/>
    <w:rsid w:val="00E16A19"/>
    <w:rsid w:val="00E23944"/>
    <w:rsid w:val="00E241B8"/>
    <w:rsid w:val="00E2590E"/>
    <w:rsid w:val="00E259EB"/>
    <w:rsid w:val="00E27438"/>
    <w:rsid w:val="00E300F0"/>
    <w:rsid w:val="00E30B66"/>
    <w:rsid w:val="00E30D9F"/>
    <w:rsid w:val="00E34513"/>
    <w:rsid w:val="00E34FFA"/>
    <w:rsid w:val="00E36684"/>
    <w:rsid w:val="00E402F6"/>
    <w:rsid w:val="00E40964"/>
    <w:rsid w:val="00E41FCF"/>
    <w:rsid w:val="00E42D95"/>
    <w:rsid w:val="00E4713D"/>
    <w:rsid w:val="00E508AC"/>
    <w:rsid w:val="00E53597"/>
    <w:rsid w:val="00E57A20"/>
    <w:rsid w:val="00E60C89"/>
    <w:rsid w:val="00E61600"/>
    <w:rsid w:val="00E61ECF"/>
    <w:rsid w:val="00E640FF"/>
    <w:rsid w:val="00E70CE3"/>
    <w:rsid w:val="00E720AB"/>
    <w:rsid w:val="00E739B5"/>
    <w:rsid w:val="00E74082"/>
    <w:rsid w:val="00E756E4"/>
    <w:rsid w:val="00E811FD"/>
    <w:rsid w:val="00E837AD"/>
    <w:rsid w:val="00E86E4F"/>
    <w:rsid w:val="00E9047F"/>
    <w:rsid w:val="00E9136D"/>
    <w:rsid w:val="00E93056"/>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5225"/>
    <w:rsid w:val="00EC661F"/>
    <w:rsid w:val="00EC704C"/>
    <w:rsid w:val="00ED20FD"/>
    <w:rsid w:val="00ED27C5"/>
    <w:rsid w:val="00ED748C"/>
    <w:rsid w:val="00ED75DC"/>
    <w:rsid w:val="00ED7A53"/>
    <w:rsid w:val="00EE0D8E"/>
    <w:rsid w:val="00EE100E"/>
    <w:rsid w:val="00EE14C8"/>
    <w:rsid w:val="00EF079C"/>
    <w:rsid w:val="00EF0ED2"/>
    <w:rsid w:val="00EF4A3A"/>
    <w:rsid w:val="00F0119A"/>
    <w:rsid w:val="00F029D2"/>
    <w:rsid w:val="00F04016"/>
    <w:rsid w:val="00F0590E"/>
    <w:rsid w:val="00F07689"/>
    <w:rsid w:val="00F102EF"/>
    <w:rsid w:val="00F13460"/>
    <w:rsid w:val="00F14893"/>
    <w:rsid w:val="00F14A0A"/>
    <w:rsid w:val="00F17EF2"/>
    <w:rsid w:val="00F20B55"/>
    <w:rsid w:val="00F213A4"/>
    <w:rsid w:val="00F23837"/>
    <w:rsid w:val="00F25AFC"/>
    <w:rsid w:val="00F31A14"/>
    <w:rsid w:val="00F341D7"/>
    <w:rsid w:val="00F3515B"/>
    <w:rsid w:val="00F36047"/>
    <w:rsid w:val="00F36AF4"/>
    <w:rsid w:val="00F37A30"/>
    <w:rsid w:val="00F41457"/>
    <w:rsid w:val="00F4263A"/>
    <w:rsid w:val="00F43A0E"/>
    <w:rsid w:val="00F4660A"/>
    <w:rsid w:val="00F477D6"/>
    <w:rsid w:val="00F47C6D"/>
    <w:rsid w:val="00F5031E"/>
    <w:rsid w:val="00F50BF8"/>
    <w:rsid w:val="00F54FC7"/>
    <w:rsid w:val="00F56828"/>
    <w:rsid w:val="00F61572"/>
    <w:rsid w:val="00F67B5B"/>
    <w:rsid w:val="00F704BF"/>
    <w:rsid w:val="00F72ECC"/>
    <w:rsid w:val="00F8016A"/>
    <w:rsid w:val="00F85C6D"/>
    <w:rsid w:val="00F87ED7"/>
    <w:rsid w:val="00F9106D"/>
    <w:rsid w:val="00F916A3"/>
    <w:rsid w:val="00F93934"/>
    <w:rsid w:val="00F95FF5"/>
    <w:rsid w:val="00F97F43"/>
    <w:rsid w:val="00FA17F9"/>
    <w:rsid w:val="00FA2CE3"/>
    <w:rsid w:val="00FA6841"/>
    <w:rsid w:val="00FB1C3C"/>
    <w:rsid w:val="00FB276D"/>
    <w:rsid w:val="00FB2B5D"/>
    <w:rsid w:val="00FB56EB"/>
    <w:rsid w:val="00FB75D8"/>
    <w:rsid w:val="00FB7878"/>
    <w:rsid w:val="00FC06F1"/>
    <w:rsid w:val="00FC240F"/>
    <w:rsid w:val="00FC3058"/>
    <w:rsid w:val="00FC3B24"/>
    <w:rsid w:val="00FC4CEA"/>
    <w:rsid w:val="00FC6C1C"/>
    <w:rsid w:val="00FD015F"/>
    <w:rsid w:val="00FD0B91"/>
    <w:rsid w:val="00FD4038"/>
    <w:rsid w:val="00FD51D8"/>
    <w:rsid w:val="00FD5902"/>
    <w:rsid w:val="00FD6759"/>
    <w:rsid w:val="00FE048C"/>
    <w:rsid w:val="00FE0893"/>
    <w:rsid w:val="00FF0BBA"/>
    <w:rsid w:val="00FF3268"/>
    <w:rsid w:val="00FF6C33"/>
    <w:rsid w:val="017267F1"/>
    <w:rsid w:val="028E13EB"/>
    <w:rsid w:val="03753E15"/>
    <w:rsid w:val="03E56DE9"/>
    <w:rsid w:val="0409396C"/>
    <w:rsid w:val="044004C3"/>
    <w:rsid w:val="045C19CC"/>
    <w:rsid w:val="04701149"/>
    <w:rsid w:val="0581765F"/>
    <w:rsid w:val="05F7030C"/>
    <w:rsid w:val="06312DB5"/>
    <w:rsid w:val="063412BA"/>
    <w:rsid w:val="06DE0BBA"/>
    <w:rsid w:val="07CB55B8"/>
    <w:rsid w:val="07EC3359"/>
    <w:rsid w:val="08386FF2"/>
    <w:rsid w:val="08C34BBF"/>
    <w:rsid w:val="08E77320"/>
    <w:rsid w:val="097B7903"/>
    <w:rsid w:val="0A03621B"/>
    <w:rsid w:val="0BF14EFC"/>
    <w:rsid w:val="0C28640C"/>
    <w:rsid w:val="0C503E87"/>
    <w:rsid w:val="0C6A07D3"/>
    <w:rsid w:val="0CFC35E9"/>
    <w:rsid w:val="0F424F28"/>
    <w:rsid w:val="0FB6614C"/>
    <w:rsid w:val="102313C5"/>
    <w:rsid w:val="103B5AD8"/>
    <w:rsid w:val="10526028"/>
    <w:rsid w:val="10DA5614"/>
    <w:rsid w:val="112E40BB"/>
    <w:rsid w:val="11435C78"/>
    <w:rsid w:val="11AA39D9"/>
    <w:rsid w:val="11F76665"/>
    <w:rsid w:val="13C81C69"/>
    <w:rsid w:val="13D80718"/>
    <w:rsid w:val="14025795"/>
    <w:rsid w:val="142568A6"/>
    <w:rsid w:val="154C2217"/>
    <w:rsid w:val="1615355E"/>
    <w:rsid w:val="171F7A6D"/>
    <w:rsid w:val="1733240B"/>
    <w:rsid w:val="1741632F"/>
    <w:rsid w:val="17484873"/>
    <w:rsid w:val="17D17958"/>
    <w:rsid w:val="184C73A4"/>
    <w:rsid w:val="186A5605"/>
    <w:rsid w:val="19400D06"/>
    <w:rsid w:val="19A660C9"/>
    <w:rsid w:val="1A067E7C"/>
    <w:rsid w:val="1A2426B7"/>
    <w:rsid w:val="1A277D03"/>
    <w:rsid w:val="1AAE6209"/>
    <w:rsid w:val="1C926E30"/>
    <w:rsid w:val="1CBF4223"/>
    <w:rsid w:val="1CD001DE"/>
    <w:rsid w:val="1CD75B49"/>
    <w:rsid w:val="1D7E37D5"/>
    <w:rsid w:val="1D927B8A"/>
    <w:rsid w:val="1E307F52"/>
    <w:rsid w:val="1E485CD4"/>
    <w:rsid w:val="1F071EB1"/>
    <w:rsid w:val="1FCA34C0"/>
    <w:rsid w:val="201C16E2"/>
    <w:rsid w:val="20C3273D"/>
    <w:rsid w:val="20D34BAB"/>
    <w:rsid w:val="21106911"/>
    <w:rsid w:val="21534A92"/>
    <w:rsid w:val="218559A1"/>
    <w:rsid w:val="222571AB"/>
    <w:rsid w:val="222B18ED"/>
    <w:rsid w:val="23554F21"/>
    <w:rsid w:val="24925221"/>
    <w:rsid w:val="24B764AD"/>
    <w:rsid w:val="26847CE6"/>
    <w:rsid w:val="296F00F0"/>
    <w:rsid w:val="298C7B83"/>
    <w:rsid w:val="299A1F81"/>
    <w:rsid w:val="29B80978"/>
    <w:rsid w:val="2B1C6CE5"/>
    <w:rsid w:val="2B3776E5"/>
    <w:rsid w:val="2B8E2581"/>
    <w:rsid w:val="2C372F57"/>
    <w:rsid w:val="2C3E6847"/>
    <w:rsid w:val="2CBE44F7"/>
    <w:rsid w:val="2CD62AA4"/>
    <w:rsid w:val="2D6D7CCB"/>
    <w:rsid w:val="2DE90FA8"/>
    <w:rsid w:val="2E756E38"/>
    <w:rsid w:val="2E775F66"/>
    <w:rsid w:val="2E892267"/>
    <w:rsid w:val="2F0A2CDC"/>
    <w:rsid w:val="2F4751E0"/>
    <w:rsid w:val="2F9D7605"/>
    <w:rsid w:val="2FA379D4"/>
    <w:rsid w:val="30392108"/>
    <w:rsid w:val="31C72A95"/>
    <w:rsid w:val="321D581C"/>
    <w:rsid w:val="32972A82"/>
    <w:rsid w:val="34126BED"/>
    <w:rsid w:val="34131645"/>
    <w:rsid w:val="344C0300"/>
    <w:rsid w:val="354D7E05"/>
    <w:rsid w:val="35AF7627"/>
    <w:rsid w:val="35D16999"/>
    <w:rsid w:val="36D35E07"/>
    <w:rsid w:val="37450FB3"/>
    <w:rsid w:val="375C0B95"/>
    <w:rsid w:val="377A7B9E"/>
    <w:rsid w:val="37A202BF"/>
    <w:rsid w:val="37A63553"/>
    <w:rsid w:val="37BE35FD"/>
    <w:rsid w:val="38BD2122"/>
    <w:rsid w:val="3A0D7803"/>
    <w:rsid w:val="3A38196A"/>
    <w:rsid w:val="3A792402"/>
    <w:rsid w:val="3B007157"/>
    <w:rsid w:val="3B5F0C53"/>
    <w:rsid w:val="3BF30486"/>
    <w:rsid w:val="3C357C06"/>
    <w:rsid w:val="3D167A38"/>
    <w:rsid w:val="3D76583D"/>
    <w:rsid w:val="3DD2597A"/>
    <w:rsid w:val="3DE47EF7"/>
    <w:rsid w:val="3E241CE0"/>
    <w:rsid w:val="3E6B3DB3"/>
    <w:rsid w:val="3EC610F2"/>
    <w:rsid w:val="3EFE69D5"/>
    <w:rsid w:val="3FA7706D"/>
    <w:rsid w:val="3FCF05DD"/>
    <w:rsid w:val="40532D51"/>
    <w:rsid w:val="409A0980"/>
    <w:rsid w:val="40B803C6"/>
    <w:rsid w:val="40C8729B"/>
    <w:rsid w:val="41931657"/>
    <w:rsid w:val="423239B5"/>
    <w:rsid w:val="424566C9"/>
    <w:rsid w:val="425506EE"/>
    <w:rsid w:val="42676762"/>
    <w:rsid w:val="429E4757"/>
    <w:rsid w:val="42F12CC4"/>
    <w:rsid w:val="43AE09CA"/>
    <w:rsid w:val="44EE2122"/>
    <w:rsid w:val="453E3FB2"/>
    <w:rsid w:val="46712183"/>
    <w:rsid w:val="47011269"/>
    <w:rsid w:val="47E03E04"/>
    <w:rsid w:val="480D0344"/>
    <w:rsid w:val="48AE46E9"/>
    <w:rsid w:val="497D1385"/>
    <w:rsid w:val="49D722FD"/>
    <w:rsid w:val="4A515FB0"/>
    <w:rsid w:val="4A590F64"/>
    <w:rsid w:val="4A632330"/>
    <w:rsid w:val="4C7D2384"/>
    <w:rsid w:val="4DD97243"/>
    <w:rsid w:val="4EDC7717"/>
    <w:rsid w:val="4F2C0025"/>
    <w:rsid w:val="4FE07124"/>
    <w:rsid w:val="503F59E6"/>
    <w:rsid w:val="5067032E"/>
    <w:rsid w:val="508F1B83"/>
    <w:rsid w:val="50A47B05"/>
    <w:rsid w:val="50EC34D7"/>
    <w:rsid w:val="50F1639A"/>
    <w:rsid w:val="522602C5"/>
    <w:rsid w:val="523A78CD"/>
    <w:rsid w:val="52D15FEF"/>
    <w:rsid w:val="52E9295F"/>
    <w:rsid w:val="53481698"/>
    <w:rsid w:val="53FCD369"/>
    <w:rsid w:val="55172916"/>
    <w:rsid w:val="55392A77"/>
    <w:rsid w:val="561843C9"/>
    <w:rsid w:val="56B36A01"/>
    <w:rsid w:val="56B41CA7"/>
    <w:rsid w:val="56FD343E"/>
    <w:rsid w:val="584D69C9"/>
    <w:rsid w:val="5872133B"/>
    <w:rsid w:val="588B2AA8"/>
    <w:rsid w:val="58B901A3"/>
    <w:rsid w:val="59790718"/>
    <w:rsid w:val="59D900ED"/>
    <w:rsid w:val="59DE3233"/>
    <w:rsid w:val="59E82FE3"/>
    <w:rsid w:val="5C697392"/>
    <w:rsid w:val="5DF97BF7"/>
    <w:rsid w:val="5E4E6C96"/>
    <w:rsid w:val="5E8B0F7E"/>
    <w:rsid w:val="5F244529"/>
    <w:rsid w:val="5F703B1F"/>
    <w:rsid w:val="61905239"/>
    <w:rsid w:val="619A0388"/>
    <w:rsid w:val="619B6B1B"/>
    <w:rsid w:val="61AF3E33"/>
    <w:rsid w:val="620D6DAC"/>
    <w:rsid w:val="62F118C7"/>
    <w:rsid w:val="62F315A2"/>
    <w:rsid w:val="633A0B27"/>
    <w:rsid w:val="636E797D"/>
    <w:rsid w:val="643C1282"/>
    <w:rsid w:val="645F453A"/>
    <w:rsid w:val="648562DD"/>
    <w:rsid w:val="64BF72F8"/>
    <w:rsid w:val="65CE39EF"/>
    <w:rsid w:val="65E86DE9"/>
    <w:rsid w:val="65EE6DAE"/>
    <w:rsid w:val="66B510C3"/>
    <w:rsid w:val="66CB5CA3"/>
    <w:rsid w:val="67531826"/>
    <w:rsid w:val="69222DFC"/>
    <w:rsid w:val="6942558D"/>
    <w:rsid w:val="69677412"/>
    <w:rsid w:val="69BF098B"/>
    <w:rsid w:val="6B0845B4"/>
    <w:rsid w:val="6B4A697B"/>
    <w:rsid w:val="6B7FEDE6"/>
    <w:rsid w:val="6B8A29E0"/>
    <w:rsid w:val="6BE83EB2"/>
    <w:rsid w:val="6C380996"/>
    <w:rsid w:val="6D106D64"/>
    <w:rsid w:val="6D6A2C5E"/>
    <w:rsid w:val="6D997B37"/>
    <w:rsid w:val="6DAA3701"/>
    <w:rsid w:val="6DC01176"/>
    <w:rsid w:val="6E163A2D"/>
    <w:rsid w:val="6E573888"/>
    <w:rsid w:val="6F26452C"/>
    <w:rsid w:val="6F2F8328"/>
    <w:rsid w:val="6F3354AB"/>
    <w:rsid w:val="6FD15E60"/>
    <w:rsid w:val="70253CA1"/>
    <w:rsid w:val="70293003"/>
    <w:rsid w:val="70552D71"/>
    <w:rsid w:val="70862F4F"/>
    <w:rsid w:val="70DA0006"/>
    <w:rsid w:val="71AF7A76"/>
    <w:rsid w:val="71DF161A"/>
    <w:rsid w:val="71F00EB5"/>
    <w:rsid w:val="727A7B45"/>
    <w:rsid w:val="728D3940"/>
    <w:rsid w:val="73051F08"/>
    <w:rsid w:val="736B56E0"/>
    <w:rsid w:val="74FD4A5E"/>
    <w:rsid w:val="756B5E6B"/>
    <w:rsid w:val="758A734F"/>
    <w:rsid w:val="75D11F84"/>
    <w:rsid w:val="763F2041"/>
    <w:rsid w:val="76C77A80"/>
    <w:rsid w:val="76FF2D0F"/>
    <w:rsid w:val="78727511"/>
    <w:rsid w:val="787B4617"/>
    <w:rsid w:val="78986F77"/>
    <w:rsid w:val="78D4613E"/>
    <w:rsid w:val="79020895"/>
    <w:rsid w:val="797430F5"/>
    <w:rsid w:val="79786DA9"/>
    <w:rsid w:val="79C577F8"/>
    <w:rsid w:val="7A2A3635"/>
    <w:rsid w:val="7A517991"/>
    <w:rsid w:val="7ADD7A6C"/>
    <w:rsid w:val="7B33647E"/>
    <w:rsid w:val="7B733C9D"/>
    <w:rsid w:val="7CA53A11"/>
    <w:rsid w:val="7D0B56CC"/>
    <w:rsid w:val="7DA4016C"/>
    <w:rsid w:val="7DF41044"/>
    <w:rsid w:val="7F9069CB"/>
    <w:rsid w:val="7FE64A6C"/>
    <w:rsid w:val="DFE6D51F"/>
    <w:rsid w:val="FA7F1BAE"/>
    <w:rsid w:val="FBAEB14F"/>
    <w:rsid w:val="FFB3688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9"/>
    <w:pPr>
      <w:keepNext/>
      <w:keepLines/>
      <w:spacing w:beforeLines="150" w:line="360" w:lineRule="auto"/>
      <w:jc w:val="left"/>
      <w:outlineLvl w:val="0"/>
    </w:pPr>
    <w:rPr>
      <w:rFonts w:eastAsia="微软雅黑"/>
      <w:b/>
      <w:bCs/>
      <w:kern w:val="44"/>
      <w:szCs w:val="44"/>
    </w:rPr>
  </w:style>
  <w:style w:type="paragraph" w:styleId="3">
    <w:name w:val="heading 2"/>
    <w:basedOn w:val="1"/>
    <w:next w:val="1"/>
    <w:link w:val="78"/>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link w:val="77"/>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link w:val="76"/>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80"/>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1"/>
    <w:next w:val="1"/>
    <w:link w:val="81"/>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82"/>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83"/>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84"/>
    <w:qFormat/>
    <w:uiPriority w:val="0"/>
    <w:pPr>
      <w:keepNext/>
      <w:keepLines/>
      <w:spacing w:before="240" w:after="64" w:line="320" w:lineRule="auto"/>
      <w:ind w:left="1584" w:hanging="1584"/>
      <w:outlineLvl w:val="8"/>
    </w:pPr>
    <w:rPr>
      <w:rFonts w:ascii="Cambria" w:hAnsi="Cambria"/>
    </w:rPr>
  </w:style>
  <w:style w:type="character" w:default="1" w:styleId="56">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te Heading"/>
    <w:basedOn w:val="1"/>
    <w:next w:val="1"/>
    <w:link w:val="387"/>
    <w:qFormat/>
    <w:uiPriority w:val="0"/>
    <w:pPr>
      <w:spacing w:after="0" w:line="360" w:lineRule="auto"/>
      <w:jc w:val="center"/>
    </w:pPr>
    <w:rPr>
      <w:rFonts w:ascii="DFKai-SB" w:hAnsi="DFKai-SB" w:eastAsia="DFKai-SB"/>
      <w:kern w:val="0"/>
      <w:sz w:val="20"/>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79"/>
    <w:qFormat/>
    <w:uiPriority w:val="0"/>
    <w:pPr>
      <w:ind w:firstLine="420"/>
    </w:pPr>
    <w:rPr>
      <w:szCs w:val="20"/>
    </w:rPr>
  </w:style>
  <w:style w:type="paragraph" w:styleId="15">
    <w:name w:val="caption"/>
    <w:basedOn w:val="1"/>
    <w:next w:val="1"/>
    <w:link w:val="261"/>
    <w:qFormat/>
    <w:uiPriority w:val="0"/>
    <w:pPr>
      <w:spacing w:before="152"/>
    </w:pPr>
    <w:rPr>
      <w:rFonts w:ascii="Arial" w:hAnsi="Arial" w:eastAsia="黑体" w:cs="Arial"/>
      <w:sz w:val="20"/>
      <w:szCs w:val="20"/>
    </w:rPr>
  </w:style>
  <w:style w:type="paragraph" w:styleId="16">
    <w:name w:val="Document Map"/>
    <w:basedOn w:val="1"/>
    <w:link w:val="123"/>
    <w:qFormat/>
    <w:uiPriority w:val="0"/>
    <w:pPr>
      <w:shd w:val="clear" w:color="auto" w:fill="000080"/>
    </w:pPr>
  </w:style>
  <w:style w:type="paragraph" w:styleId="17">
    <w:name w:val="annotation text"/>
    <w:basedOn w:val="1"/>
    <w:link w:val="117"/>
    <w:qFormat/>
    <w:uiPriority w:val="99"/>
    <w:pPr>
      <w:jc w:val="left"/>
    </w:pPr>
  </w:style>
  <w:style w:type="paragraph" w:styleId="18">
    <w:name w:val="Body Text 3"/>
    <w:basedOn w:val="1"/>
    <w:link w:val="103"/>
    <w:qFormat/>
    <w:uiPriority w:val="99"/>
    <w:pPr>
      <w:spacing w:after="120"/>
    </w:pPr>
    <w:rPr>
      <w:sz w:val="16"/>
      <w:szCs w:val="16"/>
    </w:rPr>
  </w:style>
  <w:style w:type="paragraph" w:styleId="19">
    <w:name w:val="Body Text"/>
    <w:basedOn w:val="1"/>
    <w:next w:val="20"/>
    <w:link w:val="92"/>
    <w:qFormat/>
    <w:uiPriority w:val="0"/>
    <w:pPr>
      <w:spacing w:after="120"/>
    </w:pPr>
  </w:style>
  <w:style w:type="paragraph" w:styleId="20">
    <w:name w:val="Body Text First Indent"/>
    <w:basedOn w:val="19"/>
    <w:next w:val="1"/>
    <w:link w:val="91"/>
    <w:unhideWhenUsed/>
    <w:qFormat/>
    <w:uiPriority w:val="0"/>
    <w:pPr>
      <w:ind w:firstLine="420" w:firstLineChars="100"/>
    </w:pPr>
    <w:rPr>
      <w:rFonts w:ascii="Calibri" w:hAnsi="Calibri"/>
    </w:rPr>
  </w:style>
  <w:style w:type="paragraph" w:styleId="21">
    <w:name w:val="Body Text Indent"/>
    <w:basedOn w:val="1"/>
    <w:link w:val="101"/>
    <w:qFormat/>
    <w:uiPriority w:val="99"/>
    <w:pPr>
      <w:spacing w:line="200" w:lineRule="exact"/>
      <w:ind w:firstLine="301"/>
    </w:pPr>
    <w:rPr>
      <w:rFonts w:ascii="宋体" w:hAnsi="Courier New"/>
      <w:spacing w:val="-4"/>
      <w:sz w:val="18"/>
      <w:szCs w:val="20"/>
    </w:rPr>
  </w:style>
  <w:style w:type="paragraph" w:styleId="22">
    <w:name w:val="List Number 3"/>
    <w:basedOn w:val="1"/>
    <w:qFormat/>
    <w:uiPriority w:val="0"/>
    <w:pPr>
      <w:tabs>
        <w:tab w:val="left" w:pos="1200"/>
      </w:tabs>
      <w:spacing w:after="0" w:line="240" w:lineRule="auto"/>
      <w:ind w:left="765" w:hanging="36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spacing w:after="120" w:line="360" w:lineRule="auto"/>
      <w:ind w:left="420" w:leftChars="200"/>
      <w:contextualSpacing/>
    </w:pPr>
  </w:style>
  <w:style w:type="paragraph" w:styleId="25">
    <w:name w:val="Block Text"/>
    <w:basedOn w:val="1"/>
    <w:qFormat/>
    <w:uiPriority w:val="0"/>
    <w:pPr>
      <w:spacing w:after="0" w:line="360" w:lineRule="auto"/>
      <w:ind w:left="420" w:right="-159" w:firstLine="420"/>
    </w:pPr>
  </w:style>
  <w:style w:type="paragraph" w:styleId="26">
    <w:name w:val="HTML Address"/>
    <w:basedOn w:val="1"/>
    <w:link w:val="385"/>
    <w:qFormat/>
    <w:uiPriority w:val="0"/>
    <w:pPr>
      <w:spacing w:after="0" w:line="360" w:lineRule="auto"/>
    </w:pPr>
    <w:rPr>
      <w:rFonts w:ascii="宋体" w:hAnsi="宋体"/>
      <w:i/>
      <w:iCs/>
      <w:kern w:val="0"/>
      <w:sz w:val="20"/>
    </w:rPr>
  </w:style>
  <w:style w:type="paragraph" w:styleId="2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8">
    <w:name w:val="toc 3"/>
    <w:basedOn w:val="1"/>
    <w:next w:val="1"/>
    <w:qFormat/>
    <w:uiPriority w:val="39"/>
    <w:pPr>
      <w:ind w:left="840" w:leftChars="400"/>
    </w:pPr>
  </w:style>
  <w:style w:type="paragraph" w:styleId="29">
    <w:name w:val="Plain Text"/>
    <w:basedOn w:val="1"/>
    <w:link w:val="89"/>
    <w:qFormat/>
    <w:uiPriority w:val="0"/>
    <w:rPr>
      <w:rFonts w:ascii="宋体" w:hAnsi="Courier New"/>
      <w:szCs w:val="20"/>
    </w:rPr>
  </w:style>
  <w:style w:type="paragraph" w:styleId="3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31">
    <w:name w:val="Date"/>
    <w:basedOn w:val="1"/>
    <w:next w:val="1"/>
    <w:link w:val="105"/>
    <w:qFormat/>
    <w:uiPriority w:val="0"/>
    <w:pPr>
      <w:ind w:left="2500" w:leftChars="2500"/>
    </w:pPr>
    <w:rPr>
      <w:rFonts w:eastAsia="楷体_GB2312"/>
      <w:sz w:val="32"/>
      <w:szCs w:val="20"/>
    </w:rPr>
  </w:style>
  <w:style w:type="paragraph" w:styleId="32">
    <w:name w:val="Body Text Indent 2"/>
    <w:basedOn w:val="1"/>
    <w:link w:val="128"/>
    <w:qFormat/>
    <w:uiPriority w:val="0"/>
    <w:pPr>
      <w:snapToGrid w:val="0"/>
      <w:ind w:firstLine="542" w:firstLineChars="225"/>
    </w:pPr>
    <w:rPr>
      <w:rFonts w:ascii="仿宋_GB2312" w:hAnsi="宋体" w:cs="Arial"/>
      <w:b/>
      <w:bCs/>
      <w:color w:val="000000"/>
      <w:sz w:val="24"/>
    </w:rPr>
  </w:style>
  <w:style w:type="paragraph" w:styleId="33">
    <w:name w:val="Balloon Text"/>
    <w:basedOn w:val="1"/>
    <w:link w:val="102"/>
    <w:qFormat/>
    <w:uiPriority w:val="99"/>
    <w:rPr>
      <w:sz w:val="18"/>
      <w:szCs w:val="18"/>
    </w:rPr>
  </w:style>
  <w:style w:type="paragraph" w:styleId="34">
    <w:name w:val="footer"/>
    <w:basedOn w:val="1"/>
    <w:link w:val="106"/>
    <w:qFormat/>
    <w:uiPriority w:val="99"/>
    <w:pPr>
      <w:tabs>
        <w:tab w:val="center" w:pos="4153"/>
        <w:tab w:val="right" w:pos="8306"/>
      </w:tabs>
      <w:snapToGrid w:val="0"/>
      <w:jc w:val="left"/>
    </w:pPr>
    <w:rPr>
      <w:sz w:val="18"/>
      <w:szCs w:val="18"/>
    </w:rPr>
  </w:style>
  <w:style w:type="paragraph" w:styleId="35">
    <w:name w:val="header"/>
    <w:basedOn w:val="1"/>
    <w:link w:val="109"/>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296"/>
      </w:tabs>
      <w:spacing w:beforeLines="50" w:afterLines="50" w:line="400" w:lineRule="exact"/>
      <w:ind w:firstLine="480" w:firstLineChars="200"/>
    </w:pPr>
    <w:rPr>
      <w:rFonts w:ascii="宋体" w:hAnsi="宋体"/>
      <w:color w:val="000000"/>
      <w:sz w:val="24"/>
    </w:rPr>
  </w:style>
  <w:style w:type="paragraph" w:styleId="3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38">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link w:val="98"/>
    <w:qFormat/>
    <w:uiPriority w:val="0"/>
    <w:pPr>
      <w:ind w:left="200" w:hanging="200" w:hangingChars="200"/>
      <w:contextualSpacing/>
    </w:pPr>
  </w:style>
  <w:style w:type="paragraph" w:styleId="40">
    <w:name w:val="footnote text"/>
    <w:basedOn w:val="1"/>
    <w:link w:val="200"/>
    <w:unhideWhenUsed/>
    <w:qFormat/>
    <w:uiPriority w:val="0"/>
    <w:pPr>
      <w:snapToGrid w:val="0"/>
      <w:jc w:val="left"/>
    </w:pPr>
    <w:rPr>
      <w:rFonts w:hint="eastAsia" w:ascii="Calibri" w:hAnsi="Calibri"/>
      <w:sz w:val="18"/>
    </w:rPr>
  </w:style>
  <w:style w:type="paragraph" w:styleId="4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42">
    <w:name w:val="Body Text Indent 3"/>
    <w:basedOn w:val="1"/>
    <w:link w:val="87"/>
    <w:qFormat/>
    <w:uiPriority w:val="0"/>
    <w:pPr>
      <w:snapToGrid w:val="0"/>
      <w:ind w:firstLine="480" w:firstLineChars="200"/>
      <w:jc w:val="left"/>
    </w:pPr>
    <w:rPr>
      <w:rFonts w:ascii="仿宋_GB2312" w:hAnsi="宋体" w:eastAsia="仿宋_GB2312"/>
      <w:color w:val="000000"/>
      <w:sz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39"/>
    <w:pPr>
      <w:tabs>
        <w:tab w:val="right" w:leader="dot" w:pos="8296"/>
      </w:tabs>
      <w:spacing w:beforeLines="50" w:afterLines="50" w:line="400" w:lineRule="exact"/>
      <w:ind w:left="480" w:leftChars="200" w:hanging="60"/>
    </w:pPr>
  </w:style>
  <w:style w:type="paragraph" w:styleId="4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46">
    <w:name w:val="Body Text 2"/>
    <w:basedOn w:val="1"/>
    <w:link w:val="141"/>
    <w:qFormat/>
    <w:uiPriority w:val="0"/>
    <w:pPr>
      <w:spacing w:after="120" w:line="480" w:lineRule="auto"/>
    </w:pPr>
  </w:style>
  <w:style w:type="paragraph" w:styleId="47">
    <w:name w:val="HTML Preformatted"/>
    <w:basedOn w:val="1"/>
    <w:link w:val="1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48">
    <w:name w:val="Normal (Web)"/>
    <w:basedOn w:val="1"/>
    <w:link w:val="547"/>
    <w:qFormat/>
    <w:uiPriority w:val="99"/>
    <w:pPr>
      <w:widowControl/>
      <w:spacing w:before="100" w:beforeAutospacing="1" w:after="100" w:afterAutospacing="1"/>
      <w:jc w:val="left"/>
    </w:pPr>
    <w:rPr>
      <w:rFonts w:ascii="宋体" w:hAnsi="宋体" w:cs="宋体"/>
      <w:kern w:val="0"/>
      <w:sz w:val="24"/>
    </w:rPr>
  </w:style>
  <w:style w:type="paragraph" w:styleId="49">
    <w:name w:val="index 1"/>
    <w:basedOn w:val="1"/>
    <w:next w:val="1"/>
    <w:semiHidden/>
    <w:qFormat/>
    <w:uiPriority w:val="0"/>
    <w:pPr>
      <w:spacing w:after="0" w:line="360" w:lineRule="auto"/>
      <w:ind w:firstLine="480" w:firstLineChars="200"/>
      <w:jc w:val="left"/>
    </w:pPr>
    <w:rPr>
      <w:rFonts w:eastAsia="微软雅黑"/>
      <w:szCs w:val="20"/>
    </w:rPr>
  </w:style>
  <w:style w:type="paragraph" w:styleId="50">
    <w:name w:val="Title"/>
    <w:basedOn w:val="1"/>
    <w:next w:val="1"/>
    <w:link w:val="90"/>
    <w:qFormat/>
    <w:uiPriority w:val="0"/>
    <w:pPr>
      <w:spacing w:before="240" w:after="60"/>
      <w:jc w:val="center"/>
      <w:outlineLvl w:val="0"/>
    </w:pPr>
    <w:rPr>
      <w:rFonts w:ascii="Cambria" w:hAnsi="Cambria"/>
      <w:b/>
      <w:bCs/>
      <w:sz w:val="32"/>
      <w:szCs w:val="32"/>
    </w:rPr>
  </w:style>
  <w:style w:type="paragraph" w:styleId="51">
    <w:name w:val="annotation subject"/>
    <w:basedOn w:val="17"/>
    <w:next w:val="17"/>
    <w:link w:val="139"/>
    <w:qFormat/>
    <w:uiPriority w:val="0"/>
    <w:rPr>
      <w:b/>
      <w:bCs/>
    </w:rPr>
  </w:style>
  <w:style w:type="paragraph" w:styleId="52">
    <w:name w:val="Body Text First Indent 2"/>
    <w:basedOn w:val="21"/>
    <w:link w:val="203"/>
    <w:unhideWhenUsed/>
    <w:qFormat/>
    <w:uiPriority w:val="0"/>
    <w:pPr>
      <w:spacing w:after="120" w:line="360" w:lineRule="auto"/>
      <w:ind w:left="420" w:leftChars="200" w:firstLine="420" w:firstLineChars="200"/>
    </w:pPr>
    <w:rPr>
      <w:sz w:val="24"/>
    </w:rPr>
  </w:style>
  <w:style w:type="table" w:styleId="54">
    <w:name w:val="Table Grid"/>
    <w:basedOn w:val="5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Elegant"/>
    <w:basedOn w:val="5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57">
    <w:name w:val="Strong"/>
    <w:qFormat/>
    <w:uiPriority w:val="22"/>
    <w:rPr>
      <w:b/>
      <w:bCs/>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Emphasis"/>
    <w:qFormat/>
    <w:uiPriority w:val="0"/>
    <w:rPr>
      <w:color w:val="CC0000"/>
    </w:rPr>
  </w:style>
  <w:style w:type="character" w:styleId="61">
    <w:name w:val="HTML Definition"/>
    <w:qFormat/>
    <w:uiPriority w:val="0"/>
    <w:rPr>
      <w:i/>
      <w:iCs/>
    </w:rPr>
  </w:style>
  <w:style w:type="character" w:styleId="62">
    <w:name w:val="HTML Typewriter"/>
    <w:qFormat/>
    <w:uiPriority w:val="0"/>
    <w:rPr>
      <w:rFonts w:ascii="黑体" w:hAnsi="Courier New" w:eastAsia="黑体"/>
      <w:sz w:val="14"/>
    </w:rPr>
  </w:style>
  <w:style w:type="character" w:styleId="63">
    <w:name w:val="HTML Acronym"/>
    <w:qFormat/>
    <w:uiPriority w:val="0"/>
  </w:style>
  <w:style w:type="character" w:styleId="64">
    <w:name w:val="HTML Variable"/>
    <w:qFormat/>
    <w:uiPriority w:val="0"/>
    <w:rPr>
      <w:i/>
      <w:iCs/>
    </w:rPr>
  </w:style>
  <w:style w:type="character" w:styleId="65">
    <w:name w:val="Hyperlink"/>
    <w:qFormat/>
    <w:uiPriority w:val="99"/>
    <w:rPr>
      <w:color w:val="0000FF"/>
      <w:u w:val="single"/>
    </w:rPr>
  </w:style>
  <w:style w:type="character" w:styleId="66">
    <w:name w:val="HTML Code"/>
    <w:qFormat/>
    <w:uiPriority w:val="0"/>
    <w:rPr>
      <w:rFonts w:ascii="Courier New" w:hAnsi="Courier New"/>
      <w:sz w:val="20"/>
      <w:szCs w:val="20"/>
    </w:rPr>
  </w:style>
  <w:style w:type="character" w:styleId="67">
    <w:name w:val="annotation reference"/>
    <w:qFormat/>
    <w:uiPriority w:val="99"/>
    <w:rPr>
      <w:sz w:val="21"/>
      <w:szCs w:val="21"/>
    </w:rPr>
  </w:style>
  <w:style w:type="character" w:styleId="68">
    <w:name w:val="HTML Cite"/>
    <w:qFormat/>
    <w:uiPriority w:val="0"/>
    <w:rPr>
      <w:i/>
      <w:iCs/>
    </w:rPr>
  </w:style>
  <w:style w:type="character" w:styleId="69">
    <w:name w:val="footnote reference"/>
    <w:basedOn w:val="56"/>
    <w:unhideWhenUsed/>
    <w:qFormat/>
    <w:uiPriority w:val="99"/>
    <w:rPr>
      <w:rFonts w:hint="default" w:ascii="Times New Roman"/>
      <w:sz w:val="24"/>
      <w:vertAlign w:val="superscript"/>
    </w:rPr>
  </w:style>
  <w:style w:type="character" w:styleId="70">
    <w:name w:val="HTML Keyboard"/>
    <w:qFormat/>
    <w:uiPriority w:val="0"/>
    <w:rPr>
      <w:rFonts w:ascii="Courier New" w:hAnsi="Courier New"/>
      <w:sz w:val="20"/>
      <w:szCs w:val="20"/>
    </w:rPr>
  </w:style>
  <w:style w:type="character" w:styleId="71">
    <w:name w:val="HTML Sample"/>
    <w:qFormat/>
    <w:uiPriority w:val="0"/>
    <w:rPr>
      <w:rFonts w:ascii="Courier New" w:hAnsi="Courier New"/>
    </w:rPr>
  </w:style>
  <w:style w:type="paragraph" w:customStyle="1" w:styleId="72">
    <w:name w:val="标准正文"/>
    <w:basedOn w:val="1"/>
    <w:qFormat/>
    <w:uiPriority w:val="0"/>
    <w:pPr>
      <w:spacing w:line="360" w:lineRule="auto"/>
      <w:ind w:firstLine="200" w:firstLineChars="200"/>
    </w:pPr>
    <w:rPr>
      <w:rFonts w:ascii="Calibri" w:hAnsi="Calibri"/>
      <w:sz w:val="24"/>
      <w:szCs w:val="20"/>
    </w:rPr>
  </w:style>
  <w:style w:type="paragraph" w:customStyle="1" w:styleId="73">
    <w:name w:val="表格文字"/>
    <w:basedOn w:val="74"/>
    <w:next w:val="19"/>
    <w:qFormat/>
    <w:uiPriority w:val="0"/>
    <w:pPr>
      <w:spacing w:after="0" w:line="360" w:lineRule="auto"/>
      <w:ind w:firstLine="480" w:firstLineChars="200"/>
      <w:jc w:val="left"/>
    </w:pPr>
  </w:style>
  <w:style w:type="paragraph" w:customStyle="1" w:styleId="74">
    <w:name w:val="表格文字（两侧对齐）"/>
    <w:basedOn w:val="1"/>
    <w:qFormat/>
    <w:uiPriority w:val="0"/>
    <w:pPr>
      <w:snapToGrid w:val="0"/>
    </w:pPr>
    <w:rPr>
      <w:sz w:val="20"/>
    </w:rPr>
  </w:style>
  <w:style w:type="character" w:customStyle="1" w:styleId="75">
    <w:name w:val="标题 1 字符"/>
    <w:basedOn w:val="56"/>
    <w:link w:val="2"/>
    <w:qFormat/>
    <w:uiPriority w:val="9"/>
    <w:rPr>
      <w:rFonts w:eastAsia="微软雅黑"/>
      <w:b/>
      <w:bCs/>
      <w:kern w:val="44"/>
      <w:sz w:val="21"/>
      <w:szCs w:val="44"/>
    </w:rPr>
  </w:style>
  <w:style w:type="character" w:customStyle="1" w:styleId="76">
    <w:name w:val="标题 4 字符"/>
    <w:link w:val="5"/>
    <w:qFormat/>
    <w:uiPriority w:val="0"/>
    <w:rPr>
      <w:rFonts w:ascii="Arial" w:hAnsi="Arial" w:eastAsia="黑体"/>
      <w:b/>
      <w:bCs/>
      <w:kern w:val="2"/>
      <w:sz w:val="28"/>
      <w:szCs w:val="28"/>
      <w:lang w:val="en-US" w:eastAsia="zh-CN" w:bidi="ar-SA"/>
    </w:rPr>
  </w:style>
  <w:style w:type="character" w:customStyle="1" w:styleId="77">
    <w:name w:val="标题 3 字符"/>
    <w:link w:val="4"/>
    <w:qFormat/>
    <w:uiPriority w:val="9"/>
    <w:rPr>
      <w:rFonts w:ascii="仿宋_GB2312" w:eastAsia="仿宋_GB2312"/>
      <w:b/>
      <w:bCs/>
      <w:kern w:val="2"/>
      <w:sz w:val="30"/>
      <w:lang w:val="en-US" w:eastAsia="zh-CN" w:bidi="ar-SA"/>
    </w:rPr>
  </w:style>
  <w:style w:type="character" w:customStyle="1" w:styleId="78">
    <w:name w:val="标题 2 字符"/>
    <w:link w:val="3"/>
    <w:qFormat/>
    <w:uiPriority w:val="0"/>
    <w:rPr>
      <w:rFonts w:ascii="仿宋_GB2312" w:eastAsia="仿宋_GB2312"/>
      <w:b/>
      <w:sz w:val="36"/>
      <w:lang w:val="en-US" w:eastAsia="zh-CN" w:bidi="ar-SA"/>
    </w:rPr>
  </w:style>
  <w:style w:type="character" w:customStyle="1" w:styleId="79">
    <w:name w:val="正文缩进 字符"/>
    <w:link w:val="14"/>
    <w:qFormat/>
    <w:uiPriority w:val="0"/>
    <w:rPr>
      <w:rFonts w:eastAsia="宋体"/>
      <w:kern w:val="2"/>
      <w:sz w:val="21"/>
      <w:lang w:val="en-US" w:eastAsia="zh-CN" w:bidi="ar-SA"/>
    </w:rPr>
  </w:style>
  <w:style w:type="character" w:customStyle="1" w:styleId="80">
    <w:name w:val="标题 5 字符"/>
    <w:link w:val="6"/>
    <w:qFormat/>
    <w:uiPriority w:val="9"/>
    <w:rPr>
      <w:rFonts w:ascii="Calibri" w:hAnsi="Calibri" w:eastAsia="宋体"/>
      <w:b/>
      <w:bCs/>
      <w:kern w:val="2"/>
      <w:sz w:val="28"/>
      <w:szCs w:val="28"/>
      <w:lang w:val="en-US" w:eastAsia="zh-CN" w:bidi="ar-SA"/>
    </w:rPr>
  </w:style>
  <w:style w:type="character" w:customStyle="1" w:styleId="81">
    <w:name w:val="标题 6 字符"/>
    <w:link w:val="7"/>
    <w:qFormat/>
    <w:uiPriority w:val="0"/>
    <w:rPr>
      <w:rFonts w:ascii="Cambria" w:hAnsi="Cambria" w:eastAsia="宋体"/>
      <w:b/>
      <w:bCs/>
      <w:kern w:val="2"/>
      <w:sz w:val="24"/>
      <w:szCs w:val="24"/>
      <w:lang w:val="en-US" w:eastAsia="zh-CN" w:bidi="ar-SA"/>
    </w:rPr>
  </w:style>
  <w:style w:type="character" w:customStyle="1" w:styleId="82">
    <w:name w:val="标题 7 字符"/>
    <w:link w:val="8"/>
    <w:qFormat/>
    <w:uiPriority w:val="0"/>
    <w:rPr>
      <w:rFonts w:eastAsia="宋体"/>
      <w:b/>
      <w:bCs/>
      <w:kern w:val="2"/>
      <w:sz w:val="24"/>
      <w:szCs w:val="24"/>
      <w:lang w:val="en-US" w:eastAsia="zh-CN" w:bidi="ar-SA"/>
    </w:rPr>
  </w:style>
  <w:style w:type="character" w:customStyle="1" w:styleId="83">
    <w:name w:val="标题 8 字符"/>
    <w:link w:val="9"/>
    <w:qFormat/>
    <w:uiPriority w:val="0"/>
    <w:rPr>
      <w:rFonts w:ascii="Cambria" w:hAnsi="Cambria" w:eastAsia="宋体"/>
      <w:kern w:val="2"/>
      <w:sz w:val="24"/>
      <w:szCs w:val="24"/>
      <w:lang w:val="en-US" w:eastAsia="zh-CN" w:bidi="ar-SA"/>
    </w:rPr>
  </w:style>
  <w:style w:type="character" w:customStyle="1" w:styleId="84">
    <w:name w:val="标题 9 字符"/>
    <w:link w:val="10"/>
    <w:qFormat/>
    <w:uiPriority w:val="0"/>
    <w:rPr>
      <w:rFonts w:ascii="Cambria" w:hAnsi="Cambria" w:eastAsia="宋体"/>
      <w:kern w:val="2"/>
      <w:sz w:val="21"/>
      <w:szCs w:val="24"/>
      <w:lang w:val="en-US" w:eastAsia="zh-CN" w:bidi="ar-SA"/>
    </w:rPr>
  </w:style>
  <w:style w:type="character" w:customStyle="1" w:styleId="85">
    <w:name w:val="纯文本 字符1"/>
    <w:semiHidden/>
    <w:qFormat/>
    <w:uiPriority w:val="99"/>
    <w:rPr>
      <w:rFonts w:ascii="等线" w:hAnsi="Courier New" w:cs="Courier New"/>
      <w:szCs w:val="24"/>
    </w:rPr>
  </w:style>
  <w:style w:type="character" w:customStyle="1" w:styleId="86">
    <w:name w:val="纯文本 Char3"/>
    <w:qFormat/>
    <w:uiPriority w:val="0"/>
    <w:rPr>
      <w:rFonts w:ascii="宋体" w:hAnsi="Courier New" w:eastAsia="宋体"/>
      <w:kern w:val="2"/>
      <w:sz w:val="24"/>
      <w:szCs w:val="24"/>
      <w:lang w:val="en-US" w:eastAsia="zh-CN" w:bidi="ar-SA"/>
    </w:rPr>
  </w:style>
  <w:style w:type="character" w:customStyle="1" w:styleId="87">
    <w:name w:val="正文文本缩进 3 字符"/>
    <w:basedOn w:val="56"/>
    <w:link w:val="42"/>
    <w:qFormat/>
    <w:uiPriority w:val="0"/>
    <w:rPr>
      <w:rFonts w:ascii="仿宋_GB2312" w:hAnsi="宋体" w:eastAsia="仿宋_GB2312"/>
      <w:color w:val="000000"/>
      <w:kern w:val="2"/>
      <w:sz w:val="24"/>
      <w:szCs w:val="24"/>
    </w:rPr>
  </w:style>
  <w:style w:type="character" w:customStyle="1" w:styleId="88">
    <w:name w:val="apple-converted-space"/>
    <w:basedOn w:val="56"/>
    <w:qFormat/>
    <w:uiPriority w:val="0"/>
  </w:style>
  <w:style w:type="character" w:customStyle="1" w:styleId="89">
    <w:name w:val="纯文本 字符"/>
    <w:link w:val="29"/>
    <w:qFormat/>
    <w:uiPriority w:val="0"/>
    <w:rPr>
      <w:rFonts w:ascii="宋体" w:hAnsi="Courier New" w:eastAsia="宋体"/>
      <w:kern w:val="2"/>
      <w:sz w:val="21"/>
      <w:lang w:val="en-US" w:eastAsia="zh-CN" w:bidi="ar-SA"/>
    </w:rPr>
  </w:style>
  <w:style w:type="character" w:customStyle="1" w:styleId="90">
    <w:name w:val="标题 字符"/>
    <w:link w:val="50"/>
    <w:qFormat/>
    <w:uiPriority w:val="0"/>
    <w:rPr>
      <w:rFonts w:ascii="Cambria" w:hAnsi="Cambria" w:eastAsia="宋体"/>
      <w:b/>
      <w:bCs/>
      <w:kern w:val="2"/>
      <w:sz w:val="32"/>
      <w:szCs w:val="32"/>
      <w:lang w:bidi="ar-SA"/>
    </w:rPr>
  </w:style>
  <w:style w:type="character" w:customStyle="1" w:styleId="91">
    <w:name w:val="正文文本首行缩进 字符"/>
    <w:basedOn w:val="92"/>
    <w:link w:val="20"/>
    <w:qFormat/>
    <w:uiPriority w:val="0"/>
    <w:rPr>
      <w:rFonts w:ascii="Calibri" w:hAnsi="Calibri" w:eastAsia="宋体"/>
      <w:kern w:val="2"/>
      <w:sz w:val="21"/>
      <w:szCs w:val="24"/>
      <w:lang w:val="en-US" w:eastAsia="zh-CN" w:bidi="ar-SA"/>
    </w:rPr>
  </w:style>
  <w:style w:type="character" w:customStyle="1" w:styleId="92">
    <w:name w:val="正文文本 字符"/>
    <w:link w:val="19"/>
    <w:qFormat/>
    <w:uiPriority w:val="0"/>
    <w:rPr>
      <w:rFonts w:eastAsia="宋体"/>
      <w:kern w:val="2"/>
      <w:sz w:val="21"/>
      <w:szCs w:val="24"/>
      <w:lang w:val="en-US" w:eastAsia="zh-CN" w:bidi="ar-SA"/>
    </w:rPr>
  </w:style>
  <w:style w:type="character" w:customStyle="1" w:styleId="93">
    <w:name w:val="标题 1 Char Char"/>
    <w:qFormat/>
    <w:uiPriority w:val="0"/>
    <w:rPr>
      <w:rFonts w:eastAsia="宋体"/>
      <w:b/>
      <w:spacing w:val="-2"/>
      <w:sz w:val="24"/>
      <w:lang w:val="en-US" w:eastAsia="zh-CN" w:bidi="ar-SA"/>
    </w:rPr>
  </w:style>
  <w:style w:type="character" w:customStyle="1" w:styleId="94">
    <w:name w:val="标题 2 Char"/>
    <w:qFormat/>
    <w:uiPriority w:val="9"/>
    <w:rPr>
      <w:rFonts w:ascii="仿宋_GB2312" w:eastAsia="仿宋_GB2312"/>
      <w:b/>
      <w:sz w:val="36"/>
      <w:lang w:val="en-US" w:eastAsia="zh-CN" w:bidi="ar-SA"/>
    </w:rPr>
  </w:style>
  <w:style w:type="character" w:customStyle="1" w:styleId="95">
    <w:name w:val="副标题 字符"/>
    <w:basedOn w:val="56"/>
    <w:link w:val="38"/>
    <w:qFormat/>
    <w:uiPriority w:val="0"/>
    <w:rPr>
      <w:rFonts w:ascii="Cambria" w:hAnsi="Cambria"/>
      <w:b/>
      <w:bCs/>
      <w:kern w:val="28"/>
      <w:sz w:val="32"/>
      <w:szCs w:val="32"/>
    </w:rPr>
  </w:style>
  <w:style w:type="character" w:customStyle="1" w:styleId="96">
    <w:name w:val="List Paragraph Char"/>
    <w:link w:val="97"/>
    <w:qFormat/>
    <w:uiPriority w:val="0"/>
    <w:rPr>
      <w:kern w:val="2"/>
      <w:sz w:val="21"/>
      <w:lang w:bidi="ar-SA"/>
    </w:rPr>
  </w:style>
  <w:style w:type="paragraph" w:customStyle="1" w:styleId="97">
    <w:name w:val="列出段落1"/>
    <w:basedOn w:val="1"/>
    <w:link w:val="96"/>
    <w:qFormat/>
    <w:uiPriority w:val="0"/>
    <w:pPr>
      <w:ind w:firstLine="420" w:firstLineChars="200"/>
    </w:pPr>
    <w:rPr>
      <w:szCs w:val="20"/>
    </w:rPr>
  </w:style>
  <w:style w:type="character" w:customStyle="1" w:styleId="98">
    <w:name w:val="列表 字符"/>
    <w:link w:val="39"/>
    <w:qFormat/>
    <w:uiPriority w:val="0"/>
    <w:rPr>
      <w:kern w:val="2"/>
      <w:sz w:val="21"/>
      <w:szCs w:val="24"/>
    </w:rPr>
  </w:style>
  <w:style w:type="character" w:customStyle="1" w:styleId="99">
    <w:name w:val="投标书正文 Char Char"/>
    <w:link w:val="100"/>
    <w:qFormat/>
    <w:uiPriority w:val="0"/>
    <w:rPr>
      <w:rFonts w:eastAsia="Times New Roman"/>
      <w:kern w:val="2"/>
      <w:sz w:val="24"/>
      <w:szCs w:val="24"/>
      <w:lang w:val="en-US" w:eastAsia="zh-CN" w:bidi="ar-SA"/>
    </w:rPr>
  </w:style>
  <w:style w:type="paragraph" w:customStyle="1" w:styleId="100">
    <w:name w:val="投标书正文"/>
    <w:link w:val="99"/>
    <w:qFormat/>
    <w:uiPriority w:val="0"/>
    <w:pPr>
      <w:autoSpaceDE w:val="0"/>
      <w:spacing w:after="160"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01">
    <w:name w:val="正文文本缩进 字符1"/>
    <w:link w:val="21"/>
    <w:qFormat/>
    <w:uiPriority w:val="0"/>
    <w:rPr>
      <w:rFonts w:ascii="宋体" w:hAnsi="Courier New" w:eastAsia="宋体"/>
      <w:spacing w:val="-4"/>
      <w:kern w:val="2"/>
      <w:sz w:val="18"/>
      <w:lang w:val="en-US" w:eastAsia="zh-CN" w:bidi="ar-SA"/>
    </w:rPr>
  </w:style>
  <w:style w:type="character" w:customStyle="1" w:styleId="102">
    <w:name w:val="批注框文本 字符1"/>
    <w:link w:val="33"/>
    <w:qFormat/>
    <w:uiPriority w:val="99"/>
    <w:rPr>
      <w:rFonts w:eastAsia="宋体"/>
      <w:kern w:val="2"/>
      <w:sz w:val="18"/>
      <w:szCs w:val="18"/>
      <w:lang w:val="en-US" w:eastAsia="zh-CN" w:bidi="ar-SA"/>
    </w:rPr>
  </w:style>
  <w:style w:type="character" w:customStyle="1" w:styleId="103">
    <w:name w:val="正文文本 3 字符"/>
    <w:basedOn w:val="56"/>
    <w:link w:val="18"/>
    <w:qFormat/>
    <w:uiPriority w:val="99"/>
    <w:rPr>
      <w:kern w:val="2"/>
      <w:sz w:val="16"/>
      <w:szCs w:val="16"/>
    </w:rPr>
  </w:style>
  <w:style w:type="character" w:customStyle="1" w:styleId="104">
    <w:name w:val="htd0"/>
    <w:basedOn w:val="56"/>
    <w:qFormat/>
    <w:uiPriority w:val="0"/>
  </w:style>
  <w:style w:type="character" w:customStyle="1" w:styleId="105">
    <w:name w:val="日期 字符"/>
    <w:link w:val="31"/>
    <w:qFormat/>
    <w:uiPriority w:val="0"/>
    <w:rPr>
      <w:rFonts w:eastAsia="楷体_GB2312"/>
      <w:kern w:val="2"/>
      <w:sz w:val="32"/>
    </w:rPr>
  </w:style>
  <w:style w:type="character" w:customStyle="1" w:styleId="106">
    <w:name w:val="页脚 字符1"/>
    <w:link w:val="34"/>
    <w:qFormat/>
    <w:uiPriority w:val="0"/>
    <w:rPr>
      <w:rFonts w:eastAsia="宋体"/>
      <w:kern w:val="2"/>
      <w:sz w:val="18"/>
      <w:szCs w:val="18"/>
      <w:lang w:val="en-US" w:eastAsia="zh-CN" w:bidi="ar-SA"/>
    </w:rPr>
  </w:style>
  <w:style w:type="character" w:customStyle="1" w:styleId="107">
    <w:name w:val="投标书正文无序编号 Char Char"/>
    <w:link w:val="108"/>
    <w:qFormat/>
    <w:uiPriority w:val="0"/>
    <w:rPr>
      <w:kern w:val="2"/>
      <w:sz w:val="24"/>
      <w:szCs w:val="24"/>
    </w:rPr>
  </w:style>
  <w:style w:type="paragraph" w:customStyle="1" w:styleId="108">
    <w:name w:val="投标书正文无序编号"/>
    <w:basedOn w:val="100"/>
    <w:link w:val="107"/>
    <w:qFormat/>
    <w:uiPriority w:val="0"/>
    <w:pPr>
      <w:tabs>
        <w:tab w:val="left" w:pos="780"/>
        <w:tab w:val="left" w:pos="902"/>
      </w:tabs>
      <w:adjustRightInd w:val="0"/>
      <w:ind w:left="780" w:hanging="360" w:firstLineChars="0"/>
    </w:pPr>
    <w:rPr>
      <w:rFonts w:eastAsia="宋体"/>
    </w:rPr>
  </w:style>
  <w:style w:type="character" w:customStyle="1" w:styleId="109">
    <w:name w:val="页眉 字符"/>
    <w:link w:val="35"/>
    <w:qFormat/>
    <w:uiPriority w:val="0"/>
    <w:rPr>
      <w:rFonts w:eastAsia="宋体"/>
      <w:kern w:val="2"/>
      <w:sz w:val="18"/>
      <w:szCs w:val="18"/>
      <w:lang w:val="en-US" w:eastAsia="zh-CN" w:bidi="ar-SA"/>
    </w:rPr>
  </w:style>
  <w:style w:type="character" w:customStyle="1" w:styleId="110">
    <w:name w:val="表格正文 Char"/>
    <w:basedOn w:val="56"/>
    <w:link w:val="111"/>
    <w:qFormat/>
    <w:uiPriority w:val="0"/>
    <w:rPr>
      <w:kern w:val="2"/>
      <w:sz w:val="21"/>
      <w:szCs w:val="24"/>
    </w:rPr>
  </w:style>
  <w:style w:type="paragraph" w:customStyle="1" w:styleId="111">
    <w:name w:val="表格正文"/>
    <w:basedOn w:val="1"/>
    <w:link w:val="110"/>
    <w:qFormat/>
    <w:uiPriority w:val="0"/>
  </w:style>
  <w:style w:type="character" w:customStyle="1" w:styleId="112">
    <w:name w:val="纯文本 Char1"/>
    <w:link w:val="113"/>
    <w:qFormat/>
    <w:uiPriority w:val="99"/>
    <w:rPr>
      <w:rFonts w:ascii="宋体" w:hAnsi="Courier New" w:eastAsia="宋体"/>
      <w:kern w:val="2"/>
      <w:sz w:val="24"/>
      <w:lang w:bidi="ar-SA"/>
    </w:rPr>
  </w:style>
  <w:style w:type="paragraph" w:customStyle="1" w:styleId="113">
    <w:name w:val="纯文本1"/>
    <w:basedOn w:val="1"/>
    <w:link w:val="112"/>
    <w:qFormat/>
    <w:uiPriority w:val="99"/>
    <w:pPr>
      <w:spacing w:afterLines="50"/>
    </w:pPr>
    <w:rPr>
      <w:rFonts w:ascii="宋体" w:hAnsi="Courier New"/>
      <w:sz w:val="24"/>
      <w:szCs w:val="20"/>
    </w:rPr>
  </w:style>
  <w:style w:type="character" w:customStyle="1" w:styleId="114">
    <w:name w:val="HIK 段分 2 Char"/>
    <w:basedOn w:val="94"/>
    <w:link w:val="115"/>
    <w:qFormat/>
    <w:uiPriority w:val="0"/>
    <w:rPr>
      <w:rFonts w:ascii="宋体" w:hAnsi="等线 Light" w:eastAsia="仿宋_GB2312"/>
      <w:bCs/>
      <w:kern w:val="2"/>
      <w:sz w:val="32"/>
      <w:szCs w:val="32"/>
      <w:lang w:val="en-US" w:eastAsia="zh-CN" w:bidi="ar-SA"/>
    </w:rPr>
  </w:style>
  <w:style w:type="paragraph" w:customStyle="1" w:styleId="115">
    <w:name w:val="HIK 段分 2"/>
    <w:basedOn w:val="3"/>
    <w:next w:val="1"/>
    <w:link w:val="114"/>
    <w:qFormat/>
    <w:uiPriority w:val="0"/>
    <w:pPr>
      <w:pageBreakBefore/>
      <w:adjustRightInd/>
      <w:snapToGrid/>
      <w:spacing w:before="100" w:after="100"/>
      <w:ind w:left="576" w:hanging="576"/>
      <w:jc w:val="left"/>
      <w:textAlignment w:val="auto"/>
    </w:pPr>
    <w:rPr>
      <w:rFonts w:ascii="宋体" w:hAnsi="等线 Light" w:eastAsia="宋体"/>
      <w:bCs/>
      <w:kern w:val="2"/>
      <w:sz w:val="32"/>
      <w:szCs w:val="32"/>
    </w:rPr>
  </w:style>
  <w:style w:type="character" w:customStyle="1" w:styleId="116">
    <w:name w:val="Char Char7"/>
    <w:qFormat/>
    <w:uiPriority w:val="0"/>
    <w:rPr>
      <w:rFonts w:ascii="Times New Roman" w:hAnsi="Times New Roman" w:eastAsia="宋体" w:cs="Times New Roman"/>
      <w:szCs w:val="24"/>
    </w:rPr>
  </w:style>
  <w:style w:type="character" w:customStyle="1" w:styleId="117">
    <w:name w:val="批注文字 字符"/>
    <w:link w:val="17"/>
    <w:qFormat/>
    <w:uiPriority w:val="99"/>
    <w:rPr>
      <w:rFonts w:eastAsia="宋体"/>
      <w:kern w:val="2"/>
      <w:sz w:val="21"/>
      <w:szCs w:val="24"/>
      <w:lang w:val="en-US" w:eastAsia="zh-CN" w:bidi="ar-SA"/>
    </w:rPr>
  </w:style>
  <w:style w:type="character" w:customStyle="1" w:styleId="118">
    <w:name w:val="方案正文-样式 小四 行距: 1.5 倍行距 Char Char"/>
    <w:link w:val="119"/>
    <w:qFormat/>
    <w:uiPriority w:val="0"/>
    <w:rPr>
      <w:kern w:val="2"/>
      <w:sz w:val="24"/>
      <w:lang w:bidi="ar-SA"/>
    </w:rPr>
  </w:style>
  <w:style w:type="paragraph" w:customStyle="1" w:styleId="119">
    <w:name w:val="方案正文-样式 小四 行距: 1.5 倍行距"/>
    <w:basedOn w:val="1"/>
    <w:link w:val="118"/>
    <w:qFormat/>
    <w:uiPriority w:val="0"/>
    <w:pPr>
      <w:spacing w:line="360" w:lineRule="auto"/>
      <w:ind w:firstLine="480" w:firstLineChars="200"/>
    </w:pPr>
    <w:rPr>
      <w:sz w:val="24"/>
      <w:szCs w:val="20"/>
    </w:rPr>
  </w:style>
  <w:style w:type="character" w:customStyle="1" w:styleId="120">
    <w:name w:val="批注主题 Char1"/>
    <w:qFormat/>
    <w:uiPriority w:val="0"/>
    <w:rPr>
      <w:b/>
      <w:bCs/>
      <w:kern w:val="2"/>
      <w:sz w:val="21"/>
      <w:szCs w:val="24"/>
    </w:rPr>
  </w:style>
  <w:style w:type="character" w:customStyle="1" w:styleId="121">
    <w:name w:val="正文缩进 Char"/>
    <w:qFormat/>
    <w:uiPriority w:val="0"/>
    <w:rPr>
      <w:kern w:val="2"/>
      <w:sz w:val="21"/>
    </w:rPr>
  </w:style>
  <w:style w:type="character" w:customStyle="1" w:styleId="122">
    <w:name w:val="正文文本缩进 Char"/>
    <w:qFormat/>
    <w:uiPriority w:val="99"/>
    <w:rPr>
      <w:rFonts w:ascii="宋体" w:hAnsi="Courier New"/>
      <w:spacing w:val="-4"/>
      <w:kern w:val="2"/>
      <w:sz w:val="18"/>
    </w:rPr>
  </w:style>
  <w:style w:type="character" w:customStyle="1" w:styleId="123">
    <w:name w:val="文档结构图 字符"/>
    <w:link w:val="16"/>
    <w:qFormat/>
    <w:uiPriority w:val="0"/>
    <w:rPr>
      <w:rFonts w:eastAsia="宋体"/>
      <w:kern w:val="2"/>
      <w:sz w:val="21"/>
      <w:szCs w:val="24"/>
      <w:lang w:val="en-US" w:eastAsia="zh-CN" w:bidi="ar-SA"/>
    </w:rPr>
  </w:style>
  <w:style w:type="character" w:customStyle="1" w:styleId="124">
    <w:name w:val="正文文本缩进 字符"/>
    <w:qFormat/>
    <w:uiPriority w:val="0"/>
    <w:rPr>
      <w:rFonts w:ascii="宋体" w:hAnsi="Courier New" w:eastAsia="宋体"/>
      <w:spacing w:val="-4"/>
      <w:kern w:val="2"/>
      <w:sz w:val="18"/>
      <w:lang w:val="en-US" w:eastAsia="zh-CN" w:bidi="ar-SA"/>
    </w:rPr>
  </w:style>
  <w:style w:type="character" w:customStyle="1" w:styleId="125">
    <w:name w:val="批注框文本 字符"/>
    <w:semiHidden/>
    <w:qFormat/>
    <w:uiPriority w:val="99"/>
    <w:rPr>
      <w:rFonts w:ascii="Times New Roman" w:hAnsi="Times New Roman" w:eastAsia="宋体"/>
      <w:kern w:val="2"/>
      <w:sz w:val="18"/>
      <w:szCs w:val="18"/>
    </w:rPr>
  </w:style>
  <w:style w:type="character" w:customStyle="1" w:styleId="126">
    <w:name w:val="列表段落 字符"/>
    <w:basedOn w:val="56"/>
    <w:link w:val="127"/>
    <w:qFormat/>
    <w:uiPriority w:val="99"/>
    <w:rPr>
      <w:rFonts w:ascii="Calibri" w:hAnsi="Calibri" w:cs="Calibri"/>
      <w:kern w:val="2"/>
      <w:sz w:val="21"/>
      <w:szCs w:val="21"/>
    </w:rPr>
  </w:style>
  <w:style w:type="paragraph" w:styleId="127">
    <w:name w:val="List Paragraph"/>
    <w:basedOn w:val="1"/>
    <w:link w:val="126"/>
    <w:qFormat/>
    <w:uiPriority w:val="99"/>
    <w:pPr>
      <w:ind w:firstLine="420" w:firstLineChars="200"/>
    </w:pPr>
    <w:rPr>
      <w:rFonts w:ascii="Calibri" w:hAnsi="Calibri" w:cs="Calibri"/>
      <w:szCs w:val="21"/>
    </w:rPr>
  </w:style>
  <w:style w:type="character" w:customStyle="1" w:styleId="128">
    <w:name w:val="正文文本缩进 2 字符"/>
    <w:basedOn w:val="56"/>
    <w:link w:val="32"/>
    <w:qFormat/>
    <w:uiPriority w:val="0"/>
    <w:rPr>
      <w:rFonts w:ascii="仿宋_GB2312" w:hAnsi="宋体" w:cs="Arial"/>
      <w:b/>
      <w:bCs/>
      <w:color w:val="000000"/>
      <w:kern w:val="2"/>
      <w:sz w:val="24"/>
      <w:szCs w:val="24"/>
    </w:rPr>
  </w:style>
  <w:style w:type="character" w:customStyle="1" w:styleId="129">
    <w:name w:val="HTML 预设格式 Char"/>
    <w:basedOn w:val="56"/>
    <w:qFormat/>
    <w:uiPriority w:val="0"/>
    <w:rPr>
      <w:rFonts w:ascii="Courier New" w:hAnsi="Courier New" w:cs="Courier New"/>
      <w:kern w:val="2"/>
    </w:rPr>
  </w:style>
  <w:style w:type="character" w:customStyle="1" w:styleId="130">
    <w:name w:val="HTML 预设格式 字符"/>
    <w:basedOn w:val="56"/>
    <w:link w:val="47"/>
    <w:qFormat/>
    <w:locked/>
    <w:uiPriority w:val="0"/>
    <w:rPr>
      <w:rFonts w:ascii="宋体" w:hAnsi="宋体" w:cs="宋体"/>
      <w:kern w:val="2"/>
      <w:sz w:val="24"/>
      <w:szCs w:val="24"/>
    </w:rPr>
  </w:style>
  <w:style w:type="character" w:customStyle="1" w:styleId="131">
    <w:name w:val="HIK 段分 4 Char"/>
    <w:basedOn w:val="76"/>
    <w:link w:val="132"/>
    <w:qFormat/>
    <w:uiPriority w:val="0"/>
    <w:rPr>
      <w:rFonts w:ascii="宋体" w:hAnsi="等线 Light" w:eastAsia="黑体"/>
      <w:kern w:val="2"/>
      <w:sz w:val="28"/>
      <w:szCs w:val="28"/>
      <w:lang w:val="en-US" w:eastAsia="zh-CN" w:bidi="ar-SA"/>
    </w:rPr>
  </w:style>
  <w:style w:type="paragraph" w:customStyle="1" w:styleId="132">
    <w:name w:val="HIK 段分 4"/>
    <w:basedOn w:val="5"/>
    <w:next w:val="1"/>
    <w:link w:val="131"/>
    <w:qFormat/>
    <w:uiPriority w:val="0"/>
    <w:pPr>
      <w:keepLines w:val="0"/>
      <w:pageBreakBefore/>
      <w:spacing w:before="60" w:after="60" w:line="360" w:lineRule="auto"/>
      <w:ind w:left="864" w:hanging="864"/>
      <w:jc w:val="left"/>
    </w:pPr>
    <w:rPr>
      <w:rFonts w:ascii="宋体" w:hAnsi="等线 Light" w:eastAsia="宋体"/>
    </w:rPr>
  </w:style>
  <w:style w:type="character" w:customStyle="1" w:styleId="133">
    <w:name w:val="副标题 Char1"/>
    <w:basedOn w:val="56"/>
    <w:qFormat/>
    <w:uiPriority w:val="11"/>
    <w:rPr>
      <w:rFonts w:ascii="Cambria" w:hAnsi="Cambria" w:cs="Times New Roman"/>
      <w:b/>
      <w:bCs/>
      <w:kern w:val="28"/>
      <w:sz w:val="32"/>
      <w:szCs w:val="32"/>
      <w:lang w:eastAsia="en-US"/>
    </w:rPr>
  </w:style>
  <w:style w:type="character" w:customStyle="1" w:styleId="134">
    <w:name w:val="批注文字 Char1"/>
    <w:qFormat/>
    <w:uiPriority w:val="0"/>
    <w:rPr>
      <w:kern w:val="2"/>
      <w:sz w:val="21"/>
      <w:szCs w:val="24"/>
    </w:rPr>
  </w:style>
  <w:style w:type="character" w:customStyle="1" w:styleId="135">
    <w:name w:val="页眉 Char"/>
    <w:qFormat/>
    <w:uiPriority w:val="99"/>
    <w:rPr>
      <w:kern w:val="2"/>
      <w:sz w:val="18"/>
      <w:szCs w:val="18"/>
    </w:rPr>
  </w:style>
  <w:style w:type="character" w:customStyle="1" w:styleId="136">
    <w:name w:val="unnamed1"/>
    <w:basedOn w:val="56"/>
    <w:qFormat/>
    <w:uiPriority w:val="0"/>
  </w:style>
  <w:style w:type="character" w:customStyle="1" w:styleId="137">
    <w:name w:val="HIK 段分 3 Char"/>
    <w:basedOn w:val="77"/>
    <w:link w:val="138"/>
    <w:qFormat/>
    <w:uiPriority w:val="0"/>
    <w:rPr>
      <w:rFonts w:ascii="宋体" w:hAnsi="等线" w:eastAsia="仿宋_GB2312"/>
      <w:kern w:val="2"/>
      <w:sz w:val="30"/>
      <w:szCs w:val="32"/>
      <w:lang w:val="en-US" w:eastAsia="zh-CN" w:bidi="ar-SA"/>
    </w:rPr>
  </w:style>
  <w:style w:type="paragraph" w:customStyle="1" w:styleId="138">
    <w:name w:val="HIK 段分 3"/>
    <w:basedOn w:val="4"/>
    <w:next w:val="1"/>
    <w:link w:val="137"/>
    <w:qFormat/>
    <w:uiPriority w:val="0"/>
    <w:pPr>
      <w:keepLines w:val="0"/>
      <w:pageBreakBefore/>
      <w:spacing w:before="80" w:after="80"/>
      <w:ind w:left="720" w:hanging="720" w:firstLineChars="0"/>
      <w:jc w:val="left"/>
    </w:pPr>
    <w:rPr>
      <w:rFonts w:ascii="宋体" w:hAnsi="等线" w:eastAsia="宋体"/>
      <w:szCs w:val="32"/>
    </w:rPr>
  </w:style>
  <w:style w:type="character" w:customStyle="1" w:styleId="139">
    <w:name w:val="批注主题 字符"/>
    <w:link w:val="51"/>
    <w:qFormat/>
    <w:uiPriority w:val="0"/>
    <w:rPr>
      <w:rFonts w:eastAsia="宋体"/>
      <w:b/>
      <w:bCs/>
      <w:kern w:val="2"/>
      <w:sz w:val="21"/>
      <w:szCs w:val="24"/>
      <w:lang w:val="en-US" w:eastAsia="zh-CN" w:bidi="ar-SA"/>
    </w:rPr>
  </w:style>
  <w:style w:type="character" w:customStyle="1" w:styleId="140">
    <w:name w:val="普通文字 Char Char2"/>
    <w:qFormat/>
    <w:uiPriority w:val="0"/>
    <w:rPr>
      <w:rFonts w:ascii="宋体" w:hAnsi="Courier New" w:eastAsia="宋体"/>
      <w:kern w:val="2"/>
      <w:sz w:val="21"/>
      <w:lang w:val="en-US" w:eastAsia="zh-CN" w:bidi="ar-SA"/>
    </w:rPr>
  </w:style>
  <w:style w:type="character" w:customStyle="1" w:styleId="141">
    <w:name w:val="正文文本 2 字符"/>
    <w:basedOn w:val="56"/>
    <w:link w:val="46"/>
    <w:qFormat/>
    <w:uiPriority w:val="0"/>
    <w:rPr>
      <w:kern w:val="2"/>
      <w:sz w:val="21"/>
      <w:szCs w:val="24"/>
    </w:rPr>
  </w:style>
  <w:style w:type="character" w:customStyle="1" w:styleId="142">
    <w:name w:val="HIK 段分 5 Char"/>
    <w:basedOn w:val="80"/>
    <w:link w:val="143"/>
    <w:qFormat/>
    <w:uiPriority w:val="0"/>
    <w:rPr>
      <w:rFonts w:ascii="宋体" w:hAnsi="等线" w:eastAsia="宋体"/>
      <w:kern w:val="2"/>
      <w:sz w:val="24"/>
      <w:szCs w:val="28"/>
      <w:lang w:val="en-US" w:eastAsia="zh-CN" w:bidi="ar-SA"/>
    </w:rPr>
  </w:style>
  <w:style w:type="paragraph" w:customStyle="1" w:styleId="143">
    <w:name w:val="HIK 段分 5"/>
    <w:basedOn w:val="6"/>
    <w:next w:val="1"/>
    <w:link w:val="142"/>
    <w:qFormat/>
    <w:uiPriority w:val="0"/>
    <w:pPr>
      <w:keepLines w:val="0"/>
      <w:pageBreakBefore/>
      <w:spacing w:before="60" w:after="60" w:line="360" w:lineRule="auto"/>
      <w:ind w:left="1008" w:hanging="1008"/>
      <w:jc w:val="left"/>
    </w:pPr>
    <w:rPr>
      <w:rFonts w:ascii="宋体" w:hAnsi="等线"/>
      <w:sz w:val="24"/>
    </w:rPr>
  </w:style>
  <w:style w:type="character" w:customStyle="1" w:styleId="144">
    <w:name w:val="标准正文格式 Char Char"/>
    <w:link w:val="145"/>
    <w:qFormat/>
    <w:uiPriority w:val="0"/>
    <w:rPr>
      <w:rFonts w:ascii="宋体" w:eastAsia="仿宋_GB2312" w:cs="宋体"/>
      <w:color w:val="000000"/>
      <w:sz w:val="24"/>
    </w:rPr>
  </w:style>
  <w:style w:type="paragraph" w:customStyle="1" w:styleId="145">
    <w:name w:val="标准正文格式"/>
    <w:basedOn w:val="1"/>
    <w:link w:val="144"/>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46">
    <w:name w:val="无间隔 字符"/>
    <w:basedOn w:val="56"/>
    <w:link w:val="147"/>
    <w:qFormat/>
    <w:uiPriority w:val="1"/>
    <w:rPr>
      <w:kern w:val="2"/>
      <w:sz w:val="21"/>
      <w:szCs w:val="22"/>
      <w:lang w:val="en-US" w:eastAsia="zh-CN" w:bidi="ar-SA"/>
    </w:rPr>
  </w:style>
  <w:style w:type="paragraph" w:styleId="147">
    <w:name w:val="No Spacing"/>
    <w:link w:val="146"/>
    <w:qFormat/>
    <w:uiPriority w:val="1"/>
    <w:pPr>
      <w:widowControl w:val="0"/>
      <w:spacing w:after="160" w:line="259" w:lineRule="auto"/>
    </w:pPr>
    <w:rPr>
      <w:rFonts w:ascii="Times New Roman" w:hAnsi="Times New Roman" w:eastAsia="宋体" w:cs="Times New Roman"/>
      <w:kern w:val="2"/>
      <w:sz w:val="21"/>
      <w:szCs w:val="22"/>
      <w:lang w:val="en-US" w:eastAsia="zh-CN" w:bidi="ar-SA"/>
    </w:rPr>
  </w:style>
  <w:style w:type="character" w:customStyle="1" w:styleId="148">
    <w:name w:val="正文缩进 字符1"/>
    <w:qFormat/>
    <w:uiPriority w:val="0"/>
    <w:rPr>
      <w:rFonts w:eastAsia="宋体"/>
      <w:kern w:val="2"/>
      <w:sz w:val="21"/>
      <w:lang w:val="en-US" w:eastAsia="zh-CN" w:bidi="ar-SA"/>
    </w:rPr>
  </w:style>
  <w:style w:type="paragraph" w:customStyle="1" w:styleId="14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0">
    <w:name w:val="TOC 标题1"/>
    <w:basedOn w:val="2"/>
    <w:next w:val="1"/>
    <w:qFormat/>
    <w:uiPriority w:val="0"/>
    <w:pPr>
      <w:widowControl/>
      <w:spacing w:before="480" w:line="276" w:lineRule="auto"/>
      <w:outlineLvl w:val="9"/>
    </w:pPr>
    <w:rPr>
      <w:rFonts w:ascii="Cambria" w:hAnsi="Cambria"/>
      <w:color w:val="365F91"/>
      <w:kern w:val="0"/>
      <w:sz w:val="28"/>
      <w:szCs w:val="28"/>
    </w:rPr>
  </w:style>
  <w:style w:type="paragraph" w:customStyle="1" w:styleId="151">
    <w:name w:val="Default"/>
    <w:qFormat/>
    <w:uiPriority w:val="0"/>
    <w:pPr>
      <w:widowControl w:val="0"/>
      <w:autoSpaceDE w:val="0"/>
      <w:autoSpaceDN w:val="0"/>
      <w:adjustRightInd w:val="0"/>
      <w:spacing w:before="120" w:after="120" w:line="259" w:lineRule="auto"/>
    </w:pPr>
    <w:rPr>
      <w:rFonts w:ascii="宋体" w:hAnsi="Times New Roman" w:eastAsia="宋体" w:cs="宋体"/>
      <w:color w:val="000000"/>
      <w:sz w:val="24"/>
      <w:szCs w:val="24"/>
      <w:lang w:val="en-US" w:eastAsia="zh-CN" w:bidi="ar-SA"/>
    </w:rPr>
  </w:style>
  <w:style w:type="paragraph" w:customStyle="1" w:styleId="152">
    <w:name w:val="正文 New"/>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3">
    <w:name w:val="纯文本11"/>
    <w:basedOn w:val="1"/>
    <w:qFormat/>
    <w:uiPriority w:val="0"/>
    <w:pPr>
      <w:adjustRightInd w:val="0"/>
      <w:textAlignment w:val="baseline"/>
    </w:pPr>
    <w:rPr>
      <w:rFonts w:ascii="宋体" w:hAnsi="Courier New" w:eastAsia="楷体_GB2312"/>
      <w:sz w:val="26"/>
      <w:szCs w:val="20"/>
    </w:rPr>
  </w:style>
  <w:style w:type="paragraph" w:customStyle="1" w:styleId="154">
    <w:name w:val="TOC 标题11"/>
    <w:basedOn w:val="2"/>
    <w:next w:val="1"/>
    <w:qFormat/>
    <w:uiPriority w:val="39"/>
    <w:pPr>
      <w:widowControl/>
      <w:spacing w:before="480" w:line="276" w:lineRule="auto"/>
      <w:outlineLvl w:val="9"/>
    </w:pPr>
    <w:rPr>
      <w:rFonts w:ascii="Cambria" w:hAnsi="Cambria"/>
      <w:color w:val="365F91"/>
      <w:kern w:val="0"/>
      <w:sz w:val="28"/>
      <w:szCs w:val="28"/>
    </w:rPr>
  </w:style>
  <w:style w:type="paragraph" w:customStyle="1" w:styleId="155">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6">
    <w:name w:val="Char"/>
    <w:basedOn w:val="1"/>
    <w:qFormat/>
    <w:uiPriority w:val="0"/>
    <w:pPr>
      <w:tabs>
        <w:tab w:val="left" w:pos="360"/>
      </w:tabs>
    </w:pPr>
    <w:rPr>
      <w:sz w:val="24"/>
    </w:rPr>
  </w:style>
  <w:style w:type="paragraph" w:customStyle="1" w:styleId="157">
    <w:name w:val="正文段"/>
    <w:basedOn w:val="1"/>
    <w:qFormat/>
    <w:uiPriority w:val="0"/>
    <w:pPr>
      <w:widowControl/>
      <w:snapToGrid w:val="0"/>
      <w:spacing w:afterLines="50"/>
      <w:ind w:firstLine="200" w:firstLineChars="200"/>
    </w:pPr>
    <w:rPr>
      <w:kern w:val="0"/>
      <w:sz w:val="24"/>
      <w:szCs w:val="20"/>
    </w:rPr>
  </w:style>
  <w:style w:type="paragraph" w:customStyle="1" w:styleId="158">
    <w:name w:val="fon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9">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0">
    <w:name w:val="p17"/>
    <w:basedOn w:val="1"/>
    <w:qFormat/>
    <w:uiPriority w:val="0"/>
    <w:pPr>
      <w:widowControl/>
    </w:pPr>
    <w:rPr>
      <w:kern w:val="0"/>
      <w:szCs w:val="21"/>
    </w:rPr>
  </w:style>
  <w:style w:type="paragraph" w:customStyle="1" w:styleId="1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63">
    <w:name w:val="Char Char1 Char"/>
    <w:basedOn w:val="1"/>
    <w:qFormat/>
    <w:uiPriority w:val="0"/>
    <w:pPr>
      <w:tabs>
        <w:tab w:val="left" w:pos="360"/>
      </w:tabs>
    </w:pPr>
    <w:rPr>
      <w:sz w:val="24"/>
    </w:rPr>
  </w:style>
  <w:style w:type="paragraph" w:customStyle="1" w:styleId="164">
    <w:name w:val="默认段落字体 Para Char Char Char Char Char Char Char Char Char1 Char Char Char Char"/>
    <w:basedOn w:val="1"/>
    <w:qFormat/>
    <w:uiPriority w:val="0"/>
    <w:rPr>
      <w:rFonts w:ascii="Tahoma" w:hAnsi="Tahoma"/>
      <w:sz w:val="24"/>
      <w:szCs w:val="20"/>
    </w:rPr>
  </w:style>
  <w:style w:type="paragraph" w:customStyle="1" w:styleId="16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6">
    <w:name w:val="正文1"/>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paragraph" w:customStyle="1" w:styleId="167">
    <w:name w:val="1 Char Char Char Char"/>
    <w:basedOn w:val="1"/>
    <w:qFormat/>
    <w:uiPriority w:val="0"/>
    <w:rPr>
      <w:rFonts w:ascii="Tahoma" w:hAnsi="Tahoma"/>
      <w:sz w:val="24"/>
      <w:szCs w:val="20"/>
    </w:rPr>
  </w:style>
  <w:style w:type="paragraph" w:customStyle="1" w:styleId="168">
    <w:name w:val="正文 New New New New"/>
    <w:qFormat/>
    <w:uiPriority w:val="0"/>
    <w:pPr>
      <w:widowControl w:val="0"/>
      <w:spacing w:after="160" w:line="259" w:lineRule="auto"/>
      <w:jc w:val="both"/>
    </w:pPr>
    <w:rPr>
      <w:rFonts w:ascii="Times New Roman" w:hAnsi="Times New Roman" w:eastAsia="Arial Unicode MS" w:cs="Arial Unicode MS"/>
      <w:color w:val="000000"/>
      <w:u w:color="000000"/>
      <w:lang w:val="en-US" w:eastAsia="zh-CN" w:bidi="ar-SA"/>
    </w:rPr>
  </w:style>
  <w:style w:type="paragraph" w:customStyle="1" w:styleId="1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0">
    <w:name w:val="GTA正文-2"/>
    <w:basedOn w:val="1"/>
    <w:qFormat/>
    <w:uiPriority w:val="0"/>
    <w:pPr>
      <w:snapToGrid w:val="0"/>
      <w:spacing w:beforeLines="50" w:after="156" w:line="480" w:lineRule="atLeast"/>
      <w:ind w:firstLine="480" w:firstLineChars="200"/>
      <w:jc w:val="left"/>
    </w:pPr>
    <w:rPr>
      <w:rFonts w:ascii="微软雅黑" w:hAnsi="微软雅黑" w:eastAsia="微软雅黑" w:cs="Arial"/>
      <w:kern w:val="0"/>
      <w:sz w:val="24"/>
      <w:lang w:eastAsia="en-US"/>
    </w:rPr>
  </w:style>
  <w:style w:type="paragraph" w:customStyle="1" w:styleId="1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72">
    <w:name w:val="正文－恩普"/>
    <w:basedOn w:val="14"/>
    <w:qFormat/>
    <w:uiPriority w:val="0"/>
    <w:pPr>
      <w:widowControl/>
      <w:spacing w:line="360" w:lineRule="auto"/>
      <w:ind w:firstLine="480" w:firstLineChars="200"/>
      <w:jc w:val="left"/>
    </w:pPr>
    <w:rPr>
      <w:kern w:val="0"/>
      <w:sz w:val="24"/>
    </w:rPr>
  </w:style>
  <w:style w:type="paragraph" w:customStyle="1" w:styleId="173">
    <w:name w:val="表内文字"/>
    <w:basedOn w:val="1"/>
    <w:qFormat/>
    <w:uiPriority w:val="0"/>
    <w:pPr>
      <w:jc w:val="center"/>
    </w:pPr>
    <w:rPr>
      <w:rFonts w:ascii="仿宋_GB2312" w:eastAsia="仿宋_GB2312"/>
      <w:sz w:val="24"/>
    </w:rPr>
  </w:style>
  <w:style w:type="paragraph" w:customStyle="1" w:styleId="17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5">
    <w:name w:val="正文 New New New New New New"/>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7">
    <w:name w:val="xl7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80">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81">
    <w:name w:val="Char1"/>
    <w:basedOn w:val="1"/>
    <w:qFormat/>
    <w:uiPriority w:val="0"/>
    <w:rPr>
      <w:rFonts w:ascii="仿宋_GB2312" w:eastAsia="仿宋_GB2312"/>
      <w:b/>
      <w:sz w:val="32"/>
      <w:szCs w:val="32"/>
    </w:rPr>
  </w:style>
  <w:style w:type="paragraph" w:customStyle="1" w:styleId="182">
    <w:name w:val="纯文本12"/>
    <w:basedOn w:val="1"/>
    <w:qFormat/>
    <w:uiPriority w:val="0"/>
    <w:pPr>
      <w:spacing w:afterLines="50"/>
    </w:pPr>
    <w:rPr>
      <w:rFonts w:ascii="宋体" w:hAnsi="Courier New"/>
      <w:sz w:val="24"/>
      <w:szCs w:val="20"/>
    </w:rPr>
  </w:style>
  <w:style w:type="paragraph" w:customStyle="1" w:styleId="183">
    <w:name w:val="Char Char Char Char Char Char Char"/>
    <w:basedOn w:val="1"/>
    <w:qFormat/>
    <w:uiPriority w:val="0"/>
    <w:rPr>
      <w:szCs w:val="21"/>
    </w:rPr>
  </w:style>
  <w:style w:type="paragraph" w:customStyle="1" w:styleId="18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5">
    <w:name w:val="p16"/>
    <w:basedOn w:val="1"/>
    <w:qFormat/>
    <w:uiPriority w:val="0"/>
    <w:pPr>
      <w:widowControl/>
    </w:pPr>
    <w:rPr>
      <w:kern w:val="0"/>
      <w:szCs w:val="21"/>
    </w:rPr>
  </w:style>
  <w:style w:type="paragraph" w:customStyle="1" w:styleId="18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7">
    <w:name w:val="HIK图文"/>
    <w:qFormat/>
    <w:uiPriority w:val="0"/>
    <w:pPr>
      <w:spacing w:after="160" w:line="360" w:lineRule="auto"/>
      <w:jc w:val="center"/>
    </w:pPr>
    <w:rPr>
      <w:rFonts w:ascii="宋体" w:hAnsi="等线" w:eastAsia="宋体" w:cs="Times New Roman"/>
      <w:kern w:val="2"/>
      <w:sz w:val="24"/>
      <w:szCs w:val="22"/>
      <w:lang w:val="en-US" w:eastAsia="zh-CN" w:bidi="ar-SA"/>
    </w:rPr>
  </w:style>
  <w:style w:type="paragraph" w:customStyle="1" w:styleId="188">
    <w:name w:val="HIK项目标号"/>
    <w:basedOn w:val="1"/>
    <w:next w:val="1"/>
    <w:qFormat/>
    <w:uiPriority w:val="0"/>
    <w:pPr>
      <w:spacing w:line="360" w:lineRule="auto"/>
      <w:ind w:left="420" w:firstLine="200" w:firstLineChars="200"/>
      <w:jc w:val="left"/>
    </w:pPr>
    <w:rPr>
      <w:rFonts w:ascii="Arial" w:hAnsi="Arial" w:cs="宋体"/>
      <w:sz w:val="24"/>
      <w:szCs w:val="20"/>
    </w:rPr>
  </w:style>
  <w:style w:type="paragraph" w:customStyle="1" w:styleId="189">
    <w:name w:val="Char Char Char Char Char Char"/>
    <w:basedOn w:val="1"/>
    <w:qFormat/>
    <w:uiPriority w:val="0"/>
    <w:pPr>
      <w:ind w:firstLine="200" w:firstLineChars="200"/>
    </w:pPr>
  </w:style>
  <w:style w:type="paragraph" w:customStyle="1" w:styleId="190">
    <w:name w:val="默认段落字体 Para Char Char Char Char"/>
    <w:basedOn w:val="1"/>
    <w:qFormat/>
    <w:uiPriority w:val="0"/>
  </w:style>
  <w:style w:type="paragraph" w:customStyle="1" w:styleId="191">
    <w:name w:val="font10"/>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92">
    <w:name w:val="正文2"/>
    <w:link w:val="539"/>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table" w:customStyle="1" w:styleId="193">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94">
    <w:name w:val="1"/>
    <w:basedOn w:val="2"/>
    <w:qFormat/>
    <w:uiPriority w:val="0"/>
    <w:pPr>
      <w:adjustRightInd w:val="0"/>
      <w:snapToGrid w:val="0"/>
      <w:spacing w:before="240" w:after="240" w:line="348" w:lineRule="auto"/>
    </w:pPr>
    <w:rPr>
      <w:rFonts w:ascii="Calibri" w:hAnsi="Calibri" w:eastAsia="宋体" w:cs="宋体"/>
    </w:rPr>
  </w:style>
  <w:style w:type="character" w:customStyle="1" w:styleId="195">
    <w:name w:val="bookmark-item"/>
    <w:basedOn w:val="56"/>
    <w:qFormat/>
    <w:uiPriority w:val="0"/>
  </w:style>
  <w:style w:type="character" w:customStyle="1" w:styleId="196">
    <w:name w:val="sub"/>
    <w:basedOn w:val="56"/>
    <w:qFormat/>
    <w:uiPriority w:val="0"/>
  </w:style>
  <w:style w:type="paragraph" w:customStyle="1" w:styleId="197">
    <w:name w:val="样式 段 + 四号 首行缩进:  2 字符 行距: 1.5 倍行距"/>
    <w:basedOn w:val="1"/>
    <w:qFormat/>
    <w:uiPriority w:val="0"/>
    <w:pPr>
      <w:widowControl/>
      <w:autoSpaceDE w:val="0"/>
      <w:autoSpaceDN w:val="0"/>
      <w:ind w:firstLine="560" w:firstLineChars="200"/>
    </w:pPr>
    <w:rPr>
      <w:rFonts w:ascii="宋体" w:cs="宋体"/>
      <w:kern w:val="0"/>
      <w:szCs w:val="22"/>
    </w:rPr>
  </w:style>
  <w:style w:type="paragraph" w:customStyle="1" w:styleId="198">
    <w:name w:val="正文_0"/>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199">
    <w:name w:val="font01"/>
    <w:qFormat/>
    <w:uiPriority w:val="0"/>
    <w:rPr>
      <w:rFonts w:hint="default" w:ascii="Times New Roman" w:hAnsi="Times New Roman" w:cs="Times New Roman"/>
      <w:color w:val="000000"/>
      <w:sz w:val="21"/>
      <w:szCs w:val="21"/>
      <w:u w:val="none"/>
    </w:rPr>
  </w:style>
  <w:style w:type="character" w:customStyle="1" w:styleId="200">
    <w:name w:val="脚注文本 字符"/>
    <w:basedOn w:val="56"/>
    <w:link w:val="40"/>
    <w:qFormat/>
    <w:uiPriority w:val="0"/>
    <w:rPr>
      <w:rFonts w:ascii="Calibri" w:hAnsi="Calibri"/>
      <w:kern w:val="2"/>
      <w:sz w:val="18"/>
      <w:szCs w:val="24"/>
    </w:rPr>
  </w:style>
  <w:style w:type="paragraph" w:customStyle="1" w:styleId="201">
    <w:name w:val="CM11"/>
    <w:basedOn w:val="151"/>
    <w:next w:val="151"/>
    <w:unhideWhenUsed/>
    <w:qFormat/>
    <w:uiPriority w:val="99"/>
    <w:pPr>
      <w:spacing w:before="0" w:after="0" w:line="520" w:lineRule="atLeast"/>
    </w:pPr>
    <w:rPr>
      <w:rFonts w:hint="eastAsia" w:ascii="仿宋" w:eastAsia="仿宋" w:cs="Times New Roman"/>
      <w:szCs w:val="20"/>
    </w:rPr>
  </w:style>
  <w:style w:type="paragraph" w:customStyle="1" w:styleId="202">
    <w:name w:val="列出段落2"/>
    <w:basedOn w:val="1"/>
    <w:qFormat/>
    <w:uiPriority w:val="0"/>
    <w:pPr>
      <w:spacing w:after="0" w:line="240" w:lineRule="auto"/>
      <w:ind w:firstLine="420" w:firstLineChars="200"/>
    </w:pPr>
  </w:style>
  <w:style w:type="character" w:customStyle="1" w:styleId="203">
    <w:name w:val="正文文本首行缩进 2 字符"/>
    <w:basedOn w:val="101"/>
    <w:link w:val="52"/>
    <w:qFormat/>
    <w:uiPriority w:val="0"/>
    <w:rPr>
      <w:rFonts w:ascii="宋体" w:hAnsi="Courier New" w:eastAsia="宋体"/>
      <w:spacing w:val="-4"/>
      <w:kern w:val="2"/>
      <w:sz w:val="24"/>
      <w:lang w:val="en-US" w:eastAsia="zh-CN" w:bidi="ar-SA"/>
    </w:rPr>
  </w:style>
  <w:style w:type="character" w:customStyle="1" w:styleId="204">
    <w:name w:val="列出段落 Char2"/>
    <w:qFormat/>
    <w:uiPriority w:val="34"/>
    <w:rPr>
      <w:kern w:val="2"/>
      <w:sz w:val="21"/>
      <w:szCs w:val="22"/>
    </w:rPr>
  </w:style>
  <w:style w:type="paragraph" w:customStyle="1" w:styleId="205">
    <w:name w:val="字元 字元"/>
    <w:basedOn w:val="1"/>
    <w:qFormat/>
    <w:uiPriority w:val="0"/>
    <w:pPr>
      <w:widowControl/>
      <w:spacing w:line="240" w:lineRule="exact"/>
      <w:jc w:val="left"/>
    </w:pPr>
    <w:rPr>
      <w:rFonts w:ascii="Verdana" w:hAnsi="Verdana"/>
      <w:kern w:val="0"/>
      <w:sz w:val="20"/>
      <w:szCs w:val="20"/>
      <w:lang w:eastAsia="en-US"/>
    </w:rPr>
  </w:style>
  <w:style w:type="character" w:customStyle="1" w:styleId="206">
    <w:name w:val="样式 标题 5 + (西文) 黑体 三号 Char Char Char Char Char Char Char"/>
    <w:qFormat/>
    <w:uiPriority w:val="0"/>
    <w:rPr>
      <w:rFonts w:ascii="黑体" w:hAnsi="黑体" w:eastAsia="宋体"/>
      <w:bCs/>
      <w:kern w:val="2"/>
      <w:sz w:val="24"/>
      <w:szCs w:val="28"/>
      <w:lang w:val="en-US" w:eastAsia="zh-CN" w:bidi="ar-SA"/>
    </w:rPr>
  </w:style>
  <w:style w:type="paragraph" w:customStyle="1" w:styleId="207">
    <w:name w:val="列出段落3"/>
    <w:basedOn w:val="1"/>
    <w:qFormat/>
    <w:uiPriority w:val="0"/>
    <w:pPr>
      <w:spacing w:after="0" w:line="240" w:lineRule="auto"/>
      <w:ind w:firstLine="420" w:firstLineChars="200"/>
    </w:pPr>
    <w:rPr>
      <w:rFonts w:ascii="Calibri" w:hAnsi="Calibri"/>
      <w:szCs w:val="22"/>
    </w:rPr>
  </w:style>
  <w:style w:type="paragraph" w:customStyle="1" w:styleId="208">
    <w:name w:val="字元 字元11"/>
    <w:basedOn w:val="1"/>
    <w:qFormat/>
    <w:uiPriority w:val="0"/>
    <w:pPr>
      <w:widowControl/>
      <w:spacing w:line="240" w:lineRule="exact"/>
      <w:jc w:val="left"/>
    </w:pPr>
    <w:rPr>
      <w:sz w:val="28"/>
      <w:szCs w:val="20"/>
    </w:rPr>
  </w:style>
  <w:style w:type="paragraph" w:customStyle="1" w:styleId="209">
    <w:name w:val="TOC 标题2"/>
    <w:basedOn w:val="2"/>
    <w:next w:val="1"/>
    <w:qFormat/>
    <w:uiPriority w:val="39"/>
    <w:pPr>
      <w:widowControl/>
      <w:spacing w:before="480" w:after="0" w:line="276" w:lineRule="auto"/>
      <w:outlineLvl w:val="9"/>
    </w:pPr>
    <w:rPr>
      <w:rFonts w:ascii="Cambria" w:hAnsi="Cambria" w:eastAsia="宋体"/>
      <w:color w:val="365F91"/>
      <w:kern w:val="0"/>
      <w:sz w:val="28"/>
      <w:szCs w:val="28"/>
    </w:rPr>
  </w:style>
  <w:style w:type="paragraph" w:customStyle="1" w:styleId="210">
    <w:name w:val="封面第一行"/>
    <w:basedOn w:val="1"/>
    <w:qFormat/>
    <w:uiPriority w:val="0"/>
    <w:pPr>
      <w:spacing w:after="0" w:line="360" w:lineRule="auto"/>
      <w:jc w:val="center"/>
    </w:pPr>
    <w:rPr>
      <w:rFonts w:ascii="黑体" w:hAnsi="宋体" w:eastAsia="黑体" w:cs="宋体"/>
      <w:sz w:val="56"/>
      <w:szCs w:val="20"/>
    </w:rPr>
  </w:style>
  <w:style w:type="paragraph" w:customStyle="1" w:styleId="211">
    <w:name w:val="字元 字元1"/>
    <w:basedOn w:val="1"/>
    <w:qFormat/>
    <w:uiPriority w:val="0"/>
    <w:pPr>
      <w:widowControl/>
      <w:spacing w:line="240" w:lineRule="exact"/>
      <w:jc w:val="left"/>
    </w:pPr>
    <w:rPr>
      <w:sz w:val="28"/>
      <w:szCs w:val="20"/>
    </w:rPr>
  </w:style>
  <w:style w:type="character" w:customStyle="1" w:styleId="212">
    <w:name w:val="普通文字 Char Char1"/>
    <w:qFormat/>
    <w:uiPriority w:val="0"/>
    <w:rPr>
      <w:rFonts w:ascii="宋体" w:hAnsi="Courier New" w:eastAsia="宋体"/>
      <w:kern w:val="2"/>
      <w:sz w:val="24"/>
      <w:szCs w:val="24"/>
      <w:lang w:val="en-US" w:eastAsia="zh-CN" w:bidi="ar-SA"/>
    </w:rPr>
  </w:style>
  <w:style w:type="character" w:customStyle="1" w:styleId="213">
    <w:name w:val="Heading 0 Char"/>
    <w:qFormat/>
    <w:uiPriority w:val="0"/>
    <w:rPr>
      <w:rFonts w:eastAsia="宋体"/>
      <w:b/>
      <w:bCs/>
      <w:kern w:val="44"/>
      <w:sz w:val="32"/>
      <w:szCs w:val="44"/>
      <w:lang w:val="en-US" w:eastAsia="zh-CN" w:bidi="ar-SA"/>
    </w:rPr>
  </w:style>
  <w:style w:type="character" w:customStyle="1" w:styleId="214">
    <w:name w:val="Heading 2 Hidden Char"/>
    <w:qFormat/>
    <w:uiPriority w:val="0"/>
    <w:rPr>
      <w:rFonts w:ascii="Arial" w:hAnsi="Arial" w:eastAsia="黑体"/>
      <w:b/>
      <w:bCs/>
      <w:kern w:val="2"/>
      <w:sz w:val="32"/>
      <w:szCs w:val="32"/>
      <w:lang w:val="en-US" w:eastAsia="zh-CN" w:bidi="ar-SA"/>
    </w:rPr>
  </w:style>
  <w:style w:type="character" w:customStyle="1" w:styleId="215">
    <w:name w:val="h4 Char1"/>
    <w:qFormat/>
    <w:uiPriority w:val="0"/>
    <w:rPr>
      <w:rFonts w:ascii="Cambria" w:hAnsi="Cambria" w:eastAsia="宋体" w:cs="Times New Roman"/>
      <w:b/>
      <w:bCs/>
      <w:kern w:val="2"/>
      <w:sz w:val="28"/>
      <w:szCs w:val="28"/>
    </w:rPr>
  </w:style>
  <w:style w:type="character" w:customStyle="1" w:styleId="216">
    <w:name w:val="h5 Char"/>
    <w:qFormat/>
    <w:uiPriority w:val="0"/>
    <w:rPr>
      <w:rFonts w:eastAsia="宋体"/>
      <w:b/>
      <w:bCs/>
      <w:kern w:val="2"/>
      <w:sz w:val="28"/>
      <w:szCs w:val="28"/>
      <w:lang w:val="en-US" w:eastAsia="zh-CN" w:bidi="ar-SA"/>
    </w:rPr>
  </w:style>
  <w:style w:type="character" w:customStyle="1" w:styleId="217">
    <w:name w:val="表正文 Char"/>
    <w:qFormat/>
    <w:uiPriority w:val="0"/>
    <w:rPr>
      <w:rFonts w:eastAsia="宋体"/>
      <w:kern w:val="2"/>
      <w:sz w:val="21"/>
      <w:lang w:val="en-US" w:eastAsia="zh-CN" w:bidi="ar-SA"/>
    </w:rPr>
  </w:style>
  <w:style w:type="character" w:customStyle="1" w:styleId="218">
    <w:name w:val="Char Char20"/>
    <w:qFormat/>
    <w:uiPriority w:val="0"/>
    <w:rPr>
      <w:rFonts w:ascii="仿宋_GB2312" w:hAnsi="宋体" w:eastAsia="仿宋_GB2312"/>
      <w:color w:val="000000"/>
      <w:kern w:val="2"/>
      <w:sz w:val="24"/>
      <w:szCs w:val="24"/>
    </w:rPr>
  </w:style>
  <w:style w:type="character" w:customStyle="1" w:styleId="219">
    <w:name w:val="Char Char19"/>
    <w:qFormat/>
    <w:locked/>
    <w:uiPriority w:val="0"/>
    <w:rPr>
      <w:rFonts w:eastAsia="黑体"/>
      <w:snapToGrid w:val="0"/>
      <w:sz w:val="18"/>
      <w:szCs w:val="18"/>
    </w:rPr>
  </w:style>
  <w:style w:type="character" w:customStyle="1" w:styleId="220">
    <w:name w:val="Char Char18"/>
    <w:qFormat/>
    <w:locked/>
    <w:uiPriority w:val="0"/>
    <w:rPr>
      <w:kern w:val="2"/>
      <w:sz w:val="18"/>
      <w:szCs w:val="18"/>
    </w:rPr>
  </w:style>
  <w:style w:type="character" w:customStyle="1" w:styleId="221">
    <w:name w:val="Char Char16"/>
    <w:qFormat/>
    <w:uiPriority w:val="0"/>
    <w:rPr>
      <w:rFonts w:eastAsia="楷体_GB2312"/>
      <w:kern w:val="2"/>
      <w:sz w:val="32"/>
    </w:rPr>
  </w:style>
  <w:style w:type="character" w:customStyle="1" w:styleId="222">
    <w:name w:val="正文文字首行缩进 Char"/>
    <w:qFormat/>
    <w:uiPriority w:val="0"/>
    <w:rPr>
      <w:rFonts w:ascii="宋体" w:hAnsi="Courier New"/>
      <w:spacing w:val="-4"/>
      <w:kern w:val="2"/>
      <w:sz w:val="18"/>
    </w:rPr>
  </w:style>
  <w:style w:type="paragraph" w:customStyle="1" w:styleId="223">
    <w:name w:val="Char21"/>
    <w:basedOn w:val="2"/>
    <w:qFormat/>
    <w:uiPriority w:val="0"/>
    <w:pPr>
      <w:adjustRightInd w:val="0"/>
      <w:snapToGrid w:val="0"/>
      <w:spacing w:before="240" w:after="240" w:line="348" w:lineRule="auto"/>
    </w:pPr>
    <w:rPr>
      <w:rFonts w:eastAsia="宋体"/>
    </w:rPr>
  </w:style>
  <w:style w:type="paragraph" w:customStyle="1" w:styleId="224">
    <w:name w:val="f1"/>
    <w:basedOn w:val="1"/>
    <w:qFormat/>
    <w:uiPriority w:val="0"/>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225">
    <w:name w:val="Char Char Char Char Char Char1"/>
    <w:basedOn w:val="1"/>
    <w:qFormat/>
    <w:uiPriority w:val="0"/>
    <w:pPr>
      <w:widowControl/>
      <w:spacing w:line="240" w:lineRule="exact"/>
      <w:jc w:val="left"/>
    </w:pPr>
    <w:rPr>
      <w:kern w:val="0"/>
      <w:szCs w:val="20"/>
    </w:rPr>
  </w:style>
  <w:style w:type="paragraph" w:customStyle="1" w:styleId="226">
    <w:name w:val="Plain Text1"/>
    <w:basedOn w:val="1"/>
    <w:qFormat/>
    <w:uiPriority w:val="0"/>
    <w:pPr>
      <w:adjustRightInd w:val="0"/>
      <w:spacing w:after="0" w:line="240" w:lineRule="auto"/>
      <w:textAlignment w:val="baseline"/>
    </w:pPr>
    <w:rPr>
      <w:rFonts w:ascii="宋体" w:hAnsi="Courier New" w:eastAsia="楷体_GB2312"/>
      <w:sz w:val="26"/>
      <w:szCs w:val="20"/>
    </w:rPr>
  </w:style>
  <w:style w:type="character" w:customStyle="1" w:styleId="227">
    <w:name w:val="Char Char"/>
    <w:qFormat/>
    <w:uiPriority w:val="0"/>
    <w:rPr>
      <w:rFonts w:ascii="宋体" w:hAnsi="Courier New" w:eastAsia="楷体_GB2312"/>
      <w:kern w:val="2"/>
      <w:sz w:val="26"/>
      <w:lang w:val="en-US" w:eastAsia="zh-CN" w:bidi="ar-SA"/>
    </w:rPr>
  </w:style>
  <w:style w:type="paragraph" w:customStyle="1" w:styleId="228">
    <w:name w:val="Char Char12"/>
    <w:basedOn w:val="1"/>
    <w:qFormat/>
    <w:uiPriority w:val="0"/>
    <w:pPr>
      <w:spacing w:after="0" w:line="240" w:lineRule="auto"/>
    </w:pPr>
    <w:rPr>
      <w:szCs w:val="21"/>
    </w:rPr>
  </w:style>
  <w:style w:type="paragraph" w:customStyle="1" w:styleId="229">
    <w:name w:val="Char Char Char Char Char Char Char1"/>
    <w:basedOn w:val="1"/>
    <w:qFormat/>
    <w:uiPriority w:val="0"/>
    <w:pPr>
      <w:spacing w:after="0" w:line="240" w:lineRule="auto"/>
    </w:pPr>
    <w:rPr>
      <w:szCs w:val="21"/>
    </w:rPr>
  </w:style>
  <w:style w:type="paragraph" w:customStyle="1" w:styleId="230">
    <w:name w:val="_Style 213"/>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231">
    <w:name w:val="Char Char11"/>
    <w:qFormat/>
    <w:uiPriority w:val="0"/>
    <w:rPr>
      <w:rFonts w:ascii="Cambria" w:hAnsi="Cambria" w:cs="Times New Roman"/>
      <w:b/>
      <w:bCs/>
      <w:kern w:val="2"/>
      <w:sz w:val="32"/>
      <w:szCs w:val="32"/>
    </w:rPr>
  </w:style>
  <w:style w:type="paragraph" w:customStyle="1" w:styleId="232">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233">
    <w:name w:val="标准正文格式 Char"/>
    <w:qFormat/>
    <w:uiPriority w:val="0"/>
    <w:rPr>
      <w:rFonts w:ascii="宋体" w:hAnsi="Times New Roman" w:eastAsia="仿宋" w:cs="Times New Roman"/>
      <w:color w:val="000000"/>
      <w:kern w:val="0"/>
      <w:sz w:val="24"/>
      <w:szCs w:val="20"/>
    </w:rPr>
  </w:style>
  <w:style w:type="paragraph" w:customStyle="1" w:styleId="234">
    <w:name w:val="List Paragraph2"/>
    <w:basedOn w:val="1"/>
    <w:qFormat/>
    <w:uiPriority w:val="0"/>
    <w:pPr>
      <w:autoSpaceDE w:val="0"/>
      <w:autoSpaceDN w:val="0"/>
      <w:adjustRightInd w:val="0"/>
      <w:spacing w:after="0" w:line="240" w:lineRule="auto"/>
      <w:ind w:firstLine="420" w:firstLineChars="200"/>
    </w:pPr>
    <w:rPr>
      <w:color w:val="000000"/>
      <w:kern w:val="0"/>
      <w:szCs w:val="21"/>
    </w:rPr>
  </w:style>
  <w:style w:type="character" w:customStyle="1" w:styleId="235">
    <w:name w:val="Char Char10"/>
    <w:qFormat/>
    <w:uiPriority w:val="0"/>
    <w:rPr>
      <w:kern w:val="2"/>
      <w:sz w:val="21"/>
      <w:szCs w:val="24"/>
    </w:rPr>
  </w:style>
  <w:style w:type="character" w:customStyle="1" w:styleId="236">
    <w:name w:val="H3 Char"/>
    <w:qFormat/>
    <w:uiPriority w:val="0"/>
    <w:rPr>
      <w:rFonts w:ascii="Times New Roman" w:hAnsi="Times New Roman" w:eastAsia="宋体" w:cs="Times New Roman"/>
      <w:b/>
      <w:bCs/>
      <w:sz w:val="24"/>
      <w:szCs w:val="32"/>
    </w:rPr>
  </w:style>
  <w:style w:type="character" w:customStyle="1" w:styleId="237">
    <w:name w:val="h4 Char"/>
    <w:qFormat/>
    <w:uiPriority w:val="0"/>
    <w:rPr>
      <w:rFonts w:ascii="Arial" w:hAnsi="Arial" w:eastAsia="黑体" w:cs="Times New Roman"/>
      <w:b/>
      <w:bCs/>
      <w:sz w:val="28"/>
      <w:szCs w:val="28"/>
    </w:rPr>
  </w:style>
  <w:style w:type="paragraph" w:customStyle="1" w:styleId="238">
    <w:name w:val="Title1"/>
    <w:basedOn w:val="2"/>
    <w:next w:val="239"/>
    <w:qFormat/>
    <w:uiPriority w:val="0"/>
    <w:pPr>
      <w:numPr>
        <w:ilvl w:val="0"/>
        <w:numId w:val="1"/>
      </w:numPr>
      <w:spacing w:before="240" w:after="240"/>
      <w:jc w:val="both"/>
    </w:pPr>
    <w:rPr>
      <w:rFonts w:eastAsia="仿宋"/>
      <w:sz w:val="36"/>
    </w:rPr>
  </w:style>
  <w:style w:type="paragraph" w:customStyle="1" w:styleId="239">
    <w:name w:val="Title2"/>
    <w:basedOn w:val="3"/>
    <w:next w:val="29"/>
    <w:qFormat/>
    <w:uiPriority w:val="0"/>
    <w:pPr>
      <w:keepLines/>
      <w:numPr>
        <w:ilvl w:val="1"/>
        <w:numId w:val="1"/>
      </w:numPr>
      <w:adjustRightInd/>
      <w:snapToGrid/>
      <w:spacing w:before="200" w:after="200"/>
      <w:jc w:val="both"/>
      <w:textAlignment w:val="auto"/>
    </w:pPr>
    <w:rPr>
      <w:rFonts w:ascii="Times New Roman" w:eastAsia="仿宋"/>
      <w:bCs/>
      <w:sz w:val="32"/>
      <w:szCs w:val="32"/>
    </w:rPr>
  </w:style>
  <w:style w:type="paragraph" w:customStyle="1" w:styleId="240">
    <w:name w:val="Title3"/>
    <w:basedOn w:val="4"/>
    <w:next w:val="29"/>
    <w:qFormat/>
    <w:uiPriority w:val="0"/>
    <w:pPr>
      <w:numPr>
        <w:ilvl w:val="2"/>
        <w:numId w:val="1"/>
      </w:numPr>
      <w:spacing w:before="160" w:after="160"/>
      <w:ind w:firstLine="0" w:firstLineChars="0"/>
    </w:pPr>
    <w:rPr>
      <w:rFonts w:ascii="Calibri" w:hAnsi="Calibri" w:eastAsia="仿宋"/>
      <w:szCs w:val="32"/>
    </w:rPr>
  </w:style>
  <w:style w:type="paragraph" w:customStyle="1" w:styleId="241">
    <w:name w:val="Title4"/>
    <w:basedOn w:val="5"/>
    <w:next w:val="29"/>
    <w:qFormat/>
    <w:uiPriority w:val="0"/>
    <w:pPr>
      <w:numPr>
        <w:ilvl w:val="3"/>
        <w:numId w:val="1"/>
      </w:numPr>
      <w:spacing w:before="160" w:after="160" w:line="360" w:lineRule="auto"/>
    </w:pPr>
    <w:rPr>
      <w:rFonts w:ascii="Times New Roman" w:hAnsi="Times New Roman" w:eastAsia="仿宋"/>
      <w:kern w:val="0"/>
    </w:rPr>
  </w:style>
  <w:style w:type="paragraph" w:customStyle="1" w:styleId="242">
    <w:name w:val="Title5"/>
    <w:basedOn w:val="6"/>
    <w:next w:val="29"/>
    <w:qFormat/>
    <w:uiPriority w:val="0"/>
    <w:pPr>
      <w:numPr>
        <w:ilvl w:val="4"/>
        <w:numId w:val="1"/>
      </w:numPr>
      <w:spacing w:before="120" w:after="120" w:line="360" w:lineRule="auto"/>
    </w:pPr>
    <w:rPr>
      <w:rFonts w:ascii="Times New Roman" w:hAnsi="Times New Roman" w:eastAsia="仿宋"/>
      <w:kern w:val="0"/>
    </w:rPr>
  </w:style>
  <w:style w:type="paragraph" w:customStyle="1" w:styleId="243">
    <w:name w:val="Image"/>
    <w:basedOn w:val="207"/>
    <w:qFormat/>
    <w:uiPriority w:val="0"/>
    <w:pPr>
      <w:ind w:firstLine="0" w:firstLineChars="0"/>
      <w:jc w:val="center"/>
    </w:pPr>
    <w:rPr>
      <w:rFonts w:ascii="Times New Roman" w:hAnsi="Times New Roman"/>
      <w:szCs w:val="21"/>
    </w:rPr>
  </w:style>
  <w:style w:type="paragraph" w:customStyle="1" w:styleId="244">
    <w:name w:val="Image-T"/>
    <w:basedOn w:val="243"/>
    <w:next w:val="243"/>
    <w:qFormat/>
    <w:uiPriority w:val="0"/>
    <w:pPr>
      <w:numPr>
        <w:ilvl w:val="6"/>
        <w:numId w:val="1"/>
      </w:numPr>
      <w:spacing w:afterLines="50"/>
      <w:ind w:left="896"/>
    </w:pPr>
    <w:rPr>
      <w:rFonts w:eastAsia="仿宋"/>
    </w:rPr>
  </w:style>
  <w:style w:type="paragraph" w:customStyle="1" w:styleId="245">
    <w:name w:val="Table-T"/>
    <w:basedOn w:val="244"/>
    <w:next w:val="1"/>
    <w:qFormat/>
    <w:uiPriority w:val="0"/>
    <w:pPr>
      <w:numPr>
        <w:ilvl w:val="5"/>
      </w:numPr>
      <w:spacing w:beforeLines="50" w:afterLines="0"/>
    </w:pPr>
  </w:style>
  <w:style w:type="paragraph" w:customStyle="1" w:styleId="246">
    <w:name w:val="Text 1"/>
    <w:basedOn w:val="29"/>
    <w:qFormat/>
    <w:uiPriority w:val="0"/>
    <w:pPr>
      <w:numPr>
        <w:ilvl w:val="0"/>
        <w:numId w:val="2"/>
      </w:numPr>
      <w:spacing w:after="0" w:line="360" w:lineRule="auto"/>
      <w:ind w:left="839" w:hanging="357"/>
      <w:jc w:val="left"/>
    </w:pPr>
    <w:rPr>
      <w:rFonts w:ascii="Times New Roman" w:hAnsi="Times New Roman" w:eastAsia="仿宋"/>
      <w:kern w:val="0"/>
      <w:sz w:val="24"/>
      <w:szCs w:val="21"/>
    </w:rPr>
  </w:style>
  <w:style w:type="paragraph" w:customStyle="1" w:styleId="247">
    <w:name w:val="Text3"/>
    <w:basedOn w:val="246"/>
    <w:next w:val="29"/>
    <w:qFormat/>
    <w:uiPriority w:val="0"/>
    <w:pPr>
      <w:numPr>
        <w:numId w:val="3"/>
      </w:numPr>
    </w:pPr>
    <w:rPr>
      <w:b/>
    </w:rPr>
  </w:style>
  <w:style w:type="paragraph" w:customStyle="1" w:styleId="248">
    <w:name w:val="Table"/>
    <w:basedOn w:val="243"/>
    <w:qFormat/>
    <w:uiPriority w:val="0"/>
    <w:rPr>
      <w:rFonts w:eastAsia="仿宋"/>
    </w:rPr>
  </w:style>
  <w:style w:type="character" w:customStyle="1" w:styleId="249">
    <w:name w:val="h Char"/>
    <w:qFormat/>
    <w:uiPriority w:val="0"/>
    <w:rPr>
      <w:rFonts w:eastAsia="仿宋_GB2312"/>
      <w:kern w:val="2"/>
      <w:sz w:val="18"/>
    </w:rPr>
  </w:style>
  <w:style w:type="paragraph" w:customStyle="1" w:styleId="250">
    <w:name w:val="无间隔1"/>
    <w:link w:val="251"/>
    <w:qFormat/>
    <w:uiPriority w:val="0"/>
    <w:rPr>
      <w:rFonts w:ascii="Calibri" w:hAnsi="Calibri" w:eastAsia="宋体" w:cs="Times New Roman"/>
      <w:sz w:val="22"/>
      <w:szCs w:val="22"/>
      <w:lang w:val="en-US" w:eastAsia="zh-CN" w:bidi="ar-SA"/>
    </w:rPr>
  </w:style>
  <w:style w:type="character" w:customStyle="1" w:styleId="251">
    <w:name w:val="No Spacing Char"/>
    <w:link w:val="250"/>
    <w:qFormat/>
    <w:uiPriority w:val="0"/>
    <w:rPr>
      <w:rFonts w:ascii="Calibri" w:hAnsi="Calibri"/>
      <w:sz w:val="22"/>
      <w:szCs w:val="22"/>
    </w:rPr>
  </w:style>
  <w:style w:type="paragraph" w:customStyle="1" w:styleId="252">
    <w:name w:val="标题1"/>
    <w:basedOn w:val="50"/>
    <w:qFormat/>
    <w:uiPriority w:val="0"/>
    <w:pPr>
      <w:spacing w:before="480" w:line="240" w:lineRule="auto"/>
    </w:pPr>
    <w:rPr>
      <w:rFonts w:ascii="Times New Roman" w:hAnsi="Times New Roman"/>
      <w:kern w:val="0"/>
      <w:sz w:val="44"/>
    </w:rPr>
  </w:style>
  <w:style w:type="paragraph" w:customStyle="1" w:styleId="253">
    <w:name w:val="页眉1"/>
    <w:basedOn w:val="35"/>
    <w:qFormat/>
    <w:uiPriority w:val="0"/>
    <w:pPr>
      <w:spacing w:after="0" w:line="240" w:lineRule="auto"/>
      <w:jc w:val="left"/>
    </w:pPr>
    <w:rPr>
      <w:kern w:val="0"/>
    </w:rPr>
  </w:style>
  <w:style w:type="character" w:customStyle="1" w:styleId="254">
    <w:name w:val="书籍标题1"/>
    <w:qFormat/>
    <w:uiPriority w:val="0"/>
    <w:rPr>
      <w:b/>
      <w:bCs/>
      <w:i/>
      <w:iCs/>
      <w:spacing w:val="5"/>
    </w:rPr>
  </w:style>
  <w:style w:type="character" w:customStyle="1" w:styleId="255">
    <w:name w:val="明显参考1"/>
    <w:qFormat/>
    <w:uiPriority w:val="0"/>
    <w:rPr>
      <w:b/>
      <w:bCs/>
      <w:smallCaps/>
      <w:color w:val="4F81BD"/>
      <w:spacing w:val="5"/>
    </w:rPr>
  </w:style>
  <w:style w:type="character" w:customStyle="1" w:styleId="256">
    <w:name w:val="明显强调1"/>
    <w:qFormat/>
    <w:uiPriority w:val="0"/>
    <w:rPr>
      <w:i/>
      <w:iCs/>
      <w:color w:val="4F81BD"/>
    </w:rPr>
  </w:style>
  <w:style w:type="paragraph" w:customStyle="1" w:styleId="257">
    <w:name w:val="明显引用1"/>
    <w:basedOn w:val="1"/>
    <w:next w:val="1"/>
    <w:link w:val="258"/>
    <w:qFormat/>
    <w:uiPriority w:val="0"/>
    <w:pPr>
      <w:pBdr>
        <w:top w:val="single" w:color="4F81BD" w:sz="4" w:space="10"/>
        <w:bottom w:val="single" w:color="4F81BD" w:sz="4" w:space="10"/>
      </w:pBdr>
      <w:spacing w:before="360" w:after="360" w:line="240" w:lineRule="auto"/>
      <w:ind w:left="864" w:right="864"/>
      <w:jc w:val="center"/>
    </w:pPr>
    <w:rPr>
      <w:rFonts w:ascii="Calibri" w:hAnsi="Calibri"/>
      <w:i/>
      <w:iCs/>
      <w:color w:val="4F81BD"/>
      <w:szCs w:val="21"/>
    </w:rPr>
  </w:style>
  <w:style w:type="character" w:customStyle="1" w:styleId="258">
    <w:name w:val="Intense Quote Char"/>
    <w:link w:val="257"/>
    <w:qFormat/>
    <w:uiPriority w:val="0"/>
    <w:rPr>
      <w:rFonts w:ascii="Calibri" w:hAnsi="Calibri"/>
      <w:i/>
      <w:iCs/>
      <w:color w:val="4F81BD"/>
      <w:kern w:val="2"/>
      <w:sz w:val="21"/>
      <w:szCs w:val="21"/>
    </w:rPr>
  </w:style>
  <w:style w:type="character" w:customStyle="1" w:styleId="259">
    <w:name w:val="不明显参考1"/>
    <w:qFormat/>
    <w:uiPriority w:val="0"/>
    <w:rPr>
      <w:smallCaps/>
      <w:color w:val="5A5A5A"/>
    </w:rPr>
  </w:style>
  <w:style w:type="paragraph" w:customStyle="1" w:styleId="260">
    <w:name w:val="样式 Table text + 段前: 0.5 行"/>
    <w:basedOn w:val="245"/>
    <w:qFormat/>
    <w:uiPriority w:val="0"/>
    <w:pPr>
      <w:numPr>
        <w:ilvl w:val="0"/>
        <w:numId w:val="0"/>
      </w:numPr>
      <w:tabs>
        <w:tab w:val="left" w:pos="2942"/>
      </w:tabs>
      <w:ind w:left="2942" w:hanging="420"/>
    </w:pPr>
    <w:rPr>
      <w:rFonts w:cs="宋体"/>
      <w:szCs w:val="20"/>
    </w:rPr>
  </w:style>
  <w:style w:type="character" w:customStyle="1" w:styleId="261">
    <w:name w:val="题注 字符"/>
    <w:link w:val="15"/>
    <w:qFormat/>
    <w:uiPriority w:val="0"/>
    <w:rPr>
      <w:rFonts w:ascii="Arial" w:hAnsi="Arial" w:eastAsia="黑体" w:cs="Arial"/>
      <w:kern w:val="2"/>
    </w:rPr>
  </w:style>
  <w:style w:type="paragraph" w:customStyle="1" w:styleId="262">
    <w:name w:val="1样式-正文"/>
    <w:basedOn w:val="1"/>
    <w:link w:val="263"/>
    <w:qFormat/>
    <w:uiPriority w:val="0"/>
    <w:pPr>
      <w:spacing w:after="0" w:line="360" w:lineRule="auto"/>
      <w:ind w:firstLine="482"/>
      <w:jc w:val="left"/>
    </w:pPr>
    <w:rPr>
      <w:rFonts w:ascii="Calibri" w:hAnsi="Calibri"/>
      <w:bCs/>
      <w:szCs w:val="21"/>
      <w:lang w:val="zh-CN"/>
    </w:rPr>
  </w:style>
  <w:style w:type="character" w:customStyle="1" w:styleId="263">
    <w:name w:val="1样式-正文 Char"/>
    <w:link w:val="262"/>
    <w:qFormat/>
    <w:uiPriority w:val="0"/>
    <w:rPr>
      <w:rFonts w:ascii="Calibri" w:hAnsi="Calibri"/>
      <w:bCs/>
      <w:kern w:val="2"/>
      <w:sz w:val="21"/>
      <w:szCs w:val="21"/>
      <w:lang w:val="zh-CN"/>
    </w:rPr>
  </w:style>
  <w:style w:type="character" w:customStyle="1" w:styleId="264">
    <w:name w:val="Char Char13"/>
    <w:qFormat/>
    <w:uiPriority w:val="0"/>
    <w:rPr>
      <w:rFonts w:eastAsia="宋体"/>
      <w:b/>
      <w:bCs/>
      <w:kern w:val="44"/>
      <w:sz w:val="36"/>
      <w:szCs w:val="44"/>
      <w:lang w:val="en-US" w:eastAsia="zh-CN" w:bidi="ar-SA"/>
    </w:rPr>
  </w:style>
  <w:style w:type="character" w:customStyle="1" w:styleId="265">
    <w:name w:val="content1"/>
    <w:qFormat/>
    <w:uiPriority w:val="0"/>
    <w:rPr>
      <w:sz w:val="18"/>
      <w:szCs w:val="18"/>
    </w:rPr>
  </w:style>
  <w:style w:type="character" w:customStyle="1" w:styleId="266">
    <w:name w:val="point_normal1"/>
    <w:semiHidden/>
    <w:qFormat/>
    <w:uiPriority w:val="0"/>
    <w:rPr>
      <w:rFonts w:hint="default" w:ascii="Arial" w:hAnsi="Arial" w:cs="Arial"/>
      <w:sz w:val="18"/>
      <w:szCs w:val="18"/>
    </w:rPr>
  </w:style>
  <w:style w:type="character" w:customStyle="1" w:styleId="267">
    <w:name w:val="para1"/>
    <w:semiHidden/>
    <w:qFormat/>
    <w:uiPriority w:val="0"/>
    <w:rPr>
      <w:rFonts w:hint="default" w:ascii="Arial" w:hAnsi="Arial" w:cs="Arial"/>
      <w:sz w:val="18"/>
      <w:szCs w:val="18"/>
    </w:rPr>
  </w:style>
  <w:style w:type="paragraph" w:customStyle="1" w:styleId="268">
    <w:name w:val="xl38"/>
    <w:basedOn w:val="1"/>
    <w:semiHidden/>
    <w:qFormat/>
    <w:uiPriority w:val="0"/>
    <w:pPr>
      <w:widowControl/>
      <w:pBdr>
        <w:left w:val="single" w:color="auto" w:sz="4" w:space="0"/>
        <w:bottom w:val="single" w:color="auto" w:sz="4" w:space="0"/>
        <w:right w:val="single" w:color="auto" w:sz="8" w:space="0"/>
      </w:pBdr>
      <w:spacing w:before="100" w:beforeAutospacing="1" w:after="100" w:afterAutospacing="1" w:line="360" w:lineRule="auto"/>
      <w:jc w:val="center"/>
      <w:textAlignment w:val="top"/>
    </w:pPr>
    <w:rPr>
      <w:kern w:val="0"/>
      <w:sz w:val="20"/>
      <w:szCs w:val="20"/>
    </w:rPr>
  </w:style>
  <w:style w:type="character" w:customStyle="1" w:styleId="269">
    <w:name w:val="point_small1"/>
    <w:semiHidden/>
    <w:qFormat/>
    <w:uiPriority w:val="0"/>
    <w:rPr>
      <w:rFonts w:hint="default" w:ascii="Arial" w:hAnsi="Arial" w:cs="Arial"/>
      <w:sz w:val="18"/>
      <w:szCs w:val="18"/>
    </w:rPr>
  </w:style>
  <w:style w:type="character" w:customStyle="1" w:styleId="270">
    <w:name w:val="tcontent1"/>
    <w:qFormat/>
    <w:uiPriority w:val="0"/>
    <w:rPr>
      <w:color w:val="333333"/>
      <w:sz w:val="18"/>
      <w:szCs w:val="18"/>
    </w:rPr>
  </w:style>
  <w:style w:type="character" w:customStyle="1" w:styleId="271">
    <w:name w:val="para"/>
    <w:basedOn w:val="56"/>
    <w:qFormat/>
    <w:uiPriority w:val="0"/>
  </w:style>
  <w:style w:type="character" w:customStyle="1" w:styleId="272">
    <w:name w:val="titlestylelight1"/>
    <w:qFormat/>
    <w:uiPriority w:val="0"/>
    <w:rPr>
      <w:rFonts w:hint="default" w:ascii="Arial" w:hAnsi="Arial" w:cs="Arial"/>
      <w:b/>
      <w:bCs/>
      <w:color w:val="666666"/>
      <w:sz w:val="18"/>
      <w:szCs w:val="18"/>
    </w:rPr>
  </w:style>
  <w:style w:type="paragraph" w:customStyle="1" w:styleId="273">
    <w:name w:val="默认段落字体 Para Char"/>
    <w:basedOn w:val="1"/>
    <w:qFormat/>
    <w:uiPriority w:val="0"/>
    <w:pPr>
      <w:adjustRightInd w:val="0"/>
      <w:spacing w:after="0" w:line="360" w:lineRule="auto"/>
    </w:pPr>
    <w:rPr>
      <w:kern w:val="0"/>
      <w:sz w:val="24"/>
      <w:szCs w:val="20"/>
    </w:rPr>
  </w:style>
  <w:style w:type="character" w:customStyle="1" w:styleId="274">
    <w:name w:val="apple-style-span"/>
    <w:basedOn w:val="56"/>
    <w:qFormat/>
    <w:uiPriority w:val="0"/>
  </w:style>
  <w:style w:type="paragraph" w:customStyle="1" w:styleId="275">
    <w:name w:val="Char1 Char Char Char"/>
    <w:basedOn w:val="1"/>
    <w:qFormat/>
    <w:uiPriority w:val="0"/>
    <w:pPr>
      <w:spacing w:after="0" w:line="360" w:lineRule="auto"/>
    </w:pPr>
    <w:rPr>
      <w:rFonts w:eastAsia="仿宋_GB2312"/>
      <w:sz w:val="28"/>
    </w:rPr>
  </w:style>
  <w:style w:type="paragraph" w:customStyle="1" w:styleId="276">
    <w:name w:val="msolistparagraph"/>
    <w:basedOn w:val="1"/>
    <w:qFormat/>
    <w:uiPriority w:val="0"/>
    <w:pPr>
      <w:spacing w:after="0" w:line="360" w:lineRule="auto"/>
      <w:ind w:firstLine="420" w:firstLineChars="200"/>
    </w:pPr>
    <w:rPr>
      <w:rFonts w:ascii="Calibri" w:hAnsi="Calibri"/>
      <w:szCs w:val="21"/>
    </w:rPr>
  </w:style>
  <w:style w:type="paragraph" w:customStyle="1" w:styleId="277">
    <w:name w:val="Tabletext"/>
    <w:qFormat/>
    <w:uiPriority w:val="0"/>
    <w:pPr>
      <w:numPr>
        <w:ilvl w:val="0"/>
        <w:numId w:val="4"/>
      </w:numPr>
      <w:suppressLineNumbers/>
      <w:tabs>
        <w:tab w:val="clear" w:pos="1843"/>
      </w:tabs>
      <w:spacing w:before="30" w:after="20"/>
      <w:ind w:left="0" w:firstLine="0"/>
    </w:pPr>
    <w:rPr>
      <w:rFonts w:ascii="Arial" w:hAnsi="Arial" w:eastAsia="宋体" w:cs="Times New Roman"/>
      <w:sz w:val="16"/>
      <w:lang w:val="en-US" w:eastAsia="en-US" w:bidi="ar-SA"/>
    </w:rPr>
  </w:style>
  <w:style w:type="paragraph" w:customStyle="1" w:styleId="278">
    <w:name w:val="正文样式"/>
    <w:basedOn w:val="1"/>
    <w:qFormat/>
    <w:uiPriority w:val="0"/>
    <w:pPr>
      <w:spacing w:beforeLines="50" w:after="0" w:line="312" w:lineRule="auto"/>
      <w:ind w:firstLine="200" w:firstLineChars="200"/>
    </w:pPr>
    <w:rPr>
      <w:sz w:val="24"/>
    </w:rPr>
  </w:style>
  <w:style w:type="paragraph" w:customStyle="1" w:styleId="279">
    <w:name w:val="正文文本 21"/>
    <w:basedOn w:val="1"/>
    <w:qFormat/>
    <w:uiPriority w:val="0"/>
    <w:pPr>
      <w:spacing w:after="120" w:line="480" w:lineRule="auto"/>
    </w:pPr>
    <w:rPr>
      <w:rFonts w:ascii="Calibri" w:hAnsi="Calibri"/>
      <w:kern w:val="0"/>
      <w:sz w:val="20"/>
    </w:rPr>
  </w:style>
  <w:style w:type="paragraph" w:customStyle="1" w:styleId="280">
    <w:name w:val="Char Char Char Char"/>
    <w:basedOn w:val="1"/>
    <w:qFormat/>
    <w:uiPriority w:val="99"/>
    <w:pPr>
      <w:spacing w:after="0" w:line="360" w:lineRule="auto"/>
    </w:pPr>
    <w:rPr>
      <w:szCs w:val="20"/>
    </w:rPr>
  </w:style>
  <w:style w:type="character" w:customStyle="1" w:styleId="281">
    <w:name w:val="不明显强调1"/>
    <w:qFormat/>
    <w:uiPriority w:val="0"/>
    <w:rPr>
      <w:i/>
      <w:iCs/>
      <w:color w:val="808080"/>
    </w:rPr>
  </w:style>
  <w:style w:type="character" w:customStyle="1" w:styleId="282">
    <w:name w:val="正文对齐 Char1"/>
    <w:qFormat/>
    <w:uiPriority w:val="0"/>
    <w:rPr>
      <w:rFonts w:ascii="Times New Roman" w:hAnsi="Times New Roman" w:eastAsia="楷体_GB2312" w:cs="Times New Roman"/>
      <w:sz w:val="24"/>
      <w:szCs w:val="20"/>
    </w:rPr>
  </w:style>
  <w:style w:type="character" w:customStyle="1" w:styleId="283">
    <w:name w:val="Char Char14"/>
    <w:qFormat/>
    <w:uiPriority w:val="0"/>
    <w:rPr>
      <w:rFonts w:hAnsi="宋体" w:eastAsia="仿宋_GB2312"/>
      <w:b/>
      <w:bCs/>
      <w:kern w:val="2"/>
      <w:sz w:val="24"/>
    </w:rPr>
  </w:style>
  <w:style w:type="paragraph" w:customStyle="1" w:styleId="284">
    <w:name w:val="xl25"/>
    <w:basedOn w:val="1"/>
    <w:qFormat/>
    <w:uiPriority w:val="0"/>
    <w:pPr>
      <w:widowControl/>
      <w:numPr>
        <w:ilvl w:val="0"/>
        <w:numId w:val="5"/>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285">
    <w:name w:val="DB Body"/>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286">
    <w:name w:val="DB Bullet 1"/>
    <w:qFormat/>
    <w:uiPriority w:val="0"/>
    <w:pPr>
      <w:numPr>
        <w:ilvl w:val="0"/>
        <w:numId w:val="6"/>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287">
    <w:name w:val="DH Heading A1 (with #)"/>
    <w:next w:val="1"/>
    <w:qFormat/>
    <w:uiPriority w:val="0"/>
    <w:pPr>
      <w:keepNext/>
      <w:pageBreakBefore/>
      <w:numPr>
        <w:ilvl w:val="6"/>
        <w:numId w:val="7"/>
      </w:numPr>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288">
    <w:name w:val="DH Heading A2 (with #)"/>
    <w:next w:val="285"/>
    <w:qFormat/>
    <w:uiPriority w:val="0"/>
    <w:pPr>
      <w:keepNext/>
      <w:numPr>
        <w:ilvl w:val="7"/>
        <w:numId w:val="7"/>
      </w:numPr>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289">
    <w:name w:val="DH Heading A3 (with #)"/>
    <w:next w:val="285"/>
    <w:qFormat/>
    <w:uiPriority w:val="0"/>
    <w:pPr>
      <w:keepNext/>
      <w:numPr>
        <w:ilvl w:val="8"/>
        <w:numId w:val="7"/>
      </w:numPr>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290">
    <w:name w:val="DH Heading 1"/>
    <w:basedOn w:val="1"/>
    <w:next w:val="285"/>
    <w:qFormat/>
    <w:uiPriority w:val="0"/>
    <w:pPr>
      <w:keepNext/>
      <w:pageBreakBefore/>
      <w:widowControl/>
      <w:numPr>
        <w:ilvl w:val="0"/>
        <w:numId w:val="7"/>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291">
    <w:name w:val="DH Heading 3"/>
    <w:basedOn w:val="1"/>
    <w:next w:val="285"/>
    <w:qFormat/>
    <w:uiPriority w:val="0"/>
    <w:pPr>
      <w:keepNext/>
      <w:widowControl/>
      <w:numPr>
        <w:ilvl w:val="2"/>
        <w:numId w:val="7"/>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292">
    <w:name w:val="DH Heading 4"/>
    <w:next w:val="285"/>
    <w:qFormat/>
    <w:uiPriority w:val="0"/>
    <w:pPr>
      <w:keepNext/>
      <w:numPr>
        <w:ilvl w:val="3"/>
        <w:numId w:val="7"/>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293">
    <w:name w:val="DH Heading 5"/>
    <w:next w:val="285"/>
    <w:qFormat/>
    <w:uiPriority w:val="0"/>
    <w:pPr>
      <w:keepNext/>
      <w:numPr>
        <w:ilvl w:val="4"/>
        <w:numId w:val="7"/>
      </w:numPr>
      <w:snapToGrid w:val="0"/>
      <w:spacing w:before="120" w:after="120" w:line="360" w:lineRule="auto"/>
      <w:outlineLvl w:val="4"/>
    </w:pPr>
    <w:rPr>
      <w:rFonts w:ascii="Trebuchet MS" w:hAnsi="Trebuchet MS" w:eastAsia="宋体" w:cs="Times New Roman"/>
      <w:b/>
      <w:bCs/>
      <w:color w:val="0085C3"/>
      <w:sz w:val="25"/>
      <w:szCs w:val="21"/>
      <w:lang w:val="en-GB" w:eastAsia="en-US" w:bidi="ar-SA"/>
    </w:rPr>
  </w:style>
  <w:style w:type="paragraph" w:customStyle="1" w:styleId="294">
    <w:name w:val="DH Heading 6"/>
    <w:next w:val="285"/>
    <w:qFormat/>
    <w:uiPriority w:val="0"/>
    <w:pPr>
      <w:keepNext/>
      <w:numPr>
        <w:ilvl w:val="5"/>
        <w:numId w:val="7"/>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1"/>
      <w:lang w:val="en-GB" w:eastAsia="en-US" w:bidi="ar-SA"/>
    </w:rPr>
  </w:style>
  <w:style w:type="paragraph" w:customStyle="1" w:styleId="295">
    <w:name w:val="DH Heading 2"/>
    <w:next w:val="285"/>
    <w:qFormat/>
    <w:uiPriority w:val="0"/>
    <w:pPr>
      <w:keepNext/>
      <w:numPr>
        <w:ilvl w:val="1"/>
        <w:numId w:val="7"/>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296">
    <w:name w:val="tpc_content1"/>
    <w:qFormat/>
    <w:uiPriority w:val="0"/>
    <w:rPr>
      <w:sz w:val="20"/>
      <w:szCs w:val="20"/>
    </w:rPr>
  </w:style>
  <w:style w:type="character" w:customStyle="1" w:styleId="297">
    <w:name w:val="样式 黑体 二号"/>
    <w:qFormat/>
    <w:uiPriority w:val="0"/>
    <w:rPr>
      <w:rFonts w:hint="default" w:ascii="Arial" w:hAnsi="Arial" w:eastAsia="黑体" w:cs="Arial"/>
      <w:sz w:val="44"/>
    </w:rPr>
  </w:style>
  <w:style w:type="character" w:customStyle="1" w:styleId="298">
    <w:name w:val="style6"/>
    <w:qFormat/>
    <w:uiPriority w:val="0"/>
    <w:rPr>
      <w:sz w:val="18"/>
    </w:rPr>
  </w:style>
  <w:style w:type="character" w:customStyle="1" w:styleId="299">
    <w:name w:val="样式 标题 3 + 加粗 Char"/>
    <w:qFormat/>
    <w:uiPriority w:val="0"/>
    <w:rPr>
      <w:rFonts w:ascii="Arial" w:hAnsi="Arial" w:eastAsia="黑体"/>
      <w:b/>
      <w:bCs/>
      <w:spacing w:val="14"/>
      <w:kern w:val="24"/>
      <w:sz w:val="24"/>
      <w:szCs w:val="28"/>
      <w:lang w:val="en-US" w:eastAsia="zh-CN" w:bidi="ar-SA"/>
    </w:rPr>
  </w:style>
  <w:style w:type="character" w:customStyle="1" w:styleId="300">
    <w:name w:val="Char Char Char Char Char"/>
    <w:qFormat/>
    <w:uiPriority w:val="0"/>
    <w:rPr>
      <w:rFonts w:eastAsia="宋体"/>
      <w:kern w:val="2"/>
      <w:sz w:val="21"/>
      <w:szCs w:val="24"/>
      <w:lang w:val="en-US" w:eastAsia="zh-CN" w:bidi="ar-SA"/>
    </w:rPr>
  </w:style>
  <w:style w:type="character" w:customStyle="1" w:styleId="301">
    <w:name w:val="Char Char2"/>
    <w:qFormat/>
    <w:uiPriority w:val="0"/>
    <w:rPr>
      <w:rFonts w:eastAsia="宋体"/>
      <w:b/>
      <w:kern w:val="2"/>
      <w:sz w:val="28"/>
      <w:lang w:val="en-US" w:eastAsia="zh-CN" w:bidi="ar-SA"/>
    </w:rPr>
  </w:style>
  <w:style w:type="character" w:customStyle="1" w:styleId="302">
    <w:name w:val="正文（缩进） Char"/>
    <w:qFormat/>
    <w:uiPriority w:val="0"/>
    <w:rPr>
      <w:rFonts w:eastAsia="宋体"/>
      <w:kern w:val="2"/>
      <w:sz w:val="24"/>
      <w:szCs w:val="24"/>
      <w:lang w:val="en-US" w:eastAsia="zh-CN" w:bidi="ar-SA"/>
    </w:rPr>
  </w:style>
  <w:style w:type="character" w:customStyle="1" w:styleId="303">
    <w:name w:val="h Char Char"/>
    <w:qFormat/>
    <w:uiPriority w:val="0"/>
    <w:rPr>
      <w:rFonts w:eastAsia="宋体"/>
      <w:kern w:val="2"/>
      <w:sz w:val="18"/>
      <w:szCs w:val="18"/>
      <w:lang w:val="en-US" w:eastAsia="zh-CN" w:bidi="ar-SA"/>
    </w:rPr>
  </w:style>
  <w:style w:type="character" w:customStyle="1" w:styleId="304">
    <w:name w:val="正文（缩进） Char Char"/>
    <w:qFormat/>
    <w:uiPriority w:val="0"/>
    <w:rPr>
      <w:rFonts w:eastAsia="宋体"/>
      <w:kern w:val="2"/>
      <w:sz w:val="24"/>
      <w:szCs w:val="24"/>
      <w:lang w:val="en-US" w:eastAsia="zh-CN" w:bidi="ar-SA"/>
    </w:rPr>
  </w:style>
  <w:style w:type="character" w:customStyle="1" w:styleId="305">
    <w:name w:val="at_0"/>
    <w:qFormat/>
    <w:uiPriority w:val="0"/>
  </w:style>
  <w:style w:type="character" w:customStyle="1" w:styleId="306">
    <w:name w:val="textcontents"/>
    <w:qFormat/>
    <w:uiPriority w:val="0"/>
  </w:style>
  <w:style w:type="character" w:customStyle="1" w:styleId="307">
    <w:name w:val="wj1"/>
    <w:qFormat/>
    <w:uiPriority w:val="0"/>
    <w:rPr>
      <w:color w:val="000000"/>
      <w:sz w:val="18"/>
      <w:szCs w:val="18"/>
      <w:u w:val="none"/>
    </w:rPr>
  </w:style>
  <w:style w:type="character" w:customStyle="1" w:styleId="308">
    <w:name w:val="zbggmain style9"/>
    <w:qFormat/>
    <w:uiPriority w:val="0"/>
  </w:style>
  <w:style w:type="character" w:customStyle="1" w:styleId="309">
    <w:name w:val="表格 Char Char"/>
    <w:qFormat/>
    <w:uiPriority w:val="0"/>
    <w:rPr>
      <w:rFonts w:ascii="宋体" w:hAnsi="宋体" w:eastAsia="宋体"/>
      <w:lang w:val="en-US" w:eastAsia="zh-CN" w:bidi="ar-SA"/>
    </w:rPr>
  </w:style>
  <w:style w:type="character" w:customStyle="1" w:styleId="310">
    <w:name w:val="批注框文本 Char1"/>
    <w:qFormat/>
    <w:uiPriority w:val="0"/>
    <w:rPr>
      <w:kern w:val="2"/>
      <w:sz w:val="18"/>
      <w:szCs w:val="18"/>
    </w:rPr>
  </w:style>
  <w:style w:type="character" w:customStyle="1" w:styleId="311">
    <w:name w:val="Char Char1"/>
    <w:qFormat/>
    <w:uiPriority w:val="0"/>
    <w:rPr>
      <w:rFonts w:eastAsia="宋体"/>
      <w:kern w:val="2"/>
      <w:sz w:val="18"/>
      <w:szCs w:val="18"/>
      <w:lang w:val="en-US" w:eastAsia="zh-CN" w:bidi="ar-SA"/>
    </w:rPr>
  </w:style>
  <w:style w:type="character" w:customStyle="1" w:styleId="312">
    <w:name w:val="product_detail_name"/>
    <w:qFormat/>
    <w:uiPriority w:val="0"/>
  </w:style>
  <w:style w:type="character" w:customStyle="1" w:styleId="313">
    <w:name w:val="blue"/>
    <w:qFormat/>
    <w:uiPriority w:val="0"/>
  </w:style>
  <w:style w:type="character" w:customStyle="1" w:styleId="314">
    <w:name w:val="标题 Char1"/>
    <w:qFormat/>
    <w:uiPriority w:val="0"/>
    <w:rPr>
      <w:rFonts w:ascii="Cambria" w:hAnsi="Cambria" w:eastAsia="宋体" w:cs="Times New Roman"/>
      <w:b/>
      <w:bCs/>
      <w:sz w:val="32"/>
      <w:szCs w:val="32"/>
    </w:rPr>
  </w:style>
  <w:style w:type="paragraph" w:customStyle="1" w:styleId="315">
    <w:name w:val="标题三级"/>
    <w:basedOn w:val="1"/>
    <w:next w:val="1"/>
    <w:qFormat/>
    <w:uiPriority w:val="0"/>
    <w:pPr>
      <w:tabs>
        <w:tab w:val="left" w:pos="720"/>
      </w:tabs>
      <w:topLinePunct/>
      <w:autoSpaceDE w:val="0"/>
      <w:autoSpaceDN w:val="0"/>
      <w:spacing w:after="0" w:line="360" w:lineRule="auto"/>
      <w:outlineLvl w:val="2"/>
    </w:pPr>
    <w:rPr>
      <w:rFonts w:ascii="宋体" w:hAnsi="宋体"/>
      <w:b/>
      <w:szCs w:val="21"/>
    </w:rPr>
  </w:style>
  <w:style w:type="paragraph" w:customStyle="1" w:styleId="316">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317">
    <w:name w:val="文档正文"/>
    <w:basedOn w:val="1"/>
    <w:qFormat/>
    <w:uiPriority w:val="0"/>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318">
    <w:name w:val="正文文本 2 Char1"/>
    <w:qFormat/>
    <w:uiPriority w:val="0"/>
    <w:rPr>
      <w:rFonts w:ascii="宋体" w:hAnsi="宋体" w:eastAsia="宋体"/>
      <w:color w:val="000000"/>
      <w:kern w:val="2"/>
      <w:sz w:val="24"/>
      <w:szCs w:val="24"/>
      <w:lang w:bidi="ar-SA"/>
    </w:rPr>
  </w:style>
  <w:style w:type="paragraph" w:customStyle="1" w:styleId="319">
    <w:name w:val="tabletex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0">
    <w:name w:val="部分1"/>
    <w:basedOn w:val="1"/>
    <w:qFormat/>
    <w:uiPriority w:val="0"/>
    <w:pPr>
      <w:keepNext/>
      <w:pageBreakBefore/>
      <w:tabs>
        <w:tab w:val="left" w:pos="720"/>
      </w:tabs>
      <w:spacing w:after="0" w:line="360" w:lineRule="auto"/>
      <w:jc w:val="center"/>
      <w:outlineLvl w:val="0"/>
    </w:pPr>
    <w:rPr>
      <w:rFonts w:eastAsia="黑体"/>
      <w:b/>
      <w:kern w:val="44"/>
      <w:sz w:val="36"/>
      <w:szCs w:val="20"/>
    </w:rPr>
  </w:style>
  <w:style w:type="paragraph" w:customStyle="1" w:styleId="321">
    <w:name w:val="tableheading"/>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2">
    <w:name w:val="hea"/>
    <w:basedOn w:val="1"/>
    <w:next w:val="1"/>
    <w:qFormat/>
    <w:uiPriority w:val="0"/>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323">
    <w:name w:val="Char1 Char Char Char Char Char Char"/>
    <w:basedOn w:val="1"/>
    <w:qFormat/>
    <w:uiPriority w:val="0"/>
    <w:pPr>
      <w:spacing w:after="0" w:line="360" w:lineRule="auto"/>
    </w:pPr>
    <w:rPr>
      <w:rFonts w:ascii="Tahoma" w:hAnsi="Tahoma"/>
      <w:sz w:val="24"/>
      <w:szCs w:val="20"/>
    </w:rPr>
  </w:style>
  <w:style w:type="paragraph" w:customStyle="1" w:styleId="324">
    <w:name w:val="??"/>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3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6">
    <w:name w:val="WPS Plain"/>
    <w:qFormat/>
    <w:uiPriority w:val="0"/>
    <w:rPr>
      <w:rFonts w:ascii="Times New Roman" w:hAnsi="Times New Roman" w:eastAsia="宋体" w:cs="Times New Roman"/>
      <w:lang w:val="en-US" w:eastAsia="zh-CN" w:bidi="ar-SA"/>
    </w:rPr>
  </w:style>
  <w:style w:type="paragraph" w:customStyle="1" w:styleId="327">
    <w:name w:val="文章"/>
    <w:basedOn w:val="1"/>
    <w:qFormat/>
    <w:uiPriority w:val="0"/>
    <w:pPr>
      <w:widowControl/>
      <w:spacing w:after="0" w:line="360" w:lineRule="auto"/>
      <w:ind w:firstLine="200" w:firstLineChars="200"/>
      <w:jc w:val="left"/>
    </w:pPr>
    <w:rPr>
      <w:kern w:val="0"/>
      <w:sz w:val="24"/>
      <w:szCs w:val="20"/>
    </w:rPr>
  </w:style>
  <w:style w:type="paragraph" w:customStyle="1" w:styleId="328">
    <w:name w:val="文章正文格式"/>
    <w:basedOn w:val="1"/>
    <w:qFormat/>
    <w:uiPriority w:val="0"/>
    <w:pPr>
      <w:snapToGrid w:val="0"/>
      <w:spacing w:after="0" w:line="540" w:lineRule="atLeast"/>
      <w:ind w:firstLine="578"/>
    </w:pPr>
    <w:rPr>
      <w:rFonts w:ascii="宋体"/>
      <w:spacing w:val="8"/>
      <w:sz w:val="28"/>
      <w:szCs w:val="20"/>
    </w:rPr>
  </w:style>
  <w:style w:type="paragraph" w:customStyle="1" w:styleId="329">
    <w:name w:val="pbullet2cm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3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1">
    <w:name w:val="CM12"/>
    <w:basedOn w:val="151"/>
    <w:next w:val="151"/>
    <w:qFormat/>
    <w:uiPriority w:val="0"/>
    <w:pPr>
      <w:spacing w:before="0" w:after="0" w:line="468" w:lineRule="atLeast"/>
    </w:pPr>
    <w:rPr>
      <w:rFonts w:cs="Times New Roman"/>
      <w:color w:val="auto"/>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标准段落"/>
    <w:basedOn w:val="1"/>
    <w:qFormat/>
    <w:uiPriority w:val="0"/>
    <w:pPr>
      <w:topLinePunct/>
      <w:autoSpaceDE w:val="0"/>
      <w:autoSpaceDN w:val="0"/>
      <w:spacing w:after="0" w:line="360" w:lineRule="auto"/>
      <w:ind w:firstLine="480" w:firstLineChars="200"/>
    </w:pPr>
    <w:rPr>
      <w:rFonts w:ascii="宋体" w:hAnsi="宋体"/>
      <w:sz w:val="24"/>
      <w:lang w:bidi="th-TH"/>
    </w:rPr>
  </w:style>
  <w:style w:type="paragraph" w:customStyle="1" w:styleId="334">
    <w:name w:val="SS正文首行缩进 +"/>
    <w:basedOn w:val="20"/>
    <w:qFormat/>
    <w:uiPriority w:val="0"/>
    <w:pPr>
      <w:spacing w:beforeLines="50" w:afterLines="50" w:line="360" w:lineRule="auto"/>
      <w:ind w:firstLine="480" w:firstLineChars="200"/>
    </w:pPr>
    <w:rPr>
      <w:rFonts w:ascii="Times New Roman" w:hAnsi="Times New Roman"/>
      <w:sz w:val="24"/>
      <w:szCs w:val="20"/>
    </w:rPr>
  </w:style>
  <w:style w:type="paragraph" w:customStyle="1" w:styleId="335">
    <w:name w:val="二级条标题"/>
    <w:basedOn w:val="1"/>
    <w:next w:val="332"/>
    <w:qFormat/>
    <w:uiPriority w:val="0"/>
    <w:pPr>
      <w:widowControl/>
      <w:spacing w:after="0" w:line="360" w:lineRule="auto"/>
      <w:ind w:left="851"/>
      <w:jc w:val="left"/>
      <w:outlineLvl w:val="3"/>
    </w:pPr>
    <w:rPr>
      <w:rFonts w:eastAsia="黑体"/>
      <w:kern w:val="0"/>
      <w:szCs w:val="20"/>
    </w:rPr>
  </w:style>
  <w:style w:type="paragraph" w:customStyle="1" w:styleId="336">
    <w:name w:val="Char Char Char"/>
    <w:basedOn w:val="1"/>
    <w:qFormat/>
    <w:uiPriority w:val="0"/>
    <w:pPr>
      <w:spacing w:after="0" w:line="360" w:lineRule="auto"/>
    </w:pPr>
    <w:rPr>
      <w:rFonts w:ascii="Tahoma" w:hAnsi="Tahoma"/>
      <w:sz w:val="24"/>
      <w:szCs w:val="20"/>
    </w:rPr>
  </w:style>
  <w:style w:type="paragraph" w:customStyle="1" w:styleId="337">
    <w:name w:val="表格"/>
    <w:basedOn w:val="1"/>
    <w:qFormat/>
    <w:uiPriority w:val="0"/>
    <w:pPr>
      <w:snapToGrid w:val="0"/>
      <w:spacing w:after="0" w:line="360" w:lineRule="auto"/>
      <w:ind w:firstLine="42" w:firstLineChars="21"/>
    </w:pPr>
    <w:rPr>
      <w:rFonts w:ascii="宋体" w:hAnsi="宋体"/>
      <w:kern w:val="0"/>
      <w:sz w:val="20"/>
      <w:szCs w:val="20"/>
    </w:rPr>
  </w:style>
  <w:style w:type="paragraph" w:customStyle="1" w:styleId="338">
    <w:name w:val="样式 楷体_GB2312 小四 Char Char Char Char Char Char Char Char Char Char Char Char"/>
    <w:basedOn w:val="1"/>
    <w:next w:val="1"/>
    <w:qFormat/>
    <w:uiPriority w:val="0"/>
    <w:pPr>
      <w:spacing w:after="0" w:line="360" w:lineRule="auto"/>
    </w:pPr>
    <w:rPr>
      <w:rFonts w:ascii="楷体_GB2312" w:eastAsia="楷体_GB2312"/>
      <w:sz w:val="24"/>
    </w:rPr>
  </w:style>
  <w:style w:type="paragraph" w:customStyle="1" w:styleId="339">
    <w:name w:val="a"/>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40">
    <w:name w:val="正文（缩进）"/>
    <w:basedOn w:val="1"/>
    <w:qFormat/>
    <w:uiPriority w:val="0"/>
    <w:pPr>
      <w:spacing w:beforeLines="50" w:afterLines="50" w:line="360" w:lineRule="auto"/>
      <w:ind w:firstLine="480" w:firstLineChars="200"/>
    </w:pPr>
    <w:rPr>
      <w:sz w:val="24"/>
    </w:rPr>
  </w:style>
  <w:style w:type="paragraph" w:customStyle="1" w:styleId="341">
    <w:name w:val="正文（绿盟科技）"/>
    <w:qFormat/>
    <w:uiPriority w:val="0"/>
    <w:pPr>
      <w:spacing w:line="300" w:lineRule="auto"/>
    </w:pPr>
    <w:rPr>
      <w:rFonts w:ascii="Arial" w:hAnsi="Arial" w:eastAsia="宋体" w:cs="Arial"/>
      <w:sz w:val="21"/>
      <w:szCs w:val="21"/>
      <w:lang w:val="en-US" w:eastAsia="zh-CN" w:bidi="ar-SA"/>
    </w:rPr>
  </w:style>
  <w:style w:type="paragraph" w:customStyle="1" w:styleId="342">
    <w:name w:val="样式 (西文) 仿宋_GB2312 (中文) 仿宋_GB2312 (符号) 宋体 小四 行距: 1.5 倍行距 首行缩..."/>
    <w:basedOn w:val="1"/>
    <w:qFormat/>
    <w:uiPriority w:val="0"/>
    <w:pPr>
      <w:spacing w:after="0" w:line="360" w:lineRule="auto"/>
      <w:ind w:firstLine="150" w:firstLineChars="150"/>
    </w:pPr>
    <w:rPr>
      <w:rFonts w:ascii="宋体" w:cs="宋体"/>
      <w:sz w:val="24"/>
    </w:rPr>
  </w:style>
  <w:style w:type="paragraph" w:customStyle="1" w:styleId="343">
    <w:name w:val="0正文"/>
    <w:basedOn w:val="1"/>
    <w:qFormat/>
    <w:uiPriority w:val="0"/>
    <w:pPr>
      <w:adjustRightInd w:val="0"/>
      <w:spacing w:after="0" w:line="360" w:lineRule="auto"/>
      <w:ind w:left="50" w:leftChars="50" w:right="50" w:rightChars="50" w:firstLine="200" w:firstLineChars="200"/>
      <w:textAlignment w:val="baseline"/>
    </w:pPr>
    <w:rPr>
      <w:rFonts w:ascii="Verdana" w:hAnsi="Verdana" w:cs="Verdana"/>
      <w:color w:val="000080"/>
      <w:szCs w:val="21"/>
    </w:rPr>
  </w:style>
  <w:style w:type="paragraph" w:customStyle="1" w:styleId="344">
    <w:name w:val="注释标题2"/>
    <w:basedOn w:val="1"/>
    <w:next w:val="1"/>
    <w:qFormat/>
    <w:uiPriority w:val="0"/>
    <w:pPr>
      <w:spacing w:after="0" w:line="360" w:lineRule="auto"/>
      <w:jc w:val="center"/>
    </w:pPr>
    <w:rPr>
      <w:rFonts w:ascii="DFKai-SB" w:hAnsi="DFKai-SB" w:eastAsia="DFKai-SB"/>
      <w:sz w:val="24"/>
      <w:szCs w:val="20"/>
    </w:rPr>
  </w:style>
  <w:style w:type="paragraph" w:customStyle="1" w:styleId="345">
    <w:name w:val="正文文本缩进1"/>
    <w:basedOn w:val="1"/>
    <w:qFormat/>
    <w:uiPriority w:val="0"/>
    <w:pPr>
      <w:spacing w:after="0" w:line="360" w:lineRule="auto"/>
      <w:ind w:firstLine="630"/>
    </w:pPr>
    <w:rPr>
      <w:rFonts w:ascii="楷体_GB2312" w:eastAsia="楷体_GB2312" w:cs="楷体_GB2312"/>
      <w:kern w:val="0"/>
      <w:sz w:val="32"/>
      <w:szCs w:val="32"/>
    </w:rPr>
  </w:style>
  <w:style w:type="paragraph" w:customStyle="1" w:styleId="346">
    <w:name w:val="样式4"/>
    <w:basedOn w:val="1"/>
    <w:qFormat/>
    <w:uiPriority w:val="0"/>
    <w:pPr>
      <w:tabs>
        <w:tab w:val="left" w:pos="0"/>
        <w:tab w:val="left" w:pos="1260"/>
      </w:tabs>
      <w:spacing w:after="0" w:line="360" w:lineRule="auto"/>
      <w:ind w:left="1260"/>
    </w:pPr>
    <w:rPr>
      <w:sz w:val="24"/>
    </w:rPr>
  </w:style>
  <w:style w:type="paragraph" w:customStyle="1" w:styleId="347">
    <w:name w:val="此正文"/>
    <w:basedOn w:val="1"/>
    <w:qFormat/>
    <w:uiPriority w:val="0"/>
    <w:pPr>
      <w:tabs>
        <w:tab w:val="left" w:pos="425"/>
      </w:tabs>
      <w:spacing w:after="0" w:line="360" w:lineRule="auto"/>
      <w:ind w:left="425" w:firstLine="200" w:firstLineChars="200"/>
    </w:pPr>
    <w:rPr>
      <w:sz w:val="24"/>
    </w:rPr>
  </w:style>
  <w:style w:type="paragraph" w:customStyle="1" w:styleId="348">
    <w:name w:val="注释标题1"/>
    <w:basedOn w:val="1"/>
    <w:next w:val="1"/>
    <w:qFormat/>
    <w:uiPriority w:val="0"/>
    <w:pPr>
      <w:spacing w:after="0" w:line="360" w:lineRule="auto"/>
      <w:jc w:val="center"/>
    </w:pPr>
    <w:rPr>
      <w:rFonts w:ascii="DFKai-SB" w:hAnsi="DFKai-SB" w:eastAsia="DFKai-SB"/>
      <w:sz w:val="24"/>
      <w:szCs w:val="20"/>
    </w:rPr>
  </w:style>
  <w:style w:type="paragraph" w:customStyle="1" w:styleId="349">
    <w:name w:val="Char Char2 Char Char Char Char Char Char Char Char Char Char"/>
    <w:basedOn w:val="1"/>
    <w:qFormat/>
    <w:uiPriority w:val="0"/>
    <w:pPr>
      <w:spacing w:after="0" w:line="360" w:lineRule="auto"/>
    </w:pPr>
    <w:rPr>
      <w:sz w:val="24"/>
    </w:rPr>
  </w:style>
  <w:style w:type="paragraph" w:customStyle="1" w:styleId="350">
    <w:name w:val="p0"/>
    <w:basedOn w:val="1"/>
    <w:qFormat/>
    <w:uiPriority w:val="0"/>
    <w:pPr>
      <w:widowControl/>
      <w:spacing w:after="0" w:line="360" w:lineRule="auto"/>
    </w:pPr>
    <w:rPr>
      <w:kern w:val="0"/>
      <w:szCs w:val="21"/>
    </w:rPr>
  </w:style>
  <w:style w:type="character" w:customStyle="1" w:styleId="351">
    <w:name w:val="HTML 地址 Char"/>
    <w:qFormat/>
    <w:uiPriority w:val="0"/>
    <w:rPr>
      <w:rFonts w:ascii="宋体" w:hAnsi="宋体"/>
      <w:i/>
      <w:iCs/>
      <w:szCs w:val="24"/>
    </w:rPr>
  </w:style>
  <w:style w:type="character" w:customStyle="1" w:styleId="352">
    <w:name w:val="big14"/>
    <w:qFormat/>
    <w:uiPriority w:val="0"/>
  </w:style>
  <w:style w:type="character" w:customStyle="1" w:styleId="353">
    <w:name w:val="注释标题 Char"/>
    <w:qFormat/>
    <w:uiPriority w:val="0"/>
    <w:rPr>
      <w:rFonts w:ascii="DFKai-SB" w:hAnsi="DFKai-SB" w:eastAsia="DFKai-SB"/>
    </w:rPr>
  </w:style>
  <w:style w:type="character" w:customStyle="1" w:styleId="354">
    <w:name w:val="页脚 Char Char"/>
    <w:qFormat/>
    <w:uiPriority w:val="0"/>
    <w:rPr>
      <w:rFonts w:ascii="宋体" w:hAnsi="宋体" w:eastAsia="宋体" w:cs="Times New Roman"/>
      <w:sz w:val="18"/>
      <w:szCs w:val="20"/>
    </w:rPr>
  </w:style>
  <w:style w:type="character" w:customStyle="1" w:styleId="355">
    <w:name w:val="arial111"/>
    <w:qFormat/>
    <w:uiPriority w:val="0"/>
    <w:rPr>
      <w:rFonts w:hint="default" w:ascii="Arial" w:hAnsi="Arial" w:cs="Arial"/>
      <w:sz w:val="17"/>
      <w:szCs w:val="17"/>
    </w:rPr>
  </w:style>
  <w:style w:type="character" w:customStyle="1" w:styleId="356">
    <w:name w:val="五级条标题 Char Char"/>
    <w:link w:val="357"/>
    <w:qFormat/>
    <w:uiPriority w:val="0"/>
    <w:rPr>
      <w:rFonts w:ascii="黑体" w:hAnsi="宋体" w:eastAsia="黑体"/>
      <w:szCs w:val="24"/>
    </w:rPr>
  </w:style>
  <w:style w:type="paragraph" w:customStyle="1" w:styleId="357">
    <w:name w:val="五级条标题"/>
    <w:basedOn w:val="358"/>
    <w:next w:val="1"/>
    <w:link w:val="356"/>
    <w:qFormat/>
    <w:uiPriority w:val="0"/>
    <w:pPr>
      <w:outlineLvl w:val="6"/>
    </w:pPr>
  </w:style>
  <w:style w:type="paragraph" w:customStyle="1" w:styleId="358">
    <w:name w:val="四级条标题"/>
    <w:basedOn w:val="359"/>
    <w:next w:val="1"/>
    <w:link w:val="361"/>
    <w:qFormat/>
    <w:uiPriority w:val="0"/>
    <w:pPr>
      <w:ind w:left="0"/>
      <w:outlineLvl w:val="5"/>
    </w:pPr>
  </w:style>
  <w:style w:type="paragraph" w:customStyle="1" w:styleId="359">
    <w:name w:val="三级条标题"/>
    <w:basedOn w:val="360"/>
    <w:next w:val="1"/>
    <w:link w:val="362"/>
    <w:qFormat/>
    <w:uiPriority w:val="0"/>
    <w:pPr>
      <w:ind w:left="735"/>
      <w:outlineLvl w:val="4"/>
    </w:pPr>
  </w:style>
  <w:style w:type="paragraph" w:customStyle="1" w:styleId="360">
    <w:name w:val="二级条标题 Char"/>
    <w:next w:val="1"/>
    <w:link w:val="363"/>
    <w:qFormat/>
    <w:uiPriority w:val="0"/>
    <w:pPr>
      <w:ind w:left="420"/>
      <w:outlineLvl w:val="3"/>
    </w:pPr>
    <w:rPr>
      <w:rFonts w:ascii="黑体" w:hAnsi="宋体" w:eastAsia="黑体" w:cs="Times New Roman"/>
      <w:szCs w:val="24"/>
      <w:lang w:val="en-US" w:eastAsia="zh-CN" w:bidi="ar-SA"/>
    </w:rPr>
  </w:style>
  <w:style w:type="character" w:customStyle="1" w:styleId="361">
    <w:name w:val="四级条标题 Char Char"/>
    <w:link w:val="358"/>
    <w:qFormat/>
    <w:uiPriority w:val="0"/>
    <w:rPr>
      <w:rFonts w:ascii="黑体" w:hAnsi="宋体" w:eastAsia="黑体"/>
      <w:szCs w:val="24"/>
    </w:rPr>
  </w:style>
  <w:style w:type="character" w:customStyle="1" w:styleId="362">
    <w:name w:val="三级条标题 Char Char"/>
    <w:link w:val="359"/>
    <w:qFormat/>
    <w:uiPriority w:val="0"/>
    <w:rPr>
      <w:rFonts w:ascii="黑体" w:hAnsi="宋体" w:eastAsia="黑体"/>
      <w:szCs w:val="24"/>
    </w:rPr>
  </w:style>
  <w:style w:type="character" w:customStyle="1" w:styleId="363">
    <w:name w:val="二级条标题 Char Char Char"/>
    <w:link w:val="360"/>
    <w:qFormat/>
    <w:uiPriority w:val="0"/>
    <w:rPr>
      <w:rFonts w:ascii="黑体" w:hAnsi="宋体" w:eastAsia="黑体"/>
      <w:szCs w:val="24"/>
    </w:rPr>
  </w:style>
  <w:style w:type="character" w:customStyle="1" w:styleId="364">
    <w:name w:val="一级条标题 Char Char Char Char"/>
    <w:qFormat/>
    <w:uiPriority w:val="0"/>
  </w:style>
  <w:style w:type="character" w:customStyle="1" w:styleId="365">
    <w:name w:val="章标题 Char Char Char Char"/>
    <w:link w:val="366"/>
    <w:qFormat/>
    <w:uiPriority w:val="0"/>
    <w:rPr>
      <w:rFonts w:ascii="黑体" w:hAnsi="宋体" w:eastAsia="黑体"/>
      <w:szCs w:val="24"/>
    </w:rPr>
  </w:style>
  <w:style w:type="paragraph" w:customStyle="1" w:styleId="366">
    <w:name w:val="章标题 Char Char"/>
    <w:next w:val="1"/>
    <w:link w:val="365"/>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367">
    <w:name w:val="t91"/>
    <w:qFormat/>
    <w:uiPriority w:val="0"/>
  </w:style>
  <w:style w:type="character" w:customStyle="1" w:styleId="368">
    <w:name w:val="正文文本 Char Char"/>
    <w:qFormat/>
    <w:uiPriority w:val="0"/>
    <w:rPr>
      <w:rFonts w:ascii="宋体" w:hAnsi="宋体" w:eastAsia="宋体" w:cs="Times New Roman"/>
      <w:sz w:val="24"/>
      <w:szCs w:val="24"/>
    </w:rPr>
  </w:style>
  <w:style w:type="character" w:customStyle="1" w:styleId="369">
    <w:name w:val="个人撰写风格"/>
    <w:qFormat/>
    <w:uiPriority w:val="0"/>
    <w:rPr>
      <w:rFonts w:ascii="Arial" w:hAnsi="Arial" w:eastAsia="宋体" w:cs="Arial"/>
      <w:color w:val="auto"/>
      <w:sz w:val="20"/>
    </w:rPr>
  </w:style>
  <w:style w:type="character" w:customStyle="1" w:styleId="370">
    <w:name w:val="正文表标题 Char Char"/>
    <w:link w:val="371"/>
    <w:qFormat/>
    <w:uiPriority w:val="0"/>
    <w:rPr>
      <w:rFonts w:ascii="黑体" w:hAnsi="宋体" w:eastAsia="黑体"/>
      <w:szCs w:val="24"/>
    </w:rPr>
  </w:style>
  <w:style w:type="paragraph" w:customStyle="1" w:styleId="371">
    <w:name w:val="正文表标题"/>
    <w:next w:val="332"/>
    <w:link w:val="370"/>
    <w:qFormat/>
    <w:uiPriority w:val="0"/>
    <w:pPr>
      <w:tabs>
        <w:tab w:val="left" w:pos="360"/>
      </w:tabs>
      <w:ind w:left="3780"/>
      <w:jc w:val="center"/>
    </w:pPr>
    <w:rPr>
      <w:rFonts w:ascii="黑体" w:hAnsi="宋体" w:eastAsia="黑体" w:cs="Times New Roman"/>
      <w:szCs w:val="24"/>
      <w:lang w:val="en-US" w:eastAsia="zh-CN" w:bidi="ar-SA"/>
    </w:rPr>
  </w:style>
  <w:style w:type="character" w:customStyle="1" w:styleId="372">
    <w:name w:val="页眉 Char Char"/>
    <w:qFormat/>
    <w:uiPriority w:val="0"/>
    <w:rPr>
      <w:rFonts w:ascii="宋体" w:hAnsi="宋体" w:eastAsia="宋体" w:cs="Times New Roman"/>
      <w:sz w:val="18"/>
      <w:szCs w:val="20"/>
    </w:rPr>
  </w:style>
  <w:style w:type="character" w:customStyle="1" w:styleId="373">
    <w:name w:val="style60"/>
    <w:qFormat/>
    <w:uiPriority w:val="0"/>
  </w:style>
  <w:style w:type="character" w:customStyle="1" w:styleId="374">
    <w:name w:val="章标题 Char Char Char Char Char"/>
    <w:qFormat/>
    <w:uiPriority w:val="0"/>
    <w:rPr>
      <w:rFonts w:ascii="黑体" w:hAnsi="宋体" w:eastAsia="黑体"/>
      <w:szCs w:val="24"/>
    </w:rPr>
  </w:style>
  <w:style w:type="character" w:customStyle="1" w:styleId="375">
    <w:name w:val="newsitemtitle1"/>
    <w:qFormat/>
    <w:uiPriority w:val="0"/>
    <w:rPr>
      <w:b/>
      <w:bCs/>
      <w:color w:val="0000CD"/>
      <w:sz w:val="28"/>
      <w:szCs w:val="28"/>
    </w:rPr>
  </w:style>
  <w:style w:type="character" w:customStyle="1" w:styleId="376">
    <w:name w:val="发布"/>
    <w:qFormat/>
    <w:uiPriority w:val="0"/>
    <w:rPr>
      <w:rFonts w:ascii="黑体" w:eastAsia="黑体"/>
      <w:spacing w:val="22"/>
      <w:w w:val="100"/>
      <w:position w:val="3"/>
      <w:sz w:val="28"/>
    </w:rPr>
  </w:style>
  <w:style w:type="character" w:customStyle="1" w:styleId="377">
    <w:name w:val="一级无标题条 Char Char"/>
    <w:link w:val="378"/>
    <w:qFormat/>
    <w:uiPriority w:val="0"/>
    <w:rPr>
      <w:rFonts w:ascii="宋体" w:hAnsi="宋体"/>
      <w:szCs w:val="24"/>
    </w:rPr>
  </w:style>
  <w:style w:type="paragraph" w:customStyle="1" w:styleId="378">
    <w:name w:val="一级无标题条"/>
    <w:basedOn w:val="1"/>
    <w:link w:val="377"/>
    <w:qFormat/>
    <w:uiPriority w:val="0"/>
    <w:pPr>
      <w:spacing w:after="0" w:line="360" w:lineRule="auto"/>
    </w:pPr>
    <w:rPr>
      <w:rFonts w:ascii="宋体" w:hAnsi="宋体"/>
      <w:kern w:val="0"/>
      <w:sz w:val="20"/>
    </w:rPr>
  </w:style>
  <w:style w:type="character" w:customStyle="1" w:styleId="379">
    <w:name w:val="个人答复风格"/>
    <w:qFormat/>
    <w:uiPriority w:val="0"/>
    <w:rPr>
      <w:rFonts w:ascii="Arial" w:hAnsi="Arial" w:eastAsia="宋体" w:cs="Arial"/>
      <w:color w:val="auto"/>
      <w:sz w:val="20"/>
    </w:rPr>
  </w:style>
  <w:style w:type="character" w:customStyle="1" w:styleId="380">
    <w:name w:val="脚注文本 Char1"/>
    <w:qFormat/>
    <w:uiPriority w:val="0"/>
    <w:rPr>
      <w:kern w:val="2"/>
      <w:sz w:val="18"/>
      <w:szCs w:val="18"/>
    </w:rPr>
  </w:style>
  <w:style w:type="paragraph" w:customStyle="1" w:styleId="381">
    <w:name w:val="标准书眉_偶数页"/>
    <w:basedOn w:val="382"/>
    <w:next w:val="1"/>
    <w:qFormat/>
    <w:uiPriority w:val="0"/>
    <w:pPr>
      <w:tabs>
        <w:tab w:val="center" w:pos="4154"/>
        <w:tab w:val="right" w:pos="8306"/>
      </w:tabs>
      <w:jc w:val="left"/>
    </w:pPr>
  </w:style>
  <w:style w:type="paragraph" w:customStyle="1" w:styleId="382">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383">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84">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character" w:customStyle="1" w:styleId="385">
    <w:name w:val="HTML 地址 字符"/>
    <w:basedOn w:val="56"/>
    <w:link w:val="26"/>
    <w:qFormat/>
    <w:uiPriority w:val="0"/>
    <w:rPr>
      <w:i/>
      <w:iCs/>
      <w:kern w:val="2"/>
      <w:sz w:val="21"/>
      <w:szCs w:val="24"/>
    </w:rPr>
  </w:style>
  <w:style w:type="paragraph" w:customStyle="1" w:styleId="386">
    <w:name w:val="注释标题3"/>
    <w:basedOn w:val="1"/>
    <w:next w:val="1"/>
    <w:qFormat/>
    <w:uiPriority w:val="0"/>
    <w:pPr>
      <w:spacing w:after="0" w:line="360" w:lineRule="auto"/>
      <w:jc w:val="center"/>
    </w:pPr>
    <w:rPr>
      <w:rFonts w:ascii="DFKai-SB" w:hAnsi="DFKai-SB" w:eastAsia="DFKai-SB"/>
      <w:sz w:val="20"/>
      <w:szCs w:val="20"/>
    </w:rPr>
  </w:style>
  <w:style w:type="character" w:customStyle="1" w:styleId="387">
    <w:name w:val="注释标题 字符"/>
    <w:basedOn w:val="56"/>
    <w:link w:val="12"/>
    <w:qFormat/>
    <w:uiPriority w:val="0"/>
    <w:rPr>
      <w:kern w:val="2"/>
      <w:sz w:val="21"/>
      <w:szCs w:val="24"/>
    </w:rPr>
  </w:style>
  <w:style w:type="paragraph" w:customStyle="1" w:styleId="388">
    <w:name w:val="附录五级条标题"/>
    <w:basedOn w:val="389"/>
    <w:next w:val="332"/>
    <w:qFormat/>
    <w:uiPriority w:val="0"/>
    <w:pPr>
      <w:tabs>
        <w:tab w:val="left" w:pos="360"/>
      </w:tabs>
      <w:outlineLvl w:val="6"/>
    </w:pPr>
  </w:style>
  <w:style w:type="paragraph" w:customStyle="1" w:styleId="389">
    <w:name w:val="附录四级条标题"/>
    <w:basedOn w:val="390"/>
    <w:next w:val="332"/>
    <w:qFormat/>
    <w:uiPriority w:val="0"/>
    <w:pPr>
      <w:tabs>
        <w:tab w:val="left" w:pos="360"/>
      </w:tabs>
      <w:outlineLvl w:val="5"/>
    </w:pPr>
  </w:style>
  <w:style w:type="paragraph" w:customStyle="1" w:styleId="390">
    <w:name w:val="附录三级条标题"/>
    <w:basedOn w:val="391"/>
    <w:next w:val="332"/>
    <w:qFormat/>
    <w:uiPriority w:val="0"/>
    <w:pPr>
      <w:tabs>
        <w:tab w:val="left" w:pos="360"/>
      </w:tabs>
      <w:outlineLvl w:val="4"/>
    </w:pPr>
  </w:style>
  <w:style w:type="paragraph" w:customStyle="1" w:styleId="391">
    <w:name w:val="附录二级条标题"/>
    <w:basedOn w:val="392"/>
    <w:next w:val="332"/>
    <w:qFormat/>
    <w:uiPriority w:val="0"/>
    <w:pPr>
      <w:tabs>
        <w:tab w:val="left" w:pos="360"/>
      </w:tabs>
      <w:outlineLvl w:val="3"/>
    </w:pPr>
  </w:style>
  <w:style w:type="paragraph" w:customStyle="1" w:styleId="392">
    <w:name w:val="附录一级条标题"/>
    <w:basedOn w:val="393"/>
    <w:next w:val="332"/>
    <w:qFormat/>
    <w:uiPriority w:val="0"/>
    <w:pPr>
      <w:tabs>
        <w:tab w:val="left" w:pos="360"/>
      </w:tabs>
      <w:autoSpaceDN w:val="0"/>
      <w:spacing w:beforeLines="0" w:afterLines="0"/>
      <w:ind w:left="0"/>
      <w:outlineLvl w:val="2"/>
    </w:pPr>
  </w:style>
  <w:style w:type="paragraph" w:customStyle="1" w:styleId="393">
    <w:name w:val="附录章标题"/>
    <w:next w:val="332"/>
    <w:qFormat/>
    <w:uiPriority w:val="0"/>
    <w:pPr>
      <w:tabs>
        <w:tab w:val="left" w:pos="360"/>
      </w:tabs>
      <w:wordWrap w:val="0"/>
      <w:overflowPunct w:val="0"/>
      <w:autoSpaceDE w:val="0"/>
      <w:spacing w:beforeLines="50"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94">
    <w:name w:val="Char Char4"/>
    <w:basedOn w:val="1"/>
    <w:qFormat/>
    <w:uiPriority w:val="0"/>
    <w:pPr>
      <w:spacing w:after="0" w:line="360" w:lineRule="auto"/>
    </w:pPr>
  </w:style>
  <w:style w:type="paragraph" w:customStyle="1" w:styleId="395">
    <w:name w:val="Char Char Char Char1"/>
    <w:basedOn w:val="1"/>
    <w:qFormat/>
    <w:uiPriority w:val="0"/>
    <w:pPr>
      <w:spacing w:after="0" w:line="360" w:lineRule="auto"/>
      <w:ind w:firstLine="200" w:firstLineChars="200"/>
    </w:pPr>
    <w:rPr>
      <w:rFonts w:ascii="Tahoma" w:hAnsi="Tahoma"/>
      <w:sz w:val="24"/>
    </w:rPr>
  </w:style>
  <w:style w:type="paragraph" w:customStyle="1" w:styleId="396">
    <w:name w:val="Note Heading1"/>
    <w:basedOn w:val="1"/>
    <w:next w:val="1"/>
    <w:qFormat/>
    <w:uiPriority w:val="0"/>
    <w:pPr>
      <w:spacing w:after="0" w:line="360" w:lineRule="auto"/>
      <w:jc w:val="center"/>
    </w:pPr>
    <w:rPr>
      <w:rFonts w:ascii="DFKai-SB" w:hAnsi="DFKai-SB" w:eastAsia="DFKai-SB"/>
      <w:sz w:val="20"/>
      <w:szCs w:val="20"/>
    </w:rPr>
  </w:style>
  <w:style w:type="paragraph" w:customStyle="1" w:styleId="397">
    <w:name w:val="列表内容"/>
    <w:basedOn w:val="1"/>
    <w:next w:val="1"/>
    <w:qFormat/>
    <w:uiPriority w:val="0"/>
    <w:pPr>
      <w:widowControl/>
      <w:tabs>
        <w:tab w:val="left" w:pos="840"/>
      </w:tabs>
      <w:spacing w:after="0" w:line="360" w:lineRule="auto"/>
      <w:ind w:left="425" w:hanging="137"/>
      <w:jc w:val="left"/>
    </w:pPr>
    <w:rPr>
      <w:kern w:val="0"/>
      <w:sz w:val="18"/>
    </w:rPr>
  </w:style>
  <w:style w:type="character" w:customStyle="1" w:styleId="398">
    <w:name w:val="正文首行缩进 2 Char1"/>
    <w:qFormat/>
    <w:uiPriority w:val="0"/>
    <w:rPr>
      <w:rFonts w:ascii="宋体" w:hAnsi="Courier New"/>
      <w:spacing w:val="-4"/>
      <w:kern w:val="2"/>
      <w:sz w:val="21"/>
      <w:szCs w:val="24"/>
    </w:rPr>
  </w:style>
  <w:style w:type="character" w:customStyle="1" w:styleId="399">
    <w:name w:val="正文文本缩进 Char2"/>
    <w:qFormat/>
    <w:uiPriority w:val="0"/>
    <w:rPr>
      <w:kern w:val="2"/>
      <w:sz w:val="21"/>
      <w:szCs w:val="24"/>
    </w:rPr>
  </w:style>
  <w:style w:type="paragraph" w:customStyle="1" w:styleId="400">
    <w:name w:val="图表脚注"/>
    <w:next w:val="332"/>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01">
    <w:name w:val="潘"/>
    <w:basedOn w:val="1"/>
    <w:qFormat/>
    <w:uiPriority w:val="0"/>
    <w:pPr>
      <w:snapToGrid w:val="0"/>
      <w:spacing w:after="0" w:line="240" w:lineRule="atLeast"/>
    </w:pPr>
    <w:rPr>
      <w:rFonts w:ascii="Arial" w:hAnsi="Arial" w:eastAsia="楷体_GB2312"/>
      <w:b/>
      <w:bCs/>
    </w:rPr>
  </w:style>
  <w:style w:type="paragraph" w:customStyle="1" w:styleId="402">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403">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404">
    <w:name w:val="样式 标题 3标题 3 CharH3h33rd level3Level 3 Headlevel_3PIM 3s..."/>
    <w:basedOn w:val="4"/>
    <w:qFormat/>
    <w:uiPriority w:val="0"/>
    <w:pPr>
      <w:tabs>
        <w:tab w:val="left" w:pos="425"/>
      </w:tabs>
      <w:spacing w:afterLines="50" w:line="416" w:lineRule="auto"/>
      <w:ind w:firstLine="0" w:firstLineChars="0"/>
    </w:pPr>
    <w:rPr>
      <w:rFonts w:ascii="宋体" w:hAnsi="宋体" w:eastAsia="宋体" w:cs="宋体"/>
      <w:sz w:val="28"/>
    </w:rPr>
  </w:style>
  <w:style w:type="paragraph" w:customStyle="1" w:styleId="405">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406">
    <w:name w:val="二级无标题条"/>
    <w:basedOn w:val="1"/>
    <w:qFormat/>
    <w:uiPriority w:val="0"/>
    <w:pPr>
      <w:spacing w:after="0" w:line="360" w:lineRule="auto"/>
    </w:pPr>
    <w:rPr>
      <w:rFonts w:ascii="宋体" w:hAnsi="宋体"/>
    </w:rPr>
  </w:style>
  <w:style w:type="paragraph" w:customStyle="1" w:styleId="407">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40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409">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410">
    <w:name w:val="一级条标题"/>
    <w:basedOn w:val="1"/>
    <w:next w:val="1"/>
    <w:qFormat/>
    <w:uiPriority w:val="0"/>
    <w:pPr>
      <w:widowControl/>
      <w:spacing w:after="0" w:line="360" w:lineRule="auto"/>
      <w:outlineLvl w:val="2"/>
    </w:pPr>
    <w:rPr>
      <w:rFonts w:ascii="黑体" w:hAnsi="宋体" w:eastAsia="黑体"/>
      <w:kern w:val="0"/>
      <w:szCs w:val="20"/>
    </w:rPr>
  </w:style>
  <w:style w:type="paragraph" w:customStyle="1" w:styleId="411">
    <w:name w:val="样式 标题 4H4sect 1.2.3.4Ref Heading 1rh1Heading sqlh4h41h42..."/>
    <w:basedOn w:val="5"/>
    <w:qFormat/>
    <w:uiPriority w:val="0"/>
    <w:pPr>
      <w:numPr>
        <w:ilvl w:val="3"/>
        <w:numId w:val="8"/>
      </w:numPr>
      <w:tabs>
        <w:tab w:val="left" w:pos="425"/>
        <w:tab w:val="left" w:pos="1680"/>
      </w:tabs>
      <w:spacing w:before="0" w:afterLines="50" w:line="360" w:lineRule="auto"/>
      <w:ind w:left="1680"/>
    </w:pPr>
    <w:rPr>
      <w:rFonts w:ascii="Times New Roman" w:hAnsi="宋体" w:eastAsia="宋体" w:cs="宋体"/>
      <w:kern w:val="0"/>
      <w:sz w:val="24"/>
      <w:szCs w:val="20"/>
    </w:rPr>
  </w:style>
  <w:style w:type="paragraph" w:customStyle="1" w:styleId="412">
    <w:name w:val="参考文献、索引标题"/>
    <w:basedOn w:val="413"/>
    <w:next w:val="1"/>
    <w:qFormat/>
    <w:uiPriority w:val="0"/>
    <w:pPr>
      <w:spacing w:after="200"/>
      <w:ind w:left="0" w:firstLine="0"/>
    </w:pPr>
    <w:rPr>
      <w:sz w:val="21"/>
    </w:rPr>
  </w:style>
  <w:style w:type="paragraph" w:customStyle="1" w:styleId="413">
    <w:name w:val="前言、引言标题"/>
    <w:next w:val="1"/>
    <w:qFormat/>
    <w:uiPriority w:val="0"/>
    <w:pPr>
      <w:shd w:val="clear" w:color="FFFFFF" w:fill="FFFFFF"/>
      <w:spacing w:before="640" w:after="560"/>
      <w:ind w:left="420" w:hanging="420"/>
      <w:jc w:val="center"/>
      <w:outlineLvl w:val="0"/>
    </w:pPr>
    <w:rPr>
      <w:rFonts w:ascii="黑体" w:hAnsi="宋体" w:eastAsia="黑体" w:cs="Times New Roman"/>
      <w:kern w:val="2"/>
      <w:sz w:val="32"/>
      <w:szCs w:val="24"/>
      <w:lang w:val="en-US" w:eastAsia="zh-CN" w:bidi="ar-SA"/>
    </w:rPr>
  </w:style>
  <w:style w:type="paragraph" w:customStyle="1" w:styleId="414">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415">
    <w:name w:val="注："/>
    <w:next w:val="332"/>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416">
    <w:name w:val="四级无标题条"/>
    <w:basedOn w:val="1"/>
    <w:qFormat/>
    <w:uiPriority w:val="0"/>
    <w:pPr>
      <w:spacing w:after="0" w:line="360" w:lineRule="auto"/>
    </w:pPr>
    <w:rPr>
      <w:rFonts w:ascii="宋体" w:hAnsi="宋体"/>
    </w:rPr>
  </w:style>
  <w:style w:type="paragraph" w:customStyle="1" w:styleId="417">
    <w:name w:val="封面标准文稿编辑信息"/>
    <w:qFormat/>
    <w:uiPriority w:val="0"/>
    <w:pPr>
      <w:spacing w:before="180" w:line="180" w:lineRule="exact"/>
      <w:jc w:val="center"/>
    </w:pPr>
    <w:rPr>
      <w:rFonts w:ascii="宋体" w:hAnsi="宋体" w:eastAsia="宋体" w:cs="Times New Roman"/>
      <w:kern w:val="2"/>
      <w:sz w:val="21"/>
      <w:szCs w:val="24"/>
      <w:lang w:val="en-US" w:eastAsia="zh-CN" w:bidi="ar-SA"/>
    </w:rPr>
  </w:style>
  <w:style w:type="paragraph" w:customStyle="1" w:styleId="418">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9">
    <w:name w:val="发布日期"/>
    <w:qFormat/>
    <w:uiPriority w:val="0"/>
    <w:rPr>
      <w:rFonts w:ascii="宋体" w:hAnsi="宋体" w:eastAsia="黑体" w:cs="Times New Roman"/>
      <w:kern w:val="2"/>
      <w:sz w:val="28"/>
      <w:szCs w:val="24"/>
      <w:lang w:val="en-US" w:eastAsia="zh-CN" w:bidi="ar-SA"/>
    </w:rPr>
  </w:style>
  <w:style w:type="paragraph" w:customStyle="1" w:styleId="420">
    <w:name w:val="Char1 Char Char Char Char Char Char Char Char1 Char Char"/>
    <w:basedOn w:val="1"/>
    <w:qFormat/>
    <w:uiPriority w:val="0"/>
    <w:pPr>
      <w:spacing w:after="0" w:line="360" w:lineRule="auto"/>
    </w:pPr>
    <w:rPr>
      <w:b/>
      <w:bCs/>
      <w:sz w:val="36"/>
      <w:szCs w:val="32"/>
    </w:rPr>
  </w:style>
  <w:style w:type="paragraph" w:customStyle="1" w:styleId="421">
    <w:name w:val="实施日期"/>
    <w:basedOn w:val="419"/>
    <w:qFormat/>
    <w:uiPriority w:val="0"/>
    <w:pPr>
      <w:jc w:val="right"/>
    </w:pPr>
  </w:style>
  <w:style w:type="paragraph" w:customStyle="1" w:styleId="422">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423">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24">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425">
    <w:name w:val="Proposals body"/>
    <w:basedOn w:val="1"/>
    <w:next w:val="1"/>
    <w:qFormat/>
    <w:uiPriority w:val="0"/>
    <w:pPr>
      <w:widowControl/>
      <w:spacing w:after="0" w:line="360" w:lineRule="auto"/>
      <w:jc w:val="left"/>
    </w:pPr>
    <w:rPr>
      <w:rFonts w:ascii="宋体" w:hAnsi="宋体"/>
      <w:snapToGrid w:val="0"/>
      <w:color w:val="000000"/>
      <w:kern w:val="0"/>
      <w:sz w:val="24"/>
      <w:szCs w:val="20"/>
    </w:rPr>
  </w:style>
  <w:style w:type="paragraph" w:customStyle="1" w:styleId="426">
    <w:name w:val="Char2"/>
    <w:basedOn w:val="1"/>
    <w:qFormat/>
    <w:uiPriority w:val="0"/>
    <w:pPr>
      <w:widowControl/>
      <w:spacing w:after="0" w:line="400" w:lineRule="exact"/>
      <w:jc w:val="center"/>
    </w:pPr>
    <w:rPr>
      <w:rFonts w:ascii="Verdana" w:hAnsi="Verdana" w:cs="Verdana"/>
      <w:kern w:val="0"/>
      <w:szCs w:val="21"/>
      <w:lang w:eastAsia="en-US"/>
    </w:rPr>
  </w:style>
  <w:style w:type="paragraph" w:customStyle="1" w:styleId="427">
    <w:name w:val="表文字"/>
    <w:basedOn w:val="14"/>
    <w:qFormat/>
    <w:uiPriority w:val="0"/>
    <w:pPr>
      <w:widowControl/>
      <w:overflowPunct w:val="0"/>
      <w:autoSpaceDE w:val="0"/>
      <w:autoSpaceDN w:val="0"/>
      <w:adjustRightInd w:val="0"/>
      <w:snapToGrid w:val="0"/>
      <w:spacing w:after="0" w:line="360" w:lineRule="auto"/>
      <w:ind w:firstLine="0"/>
    </w:pPr>
    <w:rPr>
      <w:rFonts w:ascii="宋体" w:hAnsi="宋体" w:eastAsia="幼圆"/>
      <w:snapToGrid w:val="0"/>
      <w:color w:val="000000"/>
      <w:kern w:val="28"/>
      <w:sz w:val="28"/>
    </w:rPr>
  </w:style>
  <w:style w:type="paragraph" w:customStyle="1" w:styleId="428">
    <w:name w:val="示例"/>
    <w:next w:val="332"/>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429">
    <w:name w:val="c封面发布日期"/>
    <w:basedOn w:val="1"/>
    <w:qFormat/>
    <w:uiPriority w:val="0"/>
    <w:pPr>
      <w:adjustRightInd w:val="0"/>
      <w:spacing w:after="0" w:line="360" w:lineRule="auto"/>
    </w:pPr>
    <w:rPr>
      <w:rFonts w:ascii="宋体" w:hAnsi="宋体" w:eastAsia="黑体"/>
      <w:kern w:val="0"/>
      <w:sz w:val="28"/>
      <w:szCs w:val="20"/>
    </w:rPr>
  </w:style>
  <w:style w:type="paragraph" w:customStyle="1" w:styleId="430">
    <w:name w:val="Char Char Char Char Char Char Char Char Char Char"/>
    <w:basedOn w:val="1"/>
    <w:qFormat/>
    <w:uiPriority w:val="0"/>
    <w:pPr>
      <w:adjustRightInd w:val="0"/>
      <w:spacing w:after="0" w:line="360" w:lineRule="auto"/>
    </w:pPr>
    <w:rPr>
      <w:rFonts w:ascii="宋体" w:hAnsi="宋体"/>
      <w:kern w:val="0"/>
      <w:sz w:val="24"/>
      <w:szCs w:val="20"/>
    </w:rPr>
  </w:style>
  <w:style w:type="paragraph" w:customStyle="1" w:styleId="431">
    <w:name w:val="Char2 Char Char Char Char Char Char Char Char Char Char Char Char"/>
    <w:basedOn w:val="1"/>
    <w:qFormat/>
    <w:uiPriority w:val="0"/>
    <w:pPr>
      <w:spacing w:after="0" w:line="360" w:lineRule="auto"/>
      <w:ind w:firstLine="200" w:firstLineChars="200"/>
    </w:pPr>
    <w:rPr>
      <w:rFonts w:ascii="Tahoma" w:hAnsi="Tahoma"/>
      <w:sz w:val="24"/>
    </w:rPr>
  </w:style>
  <w:style w:type="paragraph" w:customStyle="1" w:styleId="432">
    <w:name w:val="附录表标题"/>
    <w:next w:val="332"/>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433">
    <w:name w:val="Char Char 字元 字元 字元 Char Char Char Char"/>
    <w:basedOn w:val="1"/>
    <w:qFormat/>
    <w:uiPriority w:val="0"/>
    <w:pPr>
      <w:adjustRightInd w:val="0"/>
      <w:spacing w:after="0" w:line="360" w:lineRule="auto"/>
    </w:pPr>
    <w:rPr>
      <w:rFonts w:ascii="宋体" w:hAnsi="宋体"/>
      <w:kern w:val="0"/>
      <w:sz w:val="20"/>
      <w:szCs w:val="20"/>
    </w:rPr>
  </w:style>
  <w:style w:type="paragraph" w:customStyle="1" w:styleId="434">
    <w:name w:val="附录标识"/>
    <w:basedOn w:val="413"/>
    <w:qFormat/>
    <w:uiPriority w:val="0"/>
    <w:pPr>
      <w:tabs>
        <w:tab w:val="left" w:pos="360"/>
        <w:tab w:val="left" w:pos="6405"/>
      </w:tabs>
      <w:spacing w:after="200"/>
      <w:ind w:left="0" w:firstLine="0"/>
    </w:pPr>
    <w:rPr>
      <w:sz w:val="21"/>
    </w:rPr>
  </w:style>
  <w:style w:type="paragraph" w:customStyle="1" w:styleId="435">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436">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437">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38">
    <w:name w:val="其他发布部门"/>
    <w:basedOn w:val="439"/>
    <w:qFormat/>
    <w:uiPriority w:val="0"/>
    <w:pPr>
      <w:spacing w:line="0" w:lineRule="atLeast"/>
    </w:pPr>
    <w:rPr>
      <w:rFonts w:ascii="黑体" w:eastAsia="黑体"/>
      <w:b w:val="0"/>
    </w:rPr>
  </w:style>
  <w:style w:type="paragraph" w:customStyle="1" w:styleId="439">
    <w:name w:val="发布部门"/>
    <w:next w:val="332"/>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40">
    <w:name w:val="附录性质"/>
    <w:basedOn w:val="1"/>
    <w:qFormat/>
    <w:uiPriority w:val="0"/>
    <w:pPr>
      <w:spacing w:after="0" w:line="360" w:lineRule="auto"/>
      <w:jc w:val="center"/>
    </w:pPr>
    <w:rPr>
      <w:rFonts w:ascii="黑体" w:hAnsi="宋体" w:eastAsia="黑体"/>
    </w:rPr>
  </w:style>
  <w:style w:type="paragraph" w:customStyle="1" w:styleId="441">
    <w:name w:val="条文脚注"/>
    <w:basedOn w:val="40"/>
    <w:qFormat/>
    <w:uiPriority w:val="0"/>
    <w:pPr>
      <w:spacing w:after="0" w:line="360" w:lineRule="auto"/>
      <w:ind w:left="780" w:leftChars="200" w:hanging="360" w:hangingChars="200"/>
      <w:jc w:val="both"/>
    </w:pPr>
    <w:rPr>
      <w:rFonts w:hint="default" w:ascii="宋体" w:hAnsi="宋体"/>
      <w:kern w:val="0"/>
      <w:szCs w:val="18"/>
    </w:rPr>
  </w:style>
  <w:style w:type="paragraph" w:customStyle="1" w:styleId="442">
    <w:name w:val="五级无标题条"/>
    <w:basedOn w:val="1"/>
    <w:qFormat/>
    <w:uiPriority w:val="0"/>
    <w:pPr>
      <w:spacing w:after="0" w:line="360" w:lineRule="auto"/>
    </w:pPr>
    <w:rPr>
      <w:rFonts w:ascii="宋体" w:hAnsi="宋体"/>
    </w:rPr>
  </w:style>
  <w:style w:type="paragraph" w:customStyle="1" w:styleId="443">
    <w:name w:val="Note Heading2"/>
    <w:basedOn w:val="1"/>
    <w:next w:val="1"/>
    <w:qFormat/>
    <w:uiPriority w:val="0"/>
    <w:pPr>
      <w:spacing w:after="0" w:line="360" w:lineRule="auto"/>
      <w:jc w:val="center"/>
    </w:pPr>
    <w:rPr>
      <w:rFonts w:ascii="DFKai-SB" w:hAnsi="DFKai-SB" w:eastAsia="DFKai-SB"/>
      <w:sz w:val="20"/>
      <w:szCs w:val="20"/>
    </w:rPr>
  </w:style>
  <w:style w:type="paragraph" w:customStyle="1" w:styleId="444">
    <w:name w:val="目次、标准名称标题"/>
    <w:basedOn w:val="413"/>
    <w:next w:val="1"/>
    <w:qFormat/>
    <w:uiPriority w:val="0"/>
    <w:pPr>
      <w:spacing w:line="460" w:lineRule="exact"/>
      <w:ind w:left="0" w:firstLine="0"/>
    </w:pPr>
  </w:style>
  <w:style w:type="paragraph" w:customStyle="1" w:styleId="445">
    <w:name w:val="无标题条"/>
    <w:next w:val="332"/>
    <w:qFormat/>
    <w:uiPriority w:val="0"/>
    <w:pPr>
      <w:jc w:val="both"/>
    </w:pPr>
    <w:rPr>
      <w:rFonts w:ascii="宋体" w:hAnsi="宋体" w:eastAsia="宋体" w:cs="Times New Roman"/>
      <w:kern w:val="2"/>
      <w:sz w:val="21"/>
      <w:szCs w:val="24"/>
      <w:lang w:val="en-US" w:eastAsia="zh-CN" w:bidi="ar-SA"/>
    </w:rPr>
  </w:style>
  <w:style w:type="paragraph" w:customStyle="1" w:styleId="446">
    <w:name w:val="三级无标题条"/>
    <w:basedOn w:val="1"/>
    <w:qFormat/>
    <w:uiPriority w:val="0"/>
    <w:pPr>
      <w:spacing w:after="0" w:line="360" w:lineRule="auto"/>
    </w:pPr>
    <w:rPr>
      <w:rFonts w:ascii="宋体" w:hAnsi="宋体"/>
    </w:rPr>
  </w:style>
  <w:style w:type="paragraph" w:customStyle="1" w:styleId="447">
    <w:name w:val="正文图标题"/>
    <w:next w:val="332"/>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48">
    <w:name w:val="Char3"/>
    <w:basedOn w:val="1"/>
    <w:qFormat/>
    <w:uiPriority w:val="0"/>
    <w:pPr>
      <w:spacing w:after="0" w:line="360" w:lineRule="auto"/>
    </w:pPr>
    <w:rPr>
      <w:rFonts w:ascii="Tahoma" w:hAnsi="Tahoma"/>
      <w:sz w:val="24"/>
      <w:szCs w:val="20"/>
    </w:rPr>
  </w:style>
  <w:style w:type="paragraph" w:customStyle="1" w:styleId="449">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450">
    <w:name w:val="哈哈正文"/>
    <w:basedOn w:val="1"/>
    <w:qFormat/>
    <w:uiPriority w:val="0"/>
    <w:pPr>
      <w:spacing w:after="0" w:line="360" w:lineRule="auto"/>
      <w:ind w:firstLine="200" w:firstLineChars="200"/>
    </w:pPr>
    <w:rPr>
      <w:rFonts w:ascii="宋体" w:hAnsi="宋体" w:cs="宋体"/>
      <w:sz w:val="24"/>
    </w:rPr>
  </w:style>
  <w:style w:type="paragraph" w:customStyle="1" w:styleId="451">
    <w:name w:val="标3"/>
    <w:basedOn w:val="1"/>
    <w:qFormat/>
    <w:uiPriority w:val="0"/>
    <w:pPr>
      <w:tabs>
        <w:tab w:val="left" w:pos="1740"/>
      </w:tabs>
      <w:adjustRightInd w:val="0"/>
      <w:snapToGrid w:val="0"/>
      <w:spacing w:before="50" w:after="0" w:line="360" w:lineRule="auto"/>
      <w:ind w:left="1740" w:hanging="420"/>
      <w:outlineLvl w:val="2"/>
    </w:pPr>
    <w:rPr>
      <w:rFonts w:ascii="Arial Narrow" w:hAnsi="Arial Narrow" w:eastAsia="仿宋_GB2312"/>
      <w:sz w:val="28"/>
      <w:szCs w:val="20"/>
    </w:rPr>
  </w:style>
  <w:style w:type="paragraph" w:customStyle="1" w:styleId="452">
    <w:name w:val="Char Char6 Char Char"/>
    <w:basedOn w:val="1"/>
    <w:qFormat/>
    <w:uiPriority w:val="0"/>
    <w:pPr>
      <w:tabs>
        <w:tab w:val="right" w:pos="-2120"/>
      </w:tabs>
      <w:snapToGrid w:val="0"/>
      <w:spacing w:after="0" w:line="360" w:lineRule="auto"/>
    </w:pPr>
    <w:rPr>
      <w:rFonts w:ascii="Tahoma" w:hAnsi="Tahoma"/>
      <w:spacing w:val="6"/>
      <w:sz w:val="24"/>
      <w:szCs w:val="20"/>
    </w:rPr>
  </w:style>
  <w:style w:type="paragraph" w:customStyle="1" w:styleId="453">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54">
    <w:name w:val="Char1 Char Char Char Char Char Char Char Char1 Char Char1"/>
    <w:basedOn w:val="1"/>
    <w:qFormat/>
    <w:uiPriority w:val="0"/>
    <w:pPr>
      <w:spacing w:after="0" w:line="360" w:lineRule="auto"/>
    </w:pPr>
    <w:rPr>
      <w:b/>
      <w:bCs/>
      <w:sz w:val="36"/>
      <w:szCs w:val="32"/>
    </w:rPr>
  </w:style>
  <w:style w:type="paragraph" w:customStyle="1" w:styleId="455">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456">
    <w:name w:val="Char Char Char Char Char Char Char Char Char Char Char Char"/>
    <w:basedOn w:val="1"/>
    <w:qFormat/>
    <w:uiPriority w:val="0"/>
    <w:pPr>
      <w:spacing w:after="0" w:line="360" w:lineRule="auto"/>
    </w:pPr>
    <w:rPr>
      <w:rFonts w:ascii="宋体" w:hAnsi="宋体"/>
      <w:szCs w:val="20"/>
    </w:rPr>
  </w:style>
  <w:style w:type="paragraph" w:customStyle="1" w:styleId="457">
    <w:name w:val="List Paragraph1"/>
    <w:basedOn w:val="1"/>
    <w:qFormat/>
    <w:uiPriority w:val="0"/>
    <w:pPr>
      <w:spacing w:after="0" w:line="360" w:lineRule="auto"/>
      <w:ind w:firstLine="420" w:firstLineChars="200"/>
    </w:pPr>
    <w:rPr>
      <w:rFonts w:ascii="Calibri" w:hAnsi="Calibri"/>
      <w:szCs w:val="21"/>
    </w:rPr>
  </w:style>
  <w:style w:type="paragraph" w:customStyle="1" w:styleId="458">
    <w:name w:val="附录图标题"/>
    <w:next w:val="332"/>
    <w:qFormat/>
    <w:uiPriority w:val="0"/>
    <w:pPr>
      <w:jc w:val="center"/>
    </w:pPr>
    <w:rPr>
      <w:rFonts w:ascii="黑体" w:hAnsi="宋体" w:eastAsia="黑体" w:cs="Times New Roman"/>
      <w:kern w:val="2"/>
      <w:sz w:val="21"/>
      <w:szCs w:val="24"/>
      <w:lang w:val="en-US" w:eastAsia="zh-CN" w:bidi="ar-SA"/>
    </w:rPr>
  </w:style>
  <w:style w:type="paragraph" w:customStyle="1" w:styleId="459">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460">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461">
    <w:name w:val="默认段落字体 Para Char Char Char Char Char Char Char"/>
    <w:basedOn w:val="1"/>
    <w:qFormat/>
    <w:uiPriority w:val="0"/>
    <w:pPr>
      <w:spacing w:after="0" w:line="360" w:lineRule="auto"/>
      <w:ind w:firstLine="200" w:firstLineChars="200"/>
    </w:pPr>
    <w:rPr>
      <w:rFonts w:ascii="Tahoma" w:hAnsi="Tahoma"/>
      <w:sz w:val="24"/>
    </w:rPr>
  </w:style>
  <w:style w:type="paragraph" w:customStyle="1" w:styleId="462">
    <w:name w:val="封面标准号2"/>
    <w:basedOn w:val="460"/>
    <w:qFormat/>
    <w:uiPriority w:val="0"/>
    <w:pPr>
      <w:adjustRightInd w:val="0"/>
      <w:spacing w:before="357" w:line="280" w:lineRule="exact"/>
    </w:pPr>
  </w:style>
  <w:style w:type="paragraph" w:customStyle="1" w:styleId="463">
    <w:name w:val="封面标准代替信息"/>
    <w:basedOn w:val="462"/>
    <w:qFormat/>
    <w:uiPriority w:val="0"/>
    <w:pPr>
      <w:spacing w:before="57"/>
    </w:pPr>
    <w:rPr>
      <w:sz w:val="21"/>
    </w:rPr>
  </w:style>
  <w:style w:type="paragraph" w:customStyle="1" w:styleId="464">
    <w:name w:val="MY括弧编号"/>
    <w:basedOn w:val="1"/>
    <w:link w:val="465"/>
    <w:qFormat/>
    <w:uiPriority w:val="0"/>
    <w:pPr>
      <w:spacing w:after="0" w:line="360" w:lineRule="auto"/>
    </w:pPr>
    <w:rPr>
      <w:rFonts w:ascii="Arial" w:hAnsi="Arial"/>
      <w:szCs w:val="21"/>
    </w:rPr>
  </w:style>
  <w:style w:type="character" w:customStyle="1" w:styleId="465">
    <w:name w:val="MY括弧编号 Char"/>
    <w:link w:val="464"/>
    <w:qFormat/>
    <w:uiPriority w:val="0"/>
    <w:rPr>
      <w:rFonts w:ascii="Arial" w:hAnsi="Arial"/>
      <w:kern w:val="2"/>
      <w:sz w:val="21"/>
      <w:szCs w:val="21"/>
    </w:rPr>
  </w:style>
  <w:style w:type="paragraph" w:customStyle="1" w:styleId="466">
    <w:name w:val="MY段内正文"/>
    <w:basedOn w:val="1"/>
    <w:link w:val="467"/>
    <w:qFormat/>
    <w:uiPriority w:val="0"/>
    <w:pPr>
      <w:spacing w:after="0" w:line="360" w:lineRule="auto"/>
      <w:ind w:left="283" w:leftChars="135" w:firstLine="424" w:firstLineChars="202"/>
    </w:pPr>
    <w:rPr>
      <w:rFonts w:ascii="Arial" w:hAnsi="Arial"/>
      <w:szCs w:val="21"/>
    </w:rPr>
  </w:style>
  <w:style w:type="character" w:customStyle="1" w:styleId="467">
    <w:name w:val="MY段内正文 Char"/>
    <w:link w:val="466"/>
    <w:qFormat/>
    <w:uiPriority w:val="0"/>
    <w:rPr>
      <w:rFonts w:ascii="Arial" w:hAnsi="Arial"/>
      <w:kern w:val="2"/>
      <w:sz w:val="21"/>
      <w:szCs w:val="21"/>
    </w:rPr>
  </w:style>
  <w:style w:type="paragraph" w:customStyle="1" w:styleId="468">
    <w:name w:val="3.(1)in"/>
    <w:basedOn w:val="1"/>
    <w:link w:val="469"/>
    <w:qFormat/>
    <w:uiPriority w:val="0"/>
    <w:pPr>
      <w:adjustRightInd w:val="0"/>
      <w:snapToGrid w:val="0"/>
      <w:spacing w:beforeLines="20" w:afterLines="20" w:line="300" w:lineRule="auto"/>
      <w:ind w:left="1695"/>
      <w:jc w:val="left"/>
    </w:pPr>
    <w:rPr>
      <w:rFonts w:ascii="Calibri" w:hAnsi="Calibri" w:eastAsia="DFKai-SB"/>
      <w:sz w:val="28"/>
      <w:szCs w:val="28"/>
      <w:lang w:eastAsia="zh-TW"/>
    </w:rPr>
  </w:style>
  <w:style w:type="character" w:customStyle="1" w:styleId="469">
    <w:name w:val="3.(1)in 字元"/>
    <w:link w:val="468"/>
    <w:qFormat/>
    <w:uiPriority w:val="0"/>
    <w:rPr>
      <w:rFonts w:ascii="Calibri" w:hAnsi="Calibri" w:eastAsia="DFKai-SB"/>
      <w:kern w:val="2"/>
      <w:sz w:val="28"/>
      <w:szCs w:val="28"/>
      <w:lang w:eastAsia="zh-TW"/>
    </w:rPr>
  </w:style>
  <w:style w:type="paragraph" w:customStyle="1" w:styleId="470">
    <w:name w:val="3.(a)in"/>
    <w:basedOn w:val="1"/>
    <w:qFormat/>
    <w:uiPriority w:val="0"/>
    <w:pPr>
      <w:adjustRightInd w:val="0"/>
      <w:snapToGrid w:val="0"/>
      <w:spacing w:beforeLines="20" w:afterLines="20" w:line="300" w:lineRule="auto"/>
      <w:ind w:left="2172"/>
      <w:jc w:val="left"/>
    </w:pPr>
    <w:rPr>
      <w:rFonts w:eastAsia="DFKai-SB"/>
      <w:sz w:val="28"/>
      <w:szCs w:val="28"/>
      <w:lang w:eastAsia="zh-TW"/>
    </w:rPr>
  </w:style>
  <w:style w:type="paragraph" w:customStyle="1" w:styleId="471">
    <w:name w:val="正文黑点编号"/>
    <w:basedOn w:val="1"/>
    <w:qFormat/>
    <w:uiPriority w:val="0"/>
    <w:pPr>
      <w:numPr>
        <w:ilvl w:val="1"/>
        <w:numId w:val="9"/>
      </w:numPr>
      <w:spacing w:after="0" w:line="360" w:lineRule="auto"/>
      <w:ind w:left="257" w:leftChars="257" w:hanging="300"/>
    </w:pPr>
    <w:rPr>
      <w:rFonts w:ascii="Arial" w:hAnsi="Arial"/>
      <w:szCs w:val="21"/>
    </w:rPr>
  </w:style>
  <w:style w:type="paragraph" w:customStyle="1" w:styleId="472">
    <w:name w:val="MY一项目"/>
    <w:basedOn w:val="471"/>
    <w:link w:val="473"/>
    <w:qFormat/>
    <w:uiPriority w:val="0"/>
    <w:pPr>
      <w:numPr>
        <w:ilvl w:val="0"/>
      </w:numPr>
    </w:pPr>
  </w:style>
  <w:style w:type="character" w:customStyle="1" w:styleId="473">
    <w:name w:val="MY一项目 Char"/>
    <w:link w:val="472"/>
    <w:qFormat/>
    <w:uiPriority w:val="0"/>
    <w:rPr>
      <w:rFonts w:ascii="Arial" w:hAnsi="Arial"/>
      <w:kern w:val="2"/>
      <w:sz w:val="21"/>
      <w:szCs w:val="21"/>
    </w:rPr>
  </w:style>
  <w:style w:type="paragraph" w:customStyle="1" w:styleId="474">
    <w:name w:val="MY段首正文"/>
    <w:basedOn w:val="1"/>
    <w:link w:val="475"/>
    <w:qFormat/>
    <w:uiPriority w:val="0"/>
    <w:pPr>
      <w:spacing w:after="0" w:line="360" w:lineRule="auto"/>
      <w:ind w:firstLine="420" w:firstLineChars="200"/>
    </w:pPr>
    <w:rPr>
      <w:rFonts w:ascii="Calibri" w:hAnsi="Calibri"/>
    </w:rPr>
  </w:style>
  <w:style w:type="character" w:customStyle="1" w:styleId="475">
    <w:name w:val="MY段首正文 Char"/>
    <w:link w:val="474"/>
    <w:qFormat/>
    <w:uiPriority w:val="0"/>
    <w:rPr>
      <w:rFonts w:ascii="Calibri" w:hAnsi="Calibri"/>
      <w:kern w:val="2"/>
      <w:sz w:val="21"/>
      <w:szCs w:val="24"/>
    </w:rPr>
  </w:style>
  <w:style w:type="paragraph" w:customStyle="1" w:styleId="476">
    <w:name w:val="4.a."/>
    <w:basedOn w:val="1"/>
    <w:qFormat/>
    <w:uiPriority w:val="0"/>
    <w:pPr>
      <w:adjustRightInd w:val="0"/>
      <w:snapToGrid w:val="0"/>
      <w:spacing w:beforeLines="20" w:afterLines="20" w:line="300" w:lineRule="auto"/>
      <w:ind w:left="2898" w:leftChars="1114" w:hanging="224" w:hangingChars="80"/>
      <w:jc w:val="left"/>
    </w:pPr>
    <w:rPr>
      <w:rFonts w:eastAsia="DFKai-SB"/>
      <w:sz w:val="28"/>
      <w:szCs w:val="28"/>
      <w:lang w:eastAsia="zh-TW"/>
    </w:rPr>
  </w:style>
  <w:style w:type="paragraph" w:customStyle="1" w:styleId="477">
    <w:name w:val="4.(1)"/>
    <w:basedOn w:val="1"/>
    <w:link w:val="478"/>
    <w:qFormat/>
    <w:uiPriority w:val="0"/>
    <w:pPr>
      <w:adjustRightInd w:val="0"/>
      <w:snapToGrid w:val="0"/>
      <w:spacing w:beforeLines="20" w:afterLines="20" w:line="300" w:lineRule="auto"/>
      <w:ind w:left="2631" w:leftChars="962" w:hanging="322" w:hangingChars="115"/>
      <w:jc w:val="left"/>
    </w:pPr>
    <w:rPr>
      <w:rFonts w:ascii="Calibri" w:hAnsi="Calibri" w:eastAsia="DFKai-SB"/>
      <w:sz w:val="28"/>
      <w:szCs w:val="28"/>
      <w:lang w:eastAsia="zh-TW"/>
    </w:rPr>
  </w:style>
  <w:style w:type="character" w:customStyle="1" w:styleId="478">
    <w:name w:val="4.(1) 字元"/>
    <w:link w:val="477"/>
    <w:qFormat/>
    <w:uiPriority w:val="0"/>
    <w:rPr>
      <w:rFonts w:ascii="Calibri" w:hAnsi="Calibri" w:eastAsia="DFKai-SB"/>
      <w:kern w:val="2"/>
      <w:sz w:val="28"/>
      <w:szCs w:val="28"/>
      <w:lang w:eastAsia="zh-TW"/>
    </w:rPr>
  </w:style>
  <w:style w:type="paragraph" w:customStyle="1" w:styleId="479">
    <w:name w:val="4.(1)in"/>
    <w:basedOn w:val="1"/>
    <w:link w:val="480"/>
    <w:qFormat/>
    <w:uiPriority w:val="0"/>
    <w:pPr>
      <w:adjustRightInd w:val="0"/>
      <w:snapToGrid w:val="0"/>
      <w:spacing w:beforeLines="20" w:afterLines="20" w:line="300" w:lineRule="auto"/>
      <w:ind w:left="2660"/>
      <w:jc w:val="left"/>
    </w:pPr>
    <w:rPr>
      <w:rFonts w:ascii="Calibri" w:hAnsi="Calibri" w:eastAsia="DFKai-SB"/>
      <w:sz w:val="28"/>
      <w:szCs w:val="20"/>
      <w:lang w:eastAsia="zh-TW"/>
    </w:rPr>
  </w:style>
  <w:style w:type="character" w:customStyle="1" w:styleId="480">
    <w:name w:val="4.(1)in 字元"/>
    <w:link w:val="479"/>
    <w:qFormat/>
    <w:uiPriority w:val="0"/>
    <w:rPr>
      <w:rFonts w:ascii="Calibri" w:hAnsi="Calibri" w:eastAsia="DFKai-SB"/>
      <w:kern w:val="2"/>
      <w:sz w:val="28"/>
      <w:lang w:eastAsia="zh-TW"/>
    </w:rPr>
  </w:style>
  <w:style w:type="paragraph" w:customStyle="1" w:styleId="481">
    <w:name w:val="4.in"/>
    <w:basedOn w:val="1"/>
    <w:qFormat/>
    <w:uiPriority w:val="0"/>
    <w:pPr>
      <w:adjustRightInd w:val="0"/>
      <w:snapToGrid w:val="0"/>
      <w:spacing w:beforeLines="20" w:afterLines="20" w:line="300" w:lineRule="auto"/>
      <w:ind w:left="2366"/>
      <w:jc w:val="left"/>
    </w:pPr>
    <w:rPr>
      <w:rFonts w:eastAsia="DFKai-SB"/>
      <w:sz w:val="28"/>
      <w:szCs w:val="28"/>
      <w:lang w:eastAsia="zh-TW"/>
    </w:rPr>
  </w:style>
  <w:style w:type="paragraph" w:customStyle="1" w:styleId="482">
    <w:name w:val="4.(a)"/>
    <w:basedOn w:val="1"/>
    <w:qFormat/>
    <w:uiPriority w:val="0"/>
    <w:pPr>
      <w:adjustRightInd w:val="0"/>
      <w:snapToGrid w:val="0"/>
      <w:spacing w:beforeLines="20" w:afterLines="20" w:line="300" w:lineRule="auto"/>
      <w:ind w:left="3162" w:leftChars="1201" w:hanging="280" w:hangingChars="100"/>
      <w:jc w:val="left"/>
    </w:pPr>
    <w:rPr>
      <w:rFonts w:ascii="Calibri" w:hAnsi="Calibri" w:eastAsia="DFKai-SB"/>
      <w:kern w:val="0"/>
      <w:sz w:val="28"/>
      <w:szCs w:val="28"/>
      <w:lang w:eastAsia="zh-TW"/>
    </w:rPr>
  </w:style>
  <w:style w:type="paragraph" w:customStyle="1" w:styleId="483">
    <w:name w:val="2(1)in"/>
    <w:basedOn w:val="1"/>
    <w:link w:val="484"/>
    <w:qFormat/>
    <w:uiPriority w:val="0"/>
    <w:pPr>
      <w:snapToGrid w:val="0"/>
      <w:spacing w:beforeLines="20" w:afterLines="20" w:line="300" w:lineRule="auto"/>
      <w:ind w:left="330" w:leftChars="330"/>
    </w:pPr>
    <w:rPr>
      <w:rFonts w:ascii="Calibri" w:hAnsi="Calibri" w:eastAsia="PMingLiU"/>
      <w:sz w:val="24"/>
      <w:lang w:eastAsia="zh-TW"/>
    </w:rPr>
  </w:style>
  <w:style w:type="character" w:customStyle="1" w:styleId="484">
    <w:name w:val="2(1)in 字元"/>
    <w:link w:val="483"/>
    <w:qFormat/>
    <w:uiPriority w:val="0"/>
    <w:rPr>
      <w:rFonts w:ascii="Calibri" w:hAnsi="Calibri" w:eastAsia="PMingLiU"/>
      <w:kern w:val="2"/>
      <w:sz w:val="24"/>
      <w:szCs w:val="24"/>
      <w:lang w:eastAsia="zh-TW"/>
    </w:rPr>
  </w:style>
  <w:style w:type="paragraph" w:customStyle="1" w:styleId="485">
    <w:name w:val="2(1)"/>
    <w:basedOn w:val="1"/>
    <w:qFormat/>
    <w:uiPriority w:val="0"/>
    <w:pPr>
      <w:snapToGrid w:val="0"/>
      <w:spacing w:beforeLines="20" w:afterLines="20" w:line="300" w:lineRule="auto"/>
      <w:ind w:left="340" w:leftChars="220" w:hanging="120" w:hangingChars="120"/>
    </w:pPr>
    <w:rPr>
      <w:rFonts w:eastAsia="PMingLiU" w:cs="PMingLiU"/>
      <w:sz w:val="24"/>
      <w:szCs w:val="20"/>
      <w:lang w:eastAsia="zh-TW"/>
    </w:rPr>
  </w:style>
  <w:style w:type="paragraph" w:customStyle="1" w:styleId="486">
    <w:name w:val="My正文"/>
    <w:basedOn w:val="1"/>
    <w:qFormat/>
    <w:uiPriority w:val="0"/>
    <w:pPr>
      <w:adjustRightInd w:val="0"/>
      <w:spacing w:before="120" w:after="0" w:line="360" w:lineRule="auto"/>
      <w:ind w:firstLine="567"/>
      <w:textAlignment w:val="baseline"/>
    </w:pPr>
    <w:rPr>
      <w:rFonts w:ascii="Arial" w:hAnsi="Arial"/>
      <w:kern w:val="0"/>
      <w:sz w:val="24"/>
      <w:szCs w:val="20"/>
    </w:rPr>
  </w:style>
  <w:style w:type="paragraph" w:customStyle="1" w:styleId="487">
    <w:name w:val="框內1."/>
    <w:basedOn w:val="1"/>
    <w:qFormat/>
    <w:uiPriority w:val="0"/>
    <w:pPr>
      <w:spacing w:after="0" w:line="360" w:lineRule="auto"/>
      <w:ind w:left="539" w:right="57" w:hanging="482"/>
    </w:pPr>
    <w:rPr>
      <w:rFonts w:eastAsia="DFKai-SB"/>
      <w:sz w:val="28"/>
      <w:szCs w:val="28"/>
      <w:lang w:eastAsia="zh-TW"/>
    </w:rPr>
  </w:style>
  <w:style w:type="paragraph" w:customStyle="1" w:styleId="488">
    <w:name w:val="标题3"/>
    <w:basedOn w:val="4"/>
    <w:link w:val="489"/>
    <w:qFormat/>
    <w:uiPriority w:val="0"/>
    <w:pPr>
      <w:numPr>
        <w:ilvl w:val="0"/>
        <w:numId w:val="10"/>
      </w:numPr>
      <w:spacing w:line="416" w:lineRule="auto"/>
      <w:ind w:firstLine="0" w:firstLineChars="0"/>
    </w:pPr>
    <w:rPr>
      <w:rFonts w:ascii="宋体" w:hAnsi="宋体" w:eastAsia="宋体"/>
      <w:bCs w:val="0"/>
      <w:sz w:val="24"/>
      <w:szCs w:val="24"/>
    </w:rPr>
  </w:style>
  <w:style w:type="character" w:customStyle="1" w:styleId="489">
    <w:name w:val="标题3 Char"/>
    <w:link w:val="488"/>
    <w:qFormat/>
    <w:uiPriority w:val="0"/>
    <w:rPr>
      <w:rFonts w:ascii="宋体" w:hAnsi="宋体"/>
      <w:b/>
      <w:kern w:val="2"/>
      <w:sz w:val="24"/>
      <w:szCs w:val="24"/>
    </w:rPr>
  </w:style>
  <w:style w:type="paragraph" w:customStyle="1" w:styleId="490">
    <w:name w:val="MY二项目"/>
    <w:basedOn w:val="472"/>
    <w:link w:val="491"/>
    <w:qFormat/>
    <w:uiPriority w:val="0"/>
    <w:pPr>
      <w:numPr>
        <w:numId w:val="11"/>
      </w:numPr>
    </w:pPr>
  </w:style>
  <w:style w:type="character" w:customStyle="1" w:styleId="491">
    <w:name w:val="MY二项目 Char"/>
    <w:link w:val="490"/>
    <w:qFormat/>
    <w:uiPriority w:val="0"/>
    <w:rPr>
      <w:rFonts w:ascii="Arial" w:hAnsi="Arial"/>
      <w:kern w:val="2"/>
      <w:sz w:val="21"/>
      <w:szCs w:val="21"/>
    </w:rPr>
  </w:style>
  <w:style w:type="paragraph" w:customStyle="1" w:styleId="492">
    <w:name w:val="4.a.in"/>
    <w:basedOn w:val="1"/>
    <w:qFormat/>
    <w:uiPriority w:val="0"/>
    <w:pPr>
      <w:adjustRightInd w:val="0"/>
      <w:snapToGrid w:val="0"/>
      <w:spacing w:beforeLines="20" w:afterLines="20" w:line="300" w:lineRule="auto"/>
      <w:ind w:left="2880"/>
      <w:jc w:val="left"/>
    </w:pPr>
    <w:rPr>
      <w:rFonts w:eastAsia="DFKai-SB"/>
      <w:sz w:val="28"/>
      <w:szCs w:val="28"/>
      <w:lang w:eastAsia="zh-TW"/>
    </w:rPr>
  </w:style>
  <w:style w:type="paragraph" w:customStyle="1" w:styleId="493">
    <w:name w:val="圈数字"/>
    <w:basedOn w:val="14"/>
    <w:qFormat/>
    <w:uiPriority w:val="0"/>
    <w:pPr>
      <w:numPr>
        <w:ilvl w:val="2"/>
        <w:numId w:val="12"/>
      </w:numPr>
      <w:tabs>
        <w:tab w:val="left" w:pos="540"/>
        <w:tab w:val="clear" w:pos="1200"/>
      </w:tabs>
      <w:spacing w:before="62" w:after="62" w:line="360" w:lineRule="auto"/>
      <w:ind w:left="540" w:hanging="540"/>
    </w:pPr>
    <w:rPr>
      <w:rFonts w:ascii="Arial" w:hAnsi="宋体" w:cs="Arial"/>
      <w:kern w:val="0"/>
      <w:sz w:val="20"/>
      <w:szCs w:val="28"/>
    </w:rPr>
  </w:style>
  <w:style w:type="paragraph" w:customStyle="1" w:styleId="494">
    <w:name w:val="N4"/>
    <w:basedOn w:val="5"/>
    <w:link w:val="495"/>
    <w:qFormat/>
    <w:uiPriority w:val="0"/>
    <w:pPr>
      <w:keepLines w:val="0"/>
      <w:spacing w:before="0" w:after="0" w:line="360" w:lineRule="auto"/>
      <w:ind w:left="864" w:hanging="864"/>
      <w:jc w:val="left"/>
      <w:outlineLvl w:val="9"/>
    </w:pPr>
    <w:rPr>
      <w:rFonts w:eastAsia="宋体"/>
      <w:bCs w:val="0"/>
      <w:kern w:val="0"/>
      <w:sz w:val="21"/>
      <w:szCs w:val="24"/>
    </w:rPr>
  </w:style>
  <w:style w:type="character" w:customStyle="1" w:styleId="495">
    <w:name w:val="N4 Char"/>
    <w:link w:val="494"/>
    <w:qFormat/>
    <w:uiPriority w:val="0"/>
    <w:rPr>
      <w:rFonts w:ascii="Arial" w:hAnsi="Arial"/>
      <w:b/>
      <w:sz w:val="21"/>
      <w:szCs w:val="24"/>
    </w:rPr>
  </w:style>
  <w:style w:type="paragraph" w:customStyle="1" w:styleId="496">
    <w:name w:val="正文项目符号"/>
    <w:basedOn w:val="1"/>
    <w:qFormat/>
    <w:uiPriority w:val="0"/>
    <w:pPr>
      <w:numPr>
        <w:ilvl w:val="0"/>
        <w:numId w:val="13"/>
      </w:numPr>
      <w:spacing w:after="0" w:line="360" w:lineRule="auto"/>
      <w:ind w:right="100" w:rightChars="100"/>
    </w:pPr>
    <w:rPr>
      <w:rFonts w:ascii="Calibri" w:hAnsi="Calibri"/>
      <w:sz w:val="24"/>
      <w:szCs w:val="21"/>
    </w:rPr>
  </w:style>
  <w:style w:type="paragraph" w:customStyle="1" w:styleId="497">
    <w:name w:val="N2"/>
    <w:basedOn w:val="3"/>
    <w:link w:val="498"/>
    <w:qFormat/>
    <w:uiPriority w:val="0"/>
    <w:pPr>
      <w:keepLines/>
      <w:adjustRightInd/>
      <w:snapToGrid/>
      <w:spacing w:before="480" w:after="0"/>
      <w:ind w:left="576" w:hanging="576"/>
      <w:jc w:val="left"/>
      <w:textAlignment w:val="auto"/>
    </w:pPr>
    <w:rPr>
      <w:rFonts w:ascii="Arial" w:hAnsi="Arial" w:eastAsia="宋体"/>
      <w:sz w:val="21"/>
      <w:szCs w:val="21"/>
    </w:rPr>
  </w:style>
  <w:style w:type="character" w:customStyle="1" w:styleId="498">
    <w:name w:val="N2 Char"/>
    <w:link w:val="497"/>
    <w:qFormat/>
    <w:uiPriority w:val="0"/>
    <w:rPr>
      <w:rFonts w:ascii="Arial" w:hAnsi="Arial"/>
      <w:b/>
      <w:sz w:val="21"/>
      <w:szCs w:val="21"/>
    </w:rPr>
  </w:style>
  <w:style w:type="paragraph" w:customStyle="1" w:styleId="499">
    <w:name w:val="3.(1)"/>
    <w:basedOn w:val="1"/>
    <w:link w:val="500"/>
    <w:qFormat/>
    <w:uiPriority w:val="0"/>
    <w:pPr>
      <w:adjustRightInd w:val="0"/>
      <w:snapToGrid w:val="0"/>
      <w:spacing w:beforeLines="20" w:afterLines="20" w:line="300" w:lineRule="auto"/>
      <w:ind w:left="686" w:leftChars="571" w:hanging="115" w:hangingChars="115"/>
      <w:jc w:val="left"/>
    </w:pPr>
    <w:rPr>
      <w:rFonts w:ascii="Calibri" w:hAnsi="Calibri" w:eastAsia="DFKai-SB"/>
      <w:sz w:val="28"/>
      <w:szCs w:val="28"/>
      <w:lang w:eastAsia="zh-TW"/>
    </w:rPr>
  </w:style>
  <w:style w:type="character" w:customStyle="1" w:styleId="500">
    <w:name w:val="3.(1) 字元"/>
    <w:link w:val="499"/>
    <w:qFormat/>
    <w:uiPriority w:val="0"/>
    <w:rPr>
      <w:rFonts w:ascii="Calibri" w:hAnsi="Calibri" w:eastAsia="DFKai-SB"/>
      <w:kern w:val="2"/>
      <w:sz w:val="28"/>
      <w:szCs w:val="28"/>
      <w:lang w:eastAsia="zh-TW"/>
    </w:rPr>
  </w:style>
  <w:style w:type="paragraph" w:customStyle="1" w:styleId="501">
    <w:name w:val="样式 正文文本缩进 + 左  0 字符"/>
    <w:basedOn w:val="21"/>
    <w:qFormat/>
    <w:uiPriority w:val="0"/>
    <w:pPr>
      <w:spacing w:after="0" w:line="360" w:lineRule="auto"/>
      <w:ind w:firstLine="250" w:firstLineChars="250"/>
    </w:pPr>
    <w:rPr>
      <w:rFonts w:ascii="Times New Roman" w:hAnsi="Times New Roman" w:cs="宋体"/>
      <w:spacing w:val="0"/>
      <w:sz w:val="24"/>
    </w:rPr>
  </w:style>
  <w:style w:type="character" w:customStyle="1" w:styleId="502">
    <w:name w:val="标题 1 Char1"/>
    <w:qFormat/>
    <w:uiPriority w:val="0"/>
    <w:rPr>
      <w:b/>
      <w:bCs/>
      <w:kern w:val="44"/>
      <w:sz w:val="44"/>
      <w:szCs w:val="44"/>
    </w:rPr>
  </w:style>
  <w:style w:type="character" w:customStyle="1" w:styleId="503">
    <w:name w:val="标题 6 Char1"/>
    <w:semiHidden/>
    <w:qFormat/>
    <w:uiPriority w:val="0"/>
    <w:rPr>
      <w:rFonts w:ascii="Calibri Light" w:hAnsi="Calibri Light" w:eastAsia="宋体" w:cs="Times New Roman"/>
      <w:b/>
      <w:bCs/>
      <w:kern w:val="2"/>
      <w:sz w:val="24"/>
      <w:szCs w:val="24"/>
    </w:rPr>
  </w:style>
  <w:style w:type="character" w:customStyle="1" w:styleId="504">
    <w:name w:val="标题 8 Char1"/>
    <w:semiHidden/>
    <w:qFormat/>
    <w:uiPriority w:val="0"/>
    <w:rPr>
      <w:rFonts w:ascii="Calibri Light" w:hAnsi="Calibri Light" w:eastAsia="宋体" w:cs="Times New Roman"/>
      <w:kern w:val="2"/>
      <w:sz w:val="24"/>
      <w:szCs w:val="24"/>
    </w:rPr>
  </w:style>
  <w:style w:type="character" w:customStyle="1" w:styleId="505">
    <w:name w:val="标题 9 Char1"/>
    <w:semiHidden/>
    <w:qFormat/>
    <w:uiPriority w:val="0"/>
    <w:rPr>
      <w:rFonts w:ascii="Calibri Light" w:hAnsi="Calibri Light" w:eastAsia="宋体" w:cs="Times New Roman"/>
      <w:kern w:val="2"/>
      <w:sz w:val="21"/>
      <w:szCs w:val="21"/>
    </w:rPr>
  </w:style>
  <w:style w:type="paragraph" w:customStyle="1" w:styleId="506">
    <w:name w:val="標題內文"/>
    <w:basedOn w:val="1"/>
    <w:qFormat/>
    <w:uiPriority w:val="0"/>
    <w:pPr>
      <w:spacing w:after="0" w:line="500" w:lineRule="exact"/>
      <w:ind w:left="100" w:leftChars="100"/>
    </w:pPr>
    <w:rPr>
      <w:rFonts w:eastAsia="PMingLiU"/>
      <w:color w:val="333333"/>
      <w:kern w:val="0"/>
      <w:sz w:val="24"/>
      <w:lang w:eastAsia="zh-TW"/>
    </w:rPr>
  </w:style>
  <w:style w:type="character" w:customStyle="1" w:styleId="507">
    <w:name w:val="title_span"/>
    <w:qFormat/>
    <w:uiPriority w:val="0"/>
  </w:style>
  <w:style w:type="paragraph" w:customStyle="1" w:styleId="508">
    <w:name w:val="daijia_p"/>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09">
    <w:name w:val="case_dian"/>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10">
    <w:name w:val="1.1.1样式"/>
    <w:basedOn w:val="1"/>
    <w:link w:val="511"/>
    <w:qFormat/>
    <w:uiPriority w:val="0"/>
    <w:pPr>
      <w:tabs>
        <w:tab w:val="left" w:pos="720"/>
      </w:tabs>
      <w:spacing w:after="0" w:line="360" w:lineRule="auto"/>
      <w:ind w:left="720" w:hanging="720"/>
    </w:pPr>
    <w:rPr>
      <w:rFonts w:ascii="宋体" w:hAnsi="宋体"/>
      <w:sz w:val="24"/>
    </w:rPr>
  </w:style>
  <w:style w:type="character" w:customStyle="1" w:styleId="511">
    <w:name w:val="1.1.1样式 Char"/>
    <w:link w:val="510"/>
    <w:qFormat/>
    <w:uiPriority w:val="0"/>
    <w:rPr>
      <w:rFonts w:ascii="宋体" w:hAnsi="宋体"/>
      <w:kern w:val="2"/>
      <w:sz w:val="24"/>
      <w:szCs w:val="24"/>
    </w:rPr>
  </w:style>
  <w:style w:type="paragraph" w:customStyle="1" w:styleId="512">
    <w:name w:val="xl50"/>
    <w:basedOn w:val="1"/>
    <w:qFormat/>
    <w:uiPriority w:val="0"/>
    <w:pPr>
      <w:widowControl/>
      <w:pBdr>
        <w:bottom w:val="single" w:color="auto" w:sz="4" w:space="0"/>
      </w:pBdr>
      <w:spacing w:before="100" w:beforeAutospacing="1" w:after="100" w:afterAutospacing="1" w:line="360" w:lineRule="auto"/>
      <w:jc w:val="center"/>
      <w:textAlignment w:val="center"/>
    </w:pPr>
    <w:rPr>
      <w:rFonts w:ascii="宋体" w:hAnsi="宋体"/>
      <w:kern w:val="0"/>
      <w:sz w:val="24"/>
    </w:rPr>
  </w:style>
  <w:style w:type="character" w:customStyle="1" w:styleId="513">
    <w:name w:val="标题 4 Char Char"/>
    <w:qFormat/>
    <w:uiPriority w:val="0"/>
    <w:rPr>
      <w:rFonts w:ascii="Arial" w:hAnsi="Arial" w:eastAsia="黑体"/>
      <w:b/>
      <w:bCs/>
      <w:kern w:val="2"/>
      <w:sz w:val="28"/>
      <w:szCs w:val="28"/>
      <w:lang w:val="en-US" w:eastAsia="zh-CN" w:bidi="ar-SA"/>
    </w:rPr>
  </w:style>
  <w:style w:type="paragraph" w:customStyle="1" w:styleId="514">
    <w:name w:val="IBM 正文"/>
    <w:basedOn w:val="1"/>
    <w:qFormat/>
    <w:uiPriority w:val="0"/>
    <w:pPr>
      <w:spacing w:after="0" w:line="360" w:lineRule="exact"/>
    </w:pPr>
    <w:rPr>
      <w:sz w:val="24"/>
      <w:szCs w:val="20"/>
    </w:rPr>
  </w:style>
  <w:style w:type="paragraph" w:customStyle="1" w:styleId="515">
    <w:name w:val="缺省文本"/>
    <w:basedOn w:val="1"/>
    <w:qFormat/>
    <w:uiPriority w:val="0"/>
    <w:pPr>
      <w:autoSpaceDE w:val="0"/>
      <w:autoSpaceDN w:val="0"/>
      <w:adjustRightInd w:val="0"/>
      <w:spacing w:after="0" w:line="360" w:lineRule="auto"/>
      <w:jc w:val="left"/>
    </w:pPr>
    <w:rPr>
      <w:rFonts w:eastAsia="Times New Roman"/>
      <w:kern w:val="0"/>
      <w:sz w:val="24"/>
      <w:lang w:eastAsia="en-US"/>
    </w:rPr>
  </w:style>
  <w:style w:type="paragraph" w:customStyle="1" w:styleId="516">
    <w:name w:val="1.1样式"/>
    <w:basedOn w:val="1"/>
    <w:link w:val="517"/>
    <w:qFormat/>
    <w:uiPriority w:val="0"/>
    <w:pPr>
      <w:tabs>
        <w:tab w:val="left" w:pos="567"/>
      </w:tabs>
      <w:spacing w:before="240" w:after="0" w:line="480" w:lineRule="auto"/>
      <w:ind w:left="567" w:hanging="567"/>
    </w:pPr>
    <w:rPr>
      <w:rFonts w:ascii="Calibri" w:hAnsi="Calibri"/>
      <w:b/>
      <w:sz w:val="28"/>
      <w:szCs w:val="28"/>
    </w:rPr>
  </w:style>
  <w:style w:type="character" w:customStyle="1" w:styleId="517">
    <w:name w:val="1.1样式 Char"/>
    <w:link w:val="516"/>
    <w:qFormat/>
    <w:uiPriority w:val="0"/>
    <w:rPr>
      <w:rFonts w:ascii="Calibri" w:hAnsi="Calibri"/>
      <w:b/>
      <w:kern w:val="2"/>
      <w:sz w:val="28"/>
      <w:szCs w:val="28"/>
    </w:rPr>
  </w:style>
  <w:style w:type="paragraph" w:customStyle="1" w:styleId="518">
    <w:name w:val="1.1.1.1样式"/>
    <w:basedOn w:val="1"/>
    <w:link w:val="519"/>
    <w:qFormat/>
    <w:uiPriority w:val="0"/>
    <w:pPr>
      <w:numPr>
        <w:ilvl w:val="3"/>
        <w:numId w:val="14"/>
      </w:numPr>
      <w:spacing w:after="0" w:line="360" w:lineRule="auto"/>
    </w:pPr>
    <w:rPr>
      <w:rFonts w:ascii="Calibri" w:hAnsi="Calibri"/>
      <w:bCs/>
      <w:szCs w:val="21"/>
      <w:lang w:val="zh-CN"/>
    </w:rPr>
  </w:style>
  <w:style w:type="character" w:customStyle="1" w:styleId="519">
    <w:name w:val="1.1.1.1样式 Char"/>
    <w:link w:val="518"/>
    <w:qFormat/>
    <w:uiPriority w:val="0"/>
    <w:rPr>
      <w:rFonts w:ascii="Calibri" w:hAnsi="Calibri"/>
      <w:bCs/>
      <w:kern w:val="2"/>
      <w:sz w:val="21"/>
      <w:szCs w:val="21"/>
      <w:lang w:val="zh-CN"/>
    </w:rPr>
  </w:style>
  <w:style w:type="character" w:customStyle="1" w:styleId="520">
    <w:name w:val="1(1) 字元1"/>
    <w:qFormat/>
    <w:uiPriority w:val="0"/>
    <w:rPr>
      <w:rFonts w:hint="eastAsia" w:ascii="PMingLiU" w:hAnsi="PMingLiU" w:eastAsia="PMingLiU" w:cs="PMingLiU"/>
      <w:kern w:val="2"/>
      <w:sz w:val="24"/>
      <w:szCs w:val="24"/>
      <w:lang w:val="en-US" w:eastAsia="zh-TW" w:bidi="ar-SA"/>
    </w:rPr>
  </w:style>
  <w:style w:type="paragraph" w:customStyle="1" w:styleId="521">
    <w:name w:val="样式 正文部分 + 首行缩进:  2 字符 段前: 0.5 行"/>
    <w:basedOn w:val="1"/>
    <w:qFormat/>
    <w:uiPriority w:val="0"/>
    <w:pPr>
      <w:spacing w:after="0" w:line="360" w:lineRule="exact"/>
      <w:ind w:firstLine="200" w:firstLineChars="200"/>
    </w:pPr>
    <w:rPr>
      <w:rFonts w:cs="宋体"/>
      <w:szCs w:val="20"/>
    </w:rPr>
  </w:style>
  <w:style w:type="character" w:customStyle="1" w:styleId="522">
    <w:name w:val="样式 宋体"/>
    <w:qFormat/>
    <w:uiPriority w:val="0"/>
    <w:rPr>
      <w:rFonts w:ascii="宋体" w:hAnsi="宋体" w:eastAsia="宋体"/>
      <w:sz w:val="24"/>
      <w:szCs w:val="24"/>
    </w:rPr>
  </w:style>
  <w:style w:type="character" w:customStyle="1" w:styleId="523">
    <w:name w:val="xdtextbox1"/>
    <w:qFormat/>
    <w:uiPriority w:val="0"/>
    <w:rPr>
      <w:color w:val="auto"/>
      <w:bdr w:val="single" w:color="DCDCDC" w:sz="8" w:space="0"/>
      <w:shd w:val="clear" w:color="auto" w:fill="FFFFFF"/>
    </w:rPr>
  </w:style>
  <w:style w:type="paragraph" w:customStyle="1" w:styleId="524">
    <w:name w:val="Basic body"/>
    <w:qFormat/>
    <w:uiPriority w:val="0"/>
    <w:rPr>
      <w:rFonts w:ascii="Times New Roman" w:hAnsi="Times New Roman" w:eastAsia="宋体" w:cs="Times New Roman"/>
      <w:lang w:val="en-US" w:eastAsia="zh-CN" w:bidi="ar-SA"/>
    </w:rPr>
  </w:style>
  <w:style w:type="paragraph" w:customStyle="1" w:styleId="525">
    <w:name w:val="论文正文格式"/>
    <w:basedOn w:val="1"/>
    <w:qFormat/>
    <w:uiPriority w:val="0"/>
    <w:pPr>
      <w:spacing w:after="0" w:line="360" w:lineRule="auto"/>
      <w:ind w:firstLine="480" w:firstLineChars="200"/>
    </w:pPr>
    <w:rPr>
      <w:sz w:val="24"/>
      <w:szCs w:val="18"/>
    </w:rPr>
  </w:style>
  <w:style w:type="paragraph" w:customStyle="1" w:styleId="526">
    <w:name w:val="样式 表格正文 + 五号 两端对齐 行距: 单倍行距"/>
    <w:basedOn w:val="111"/>
    <w:qFormat/>
    <w:uiPriority w:val="0"/>
    <w:pPr>
      <w:keepNext/>
      <w:adjustRightInd w:val="0"/>
      <w:snapToGrid w:val="0"/>
      <w:spacing w:before="60" w:after="0" w:line="360" w:lineRule="auto"/>
      <w:ind w:left="840" w:hanging="840"/>
    </w:pPr>
    <w:rPr>
      <w:snapToGrid w:val="0"/>
      <w:kern w:val="0"/>
      <w:szCs w:val="20"/>
    </w:rPr>
  </w:style>
  <w:style w:type="paragraph" w:customStyle="1" w:styleId="527">
    <w:name w:val="表格标题"/>
    <w:qFormat/>
    <w:uiPriority w:val="0"/>
    <w:pPr>
      <w:keepNext/>
      <w:widowControl w:val="0"/>
      <w:adjustRightInd w:val="0"/>
      <w:snapToGrid w:val="0"/>
      <w:spacing w:before="60" w:line="300" w:lineRule="auto"/>
      <w:jc w:val="center"/>
    </w:pPr>
    <w:rPr>
      <w:rFonts w:ascii="Times New Roman" w:hAnsi="Times New Roman" w:eastAsia="宋体" w:cs="Times New Roman"/>
      <w:b/>
      <w:kern w:val="2"/>
      <w:sz w:val="24"/>
      <w:szCs w:val="24"/>
      <w:lang w:val="en-US" w:eastAsia="zh-CN" w:bidi="ar-SA"/>
    </w:rPr>
  </w:style>
  <w:style w:type="paragraph" w:customStyle="1" w:styleId="528">
    <w:name w:val="Char Char Char1 Char Char Char Char"/>
    <w:basedOn w:val="1"/>
    <w:qFormat/>
    <w:uiPriority w:val="0"/>
    <w:pPr>
      <w:spacing w:after="0" w:line="360" w:lineRule="auto"/>
    </w:pPr>
    <w:rPr>
      <w:rFonts w:ascii="Tahoma" w:hAnsi="Tahoma"/>
      <w:sz w:val="24"/>
      <w:szCs w:val="20"/>
    </w:rPr>
  </w:style>
  <w:style w:type="paragraph" w:customStyle="1" w:styleId="529">
    <w:name w:val="列出段落31"/>
    <w:basedOn w:val="1"/>
    <w:qFormat/>
    <w:uiPriority w:val="0"/>
    <w:pPr>
      <w:spacing w:after="0" w:line="360" w:lineRule="auto"/>
      <w:ind w:firstLine="420" w:firstLineChars="200"/>
    </w:pPr>
    <w:rPr>
      <w:rFonts w:ascii="Calibri" w:hAnsi="Calibri"/>
      <w:szCs w:val="21"/>
    </w:rPr>
  </w:style>
  <w:style w:type="character" w:customStyle="1" w:styleId="530">
    <w:name w:val="description"/>
    <w:basedOn w:val="56"/>
    <w:qFormat/>
    <w:uiPriority w:val="0"/>
  </w:style>
  <w:style w:type="paragraph" w:customStyle="1" w:styleId="531">
    <w:name w:val="主标题"/>
    <w:basedOn w:val="1"/>
    <w:qFormat/>
    <w:uiPriority w:val="0"/>
    <w:pPr>
      <w:numPr>
        <w:ilvl w:val="0"/>
        <w:numId w:val="15"/>
      </w:numPr>
      <w:spacing w:after="0" w:line="240" w:lineRule="auto"/>
    </w:pPr>
    <w:rPr>
      <w:szCs w:val="20"/>
    </w:rPr>
  </w:style>
  <w:style w:type="paragraph" w:customStyle="1" w:styleId="532">
    <w:name w:val="Note"/>
    <w:basedOn w:val="29"/>
    <w:qFormat/>
    <w:uiPriority w:val="0"/>
    <w:pPr>
      <w:spacing w:beforeLines="50" w:after="0" w:line="288" w:lineRule="auto"/>
    </w:pPr>
    <w:rPr>
      <w:rFonts w:ascii="Times New Roman" w:hAnsi="Times New Roman" w:eastAsia="仿宋"/>
      <w:kern w:val="0"/>
      <w:szCs w:val="21"/>
    </w:rPr>
  </w:style>
  <w:style w:type="paragraph" w:customStyle="1" w:styleId="533">
    <w:name w:val="Note1"/>
    <w:basedOn w:val="532"/>
    <w:qFormat/>
    <w:uiPriority w:val="0"/>
    <w:pPr>
      <w:numPr>
        <w:ilvl w:val="0"/>
        <w:numId w:val="16"/>
      </w:numPr>
      <w:spacing w:beforeLines="0" w:line="240" w:lineRule="auto"/>
      <w:ind w:left="891"/>
    </w:pPr>
    <w:rPr>
      <w:spacing w:val="-2"/>
    </w:rPr>
  </w:style>
  <w:style w:type="paragraph" w:customStyle="1" w:styleId="534">
    <w:name w:val="Note2"/>
    <w:basedOn w:val="532"/>
    <w:qFormat/>
    <w:uiPriority w:val="0"/>
    <w:pPr>
      <w:numPr>
        <w:ilvl w:val="0"/>
        <w:numId w:val="17"/>
      </w:numPr>
      <w:spacing w:beforeLines="0"/>
      <w:ind w:left="0" w:hanging="200" w:hangingChars="200"/>
    </w:pPr>
    <w:rPr>
      <w:b/>
    </w:rPr>
  </w:style>
  <w:style w:type="paragraph" w:customStyle="1" w:styleId="535">
    <w:name w:val="Note3"/>
    <w:basedOn w:val="534"/>
    <w:qFormat/>
    <w:uiPriority w:val="0"/>
    <w:pPr>
      <w:numPr>
        <w:numId w:val="0"/>
      </w:numPr>
      <w:ind w:firstLine="200" w:firstLineChars="200"/>
    </w:pPr>
    <w:rPr>
      <w:b w:val="0"/>
    </w:rPr>
  </w:style>
  <w:style w:type="paragraph" w:customStyle="1" w:styleId="536">
    <w:name w:val="Text2"/>
    <w:basedOn w:val="246"/>
    <w:qFormat/>
    <w:uiPriority w:val="0"/>
    <w:pPr>
      <w:numPr>
        <w:numId w:val="18"/>
      </w:numPr>
      <w:ind w:left="1259"/>
    </w:pPr>
  </w:style>
  <w:style w:type="character" w:customStyle="1" w:styleId="537">
    <w:name w:val="ptb181"/>
    <w:qFormat/>
    <w:uiPriority w:val="0"/>
    <w:rPr>
      <w:rFonts w:hint="default" w:ascii="Verdana" w:hAnsi="Verdana"/>
      <w:b/>
      <w:bCs/>
      <w:color w:val="000000"/>
      <w:sz w:val="27"/>
      <w:szCs w:val="27"/>
    </w:rPr>
  </w:style>
  <w:style w:type="character" w:customStyle="1" w:styleId="538">
    <w:name w:val="headline-content"/>
    <w:qFormat/>
    <w:uiPriority w:val="0"/>
    <w:rPr>
      <w:rFonts w:cs="Times New Roman"/>
    </w:rPr>
  </w:style>
  <w:style w:type="character" w:customStyle="1" w:styleId="539">
    <w:name w:val="正文2 Char"/>
    <w:link w:val="192"/>
    <w:qFormat/>
    <w:locked/>
    <w:uiPriority w:val="0"/>
    <w:rPr>
      <w:kern w:val="2"/>
      <w:sz w:val="21"/>
    </w:rPr>
  </w:style>
  <w:style w:type="character" w:customStyle="1" w:styleId="540">
    <w:name w:val="样式1 Char"/>
    <w:qFormat/>
    <w:locked/>
    <w:uiPriority w:val="0"/>
  </w:style>
  <w:style w:type="paragraph" w:customStyle="1" w:styleId="541">
    <w:name w:val="正文格式"/>
    <w:basedOn w:val="1"/>
    <w:qFormat/>
    <w:uiPriority w:val="0"/>
    <w:pPr>
      <w:widowControl/>
      <w:spacing w:beforeLines="50" w:afterLines="50" w:line="240" w:lineRule="auto"/>
      <w:ind w:firstLine="200" w:firstLineChars="200"/>
      <w:jc w:val="left"/>
    </w:pPr>
    <w:rPr>
      <w:rFonts w:ascii="宋体" w:hAnsi="宋体"/>
      <w:kern w:val="0"/>
      <w:sz w:val="20"/>
      <w:szCs w:val="21"/>
    </w:rPr>
  </w:style>
  <w:style w:type="paragraph" w:customStyle="1" w:styleId="542">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543">
    <w:name w:val="列出段落4"/>
    <w:basedOn w:val="1"/>
    <w:qFormat/>
    <w:uiPriority w:val="0"/>
    <w:pPr>
      <w:spacing w:after="0" w:line="240" w:lineRule="auto"/>
      <w:ind w:firstLine="420" w:firstLineChars="200"/>
    </w:pPr>
    <w:rPr>
      <w:szCs w:val="20"/>
    </w:rPr>
  </w:style>
  <w:style w:type="paragraph" w:customStyle="1" w:styleId="544">
    <w:name w:val="文章正文"/>
    <w:basedOn w:val="1"/>
    <w:qFormat/>
    <w:uiPriority w:val="0"/>
    <w:pPr>
      <w:spacing w:after="0" w:line="360" w:lineRule="auto"/>
      <w:ind w:firstLine="420"/>
    </w:pPr>
    <w:rPr>
      <w:sz w:val="24"/>
    </w:rPr>
  </w:style>
  <w:style w:type="character" w:customStyle="1" w:styleId="545">
    <w:name w:val="10"/>
    <w:qFormat/>
    <w:uiPriority w:val="0"/>
    <w:rPr>
      <w:rFonts w:hint="default" w:ascii="等线" w:hAnsi="等线"/>
    </w:rPr>
  </w:style>
  <w:style w:type="character" w:customStyle="1" w:styleId="546">
    <w:name w:val="15"/>
    <w:qFormat/>
    <w:uiPriority w:val="0"/>
    <w:rPr>
      <w:rFonts w:hint="default" w:ascii="等线" w:hAnsi="等线"/>
    </w:rPr>
  </w:style>
  <w:style w:type="character" w:customStyle="1" w:styleId="547">
    <w:name w:val="普通(网站) 字符"/>
    <w:link w:val="48"/>
    <w:qFormat/>
    <w:locked/>
    <w:uiPriority w:val="99"/>
    <w:rPr>
      <w:rFonts w:ascii="宋体" w:hAnsi="宋体" w:cs="宋体"/>
      <w:sz w:val="24"/>
      <w:szCs w:val="24"/>
    </w:rPr>
  </w:style>
  <w:style w:type="character" w:customStyle="1" w:styleId="548">
    <w:name w:val="页脚 字符"/>
    <w:qFormat/>
    <w:uiPriority w:val="99"/>
    <w:rPr>
      <w:rFonts w:eastAsia="黑体"/>
      <w:snapToGrid/>
      <w:sz w:val="18"/>
      <w:szCs w:val="18"/>
    </w:rPr>
  </w:style>
  <w:style w:type="paragraph" w:customStyle="1" w:styleId="549">
    <w:name w:val="纯文本2"/>
    <w:basedOn w:val="1"/>
    <w:qFormat/>
    <w:uiPriority w:val="0"/>
    <w:pPr>
      <w:adjustRightInd w:val="0"/>
      <w:spacing w:after="0" w:line="240" w:lineRule="auto"/>
      <w:textAlignment w:val="baseline"/>
    </w:pPr>
    <w:rPr>
      <w:rFonts w:ascii="宋体" w:hAnsi="Courier New" w:eastAsia="楷体_GB2312"/>
      <w:sz w:val="26"/>
      <w:szCs w:val="20"/>
    </w:rPr>
  </w:style>
  <w:style w:type="paragraph" w:customStyle="1" w:styleId="550">
    <w:name w:val="纯文本3"/>
    <w:basedOn w:val="1"/>
    <w:qFormat/>
    <w:uiPriority w:val="0"/>
    <w:pPr>
      <w:spacing w:afterLines="50" w:line="240" w:lineRule="auto"/>
    </w:pPr>
    <w:rPr>
      <w:rFonts w:ascii="宋体" w:hAnsi="Courier New"/>
      <w:sz w:val="24"/>
      <w:szCs w:val="20"/>
    </w:rPr>
  </w:style>
  <w:style w:type="paragraph" w:customStyle="1" w:styleId="551">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55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53">
    <w:name w:val="标题 Char2"/>
    <w:qFormat/>
    <w:uiPriority w:val="0"/>
    <w:rPr>
      <w:rFonts w:ascii="Calibri Light" w:hAnsi="Calibri Light" w:eastAsia="微软雅黑"/>
      <w:b/>
      <w:bCs/>
      <w:kern w:val="2"/>
      <w:sz w:val="32"/>
      <w:szCs w:val="32"/>
    </w:rPr>
  </w:style>
  <w:style w:type="paragraph" w:customStyle="1" w:styleId="55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3074"/>
    <customShpInfo spid="_x0000_s3075"/>
    <customShpInfo spid="_x0000_s3073"/>
    <customShpInfo spid="_x0000_s3077"/>
    <customShpInfo spid="_x0000_s3078"/>
    <customShpInfo spid="_x0000_s3076"/>
    <customShpInfo spid="_x0000_s3080"/>
    <customShpInfo spid="_x0000_s3079"/>
  </customShpExts>
</s:customData>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A5969-67FA-43A0-9465-4A4181C266F5}">
  <ds:schemaRefs/>
</ds:datastoreItem>
</file>

<file path=docProps/app.xml><?xml version="1.0" encoding="utf-8"?>
<Properties xmlns="http://schemas.openxmlformats.org/officeDocument/2006/extended-properties" xmlns:vt="http://schemas.openxmlformats.org/officeDocument/2006/docPropsVTypes">
  <Company>MicroWin10.com</Company>
  <Pages>51</Pages>
  <Words>13345</Words>
  <Characters>14224</Characters>
  <Lines>222</Lines>
  <Paragraphs>62</Paragraphs>
  <TotalTime>71</TotalTime>
  <ScaleCrop>false</ScaleCrop>
  <LinksUpToDate>false</LinksUpToDate>
  <CharactersWithSpaces>14599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2022-02-22T16:12:00Z</dcterms:created>
  <dc:creator>Administrator</dc:creator>
  <cp:lastModifiedBy>Administrator</cp:lastModifiedBy>
  <cp:lastPrinted>2022-03-10T12:50:00Z</cp:lastPrinted>
  <dcterms:modified xsi:type="dcterms:W3CDTF">2025-06-18T02:46:36Z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EAAAEACE98A44AEEBAEC1EA0D5B69696</vt:lpwstr>
  </property>
  <property fmtid="{D5CDD505-2E9C-101B-9397-08002B2CF9AE}" pid="4" name="KSOTemplateDocerSaveRecord">
    <vt:lpwstr>eyJoZGlkIjoiZjk3NGM2YjQ2ZjM5MGE4NGZiOTc2NzdlMjhlODgzYTUiLCJ1c2VySWQiOiI1MDI1MzQxNjUifQ==</vt:lpwstr>
  </property>
</Properties>
</file>