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D189A">
      <w:pPr>
        <w:pStyle w:val="552"/>
        <w:jc w:val="center"/>
        <w:rPr>
          <w:rFonts w:hint="eastAsia" w:ascii="微软雅黑" w:hAnsi="微软雅黑" w:eastAsia="微软雅黑" w:cs="微软雅黑"/>
          <w:sz w:val="48"/>
          <w:szCs w:val="48"/>
          <w:highlight w:val="none"/>
          <w:lang w:eastAsia="zh-CN"/>
        </w:rPr>
      </w:pPr>
    </w:p>
    <w:p w14:paraId="0EF6ED04">
      <w:pPr>
        <w:pStyle w:val="552"/>
        <w:jc w:val="center"/>
        <w:rPr>
          <w:rFonts w:hint="eastAsia" w:ascii="微软雅黑" w:hAnsi="微软雅黑" w:eastAsia="微软雅黑" w:cs="微软雅黑"/>
          <w:sz w:val="48"/>
          <w:szCs w:val="48"/>
          <w:highlight w:val="none"/>
          <w:lang w:eastAsia="zh-CN"/>
        </w:rPr>
      </w:pPr>
    </w:p>
    <w:p w14:paraId="624429CD">
      <w:pPr>
        <w:pStyle w:val="552"/>
        <w:jc w:val="center"/>
        <w:rPr>
          <w:rFonts w:hint="eastAsia" w:ascii="微软雅黑" w:hAnsi="微软雅黑" w:eastAsia="微软雅黑" w:cs="微软雅黑"/>
          <w:sz w:val="48"/>
          <w:szCs w:val="48"/>
          <w:highlight w:val="none"/>
          <w:lang w:eastAsia="zh-CN"/>
        </w:rPr>
      </w:pPr>
    </w:p>
    <w:p w14:paraId="7AFD99F8">
      <w:pPr>
        <w:pStyle w:val="552"/>
        <w:jc w:val="center"/>
        <w:rPr>
          <w:rFonts w:hint="eastAsia" w:ascii="微软雅黑" w:hAnsi="微软雅黑" w:eastAsia="微软雅黑" w:cs="微软雅黑"/>
          <w:sz w:val="72"/>
          <w:szCs w:val="72"/>
          <w:highlight w:val="none"/>
        </w:rPr>
      </w:pPr>
      <w:r>
        <w:rPr>
          <w:rFonts w:hint="eastAsia" w:ascii="微软雅黑" w:hAnsi="微软雅黑" w:eastAsia="微软雅黑" w:cs="微软雅黑"/>
          <w:sz w:val="48"/>
          <w:szCs w:val="48"/>
          <w:highlight w:val="none"/>
          <w:lang w:eastAsia="zh-CN"/>
        </w:rPr>
        <w:t>嘉兴市南湖区大桥镇中心小学2025年度教师疗休养项目</w:t>
      </w:r>
    </w:p>
    <w:p w14:paraId="210755C3">
      <w:pPr>
        <w:pStyle w:val="552"/>
        <w:jc w:val="center"/>
        <w:rPr>
          <w:rFonts w:hint="eastAsia" w:ascii="微软雅黑" w:hAnsi="微软雅黑" w:eastAsia="微软雅黑" w:cs="微软雅黑"/>
          <w:sz w:val="72"/>
          <w:szCs w:val="72"/>
          <w:highlight w:val="none"/>
        </w:rPr>
      </w:pPr>
    </w:p>
    <w:p w14:paraId="3FE21BBC">
      <w:pPr>
        <w:pStyle w:val="552"/>
        <w:jc w:val="center"/>
        <w:rPr>
          <w:rFonts w:ascii="微软雅黑" w:hAnsi="微软雅黑" w:eastAsia="微软雅黑" w:cs="微软雅黑"/>
          <w:sz w:val="72"/>
          <w:szCs w:val="72"/>
          <w:highlight w:val="none"/>
        </w:rPr>
      </w:pPr>
      <w:r>
        <w:rPr>
          <w:rFonts w:hint="eastAsia" w:ascii="微软雅黑" w:hAnsi="微软雅黑" w:eastAsia="微软雅黑" w:cs="微软雅黑"/>
          <w:sz w:val="72"/>
          <w:szCs w:val="72"/>
          <w:highlight w:val="none"/>
        </w:rPr>
        <w:t>竞争性磋商采购文件</w:t>
      </w:r>
    </w:p>
    <w:p w14:paraId="4FBC4967">
      <w:pPr>
        <w:pStyle w:val="552"/>
        <w:jc w:val="center"/>
        <w:rPr>
          <w:rFonts w:ascii="微软雅黑" w:hAnsi="微软雅黑" w:eastAsia="微软雅黑" w:cs="微软雅黑"/>
          <w:szCs w:val="21"/>
          <w:highlight w:val="none"/>
        </w:rPr>
      </w:pPr>
    </w:p>
    <w:p w14:paraId="60A1D007">
      <w:pPr>
        <w:pStyle w:val="19"/>
        <w:rPr>
          <w:rFonts w:ascii="微软雅黑" w:hAnsi="微软雅黑" w:eastAsia="微软雅黑" w:cs="微软雅黑"/>
          <w:b/>
          <w:bCs/>
          <w:szCs w:val="21"/>
          <w:highlight w:val="none"/>
        </w:rPr>
      </w:pPr>
    </w:p>
    <w:p w14:paraId="4CB4BD73">
      <w:pPr>
        <w:pStyle w:val="20"/>
        <w:rPr>
          <w:rFonts w:ascii="微软雅黑" w:hAnsi="微软雅黑" w:eastAsia="微软雅黑" w:cs="微软雅黑"/>
          <w:b/>
          <w:bCs/>
          <w:szCs w:val="21"/>
          <w:highlight w:val="none"/>
        </w:rPr>
      </w:pPr>
    </w:p>
    <w:p w14:paraId="2CDF0DF2">
      <w:pPr>
        <w:pStyle w:val="73"/>
        <w:rPr>
          <w:rFonts w:ascii="微软雅黑" w:hAnsi="微软雅黑" w:eastAsia="微软雅黑" w:cs="微软雅黑"/>
          <w:b/>
          <w:bCs/>
          <w:szCs w:val="21"/>
          <w:highlight w:val="none"/>
        </w:rPr>
      </w:pPr>
    </w:p>
    <w:p w14:paraId="4B04CBBE">
      <w:pPr>
        <w:pStyle w:val="19"/>
        <w:rPr>
          <w:rFonts w:ascii="微软雅黑" w:hAnsi="微软雅黑" w:eastAsia="微软雅黑" w:cs="微软雅黑"/>
          <w:b/>
          <w:bCs/>
          <w:szCs w:val="21"/>
          <w:highlight w:val="none"/>
        </w:rPr>
      </w:pPr>
    </w:p>
    <w:p w14:paraId="5E9E4CB8">
      <w:pPr>
        <w:pStyle w:val="20"/>
        <w:rPr>
          <w:rFonts w:ascii="微软雅黑" w:hAnsi="微软雅黑" w:eastAsia="微软雅黑" w:cs="微软雅黑"/>
          <w:b/>
          <w:bCs/>
          <w:szCs w:val="21"/>
          <w:highlight w:val="none"/>
        </w:rPr>
      </w:pPr>
    </w:p>
    <w:p w14:paraId="39B66F17">
      <w:pPr>
        <w:pStyle w:val="29"/>
        <w:spacing w:line="276" w:lineRule="auto"/>
        <w:jc w:val="left"/>
        <w:rPr>
          <w:rFonts w:hint="eastAsia" w:ascii="微软雅黑" w:hAnsi="微软雅黑" w:eastAsia="微软雅黑" w:cs="微软雅黑"/>
          <w:bCs/>
          <w:w w:val="95"/>
          <w:sz w:val="28"/>
          <w:szCs w:val="28"/>
          <w:highlight w:val="none"/>
          <w:lang w:eastAsia="zh-CN"/>
        </w:rPr>
      </w:pPr>
      <w:r>
        <w:rPr>
          <w:rFonts w:hint="eastAsia" w:ascii="微软雅黑" w:hAnsi="微软雅黑" w:eastAsia="微软雅黑" w:cs="微软雅黑"/>
          <w:bCs/>
          <w:w w:val="95"/>
          <w:sz w:val="28"/>
          <w:szCs w:val="28"/>
          <w:highlight w:val="none"/>
        </w:rPr>
        <w:t>招标编号：</w:t>
      </w:r>
      <w:r>
        <w:rPr>
          <w:rFonts w:hint="eastAsia" w:ascii="微软雅黑" w:hAnsi="微软雅黑" w:eastAsia="微软雅黑" w:cs="微软雅黑"/>
          <w:bCs/>
          <w:w w:val="95"/>
          <w:sz w:val="28"/>
          <w:szCs w:val="28"/>
          <w:highlight w:val="none"/>
          <w:lang w:eastAsia="zh-CN"/>
        </w:rPr>
        <w:t>中际-ZJZJGC（2025）嘉11号</w:t>
      </w:r>
    </w:p>
    <w:p w14:paraId="4D439BE4">
      <w:pPr>
        <w:pStyle w:val="29"/>
        <w:spacing w:line="276" w:lineRule="auto"/>
        <w:jc w:val="left"/>
        <w:rPr>
          <w:rFonts w:hint="eastAsia" w:ascii="微软雅黑" w:hAnsi="微软雅黑" w:eastAsia="微软雅黑" w:cs="微软雅黑"/>
          <w:bCs/>
          <w:w w:val="95"/>
          <w:sz w:val="28"/>
          <w:szCs w:val="28"/>
          <w:highlight w:val="none"/>
          <w:lang w:eastAsia="zh-CN"/>
        </w:rPr>
      </w:pPr>
      <w:r>
        <w:rPr>
          <w:rFonts w:hint="eastAsia" w:ascii="微软雅黑" w:hAnsi="微软雅黑" w:eastAsia="微软雅黑" w:cs="微软雅黑"/>
          <w:bCs/>
          <w:w w:val="95"/>
          <w:sz w:val="28"/>
          <w:szCs w:val="28"/>
          <w:highlight w:val="none"/>
        </w:rPr>
        <w:t>采购单位：</w:t>
      </w:r>
      <w:r>
        <w:rPr>
          <w:rFonts w:hint="eastAsia" w:ascii="微软雅黑" w:hAnsi="微软雅黑" w:eastAsia="微软雅黑" w:cs="微软雅黑"/>
          <w:bCs/>
          <w:w w:val="95"/>
          <w:sz w:val="28"/>
          <w:szCs w:val="28"/>
          <w:highlight w:val="none"/>
          <w:lang w:eastAsia="zh-CN"/>
        </w:rPr>
        <w:t>嘉兴市南湖区大桥镇中心小学</w:t>
      </w:r>
    </w:p>
    <w:p w14:paraId="47756E32">
      <w:pPr>
        <w:pStyle w:val="29"/>
        <w:spacing w:line="276" w:lineRule="auto"/>
        <w:jc w:val="left"/>
        <w:rPr>
          <w:rFonts w:hint="eastAsia" w:ascii="微软雅黑" w:hAnsi="微软雅黑" w:eastAsia="微软雅黑" w:cs="微软雅黑"/>
          <w:bCs/>
          <w:w w:val="95"/>
          <w:sz w:val="28"/>
          <w:szCs w:val="28"/>
          <w:highlight w:val="none"/>
          <w:lang w:eastAsia="zh-CN"/>
        </w:rPr>
      </w:pPr>
      <w:r>
        <w:rPr>
          <w:rFonts w:hint="eastAsia" w:ascii="微软雅黑" w:hAnsi="微软雅黑" w:eastAsia="微软雅黑" w:cs="微软雅黑"/>
          <w:bCs/>
          <w:w w:val="95"/>
          <w:sz w:val="28"/>
          <w:szCs w:val="28"/>
          <w:highlight w:val="none"/>
        </w:rPr>
        <w:t>代理机构：</w:t>
      </w:r>
      <w:r>
        <w:rPr>
          <w:rFonts w:hint="eastAsia" w:ascii="微软雅黑" w:hAnsi="微软雅黑" w:eastAsia="微软雅黑" w:cs="微软雅黑"/>
          <w:bCs/>
          <w:w w:val="95"/>
          <w:sz w:val="28"/>
          <w:szCs w:val="28"/>
          <w:highlight w:val="none"/>
          <w:lang w:eastAsia="zh-CN"/>
        </w:rPr>
        <w:t>浙江中际工程项目管理有限公司</w:t>
      </w:r>
    </w:p>
    <w:p w14:paraId="42B2405B">
      <w:pPr>
        <w:pStyle w:val="29"/>
        <w:spacing w:line="276" w:lineRule="auto"/>
        <w:jc w:val="left"/>
        <w:rPr>
          <w:rFonts w:ascii="微软雅黑" w:hAnsi="微软雅黑" w:eastAsia="微软雅黑" w:cs="微软雅黑"/>
          <w:bCs/>
          <w:w w:val="95"/>
          <w:sz w:val="28"/>
          <w:szCs w:val="28"/>
          <w:highlight w:val="none"/>
        </w:rPr>
      </w:pPr>
      <w:bookmarkStart w:id="0" w:name="_Toc50012812"/>
      <w:r>
        <w:rPr>
          <w:rFonts w:hint="eastAsia" w:ascii="微软雅黑" w:hAnsi="微软雅黑" w:eastAsia="微软雅黑" w:cs="微软雅黑"/>
          <w:bCs/>
          <w:w w:val="95"/>
          <w:sz w:val="28"/>
          <w:szCs w:val="28"/>
          <w:highlight w:val="none"/>
        </w:rPr>
        <w:t>日    期：202</w:t>
      </w:r>
      <w:r>
        <w:rPr>
          <w:rFonts w:hint="eastAsia" w:ascii="微软雅黑" w:hAnsi="微软雅黑" w:eastAsia="微软雅黑" w:cs="微软雅黑"/>
          <w:bCs/>
          <w:w w:val="95"/>
          <w:sz w:val="28"/>
          <w:szCs w:val="28"/>
          <w:highlight w:val="none"/>
          <w:lang w:val="en-US" w:eastAsia="zh-CN"/>
        </w:rPr>
        <w:t>5</w:t>
      </w:r>
      <w:r>
        <w:rPr>
          <w:rFonts w:hint="eastAsia" w:ascii="微软雅黑" w:hAnsi="微软雅黑" w:eastAsia="微软雅黑" w:cs="微软雅黑"/>
          <w:bCs/>
          <w:w w:val="95"/>
          <w:sz w:val="28"/>
          <w:szCs w:val="28"/>
          <w:highlight w:val="none"/>
        </w:rPr>
        <w:t>年</w:t>
      </w:r>
      <w:r>
        <w:rPr>
          <w:rFonts w:hint="eastAsia" w:ascii="微软雅黑" w:hAnsi="微软雅黑" w:eastAsia="微软雅黑" w:cs="微软雅黑"/>
          <w:bCs/>
          <w:w w:val="95"/>
          <w:sz w:val="28"/>
          <w:szCs w:val="28"/>
          <w:highlight w:val="none"/>
          <w:lang w:val="en-US" w:eastAsia="zh-CN"/>
        </w:rPr>
        <w:t>6</w:t>
      </w:r>
      <w:r>
        <w:rPr>
          <w:rFonts w:hint="eastAsia" w:ascii="微软雅黑" w:hAnsi="微软雅黑" w:eastAsia="微软雅黑" w:cs="微软雅黑"/>
          <w:bCs/>
          <w:w w:val="95"/>
          <w:sz w:val="28"/>
          <w:szCs w:val="28"/>
          <w:highlight w:val="none"/>
        </w:rPr>
        <w:t>月</w:t>
      </w:r>
      <w:r>
        <w:rPr>
          <w:rFonts w:hint="eastAsia" w:ascii="微软雅黑" w:hAnsi="微软雅黑" w:eastAsia="微软雅黑" w:cs="微软雅黑"/>
          <w:bCs/>
          <w:w w:val="95"/>
          <w:sz w:val="28"/>
          <w:szCs w:val="28"/>
          <w:highlight w:val="none"/>
          <w:lang w:val="en-US" w:eastAsia="zh-CN"/>
        </w:rPr>
        <w:t>19</w:t>
      </w:r>
      <w:r>
        <w:rPr>
          <w:rFonts w:hint="eastAsia" w:ascii="微软雅黑" w:hAnsi="微软雅黑" w:eastAsia="微软雅黑" w:cs="微软雅黑"/>
          <w:bCs/>
          <w:w w:val="95"/>
          <w:sz w:val="28"/>
          <w:szCs w:val="28"/>
          <w:highlight w:val="none"/>
        </w:rPr>
        <w:t>日</w:t>
      </w:r>
      <w:bookmarkEnd w:id="0"/>
    </w:p>
    <w:p w14:paraId="309C66E3">
      <w:pPr>
        <w:snapToGrid w:val="0"/>
        <w:spacing w:line="276" w:lineRule="auto"/>
        <w:ind w:left="-283" w:leftChars="-135"/>
        <w:jc w:val="center"/>
        <w:rPr>
          <w:rFonts w:ascii="微软雅黑" w:hAnsi="微软雅黑" w:eastAsia="微软雅黑" w:cs="微软雅黑"/>
          <w:sz w:val="28"/>
          <w:szCs w:val="28"/>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851" w:gutter="0"/>
          <w:pgBorders>
            <w:top w:val="none" w:sz="0" w:space="0"/>
            <w:left w:val="none" w:sz="0" w:space="0"/>
            <w:bottom w:val="none" w:sz="0" w:space="0"/>
            <w:right w:val="none" w:sz="0" w:space="0"/>
          </w:pgBorders>
          <w:cols w:space="720" w:num="1"/>
          <w:docGrid w:linePitch="312" w:charSpace="0"/>
        </w:sectPr>
      </w:pPr>
    </w:p>
    <w:p w14:paraId="7100851A">
      <w:pPr>
        <w:rPr>
          <w:rFonts w:ascii="微软雅黑" w:hAnsi="微软雅黑" w:eastAsia="微软雅黑" w:cs="微软雅黑"/>
          <w:sz w:val="28"/>
          <w:szCs w:val="28"/>
          <w:highlight w:val="none"/>
        </w:rPr>
      </w:pPr>
      <w:bookmarkStart w:id="1" w:name="_Toc192313098"/>
    </w:p>
    <w:p w14:paraId="3770C6DD">
      <w:pPr>
        <w:rPr>
          <w:rFonts w:ascii="微软雅黑" w:hAnsi="微软雅黑" w:eastAsia="微软雅黑" w:cs="微软雅黑"/>
          <w:sz w:val="28"/>
          <w:szCs w:val="28"/>
          <w:highlight w:val="none"/>
          <w:lang w:val="zh-CN"/>
        </w:rPr>
      </w:pPr>
    </w:p>
    <w:sdt>
      <w:sdtPr>
        <w:rPr>
          <w:rFonts w:hint="eastAsia" w:ascii="微软雅黑" w:hAnsi="微软雅黑" w:eastAsia="微软雅黑" w:cs="微软雅黑"/>
          <w:sz w:val="28"/>
          <w:szCs w:val="28"/>
          <w:highlight w:val="none"/>
        </w:rPr>
        <w:id w:val="147466644"/>
        <w:docPartObj>
          <w:docPartGallery w:val="Table of Contents"/>
          <w:docPartUnique/>
        </w:docPartObj>
      </w:sdtPr>
      <w:sdtEndPr>
        <w:rPr>
          <w:rFonts w:hint="eastAsia" w:ascii="微软雅黑" w:hAnsi="微软雅黑" w:eastAsia="微软雅黑" w:cs="微软雅黑"/>
          <w:sz w:val="21"/>
          <w:szCs w:val="21"/>
          <w:highlight w:val="none"/>
        </w:rPr>
      </w:sdtEndPr>
      <w:sdtContent>
        <w:p w14:paraId="6E1097AE">
          <w:pPr>
            <w:spacing w:line="240" w:lineRule="auto"/>
            <w:jc w:val="center"/>
            <w:rPr>
              <w:rFonts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目录</w:t>
          </w:r>
        </w:p>
        <w:p w14:paraId="323812E2">
          <w:pPr>
            <w:pStyle w:val="554"/>
            <w:tabs>
              <w:tab w:val="right" w:leader="dot" w:pos="8551"/>
            </w:tabs>
            <w:spacing w:line="480" w:lineRule="auto"/>
            <w:rPr>
              <w:rFonts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fldChar w:fldCharType="begin"/>
          </w:r>
          <w:r>
            <w:rPr>
              <w:rFonts w:hint="eastAsia" w:ascii="微软雅黑" w:hAnsi="微软雅黑" w:eastAsia="微软雅黑" w:cs="微软雅黑"/>
              <w:sz w:val="28"/>
              <w:szCs w:val="28"/>
              <w:highlight w:val="none"/>
            </w:rPr>
            <w:instrText xml:space="preserve">TOC \o "1-1" \h \u </w:instrText>
          </w:r>
          <w:r>
            <w:rPr>
              <w:rFonts w:hint="eastAsia" w:ascii="微软雅黑" w:hAnsi="微软雅黑" w:eastAsia="微软雅黑" w:cs="微软雅黑"/>
              <w:sz w:val="28"/>
              <w:szCs w:val="28"/>
              <w:highlight w:val="none"/>
            </w:rPr>
            <w:fldChar w:fldCharType="separate"/>
          </w:r>
          <w:r>
            <w:rPr>
              <w:highlight w:val="none"/>
            </w:rPr>
            <w:fldChar w:fldCharType="begin"/>
          </w:r>
          <w:r>
            <w:rPr>
              <w:highlight w:val="none"/>
            </w:rPr>
            <w:instrText xml:space="preserve"> HYPERLINK \l "_Toc3277" </w:instrText>
          </w:r>
          <w:r>
            <w:rPr>
              <w:highlight w:val="none"/>
            </w:rPr>
            <w:fldChar w:fldCharType="separate"/>
          </w:r>
          <w:r>
            <w:rPr>
              <w:rFonts w:hint="eastAsia" w:ascii="微软雅黑" w:hAnsi="微软雅黑" w:eastAsia="微软雅黑" w:cs="微软雅黑"/>
              <w:sz w:val="28"/>
              <w:szCs w:val="28"/>
              <w:highlight w:val="none"/>
            </w:rPr>
            <w:t>第一章 竞争性磋商采购公告</w:t>
          </w:r>
          <w:r>
            <w:rPr>
              <w:rFonts w:hint="eastAsia" w:ascii="微软雅黑" w:hAnsi="微软雅黑" w:eastAsia="微软雅黑" w:cs="微软雅黑"/>
              <w:sz w:val="28"/>
              <w:szCs w:val="28"/>
              <w:highlight w:val="none"/>
            </w:rPr>
            <w:tab/>
          </w:r>
          <w:r>
            <w:rPr>
              <w:rFonts w:hint="eastAsia" w:ascii="微软雅黑" w:hAnsi="微软雅黑" w:eastAsia="微软雅黑" w:cs="微软雅黑"/>
              <w:sz w:val="28"/>
              <w:szCs w:val="28"/>
              <w:highlight w:val="none"/>
            </w:rPr>
            <w:fldChar w:fldCharType="begin"/>
          </w:r>
          <w:r>
            <w:rPr>
              <w:rFonts w:hint="eastAsia" w:ascii="微软雅黑" w:hAnsi="微软雅黑" w:eastAsia="微软雅黑" w:cs="微软雅黑"/>
              <w:sz w:val="28"/>
              <w:szCs w:val="28"/>
              <w:highlight w:val="none"/>
            </w:rPr>
            <w:instrText xml:space="preserve"> PAGEREF _Toc3277 \h </w:instrText>
          </w:r>
          <w:r>
            <w:rPr>
              <w:rFonts w:hint="eastAsia" w:ascii="微软雅黑" w:hAnsi="微软雅黑" w:eastAsia="微软雅黑" w:cs="微软雅黑"/>
              <w:sz w:val="28"/>
              <w:szCs w:val="28"/>
              <w:highlight w:val="none"/>
            </w:rPr>
            <w:fldChar w:fldCharType="separate"/>
          </w:r>
          <w:r>
            <w:rPr>
              <w:rFonts w:hint="eastAsia" w:ascii="微软雅黑" w:hAnsi="微软雅黑" w:eastAsia="微软雅黑" w:cs="微软雅黑"/>
              <w:sz w:val="28"/>
              <w:szCs w:val="28"/>
              <w:highlight w:val="none"/>
            </w:rPr>
            <w:t>2</w:t>
          </w:r>
          <w:r>
            <w:rPr>
              <w:rFonts w:hint="eastAsia" w:ascii="微软雅黑" w:hAnsi="微软雅黑" w:eastAsia="微软雅黑" w:cs="微软雅黑"/>
              <w:sz w:val="28"/>
              <w:szCs w:val="28"/>
              <w:highlight w:val="none"/>
            </w:rPr>
            <w:fldChar w:fldCharType="end"/>
          </w:r>
          <w:r>
            <w:rPr>
              <w:rFonts w:hint="eastAsia" w:ascii="微软雅黑" w:hAnsi="微软雅黑" w:eastAsia="微软雅黑" w:cs="微软雅黑"/>
              <w:sz w:val="28"/>
              <w:szCs w:val="28"/>
              <w:highlight w:val="none"/>
            </w:rPr>
            <w:fldChar w:fldCharType="end"/>
          </w:r>
        </w:p>
        <w:p w14:paraId="1E8D7D58">
          <w:pPr>
            <w:pStyle w:val="554"/>
            <w:tabs>
              <w:tab w:val="right" w:leader="dot" w:pos="8551"/>
            </w:tabs>
            <w:spacing w:line="480" w:lineRule="auto"/>
            <w:rPr>
              <w:rFonts w:ascii="微软雅黑" w:hAnsi="微软雅黑" w:eastAsia="微软雅黑" w:cs="微软雅黑"/>
              <w:sz w:val="28"/>
              <w:szCs w:val="28"/>
              <w:highlight w:val="none"/>
            </w:rPr>
          </w:pPr>
          <w:r>
            <w:rPr>
              <w:highlight w:val="none"/>
            </w:rPr>
            <w:fldChar w:fldCharType="begin"/>
          </w:r>
          <w:r>
            <w:rPr>
              <w:highlight w:val="none"/>
            </w:rPr>
            <w:instrText xml:space="preserve"> HYPERLINK \l "_Toc14857" </w:instrText>
          </w:r>
          <w:r>
            <w:rPr>
              <w:highlight w:val="none"/>
            </w:rPr>
            <w:fldChar w:fldCharType="separate"/>
          </w:r>
          <w:r>
            <w:rPr>
              <w:rFonts w:hint="eastAsia" w:ascii="微软雅黑" w:hAnsi="微软雅黑" w:eastAsia="微软雅黑" w:cs="微软雅黑"/>
              <w:sz w:val="28"/>
              <w:szCs w:val="28"/>
              <w:highlight w:val="none"/>
            </w:rPr>
            <w:t>第二章 供应商须知</w:t>
          </w:r>
          <w:r>
            <w:rPr>
              <w:rFonts w:hint="eastAsia" w:ascii="微软雅黑" w:hAnsi="微软雅黑" w:eastAsia="微软雅黑" w:cs="微软雅黑"/>
              <w:sz w:val="28"/>
              <w:szCs w:val="28"/>
              <w:highlight w:val="none"/>
            </w:rPr>
            <w:tab/>
          </w:r>
          <w:r>
            <w:rPr>
              <w:rFonts w:hint="eastAsia" w:ascii="微软雅黑" w:hAnsi="微软雅黑" w:eastAsia="微软雅黑" w:cs="微软雅黑"/>
              <w:sz w:val="28"/>
              <w:szCs w:val="28"/>
              <w:highlight w:val="none"/>
            </w:rPr>
            <w:fldChar w:fldCharType="begin"/>
          </w:r>
          <w:r>
            <w:rPr>
              <w:rFonts w:hint="eastAsia" w:ascii="微软雅黑" w:hAnsi="微软雅黑" w:eastAsia="微软雅黑" w:cs="微软雅黑"/>
              <w:sz w:val="28"/>
              <w:szCs w:val="28"/>
              <w:highlight w:val="none"/>
            </w:rPr>
            <w:instrText xml:space="preserve"> PAGEREF _Toc14857 \h </w:instrText>
          </w:r>
          <w:r>
            <w:rPr>
              <w:rFonts w:hint="eastAsia" w:ascii="微软雅黑" w:hAnsi="微软雅黑" w:eastAsia="微软雅黑" w:cs="微软雅黑"/>
              <w:sz w:val="28"/>
              <w:szCs w:val="28"/>
              <w:highlight w:val="none"/>
            </w:rPr>
            <w:fldChar w:fldCharType="separate"/>
          </w:r>
          <w:r>
            <w:rPr>
              <w:rFonts w:hint="eastAsia" w:ascii="微软雅黑" w:hAnsi="微软雅黑" w:eastAsia="微软雅黑" w:cs="微软雅黑"/>
              <w:sz w:val="28"/>
              <w:szCs w:val="28"/>
              <w:highlight w:val="none"/>
            </w:rPr>
            <w:t>5</w:t>
          </w:r>
          <w:r>
            <w:rPr>
              <w:rFonts w:hint="eastAsia" w:ascii="微软雅黑" w:hAnsi="微软雅黑" w:eastAsia="微软雅黑" w:cs="微软雅黑"/>
              <w:sz w:val="28"/>
              <w:szCs w:val="28"/>
              <w:highlight w:val="none"/>
            </w:rPr>
            <w:fldChar w:fldCharType="end"/>
          </w:r>
          <w:r>
            <w:rPr>
              <w:rFonts w:hint="eastAsia" w:ascii="微软雅黑" w:hAnsi="微软雅黑" w:eastAsia="微软雅黑" w:cs="微软雅黑"/>
              <w:sz w:val="28"/>
              <w:szCs w:val="28"/>
              <w:highlight w:val="none"/>
            </w:rPr>
            <w:fldChar w:fldCharType="end"/>
          </w:r>
        </w:p>
        <w:p w14:paraId="04CFA2A4">
          <w:pPr>
            <w:pStyle w:val="554"/>
            <w:tabs>
              <w:tab w:val="right" w:leader="dot" w:pos="8551"/>
            </w:tabs>
            <w:spacing w:line="480" w:lineRule="auto"/>
            <w:rPr>
              <w:rFonts w:ascii="微软雅黑" w:hAnsi="微软雅黑" w:eastAsia="微软雅黑" w:cs="微软雅黑"/>
              <w:sz w:val="28"/>
              <w:szCs w:val="28"/>
              <w:highlight w:val="none"/>
            </w:rPr>
          </w:pPr>
          <w:r>
            <w:rPr>
              <w:highlight w:val="none"/>
            </w:rPr>
            <w:fldChar w:fldCharType="begin"/>
          </w:r>
          <w:r>
            <w:rPr>
              <w:highlight w:val="none"/>
            </w:rPr>
            <w:instrText xml:space="preserve"> HYPERLINK \l "_Toc7218" </w:instrText>
          </w:r>
          <w:r>
            <w:rPr>
              <w:highlight w:val="none"/>
            </w:rPr>
            <w:fldChar w:fldCharType="separate"/>
          </w:r>
          <w:r>
            <w:rPr>
              <w:rFonts w:hint="eastAsia" w:ascii="微软雅黑" w:hAnsi="微软雅黑" w:eastAsia="微软雅黑" w:cs="微软雅黑"/>
              <w:kern w:val="44"/>
              <w:sz w:val="28"/>
              <w:szCs w:val="28"/>
              <w:highlight w:val="none"/>
            </w:rPr>
            <w:t>第三章 磋商项目要求</w:t>
          </w:r>
          <w:r>
            <w:rPr>
              <w:rFonts w:hint="eastAsia" w:ascii="微软雅黑" w:hAnsi="微软雅黑" w:eastAsia="微软雅黑" w:cs="微软雅黑"/>
              <w:sz w:val="28"/>
              <w:szCs w:val="28"/>
              <w:highlight w:val="none"/>
            </w:rPr>
            <w:tab/>
          </w:r>
          <w:r>
            <w:rPr>
              <w:rFonts w:hint="eastAsia" w:ascii="微软雅黑" w:hAnsi="微软雅黑" w:eastAsia="微软雅黑" w:cs="微软雅黑"/>
              <w:sz w:val="28"/>
              <w:szCs w:val="28"/>
              <w:highlight w:val="none"/>
            </w:rPr>
            <w:fldChar w:fldCharType="begin"/>
          </w:r>
          <w:r>
            <w:rPr>
              <w:rFonts w:hint="eastAsia" w:ascii="微软雅黑" w:hAnsi="微软雅黑" w:eastAsia="微软雅黑" w:cs="微软雅黑"/>
              <w:sz w:val="28"/>
              <w:szCs w:val="28"/>
              <w:highlight w:val="none"/>
            </w:rPr>
            <w:instrText xml:space="preserve"> PAGEREF _Toc7218 \h </w:instrText>
          </w:r>
          <w:r>
            <w:rPr>
              <w:rFonts w:hint="eastAsia" w:ascii="微软雅黑" w:hAnsi="微软雅黑" w:eastAsia="微软雅黑" w:cs="微软雅黑"/>
              <w:sz w:val="28"/>
              <w:szCs w:val="28"/>
              <w:highlight w:val="none"/>
            </w:rPr>
            <w:fldChar w:fldCharType="separate"/>
          </w:r>
          <w:r>
            <w:rPr>
              <w:rFonts w:hint="eastAsia" w:ascii="微软雅黑" w:hAnsi="微软雅黑" w:eastAsia="微软雅黑" w:cs="微软雅黑"/>
              <w:sz w:val="28"/>
              <w:szCs w:val="28"/>
              <w:highlight w:val="none"/>
            </w:rPr>
            <w:t>13</w:t>
          </w:r>
          <w:r>
            <w:rPr>
              <w:rFonts w:hint="eastAsia" w:ascii="微软雅黑" w:hAnsi="微软雅黑" w:eastAsia="微软雅黑" w:cs="微软雅黑"/>
              <w:sz w:val="28"/>
              <w:szCs w:val="28"/>
              <w:highlight w:val="none"/>
            </w:rPr>
            <w:fldChar w:fldCharType="end"/>
          </w:r>
          <w:r>
            <w:rPr>
              <w:rFonts w:hint="eastAsia" w:ascii="微软雅黑" w:hAnsi="微软雅黑" w:eastAsia="微软雅黑" w:cs="微软雅黑"/>
              <w:sz w:val="28"/>
              <w:szCs w:val="28"/>
              <w:highlight w:val="none"/>
            </w:rPr>
            <w:fldChar w:fldCharType="end"/>
          </w:r>
        </w:p>
        <w:p w14:paraId="6E4DE953">
          <w:pPr>
            <w:pStyle w:val="554"/>
            <w:tabs>
              <w:tab w:val="right" w:leader="dot" w:pos="8551"/>
            </w:tabs>
            <w:spacing w:line="480" w:lineRule="auto"/>
            <w:rPr>
              <w:rFonts w:ascii="微软雅黑" w:hAnsi="微软雅黑" w:eastAsia="微软雅黑" w:cs="微软雅黑"/>
              <w:sz w:val="28"/>
              <w:szCs w:val="28"/>
              <w:highlight w:val="none"/>
            </w:rPr>
          </w:pPr>
          <w:r>
            <w:rPr>
              <w:highlight w:val="none"/>
            </w:rPr>
            <w:fldChar w:fldCharType="begin"/>
          </w:r>
          <w:r>
            <w:rPr>
              <w:highlight w:val="none"/>
            </w:rPr>
            <w:instrText xml:space="preserve"> HYPERLINK \l "_Toc7584" </w:instrText>
          </w:r>
          <w:r>
            <w:rPr>
              <w:highlight w:val="none"/>
            </w:rPr>
            <w:fldChar w:fldCharType="separate"/>
          </w:r>
          <w:r>
            <w:rPr>
              <w:rFonts w:hint="eastAsia" w:ascii="微软雅黑" w:hAnsi="微软雅黑" w:eastAsia="微软雅黑" w:cs="微软雅黑"/>
              <w:sz w:val="28"/>
              <w:szCs w:val="28"/>
              <w:highlight w:val="none"/>
            </w:rPr>
            <w:t>第四章 嘉兴市政府采购合同（指引）</w:t>
          </w:r>
          <w:r>
            <w:rPr>
              <w:rFonts w:hint="eastAsia" w:ascii="微软雅黑" w:hAnsi="微软雅黑" w:eastAsia="微软雅黑" w:cs="微软雅黑"/>
              <w:sz w:val="28"/>
              <w:szCs w:val="28"/>
              <w:highlight w:val="none"/>
            </w:rPr>
            <w:tab/>
          </w:r>
          <w:r>
            <w:rPr>
              <w:rFonts w:hint="eastAsia" w:ascii="微软雅黑" w:hAnsi="微软雅黑" w:eastAsia="微软雅黑" w:cs="微软雅黑"/>
              <w:sz w:val="28"/>
              <w:szCs w:val="28"/>
              <w:highlight w:val="none"/>
            </w:rPr>
            <w:fldChar w:fldCharType="begin"/>
          </w:r>
          <w:r>
            <w:rPr>
              <w:rFonts w:hint="eastAsia" w:ascii="微软雅黑" w:hAnsi="微软雅黑" w:eastAsia="微软雅黑" w:cs="微软雅黑"/>
              <w:sz w:val="28"/>
              <w:szCs w:val="28"/>
              <w:highlight w:val="none"/>
            </w:rPr>
            <w:instrText xml:space="preserve"> PAGEREF _Toc7584 \h </w:instrText>
          </w:r>
          <w:r>
            <w:rPr>
              <w:rFonts w:hint="eastAsia" w:ascii="微软雅黑" w:hAnsi="微软雅黑" w:eastAsia="微软雅黑" w:cs="微软雅黑"/>
              <w:sz w:val="28"/>
              <w:szCs w:val="28"/>
              <w:highlight w:val="none"/>
            </w:rPr>
            <w:fldChar w:fldCharType="separate"/>
          </w:r>
          <w:r>
            <w:rPr>
              <w:rFonts w:hint="eastAsia" w:ascii="微软雅黑" w:hAnsi="微软雅黑" w:eastAsia="微软雅黑" w:cs="微软雅黑"/>
              <w:sz w:val="28"/>
              <w:szCs w:val="28"/>
              <w:highlight w:val="none"/>
            </w:rPr>
            <w:t>16</w:t>
          </w:r>
          <w:r>
            <w:rPr>
              <w:rFonts w:hint="eastAsia" w:ascii="微软雅黑" w:hAnsi="微软雅黑" w:eastAsia="微软雅黑" w:cs="微软雅黑"/>
              <w:sz w:val="28"/>
              <w:szCs w:val="28"/>
              <w:highlight w:val="none"/>
            </w:rPr>
            <w:fldChar w:fldCharType="end"/>
          </w:r>
          <w:r>
            <w:rPr>
              <w:rFonts w:hint="eastAsia" w:ascii="微软雅黑" w:hAnsi="微软雅黑" w:eastAsia="微软雅黑" w:cs="微软雅黑"/>
              <w:sz w:val="28"/>
              <w:szCs w:val="28"/>
              <w:highlight w:val="none"/>
            </w:rPr>
            <w:fldChar w:fldCharType="end"/>
          </w:r>
        </w:p>
        <w:p w14:paraId="585C0A2E">
          <w:pPr>
            <w:pStyle w:val="554"/>
            <w:tabs>
              <w:tab w:val="right" w:leader="dot" w:pos="8551"/>
            </w:tabs>
            <w:spacing w:line="480" w:lineRule="auto"/>
            <w:rPr>
              <w:rFonts w:ascii="微软雅黑" w:hAnsi="微软雅黑" w:eastAsia="微软雅黑" w:cs="微软雅黑"/>
              <w:sz w:val="28"/>
              <w:szCs w:val="28"/>
              <w:highlight w:val="none"/>
            </w:rPr>
          </w:pPr>
          <w:r>
            <w:rPr>
              <w:highlight w:val="none"/>
            </w:rPr>
            <w:fldChar w:fldCharType="begin"/>
          </w:r>
          <w:r>
            <w:rPr>
              <w:highlight w:val="none"/>
            </w:rPr>
            <w:instrText xml:space="preserve"> HYPERLINK \l "_Toc4326" </w:instrText>
          </w:r>
          <w:r>
            <w:rPr>
              <w:highlight w:val="none"/>
            </w:rPr>
            <w:fldChar w:fldCharType="separate"/>
          </w:r>
          <w:r>
            <w:rPr>
              <w:rFonts w:hint="eastAsia" w:ascii="微软雅黑" w:hAnsi="微软雅黑" w:eastAsia="微软雅黑" w:cs="微软雅黑"/>
              <w:sz w:val="28"/>
              <w:szCs w:val="28"/>
              <w:highlight w:val="none"/>
            </w:rPr>
            <w:t xml:space="preserve">第五章 </w:t>
          </w:r>
          <w:r>
            <w:rPr>
              <w:rFonts w:hint="eastAsia" w:ascii="微软雅黑" w:hAnsi="微软雅黑" w:eastAsia="微软雅黑" w:cs="微软雅黑"/>
              <w:bCs/>
              <w:sz w:val="28"/>
              <w:szCs w:val="28"/>
              <w:highlight w:val="none"/>
            </w:rPr>
            <w:t>评标办法及评分标准</w:t>
          </w:r>
          <w:r>
            <w:rPr>
              <w:rFonts w:hint="eastAsia" w:ascii="微软雅黑" w:hAnsi="微软雅黑" w:eastAsia="微软雅黑" w:cs="微软雅黑"/>
              <w:sz w:val="28"/>
              <w:szCs w:val="28"/>
              <w:highlight w:val="none"/>
            </w:rPr>
            <w:tab/>
          </w:r>
          <w:r>
            <w:rPr>
              <w:rFonts w:hint="eastAsia" w:ascii="微软雅黑" w:hAnsi="微软雅黑" w:eastAsia="微软雅黑" w:cs="微软雅黑"/>
              <w:sz w:val="28"/>
              <w:szCs w:val="28"/>
              <w:highlight w:val="none"/>
            </w:rPr>
            <w:fldChar w:fldCharType="begin"/>
          </w:r>
          <w:r>
            <w:rPr>
              <w:rFonts w:hint="eastAsia" w:ascii="微软雅黑" w:hAnsi="微软雅黑" w:eastAsia="微软雅黑" w:cs="微软雅黑"/>
              <w:sz w:val="28"/>
              <w:szCs w:val="28"/>
              <w:highlight w:val="none"/>
            </w:rPr>
            <w:instrText xml:space="preserve"> PAGEREF _Toc4326 \h </w:instrText>
          </w:r>
          <w:r>
            <w:rPr>
              <w:rFonts w:hint="eastAsia" w:ascii="微软雅黑" w:hAnsi="微软雅黑" w:eastAsia="微软雅黑" w:cs="微软雅黑"/>
              <w:sz w:val="28"/>
              <w:szCs w:val="28"/>
              <w:highlight w:val="none"/>
            </w:rPr>
            <w:fldChar w:fldCharType="separate"/>
          </w:r>
          <w:r>
            <w:rPr>
              <w:rFonts w:hint="eastAsia" w:ascii="微软雅黑" w:hAnsi="微软雅黑" w:eastAsia="微软雅黑" w:cs="微软雅黑"/>
              <w:sz w:val="28"/>
              <w:szCs w:val="28"/>
              <w:highlight w:val="none"/>
            </w:rPr>
            <w:t>20</w:t>
          </w:r>
          <w:r>
            <w:rPr>
              <w:rFonts w:hint="eastAsia" w:ascii="微软雅黑" w:hAnsi="微软雅黑" w:eastAsia="微软雅黑" w:cs="微软雅黑"/>
              <w:sz w:val="28"/>
              <w:szCs w:val="28"/>
              <w:highlight w:val="none"/>
            </w:rPr>
            <w:fldChar w:fldCharType="end"/>
          </w:r>
          <w:r>
            <w:rPr>
              <w:rFonts w:hint="eastAsia" w:ascii="微软雅黑" w:hAnsi="微软雅黑" w:eastAsia="微软雅黑" w:cs="微软雅黑"/>
              <w:sz w:val="28"/>
              <w:szCs w:val="28"/>
              <w:highlight w:val="none"/>
            </w:rPr>
            <w:fldChar w:fldCharType="end"/>
          </w:r>
        </w:p>
        <w:p w14:paraId="0590EF53">
          <w:pPr>
            <w:pStyle w:val="554"/>
            <w:tabs>
              <w:tab w:val="right" w:leader="dot" w:pos="8551"/>
            </w:tabs>
            <w:spacing w:line="480" w:lineRule="auto"/>
            <w:rPr>
              <w:rFonts w:ascii="微软雅黑" w:hAnsi="微软雅黑" w:eastAsia="微软雅黑" w:cs="微软雅黑"/>
              <w:sz w:val="28"/>
              <w:szCs w:val="28"/>
              <w:highlight w:val="none"/>
            </w:rPr>
          </w:pPr>
          <w:r>
            <w:rPr>
              <w:highlight w:val="none"/>
            </w:rPr>
            <w:fldChar w:fldCharType="begin"/>
          </w:r>
          <w:r>
            <w:rPr>
              <w:highlight w:val="none"/>
            </w:rPr>
            <w:instrText xml:space="preserve"> HYPERLINK \l "_Toc7380" </w:instrText>
          </w:r>
          <w:r>
            <w:rPr>
              <w:highlight w:val="none"/>
            </w:rPr>
            <w:fldChar w:fldCharType="separate"/>
          </w:r>
          <w:r>
            <w:rPr>
              <w:rFonts w:hint="eastAsia" w:ascii="微软雅黑" w:hAnsi="微软雅黑" w:eastAsia="微软雅黑" w:cs="微软雅黑"/>
              <w:sz w:val="28"/>
              <w:szCs w:val="28"/>
              <w:highlight w:val="none"/>
            </w:rPr>
            <w:t>第六章 磋商相关文件格式</w:t>
          </w:r>
          <w:r>
            <w:rPr>
              <w:rFonts w:hint="eastAsia" w:ascii="微软雅黑" w:hAnsi="微软雅黑" w:eastAsia="微软雅黑" w:cs="微软雅黑"/>
              <w:sz w:val="28"/>
              <w:szCs w:val="28"/>
              <w:highlight w:val="none"/>
            </w:rPr>
            <w:tab/>
          </w:r>
          <w:r>
            <w:rPr>
              <w:rFonts w:hint="eastAsia" w:ascii="微软雅黑" w:hAnsi="微软雅黑" w:eastAsia="微软雅黑" w:cs="微软雅黑"/>
              <w:sz w:val="28"/>
              <w:szCs w:val="28"/>
              <w:highlight w:val="none"/>
            </w:rPr>
            <w:fldChar w:fldCharType="begin"/>
          </w:r>
          <w:r>
            <w:rPr>
              <w:rFonts w:hint="eastAsia" w:ascii="微软雅黑" w:hAnsi="微软雅黑" w:eastAsia="微软雅黑" w:cs="微软雅黑"/>
              <w:sz w:val="28"/>
              <w:szCs w:val="28"/>
              <w:highlight w:val="none"/>
            </w:rPr>
            <w:instrText xml:space="preserve"> PAGEREF _Toc7380 \h </w:instrText>
          </w:r>
          <w:r>
            <w:rPr>
              <w:rFonts w:hint="eastAsia" w:ascii="微软雅黑" w:hAnsi="微软雅黑" w:eastAsia="微软雅黑" w:cs="微软雅黑"/>
              <w:sz w:val="28"/>
              <w:szCs w:val="28"/>
              <w:highlight w:val="none"/>
            </w:rPr>
            <w:fldChar w:fldCharType="separate"/>
          </w:r>
          <w:r>
            <w:rPr>
              <w:rFonts w:hint="eastAsia" w:ascii="微软雅黑" w:hAnsi="微软雅黑" w:eastAsia="微软雅黑" w:cs="微软雅黑"/>
              <w:sz w:val="28"/>
              <w:szCs w:val="28"/>
              <w:highlight w:val="none"/>
            </w:rPr>
            <w:t>23</w:t>
          </w:r>
          <w:r>
            <w:rPr>
              <w:rFonts w:hint="eastAsia" w:ascii="微软雅黑" w:hAnsi="微软雅黑" w:eastAsia="微软雅黑" w:cs="微软雅黑"/>
              <w:sz w:val="28"/>
              <w:szCs w:val="28"/>
              <w:highlight w:val="none"/>
            </w:rPr>
            <w:fldChar w:fldCharType="end"/>
          </w:r>
          <w:r>
            <w:rPr>
              <w:rFonts w:hint="eastAsia" w:ascii="微软雅黑" w:hAnsi="微软雅黑" w:eastAsia="微软雅黑" w:cs="微软雅黑"/>
              <w:sz w:val="28"/>
              <w:szCs w:val="28"/>
              <w:highlight w:val="none"/>
            </w:rPr>
            <w:fldChar w:fldCharType="end"/>
          </w:r>
        </w:p>
        <w:p w14:paraId="20EBFB3C">
          <w:pPr>
            <w:spacing w:after="0" w:line="480" w:lineRule="auto"/>
            <w:rPr>
              <w:rFonts w:ascii="微软雅黑" w:hAnsi="微软雅黑" w:eastAsia="微软雅黑" w:cs="微软雅黑"/>
              <w:szCs w:val="21"/>
              <w:highlight w:val="none"/>
            </w:rPr>
          </w:pPr>
          <w:r>
            <w:rPr>
              <w:rFonts w:hint="eastAsia" w:ascii="微软雅黑" w:hAnsi="微软雅黑" w:eastAsia="微软雅黑" w:cs="微软雅黑"/>
              <w:sz w:val="28"/>
              <w:szCs w:val="28"/>
              <w:highlight w:val="none"/>
            </w:rPr>
            <w:fldChar w:fldCharType="end"/>
          </w:r>
        </w:p>
      </w:sdtContent>
    </w:sdt>
    <w:p w14:paraId="1AA6C9E5">
      <w:pPr>
        <w:pStyle w:val="2"/>
        <w:numPr>
          <w:ilvl w:val="0"/>
          <w:numId w:val="19"/>
        </w:numPr>
        <w:spacing w:before="360"/>
        <w:jc w:val="center"/>
        <w:rPr>
          <w:rFonts w:ascii="微软雅黑" w:hAnsi="微软雅黑" w:cs="微软雅黑"/>
          <w:szCs w:val="21"/>
          <w:highlight w:val="none"/>
        </w:rPr>
      </w:pPr>
      <w:r>
        <w:rPr>
          <w:rFonts w:hint="eastAsia" w:ascii="微软雅黑" w:hAnsi="微软雅黑" w:cs="微软雅黑"/>
          <w:szCs w:val="21"/>
          <w:highlight w:val="none"/>
        </w:rPr>
        <w:br w:type="page"/>
      </w:r>
      <w:bookmarkStart w:id="2" w:name="_Toc3277"/>
      <w:bookmarkStart w:id="3" w:name="_Toc493699289"/>
      <w:bookmarkStart w:id="4" w:name="_Toc100764181"/>
      <w:r>
        <w:rPr>
          <w:rFonts w:hint="eastAsia" w:ascii="微软雅黑" w:hAnsi="微软雅黑" w:cs="微软雅黑"/>
          <w:szCs w:val="21"/>
          <w:highlight w:val="none"/>
        </w:rPr>
        <w:t>竞争性磋商采购公告</w:t>
      </w:r>
      <w:bookmarkEnd w:id="1"/>
      <w:bookmarkEnd w:id="2"/>
      <w:bookmarkEnd w:id="3"/>
      <w:bookmarkEnd w:id="4"/>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655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7" w:type="dxa"/>
          </w:tcPr>
          <w:p w14:paraId="396B7F6F">
            <w:pPr>
              <w:pStyle w:val="48"/>
              <w:spacing w:before="75" w:beforeAutospacing="0" w:after="150" w:afterAutospacing="0"/>
              <w:ind w:firstLine="400"/>
              <w:rPr>
                <w:rFonts w:ascii="微软雅黑" w:hAnsi="微软雅黑" w:eastAsia="微软雅黑" w:cs="Arial"/>
                <w:color w:val="000000"/>
                <w:sz w:val="21"/>
                <w:szCs w:val="21"/>
                <w:highlight w:val="none"/>
              </w:rPr>
            </w:pPr>
            <w:r>
              <w:rPr>
                <w:rFonts w:hint="eastAsia" w:ascii="微软雅黑" w:hAnsi="微软雅黑" w:eastAsia="微软雅黑" w:cs="Arial"/>
                <w:color w:val="000000"/>
                <w:sz w:val="21"/>
                <w:szCs w:val="21"/>
                <w:highlight w:val="none"/>
              </w:rPr>
              <w:t>项目概况</w:t>
            </w:r>
            <w:r>
              <w:rPr>
                <w:rFonts w:ascii="微软雅黑" w:hAnsi="微软雅黑" w:eastAsia="微软雅黑" w:cs="Calibri"/>
                <w:color w:val="000000"/>
                <w:sz w:val="21"/>
                <w:szCs w:val="21"/>
                <w:highlight w:val="none"/>
              </w:rPr>
              <w:t>  </w:t>
            </w:r>
            <w:r>
              <w:rPr>
                <w:rFonts w:hint="eastAsia" w:ascii="微软雅黑" w:hAnsi="微软雅黑" w:eastAsia="微软雅黑" w:cs="Arial"/>
                <w:color w:val="000000"/>
                <w:sz w:val="21"/>
                <w:szCs w:val="21"/>
                <w:highlight w:val="none"/>
              </w:rPr>
              <w:t xml:space="preserve"> </w:t>
            </w:r>
            <w:r>
              <w:rPr>
                <w:rFonts w:ascii="微软雅黑" w:hAnsi="微软雅黑" w:eastAsia="微软雅黑" w:cs="Calibri"/>
                <w:color w:val="000000"/>
                <w:sz w:val="21"/>
                <w:szCs w:val="21"/>
                <w:highlight w:val="none"/>
              </w:rPr>
              <w:t> </w:t>
            </w:r>
            <w:r>
              <w:rPr>
                <w:rFonts w:hint="eastAsia" w:ascii="微软雅黑" w:hAnsi="微软雅黑" w:eastAsia="微软雅黑" w:cs="Arial"/>
                <w:color w:val="000000"/>
                <w:sz w:val="21"/>
                <w:szCs w:val="21"/>
                <w:highlight w:val="none"/>
              </w:rPr>
              <w:t xml:space="preserve"> </w:t>
            </w:r>
            <w:r>
              <w:rPr>
                <w:rFonts w:ascii="微软雅黑" w:hAnsi="微软雅黑" w:eastAsia="微软雅黑" w:cs="Calibri"/>
                <w:color w:val="000000"/>
                <w:sz w:val="21"/>
                <w:szCs w:val="21"/>
                <w:highlight w:val="none"/>
              </w:rPr>
              <w:t> </w:t>
            </w:r>
            <w:r>
              <w:rPr>
                <w:rFonts w:hint="eastAsia" w:ascii="微软雅黑" w:hAnsi="微软雅黑" w:eastAsia="微软雅黑" w:cs="Arial"/>
                <w:color w:val="000000"/>
                <w:sz w:val="21"/>
                <w:szCs w:val="21"/>
                <w:highlight w:val="none"/>
              </w:rPr>
              <w:t xml:space="preserve"> </w:t>
            </w:r>
            <w:r>
              <w:rPr>
                <w:rFonts w:ascii="微软雅黑" w:hAnsi="微软雅黑" w:eastAsia="微软雅黑" w:cs="Calibri"/>
                <w:color w:val="000000"/>
                <w:sz w:val="21"/>
                <w:szCs w:val="21"/>
                <w:highlight w:val="none"/>
              </w:rPr>
              <w:t> </w:t>
            </w:r>
            <w:r>
              <w:rPr>
                <w:rFonts w:hint="eastAsia" w:ascii="微软雅黑" w:hAnsi="微软雅黑" w:eastAsia="微软雅黑" w:cs="Arial"/>
                <w:color w:val="000000"/>
                <w:sz w:val="21"/>
                <w:szCs w:val="21"/>
                <w:highlight w:val="none"/>
              </w:rPr>
              <w:t xml:space="preserve"> </w:t>
            </w:r>
            <w:r>
              <w:rPr>
                <w:rFonts w:ascii="微软雅黑" w:hAnsi="微软雅黑" w:eastAsia="微软雅黑" w:cs="Calibri"/>
                <w:color w:val="000000"/>
                <w:sz w:val="21"/>
                <w:szCs w:val="21"/>
                <w:highlight w:val="none"/>
              </w:rPr>
              <w:t> </w:t>
            </w:r>
            <w:r>
              <w:rPr>
                <w:rFonts w:hint="eastAsia" w:ascii="微软雅黑" w:hAnsi="微软雅黑" w:eastAsia="微软雅黑" w:cs="Arial"/>
                <w:color w:val="000000"/>
                <w:sz w:val="21"/>
                <w:szCs w:val="21"/>
                <w:highlight w:val="none"/>
              </w:rPr>
              <w:t xml:space="preserve"> </w:t>
            </w:r>
            <w:r>
              <w:rPr>
                <w:rFonts w:ascii="微软雅黑" w:hAnsi="微软雅黑" w:eastAsia="微软雅黑" w:cs="Calibri"/>
                <w:color w:val="000000"/>
                <w:sz w:val="21"/>
                <w:szCs w:val="21"/>
                <w:highlight w:val="none"/>
              </w:rPr>
              <w:t> </w:t>
            </w:r>
            <w:r>
              <w:rPr>
                <w:rFonts w:hint="eastAsia" w:ascii="微软雅黑" w:hAnsi="微软雅黑" w:eastAsia="微软雅黑" w:cs="Arial"/>
                <w:color w:val="000000"/>
                <w:sz w:val="21"/>
                <w:szCs w:val="21"/>
                <w:highlight w:val="none"/>
              </w:rPr>
              <w:t xml:space="preserve"> </w:t>
            </w:r>
            <w:r>
              <w:rPr>
                <w:rFonts w:ascii="微软雅黑" w:hAnsi="微软雅黑" w:eastAsia="微软雅黑" w:cs="Calibri"/>
                <w:color w:val="000000"/>
                <w:sz w:val="21"/>
                <w:szCs w:val="21"/>
                <w:highlight w:val="none"/>
              </w:rPr>
              <w:t> </w:t>
            </w:r>
            <w:r>
              <w:rPr>
                <w:rFonts w:hint="eastAsia" w:ascii="微软雅黑" w:hAnsi="微软雅黑" w:eastAsia="微软雅黑" w:cs="Arial"/>
                <w:color w:val="000000"/>
                <w:sz w:val="21"/>
                <w:szCs w:val="21"/>
                <w:highlight w:val="none"/>
              </w:rPr>
              <w:t xml:space="preserve"> </w:t>
            </w:r>
            <w:r>
              <w:rPr>
                <w:rFonts w:ascii="微软雅黑" w:hAnsi="微软雅黑" w:eastAsia="微软雅黑" w:cs="Calibri"/>
                <w:color w:val="000000"/>
                <w:sz w:val="21"/>
                <w:szCs w:val="21"/>
                <w:highlight w:val="none"/>
              </w:rPr>
              <w:t> </w:t>
            </w:r>
            <w:r>
              <w:rPr>
                <w:rFonts w:hint="eastAsia" w:ascii="微软雅黑" w:hAnsi="微软雅黑" w:eastAsia="微软雅黑" w:cs="Arial"/>
                <w:color w:val="000000"/>
                <w:sz w:val="21"/>
                <w:szCs w:val="21"/>
                <w:highlight w:val="none"/>
              </w:rPr>
              <w:t xml:space="preserve"> </w:t>
            </w:r>
            <w:r>
              <w:rPr>
                <w:rFonts w:ascii="微软雅黑" w:hAnsi="微软雅黑" w:eastAsia="微软雅黑" w:cs="Calibri"/>
                <w:color w:val="000000"/>
                <w:sz w:val="21"/>
                <w:szCs w:val="21"/>
                <w:highlight w:val="none"/>
              </w:rPr>
              <w:t> </w:t>
            </w:r>
            <w:r>
              <w:rPr>
                <w:rFonts w:hint="eastAsia" w:ascii="微软雅黑" w:hAnsi="微软雅黑" w:eastAsia="微软雅黑" w:cs="Arial"/>
                <w:color w:val="000000"/>
                <w:sz w:val="21"/>
                <w:szCs w:val="21"/>
                <w:highlight w:val="none"/>
              </w:rPr>
              <w:t xml:space="preserve"> </w:t>
            </w:r>
            <w:r>
              <w:rPr>
                <w:rFonts w:ascii="微软雅黑" w:hAnsi="微软雅黑" w:eastAsia="微软雅黑" w:cs="Calibri"/>
                <w:color w:val="000000"/>
                <w:sz w:val="21"/>
                <w:szCs w:val="21"/>
                <w:highlight w:val="none"/>
              </w:rPr>
              <w:t> </w:t>
            </w:r>
            <w:r>
              <w:rPr>
                <w:rFonts w:hint="eastAsia" w:ascii="微软雅黑" w:hAnsi="微软雅黑" w:eastAsia="微软雅黑" w:cs="Arial"/>
                <w:color w:val="000000"/>
                <w:sz w:val="21"/>
                <w:szCs w:val="21"/>
                <w:highlight w:val="none"/>
              </w:rPr>
              <w:t xml:space="preserve"> </w:t>
            </w:r>
            <w:r>
              <w:rPr>
                <w:rFonts w:ascii="微软雅黑" w:hAnsi="微软雅黑" w:eastAsia="微软雅黑" w:cs="Calibri"/>
                <w:color w:val="000000"/>
                <w:sz w:val="21"/>
                <w:szCs w:val="21"/>
                <w:highlight w:val="none"/>
              </w:rPr>
              <w:t> </w:t>
            </w:r>
            <w:r>
              <w:rPr>
                <w:rFonts w:hint="eastAsia" w:ascii="微软雅黑" w:hAnsi="微软雅黑" w:eastAsia="微软雅黑" w:cs="Arial"/>
                <w:color w:val="000000"/>
                <w:sz w:val="21"/>
                <w:szCs w:val="21"/>
                <w:highlight w:val="none"/>
              </w:rPr>
              <w:t xml:space="preserve"> </w:t>
            </w:r>
            <w:r>
              <w:rPr>
                <w:rFonts w:ascii="微软雅黑" w:hAnsi="微软雅黑" w:eastAsia="微软雅黑" w:cs="Calibri"/>
                <w:color w:val="000000"/>
                <w:sz w:val="21"/>
                <w:szCs w:val="21"/>
                <w:highlight w:val="none"/>
              </w:rPr>
              <w:t> </w:t>
            </w:r>
            <w:r>
              <w:rPr>
                <w:rFonts w:hint="eastAsia" w:ascii="微软雅黑" w:hAnsi="微软雅黑" w:eastAsia="微软雅黑" w:cs="Arial"/>
                <w:color w:val="000000"/>
                <w:sz w:val="21"/>
                <w:szCs w:val="21"/>
                <w:highlight w:val="none"/>
              </w:rPr>
              <w:t xml:space="preserve"> </w:t>
            </w:r>
            <w:r>
              <w:rPr>
                <w:rFonts w:ascii="微软雅黑" w:hAnsi="微软雅黑" w:eastAsia="微软雅黑" w:cs="Calibri"/>
                <w:color w:val="000000"/>
                <w:sz w:val="21"/>
                <w:szCs w:val="21"/>
                <w:highlight w:val="none"/>
              </w:rPr>
              <w:t> </w:t>
            </w:r>
            <w:r>
              <w:rPr>
                <w:rFonts w:hint="eastAsia" w:ascii="微软雅黑" w:hAnsi="微软雅黑" w:eastAsia="微软雅黑" w:cs="Arial"/>
                <w:color w:val="000000"/>
                <w:sz w:val="21"/>
                <w:szCs w:val="21"/>
                <w:highlight w:val="none"/>
              </w:rPr>
              <w:t xml:space="preserve"> </w:t>
            </w:r>
            <w:r>
              <w:rPr>
                <w:rFonts w:ascii="微软雅黑" w:hAnsi="微软雅黑" w:eastAsia="微软雅黑" w:cs="Calibri"/>
                <w:color w:val="000000"/>
                <w:sz w:val="21"/>
                <w:szCs w:val="21"/>
                <w:highlight w:val="none"/>
              </w:rPr>
              <w:t> </w:t>
            </w:r>
            <w:r>
              <w:rPr>
                <w:rFonts w:hint="eastAsia" w:ascii="微软雅黑" w:hAnsi="微软雅黑" w:eastAsia="微软雅黑" w:cs="Arial"/>
                <w:color w:val="000000"/>
                <w:sz w:val="21"/>
                <w:szCs w:val="21"/>
                <w:highlight w:val="none"/>
              </w:rPr>
              <w:t xml:space="preserve"> </w:t>
            </w:r>
            <w:r>
              <w:rPr>
                <w:rFonts w:ascii="微软雅黑" w:hAnsi="微软雅黑" w:eastAsia="微软雅黑" w:cs="Calibri"/>
                <w:color w:val="000000"/>
                <w:sz w:val="21"/>
                <w:szCs w:val="21"/>
                <w:highlight w:val="none"/>
              </w:rPr>
              <w:t> </w:t>
            </w:r>
            <w:r>
              <w:rPr>
                <w:rFonts w:hint="eastAsia" w:ascii="微软雅黑" w:hAnsi="微软雅黑" w:eastAsia="微软雅黑" w:cs="Arial"/>
                <w:color w:val="000000"/>
                <w:sz w:val="21"/>
                <w:szCs w:val="21"/>
                <w:highlight w:val="none"/>
              </w:rPr>
              <w:t xml:space="preserve"> </w:t>
            </w:r>
            <w:r>
              <w:rPr>
                <w:rFonts w:ascii="微软雅黑" w:hAnsi="微软雅黑" w:eastAsia="微软雅黑" w:cs="Calibri"/>
                <w:color w:val="000000"/>
                <w:sz w:val="21"/>
                <w:szCs w:val="21"/>
                <w:highlight w:val="none"/>
              </w:rPr>
              <w:t> </w:t>
            </w:r>
            <w:r>
              <w:rPr>
                <w:rFonts w:hint="eastAsia" w:ascii="微软雅黑" w:hAnsi="微软雅黑" w:eastAsia="微软雅黑" w:cs="Arial"/>
                <w:color w:val="000000"/>
                <w:sz w:val="21"/>
                <w:szCs w:val="21"/>
                <w:highlight w:val="none"/>
              </w:rPr>
              <w:t xml:space="preserve"> </w:t>
            </w:r>
            <w:r>
              <w:rPr>
                <w:rFonts w:ascii="微软雅黑" w:hAnsi="微软雅黑" w:eastAsia="微软雅黑" w:cs="Calibri"/>
                <w:color w:val="000000"/>
                <w:sz w:val="21"/>
                <w:szCs w:val="21"/>
                <w:highlight w:val="none"/>
              </w:rPr>
              <w:t> </w:t>
            </w:r>
            <w:r>
              <w:rPr>
                <w:rFonts w:hint="eastAsia" w:ascii="微软雅黑" w:hAnsi="微软雅黑" w:eastAsia="微软雅黑" w:cs="Arial"/>
                <w:color w:val="000000"/>
                <w:sz w:val="21"/>
                <w:szCs w:val="21"/>
                <w:highlight w:val="none"/>
              </w:rPr>
              <w:t xml:space="preserve"> </w:t>
            </w:r>
            <w:r>
              <w:rPr>
                <w:rFonts w:ascii="微软雅黑" w:hAnsi="微软雅黑" w:eastAsia="微软雅黑" w:cs="Calibri"/>
                <w:color w:val="000000"/>
                <w:sz w:val="21"/>
                <w:szCs w:val="21"/>
                <w:highlight w:val="none"/>
              </w:rPr>
              <w:t> </w:t>
            </w:r>
            <w:r>
              <w:rPr>
                <w:rFonts w:hint="eastAsia" w:ascii="微软雅黑" w:hAnsi="微软雅黑" w:eastAsia="微软雅黑" w:cs="Arial"/>
                <w:color w:val="000000"/>
                <w:sz w:val="21"/>
                <w:szCs w:val="21"/>
                <w:highlight w:val="none"/>
              </w:rPr>
              <w:t xml:space="preserve"> </w:t>
            </w:r>
            <w:r>
              <w:rPr>
                <w:rFonts w:ascii="微软雅黑" w:hAnsi="微软雅黑" w:eastAsia="微软雅黑" w:cs="Calibri"/>
                <w:color w:val="000000"/>
                <w:sz w:val="21"/>
                <w:szCs w:val="21"/>
                <w:highlight w:val="none"/>
              </w:rPr>
              <w:t> </w:t>
            </w:r>
            <w:r>
              <w:rPr>
                <w:rFonts w:hint="eastAsia" w:ascii="微软雅黑" w:hAnsi="微软雅黑" w:eastAsia="微软雅黑" w:cs="Arial"/>
                <w:color w:val="000000"/>
                <w:sz w:val="21"/>
                <w:szCs w:val="21"/>
                <w:highlight w:val="none"/>
              </w:rPr>
              <w:t xml:space="preserve"> </w:t>
            </w:r>
            <w:r>
              <w:rPr>
                <w:rFonts w:ascii="微软雅黑" w:hAnsi="微软雅黑" w:eastAsia="微软雅黑" w:cs="Calibri"/>
                <w:color w:val="000000"/>
                <w:sz w:val="21"/>
                <w:szCs w:val="21"/>
                <w:highlight w:val="none"/>
              </w:rPr>
              <w:t> </w:t>
            </w:r>
            <w:r>
              <w:rPr>
                <w:rFonts w:hint="eastAsia" w:ascii="微软雅黑" w:hAnsi="微软雅黑" w:eastAsia="微软雅黑" w:cs="Arial"/>
                <w:color w:val="000000"/>
                <w:sz w:val="21"/>
                <w:szCs w:val="21"/>
                <w:highlight w:val="none"/>
              </w:rPr>
              <w:t xml:space="preserve"> </w:t>
            </w:r>
            <w:r>
              <w:rPr>
                <w:rFonts w:ascii="微软雅黑" w:hAnsi="微软雅黑" w:eastAsia="微软雅黑" w:cs="Calibri"/>
                <w:color w:val="000000"/>
                <w:sz w:val="21"/>
                <w:szCs w:val="21"/>
                <w:highlight w:val="none"/>
              </w:rPr>
              <w:t> </w:t>
            </w:r>
            <w:r>
              <w:rPr>
                <w:rFonts w:hint="eastAsia" w:ascii="微软雅黑" w:hAnsi="微软雅黑" w:eastAsia="微软雅黑" w:cs="Arial"/>
                <w:color w:val="000000"/>
                <w:sz w:val="21"/>
                <w:szCs w:val="21"/>
                <w:highlight w:val="none"/>
              </w:rPr>
              <w:t xml:space="preserve"> </w:t>
            </w:r>
            <w:r>
              <w:rPr>
                <w:rFonts w:ascii="微软雅黑" w:hAnsi="微软雅黑" w:eastAsia="微软雅黑" w:cs="Calibri"/>
                <w:color w:val="000000"/>
                <w:sz w:val="21"/>
                <w:szCs w:val="21"/>
                <w:highlight w:val="none"/>
              </w:rPr>
              <w:t> </w:t>
            </w:r>
            <w:r>
              <w:rPr>
                <w:rFonts w:hint="eastAsia" w:ascii="微软雅黑" w:hAnsi="微软雅黑" w:eastAsia="微软雅黑" w:cs="Arial"/>
                <w:color w:val="000000"/>
                <w:sz w:val="21"/>
                <w:szCs w:val="21"/>
                <w:highlight w:val="none"/>
              </w:rPr>
              <w:t xml:space="preserve"> </w:t>
            </w:r>
            <w:r>
              <w:rPr>
                <w:rFonts w:ascii="微软雅黑" w:hAnsi="微软雅黑" w:eastAsia="微软雅黑" w:cs="Calibri"/>
                <w:color w:val="000000"/>
                <w:sz w:val="21"/>
                <w:szCs w:val="21"/>
                <w:highlight w:val="none"/>
              </w:rPr>
              <w:t> </w:t>
            </w:r>
            <w:r>
              <w:rPr>
                <w:rFonts w:hint="eastAsia" w:ascii="微软雅黑" w:hAnsi="微软雅黑" w:eastAsia="微软雅黑" w:cs="Arial"/>
                <w:color w:val="000000"/>
                <w:sz w:val="21"/>
                <w:szCs w:val="21"/>
                <w:highlight w:val="none"/>
              </w:rPr>
              <w:t xml:space="preserve"> </w:t>
            </w:r>
            <w:r>
              <w:rPr>
                <w:rFonts w:ascii="微软雅黑" w:hAnsi="微软雅黑" w:eastAsia="微软雅黑" w:cs="Calibri"/>
                <w:color w:val="000000"/>
                <w:sz w:val="21"/>
                <w:szCs w:val="21"/>
                <w:highlight w:val="none"/>
              </w:rPr>
              <w:t> </w:t>
            </w:r>
            <w:r>
              <w:rPr>
                <w:rFonts w:hint="eastAsia" w:ascii="微软雅黑" w:hAnsi="微软雅黑" w:eastAsia="微软雅黑" w:cs="Arial"/>
                <w:color w:val="000000"/>
                <w:sz w:val="21"/>
                <w:szCs w:val="21"/>
                <w:highlight w:val="none"/>
              </w:rPr>
              <w:t xml:space="preserve"> </w:t>
            </w:r>
            <w:r>
              <w:rPr>
                <w:rFonts w:ascii="微软雅黑" w:hAnsi="微软雅黑" w:eastAsia="微软雅黑" w:cs="Calibri"/>
                <w:color w:val="000000"/>
                <w:sz w:val="21"/>
                <w:szCs w:val="21"/>
                <w:highlight w:val="none"/>
              </w:rPr>
              <w:t> </w:t>
            </w:r>
            <w:r>
              <w:rPr>
                <w:rFonts w:hint="eastAsia" w:ascii="微软雅黑" w:hAnsi="微软雅黑" w:eastAsia="微软雅黑" w:cs="Arial"/>
                <w:color w:val="000000"/>
                <w:sz w:val="21"/>
                <w:szCs w:val="21"/>
                <w:highlight w:val="none"/>
              </w:rPr>
              <w:t xml:space="preserve"> </w:t>
            </w:r>
            <w:r>
              <w:rPr>
                <w:rFonts w:ascii="微软雅黑" w:hAnsi="微软雅黑" w:eastAsia="微软雅黑" w:cs="Calibri"/>
                <w:color w:val="000000"/>
                <w:sz w:val="21"/>
                <w:szCs w:val="21"/>
                <w:highlight w:val="none"/>
              </w:rPr>
              <w:t> </w:t>
            </w:r>
          </w:p>
          <w:p w14:paraId="7C85F5F3">
            <w:pPr>
              <w:pStyle w:val="48"/>
              <w:spacing w:before="75" w:beforeAutospacing="0" w:after="150" w:afterAutospacing="0"/>
              <w:rPr>
                <w:rFonts w:ascii="微软雅黑" w:hAnsi="微软雅黑" w:eastAsia="微软雅黑" w:cs="Arial"/>
                <w:color w:val="000000"/>
                <w:sz w:val="21"/>
                <w:szCs w:val="21"/>
                <w:highlight w:val="none"/>
              </w:rPr>
            </w:pPr>
            <w:r>
              <w:rPr>
                <w:rFonts w:ascii="微软雅黑" w:hAnsi="微软雅黑" w:eastAsia="微软雅黑" w:cs="Calibri"/>
                <w:color w:val="000000"/>
                <w:sz w:val="21"/>
                <w:szCs w:val="21"/>
                <w:highlight w:val="none"/>
              </w:rPr>
              <w:t> </w:t>
            </w:r>
            <w:r>
              <w:rPr>
                <w:rFonts w:hint="eastAsia" w:ascii="微软雅黑" w:hAnsi="微软雅黑" w:eastAsia="微软雅黑" w:cs="Arial"/>
                <w:color w:val="000000"/>
                <w:sz w:val="21"/>
                <w:szCs w:val="21"/>
                <w:highlight w:val="none"/>
              </w:rPr>
              <w:t xml:space="preserve"> </w:t>
            </w:r>
            <w:r>
              <w:rPr>
                <w:rFonts w:ascii="微软雅黑" w:hAnsi="微软雅黑" w:eastAsia="微软雅黑" w:cs="Calibri"/>
                <w:color w:val="000000"/>
                <w:sz w:val="21"/>
                <w:szCs w:val="21"/>
                <w:highlight w:val="none"/>
              </w:rPr>
              <w:t>  </w:t>
            </w:r>
            <w:r>
              <w:rPr>
                <w:rFonts w:hint="eastAsia" w:ascii="微软雅黑" w:hAnsi="微软雅黑" w:eastAsia="微软雅黑" w:cs="Arial"/>
                <w:color w:val="000000"/>
                <w:sz w:val="21"/>
                <w:szCs w:val="21"/>
                <w:highlight w:val="none"/>
                <w:lang w:eastAsia="zh-CN"/>
              </w:rPr>
              <w:t xml:space="preserve">嘉兴市南湖区大桥镇中心小学2025年度教师疗休养项目采购项目的潜在供应商应在https://www.zcygov.cn/获取（下载）采购文件，并于2025年6月30日 </w:t>
            </w:r>
            <w:r>
              <w:rPr>
                <w:rFonts w:hint="eastAsia" w:ascii="微软雅黑" w:hAnsi="微软雅黑" w:eastAsia="微软雅黑" w:cs="Arial"/>
                <w:color w:val="000000"/>
                <w:sz w:val="21"/>
                <w:szCs w:val="21"/>
                <w:highlight w:val="none"/>
                <w:lang w:val="en-US" w:eastAsia="zh-CN"/>
              </w:rPr>
              <w:t>09:30</w:t>
            </w:r>
            <w:r>
              <w:rPr>
                <w:rFonts w:hint="eastAsia" w:ascii="微软雅黑" w:hAnsi="微软雅黑" w:eastAsia="微软雅黑" w:cs="Arial"/>
                <w:color w:val="000000"/>
                <w:sz w:val="21"/>
                <w:szCs w:val="21"/>
                <w:highlight w:val="none"/>
                <w:lang w:eastAsia="zh-CN"/>
              </w:rPr>
              <w:t>（北京时间）前提交（上传）响应文件。</w:t>
            </w:r>
          </w:p>
        </w:tc>
      </w:tr>
    </w:tbl>
    <w:p w14:paraId="7F9EA35C">
      <w:pPr>
        <w:widowControl/>
        <w:spacing w:before="255" w:after="255" w:line="450" w:lineRule="atLeast"/>
        <w:rPr>
          <w:rFonts w:hint="eastAsia" w:ascii="微软雅黑" w:hAnsi="微软雅黑" w:eastAsia="微软雅黑" w:cs="Arial"/>
          <w:color w:val="000000"/>
          <w:kern w:val="0"/>
          <w:szCs w:val="21"/>
          <w:highlight w:val="none"/>
        </w:rPr>
      </w:pPr>
      <w:r>
        <w:rPr>
          <w:rFonts w:hint="eastAsia" w:ascii="微软雅黑" w:hAnsi="微软雅黑" w:eastAsia="微软雅黑" w:cs="Arial"/>
          <w:b/>
          <w:bCs/>
          <w:color w:val="000000"/>
          <w:kern w:val="0"/>
          <w:szCs w:val="21"/>
          <w:highlight w:val="none"/>
        </w:rPr>
        <w:t>一、项目基本情况</w:t>
      </w:r>
    </w:p>
    <w:p w14:paraId="723B42F1">
      <w:pPr>
        <w:widowControl/>
        <w:spacing w:before="75" w:after="75" w:line="300" w:lineRule="atLeast"/>
        <w:jc w:val="left"/>
        <w:rPr>
          <w:rFonts w:hint="eastAsia" w:ascii="微软雅黑" w:hAnsi="微软雅黑" w:eastAsia="微软雅黑" w:cs="Arial"/>
          <w:color w:val="000000"/>
          <w:kern w:val="0"/>
          <w:szCs w:val="21"/>
          <w:highlight w:val="none"/>
        </w:rPr>
      </w:pP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项目编号：</w:t>
      </w:r>
      <w:r>
        <w:rPr>
          <w:rFonts w:hint="eastAsia" w:ascii="微软雅黑" w:hAnsi="微软雅黑" w:eastAsia="微软雅黑" w:cs="Arial"/>
          <w:color w:val="000000"/>
          <w:kern w:val="0"/>
          <w:szCs w:val="21"/>
          <w:highlight w:val="none"/>
          <w:lang w:eastAsia="zh-CN"/>
        </w:rPr>
        <w:t>中际-ZJZJGC（2025）嘉11号</w:t>
      </w:r>
    </w:p>
    <w:p w14:paraId="24076718">
      <w:pPr>
        <w:widowControl/>
        <w:spacing w:before="75" w:after="75" w:line="300" w:lineRule="atLeast"/>
        <w:jc w:val="left"/>
        <w:rPr>
          <w:rFonts w:hint="eastAsia" w:ascii="微软雅黑" w:hAnsi="微软雅黑" w:eastAsia="微软雅黑" w:cs="Arial"/>
          <w:color w:val="000000"/>
          <w:kern w:val="0"/>
          <w:szCs w:val="21"/>
          <w:highlight w:val="none"/>
        </w:rPr>
      </w:pP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项目名称：</w:t>
      </w:r>
      <w:r>
        <w:rPr>
          <w:rFonts w:hint="eastAsia" w:ascii="微软雅黑" w:hAnsi="微软雅黑" w:eastAsia="微软雅黑" w:cs="Arial"/>
          <w:color w:val="000000"/>
          <w:kern w:val="0"/>
          <w:szCs w:val="21"/>
          <w:highlight w:val="none"/>
          <w:lang w:eastAsia="zh-CN"/>
        </w:rPr>
        <w:t>嘉兴市南湖区大桥镇中心小学2025年度教师疗休养项目</w:t>
      </w:r>
      <w:r>
        <w:rPr>
          <w:rFonts w:ascii="微软雅黑" w:hAnsi="微软雅黑" w:eastAsia="微软雅黑" w:cs="Calibri"/>
          <w:color w:val="000000"/>
          <w:kern w:val="0"/>
          <w:szCs w:val="21"/>
          <w:highlight w:val="none"/>
        </w:rPr>
        <w:t> </w:t>
      </w:r>
    </w:p>
    <w:p w14:paraId="103664DB">
      <w:pPr>
        <w:widowControl/>
        <w:spacing w:before="75" w:after="75" w:line="300" w:lineRule="atLeast"/>
        <w:jc w:val="left"/>
        <w:rPr>
          <w:rFonts w:hint="eastAsia" w:ascii="微软雅黑" w:hAnsi="微软雅黑" w:eastAsia="微软雅黑" w:cs="Arial"/>
          <w:color w:val="000000"/>
          <w:kern w:val="0"/>
          <w:szCs w:val="21"/>
          <w:highlight w:val="none"/>
        </w:rPr>
      </w:pP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采购方式：竞争性磋商</w:t>
      </w:r>
      <w:r>
        <w:rPr>
          <w:rFonts w:ascii="微软雅黑" w:hAnsi="微软雅黑" w:eastAsia="微软雅黑" w:cs="Calibri"/>
          <w:color w:val="000000"/>
          <w:kern w:val="0"/>
          <w:szCs w:val="21"/>
          <w:highlight w:val="none"/>
        </w:rPr>
        <w:t> </w:t>
      </w:r>
    </w:p>
    <w:p w14:paraId="5D10EABD">
      <w:pPr>
        <w:widowControl/>
        <w:spacing w:before="75" w:after="75" w:line="300" w:lineRule="atLeast"/>
        <w:ind w:firstLine="334"/>
        <w:jc w:val="left"/>
        <w:rPr>
          <w:rFonts w:hint="default" w:ascii="微软雅黑" w:hAnsi="微软雅黑" w:eastAsia="微软雅黑" w:cs="Arial"/>
          <w:color w:val="000000"/>
          <w:kern w:val="0"/>
          <w:szCs w:val="21"/>
          <w:highlight w:val="none"/>
          <w:lang w:val="en-US" w:eastAsia="zh-CN"/>
        </w:rPr>
      </w:pPr>
      <w:r>
        <w:rPr>
          <w:rFonts w:hint="eastAsia" w:ascii="微软雅黑" w:hAnsi="微软雅黑" w:eastAsia="微软雅黑" w:cs="Arial"/>
          <w:color w:val="000000"/>
          <w:kern w:val="0"/>
          <w:szCs w:val="21"/>
          <w:highlight w:val="none"/>
        </w:rPr>
        <w:t>预算金额（元）：</w:t>
      </w:r>
      <w:bookmarkStart w:id="603" w:name="_GoBack"/>
      <w:bookmarkEnd w:id="603"/>
      <w:r>
        <w:rPr>
          <w:rFonts w:hint="eastAsia" w:ascii="微软雅黑" w:hAnsi="微软雅黑" w:eastAsia="微软雅黑" w:cs="Arial"/>
          <w:color w:val="000000"/>
          <w:kern w:val="0"/>
          <w:szCs w:val="21"/>
          <w:highlight w:val="none"/>
          <w:lang w:val="en-US" w:eastAsia="zh-CN"/>
        </w:rPr>
        <w:t>291000</w:t>
      </w:r>
    </w:p>
    <w:p w14:paraId="2AA19559">
      <w:pPr>
        <w:widowControl/>
        <w:spacing w:before="75" w:after="75" w:line="300" w:lineRule="atLeast"/>
        <w:ind w:firstLine="334"/>
        <w:jc w:val="left"/>
        <w:rPr>
          <w:rFonts w:hint="default" w:ascii="微软雅黑" w:hAnsi="微软雅黑" w:eastAsia="微软雅黑" w:cs="Arial"/>
          <w:color w:val="000000"/>
          <w:kern w:val="0"/>
          <w:szCs w:val="21"/>
          <w:highlight w:val="none"/>
          <w:lang w:val="en-US" w:eastAsia="zh-CN"/>
        </w:rPr>
      </w:pPr>
      <w:r>
        <w:rPr>
          <w:rFonts w:hint="eastAsia" w:ascii="微软雅黑" w:hAnsi="微软雅黑" w:eastAsia="微软雅黑" w:cs="Arial"/>
          <w:color w:val="000000"/>
          <w:kern w:val="0"/>
          <w:szCs w:val="21"/>
          <w:highlight w:val="none"/>
        </w:rPr>
        <w:t>最高限价（元）：</w:t>
      </w:r>
      <w:r>
        <w:rPr>
          <w:rFonts w:hint="eastAsia" w:ascii="微软雅黑" w:hAnsi="微软雅黑" w:eastAsia="微软雅黑" w:cs="Arial"/>
          <w:color w:val="000000"/>
          <w:kern w:val="0"/>
          <w:szCs w:val="21"/>
          <w:highlight w:val="none"/>
          <w:lang w:val="en-US" w:eastAsia="zh-CN"/>
        </w:rPr>
        <w:t>81000；108000；102000</w:t>
      </w:r>
    </w:p>
    <w:p w14:paraId="62B1C19C">
      <w:pPr>
        <w:widowControl/>
        <w:spacing w:before="75" w:after="75" w:line="300" w:lineRule="atLeast"/>
        <w:jc w:val="left"/>
        <w:rPr>
          <w:rFonts w:hint="eastAsia" w:ascii="微软雅黑" w:hAnsi="微软雅黑" w:eastAsia="微软雅黑" w:cs="Arial"/>
          <w:color w:val="000000"/>
          <w:kern w:val="0"/>
          <w:szCs w:val="21"/>
          <w:highlight w:val="none"/>
        </w:rPr>
      </w:pP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采购需求：</w:t>
      </w:r>
    </w:p>
    <w:p w14:paraId="5A1CDB94">
      <w:pPr>
        <w:widowControl/>
        <w:spacing w:after="0" w:line="300" w:lineRule="atLeast"/>
        <w:jc w:val="left"/>
        <w:rPr>
          <w:rFonts w:hint="eastAsia" w:ascii="微软雅黑" w:hAnsi="微软雅黑" w:eastAsia="微软雅黑" w:cs="Calibri"/>
          <w:color w:val="000000"/>
          <w:kern w:val="0"/>
          <w:szCs w:val="21"/>
          <w:highlight w:val="none"/>
          <w:lang w:eastAsia="zh-CN"/>
        </w:rPr>
      </w:pP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标项一</w:t>
      </w:r>
      <w:r>
        <w:rPr>
          <w:rFonts w:ascii="微软雅黑" w:hAnsi="微软雅黑" w:eastAsia="微软雅黑" w:cs="Calibri"/>
          <w:color w:val="000000"/>
          <w:kern w:val="0"/>
          <w:szCs w:val="21"/>
          <w:highlight w:val="none"/>
        </w:rPr>
        <w:t> </w:t>
      </w:r>
    </w:p>
    <w:p w14:paraId="51658C1A">
      <w:pPr>
        <w:widowControl/>
        <w:spacing w:after="0" w:line="300" w:lineRule="atLeast"/>
        <w:jc w:val="left"/>
        <w:rPr>
          <w:rFonts w:hint="eastAsia" w:ascii="微软雅黑" w:hAnsi="微软雅黑" w:eastAsia="微软雅黑" w:cs="Arial"/>
          <w:color w:val="000000"/>
          <w:kern w:val="0"/>
          <w:szCs w:val="21"/>
          <w:highlight w:val="none"/>
        </w:rPr>
      </w:pP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数量：1</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p>
    <w:p w14:paraId="39BAF605">
      <w:pPr>
        <w:widowControl/>
        <w:spacing w:before="75" w:after="75" w:line="300" w:lineRule="atLeast"/>
        <w:jc w:val="left"/>
        <w:rPr>
          <w:rFonts w:hint="default" w:ascii="微软雅黑" w:hAnsi="微软雅黑" w:eastAsia="微软雅黑" w:cs="Arial"/>
          <w:color w:val="000000"/>
          <w:kern w:val="0"/>
          <w:szCs w:val="21"/>
          <w:highlight w:val="none"/>
          <w:lang w:val="en-US" w:eastAsia="zh-CN"/>
        </w:rPr>
      </w:pP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预算金额（元）：</w:t>
      </w:r>
      <w:r>
        <w:rPr>
          <w:rFonts w:hint="eastAsia" w:ascii="微软雅黑" w:hAnsi="微软雅黑" w:eastAsia="微软雅黑" w:cs="Arial"/>
          <w:color w:val="000000"/>
          <w:kern w:val="0"/>
          <w:szCs w:val="21"/>
          <w:highlight w:val="none"/>
          <w:lang w:val="en-US" w:eastAsia="zh-CN"/>
        </w:rPr>
        <w:t>81000</w:t>
      </w:r>
    </w:p>
    <w:p w14:paraId="6CCADAEF">
      <w:pPr>
        <w:widowControl/>
        <w:spacing w:before="75" w:after="75" w:line="300" w:lineRule="atLeast"/>
        <w:jc w:val="left"/>
        <w:rPr>
          <w:rFonts w:hint="eastAsia" w:ascii="微软雅黑" w:hAnsi="微软雅黑" w:eastAsia="微软雅黑" w:cs="Arial"/>
          <w:color w:val="000000"/>
          <w:kern w:val="0"/>
          <w:szCs w:val="21"/>
          <w:highlight w:val="none"/>
        </w:rPr>
      </w:pP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单位：批</w:t>
      </w:r>
      <w:r>
        <w:rPr>
          <w:rFonts w:ascii="微软雅黑" w:hAnsi="微软雅黑" w:eastAsia="微软雅黑" w:cs="Calibri"/>
          <w:color w:val="000000"/>
          <w:kern w:val="0"/>
          <w:szCs w:val="21"/>
          <w:highlight w:val="none"/>
        </w:rPr>
        <w:t> </w:t>
      </w:r>
    </w:p>
    <w:p w14:paraId="1A4C2D24">
      <w:pPr>
        <w:widowControl/>
        <w:spacing w:before="75" w:after="75" w:line="300" w:lineRule="atLeast"/>
        <w:jc w:val="left"/>
        <w:rPr>
          <w:rFonts w:hint="eastAsia" w:ascii="微软雅黑" w:hAnsi="微软雅黑" w:eastAsia="微软雅黑" w:cs="Arial"/>
          <w:color w:val="0000FF"/>
          <w:kern w:val="0"/>
          <w:szCs w:val="21"/>
          <w:highlight w:val="none"/>
          <w:lang w:val="en-US" w:eastAsia="zh-CN"/>
        </w:rPr>
      </w:pPr>
      <w:r>
        <w:rPr>
          <w:rFonts w:ascii="微软雅黑" w:hAnsi="微软雅黑" w:eastAsia="微软雅黑" w:cs="Calibri"/>
          <w:color w:val="0000FF"/>
          <w:kern w:val="0"/>
          <w:szCs w:val="21"/>
          <w:highlight w:val="none"/>
        </w:rPr>
        <w:t> </w:t>
      </w:r>
      <w:r>
        <w:rPr>
          <w:rFonts w:hint="eastAsia" w:ascii="微软雅黑" w:hAnsi="微软雅黑" w:eastAsia="微软雅黑" w:cs="Arial"/>
          <w:color w:val="0000FF"/>
          <w:kern w:val="0"/>
          <w:szCs w:val="21"/>
          <w:highlight w:val="none"/>
        </w:rPr>
        <w:t>简要规格描述：</w:t>
      </w:r>
      <w:r>
        <w:rPr>
          <w:rFonts w:hint="eastAsia" w:ascii="微软雅黑" w:hAnsi="微软雅黑" w:eastAsia="微软雅黑" w:cs="Arial"/>
          <w:color w:val="0000FF"/>
          <w:kern w:val="0"/>
          <w:szCs w:val="21"/>
          <w:highlight w:val="none"/>
          <w:lang w:eastAsia="zh-CN"/>
        </w:rPr>
        <w:t>线路一：</w:t>
      </w:r>
      <w:r>
        <w:rPr>
          <w:rFonts w:hint="eastAsia" w:ascii="微软雅黑" w:hAnsi="微软雅黑" w:eastAsia="微软雅黑" w:cs="Arial"/>
          <w:color w:val="0000FF"/>
          <w:kern w:val="0"/>
          <w:szCs w:val="21"/>
          <w:highlight w:val="none"/>
          <w:lang w:val="en-US" w:eastAsia="zh-CN"/>
        </w:rPr>
        <w:t>嘉兴5日游；</w:t>
      </w:r>
    </w:p>
    <w:p w14:paraId="3AB41C37">
      <w:pPr>
        <w:widowControl/>
        <w:spacing w:after="0" w:line="300" w:lineRule="atLeast"/>
        <w:jc w:val="left"/>
        <w:rPr>
          <w:rFonts w:hint="eastAsia" w:ascii="微软雅黑" w:hAnsi="微软雅黑" w:eastAsia="微软雅黑" w:cs="Arial"/>
          <w:color w:val="000000"/>
          <w:kern w:val="0"/>
          <w:szCs w:val="21"/>
          <w:highlight w:val="none"/>
        </w:rPr>
      </w:pPr>
      <w:r>
        <w:rPr>
          <w:rFonts w:hint="eastAsia" w:ascii="微软雅黑" w:hAnsi="微软雅黑" w:eastAsia="微软雅黑" w:cs="Calibri"/>
          <w:color w:val="000000"/>
          <w:kern w:val="0"/>
          <w:szCs w:val="21"/>
          <w:highlight w:val="none"/>
        </w:rPr>
        <w:t>人数按实际报名情况确定</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p>
    <w:p w14:paraId="7E013F28">
      <w:pPr>
        <w:widowControl/>
        <w:spacing w:after="0" w:line="300" w:lineRule="atLeast"/>
        <w:ind w:firstLine="630" w:firstLineChars="300"/>
        <w:jc w:val="left"/>
        <w:rPr>
          <w:rFonts w:hint="eastAsia" w:ascii="微软雅黑" w:hAnsi="微软雅黑" w:eastAsia="微软雅黑" w:cs="Calibri"/>
          <w:color w:val="000000"/>
          <w:kern w:val="0"/>
          <w:szCs w:val="21"/>
          <w:highlight w:val="none"/>
          <w:lang w:eastAsia="zh-CN"/>
        </w:rPr>
      </w:pP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标项</w:t>
      </w:r>
      <w:r>
        <w:rPr>
          <w:rFonts w:hint="eastAsia" w:ascii="微软雅黑" w:hAnsi="微软雅黑" w:eastAsia="微软雅黑" w:cs="Arial"/>
          <w:color w:val="000000"/>
          <w:kern w:val="0"/>
          <w:szCs w:val="21"/>
          <w:highlight w:val="none"/>
          <w:lang w:val="en-US" w:eastAsia="zh-CN"/>
        </w:rPr>
        <w:t>二</w:t>
      </w:r>
      <w:r>
        <w:rPr>
          <w:rFonts w:ascii="微软雅黑" w:hAnsi="微软雅黑" w:eastAsia="微软雅黑" w:cs="Calibri"/>
          <w:color w:val="000000"/>
          <w:kern w:val="0"/>
          <w:szCs w:val="21"/>
          <w:highlight w:val="none"/>
        </w:rPr>
        <w:t> </w:t>
      </w:r>
    </w:p>
    <w:p w14:paraId="225C076C">
      <w:pPr>
        <w:widowControl/>
        <w:spacing w:after="0" w:line="300" w:lineRule="atLeast"/>
        <w:jc w:val="left"/>
        <w:rPr>
          <w:rFonts w:hint="eastAsia" w:ascii="微软雅黑" w:hAnsi="微软雅黑" w:eastAsia="微软雅黑" w:cs="Arial"/>
          <w:color w:val="000000"/>
          <w:kern w:val="0"/>
          <w:szCs w:val="21"/>
          <w:highlight w:val="none"/>
        </w:rPr>
      </w:pP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数量：1</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p>
    <w:p w14:paraId="536A5B97">
      <w:pPr>
        <w:widowControl/>
        <w:spacing w:before="75" w:after="75" w:line="300" w:lineRule="atLeast"/>
        <w:jc w:val="left"/>
        <w:rPr>
          <w:rFonts w:hint="default" w:ascii="微软雅黑" w:hAnsi="微软雅黑" w:eastAsia="微软雅黑" w:cs="Arial"/>
          <w:color w:val="000000"/>
          <w:kern w:val="0"/>
          <w:szCs w:val="21"/>
          <w:highlight w:val="none"/>
          <w:lang w:val="en-US" w:eastAsia="zh-CN"/>
        </w:rPr>
      </w:pP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预算金额（元）：</w:t>
      </w:r>
      <w:r>
        <w:rPr>
          <w:rFonts w:hint="eastAsia" w:ascii="微软雅黑" w:hAnsi="微软雅黑" w:eastAsia="微软雅黑" w:cs="Arial"/>
          <w:color w:val="000000"/>
          <w:kern w:val="0"/>
          <w:szCs w:val="21"/>
          <w:highlight w:val="none"/>
          <w:lang w:val="en-US" w:eastAsia="zh-CN"/>
        </w:rPr>
        <w:t>108000</w:t>
      </w:r>
    </w:p>
    <w:p w14:paraId="74B8A5FC">
      <w:pPr>
        <w:widowControl/>
        <w:spacing w:before="75" w:after="75" w:line="300" w:lineRule="atLeast"/>
        <w:jc w:val="left"/>
        <w:rPr>
          <w:rFonts w:hint="eastAsia" w:ascii="微软雅黑" w:hAnsi="微软雅黑" w:eastAsia="微软雅黑" w:cs="Arial"/>
          <w:color w:val="000000"/>
          <w:kern w:val="0"/>
          <w:szCs w:val="21"/>
          <w:highlight w:val="none"/>
        </w:rPr>
      </w:pP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单位：批</w:t>
      </w:r>
      <w:r>
        <w:rPr>
          <w:rFonts w:ascii="微软雅黑" w:hAnsi="微软雅黑" w:eastAsia="微软雅黑" w:cs="Calibri"/>
          <w:color w:val="000000"/>
          <w:kern w:val="0"/>
          <w:szCs w:val="21"/>
          <w:highlight w:val="none"/>
        </w:rPr>
        <w:t> </w:t>
      </w:r>
    </w:p>
    <w:p w14:paraId="08B04052">
      <w:pPr>
        <w:widowControl/>
        <w:spacing w:before="75" w:after="75" w:line="300" w:lineRule="atLeast"/>
        <w:jc w:val="left"/>
        <w:rPr>
          <w:rFonts w:hint="eastAsia" w:ascii="微软雅黑" w:hAnsi="微软雅黑" w:eastAsia="微软雅黑" w:cs="Arial"/>
          <w:color w:val="0000FF"/>
          <w:kern w:val="0"/>
          <w:szCs w:val="21"/>
          <w:highlight w:val="none"/>
          <w:lang w:eastAsia="zh-CN"/>
        </w:rPr>
      </w:pPr>
      <w:r>
        <w:rPr>
          <w:rFonts w:ascii="微软雅黑" w:hAnsi="微软雅黑" w:eastAsia="微软雅黑" w:cs="Calibri"/>
          <w:color w:val="0000FF"/>
          <w:kern w:val="0"/>
          <w:szCs w:val="21"/>
          <w:highlight w:val="none"/>
        </w:rPr>
        <w:t> </w:t>
      </w:r>
      <w:r>
        <w:rPr>
          <w:rFonts w:hint="eastAsia" w:ascii="微软雅黑" w:hAnsi="微软雅黑" w:eastAsia="微软雅黑" w:cs="Arial"/>
          <w:color w:val="0000FF"/>
          <w:kern w:val="0"/>
          <w:szCs w:val="21"/>
          <w:highlight w:val="none"/>
        </w:rPr>
        <w:t>简要规格描述：</w:t>
      </w:r>
      <w:r>
        <w:rPr>
          <w:rFonts w:hint="eastAsia" w:ascii="微软雅黑" w:hAnsi="微软雅黑" w:eastAsia="微软雅黑" w:cs="Arial"/>
          <w:color w:val="0000FF"/>
          <w:kern w:val="0"/>
          <w:szCs w:val="21"/>
          <w:highlight w:val="none"/>
          <w:lang w:eastAsia="zh-CN"/>
        </w:rPr>
        <w:t>线路</w:t>
      </w:r>
      <w:r>
        <w:rPr>
          <w:rFonts w:hint="eastAsia" w:ascii="微软雅黑" w:hAnsi="微软雅黑" w:eastAsia="微软雅黑" w:cs="Arial"/>
          <w:color w:val="0000FF"/>
          <w:kern w:val="0"/>
          <w:szCs w:val="21"/>
          <w:highlight w:val="none"/>
          <w:lang w:val="en-US" w:eastAsia="zh-CN"/>
        </w:rPr>
        <w:t>二</w:t>
      </w:r>
      <w:r>
        <w:rPr>
          <w:rFonts w:hint="eastAsia" w:ascii="微软雅黑" w:hAnsi="微软雅黑" w:eastAsia="微软雅黑" w:cs="Arial"/>
          <w:color w:val="0000FF"/>
          <w:kern w:val="0"/>
          <w:szCs w:val="21"/>
          <w:highlight w:val="none"/>
          <w:lang w:eastAsia="zh-CN"/>
        </w:rPr>
        <w:t>：</w:t>
      </w:r>
      <w:r>
        <w:rPr>
          <w:rFonts w:hint="eastAsia" w:ascii="微软雅黑" w:hAnsi="微软雅黑" w:eastAsia="微软雅黑" w:cs="Arial"/>
          <w:color w:val="0000FF"/>
          <w:kern w:val="0"/>
          <w:szCs w:val="21"/>
          <w:highlight w:val="none"/>
          <w:lang w:val="en-US" w:eastAsia="zh-CN"/>
        </w:rPr>
        <w:t>杭州千岛湖5日游</w:t>
      </w:r>
      <w:r>
        <w:rPr>
          <w:rFonts w:hint="eastAsia" w:ascii="微软雅黑" w:hAnsi="微软雅黑" w:eastAsia="微软雅黑" w:cs="Arial"/>
          <w:color w:val="0000FF"/>
          <w:kern w:val="0"/>
          <w:szCs w:val="21"/>
          <w:highlight w:val="none"/>
          <w:lang w:eastAsia="zh-CN"/>
        </w:rPr>
        <w:t>；</w:t>
      </w:r>
    </w:p>
    <w:p w14:paraId="5B530C07">
      <w:pPr>
        <w:widowControl/>
        <w:spacing w:after="0" w:line="300" w:lineRule="atLeast"/>
        <w:ind w:firstLine="630" w:firstLineChars="300"/>
        <w:jc w:val="left"/>
        <w:rPr>
          <w:rFonts w:ascii="微软雅黑" w:hAnsi="微软雅黑" w:eastAsia="微软雅黑" w:cs="Calibri"/>
          <w:color w:val="000000"/>
          <w:kern w:val="0"/>
          <w:szCs w:val="21"/>
          <w:highlight w:val="none"/>
        </w:rPr>
      </w:pPr>
      <w:r>
        <w:rPr>
          <w:rFonts w:hint="eastAsia" w:ascii="微软雅黑" w:hAnsi="微软雅黑" w:eastAsia="微软雅黑" w:cs="Calibri"/>
          <w:color w:val="000000"/>
          <w:kern w:val="0"/>
          <w:szCs w:val="21"/>
          <w:highlight w:val="none"/>
        </w:rPr>
        <w:t>人数按实际报名情况确定</w:t>
      </w:r>
      <w:r>
        <w:rPr>
          <w:rFonts w:ascii="微软雅黑" w:hAnsi="微软雅黑" w:eastAsia="微软雅黑" w:cs="Calibri"/>
          <w:color w:val="000000"/>
          <w:kern w:val="0"/>
          <w:szCs w:val="21"/>
          <w:highlight w:val="none"/>
        </w:rPr>
        <w:t>  </w:t>
      </w:r>
    </w:p>
    <w:p w14:paraId="297625E2">
      <w:pPr>
        <w:widowControl/>
        <w:spacing w:after="0" w:line="300" w:lineRule="atLeast"/>
        <w:ind w:firstLine="630" w:firstLineChars="300"/>
        <w:jc w:val="left"/>
        <w:rPr>
          <w:rFonts w:hint="eastAsia" w:ascii="微软雅黑" w:hAnsi="微软雅黑" w:eastAsia="微软雅黑" w:cs="Calibri"/>
          <w:color w:val="000000"/>
          <w:kern w:val="0"/>
          <w:szCs w:val="21"/>
          <w:highlight w:val="none"/>
          <w:lang w:eastAsia="zh-CN"/>
        </w:rPr>
      </w:pPr>
      <w:r>
        <w:rPr>
          <w:rFonts w:hint="eastAsia" w:ascii="微软雅黑" w:hAnsi="微软雅黑" w:eastAsia="微软雅黑" w:cs="Arial"/>
          <w:color w:val="000000"/>
          <w:kern w:val="0"/>
          <w:szCs w:val="21"/>
          <w:highlight w:val="none"/>
        </w:rPr>
        <w:t>标项</w:t>
      </w:r>
      <w:r>
        <w:rPr>
          <w:rFonts w:hint="eastAsia" w:ascii="微软雅黑" w:hAnsi="微软雅黑" w:eastAsia="微软雅黑" w:cs="Arial"/>
          <w:color w:val="000000"/>
          <w:kern w:val="0"/>
          <w:szCs w:val="21"/>
          <w:highlight w:val="none"/>
          <w:lang w:val="en-US" w:eastAsia="zh-CN"/>
        </w:rPr>
        <w:t>三</w:t>
      </w:r>
    </w:p>
    <w:p w14:paraId="5E38A02C">
      <w:pPr>
        <w:widowControl/>
        <w:spacing w:after="0" w:line="300" w:lineRule="atLeast"/>
        <w:jc w:val="left"/>
        <w:rPr>
          <w:rFonts w:hint="eastAsia" w:ascii="微软雅黑" w:hAnsi="微软雅黑" w:eastAsia="微软雅黑" w:cs="Arial"/>
          <w:color w:val="000000"/>
          <w:kern w:val="0"/>
          <w:szCs w:val="21"/>
          <w:highlight w:val="none"/>
        </w:rPr>
      </w:pP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数量：1</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p>
    <w:p w14:paraId="707A9E04">
      <w:pPr>
        <w:widowControl/>
        <w:spacing w:before="75" w:after="75" w:line="300" w:lineRule="atLeast"/>
        <w:jc w:val="left"/>
        <w:rPr>
          <w:rFonts w:hint="default" w:ascii="微软雅黑" w:hAnsi="微软雅黑" w:eastAsia="微软雅黑" w:cs="Arial"/>
          <w:color w:val="000000"/>
          <w:kern w:val="0"/>
          <w:szCs w:val="21"/>
          <w:highlight w:val="none"/>
          <w:lang w:val="en-US" w:eastAsia="zh-CN"/>
        </w:rPr>
      </w:pP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预算金额（元）：</w:t>
      </w:r>
      <w:r>
        <w:rPr>
          <w:rFonts w:hint="eastAsia" w:ascii="微软雅黑" w:hAnsi="微软雅黑" w:eastAsia="微软雅黑" w:cs="Arial"/>
          <w:color w:val="000000"/>
          <w:kern w:val="0"/>
          <w:szCs w:val="21"/>
          <w:highlight w:val="none"/>
          <w:lang w:val="en-US" w:eastAsia="zh-CN"/>
        </w:rPr>
        <w:t>102000</w:t>
      </w:r>
    </w:p>
    <w:p w14:paraId="6B97DE34">
      <w:pPr>
        <w:widowControl/>
        <w:spacing w:before="75" w:after="75" w:line="300" w:lineRule="atLeast"/>
        <w:jc w:val="left"/>
        <w:rPr>
          <w:rFonts w:hint="eastAsia" w:ascii="微软雅黑" w:hAnsi="微软雅黑" w:eastAsia="微软雅黑" w:cs="Arial"/>
          <w:color w:val="000000"/>
          <w:kern w:val="0"/>
          <w:szCs w:val="21"/>
          <w:highlight w:val="none"/>
        </w:rPr>
      </w:pP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单位：批</w:t>
      </w:r>
      <w:r>
        <w:rPr>
          <w:rFonts w:ascii="微软雅黑" w:hAnsi="微软雅黑" w:eastAsia="微软雅黑" w:cs="Calibri"/>
          <w:color w:val="000000"/>
          <w:kern w:val="0"/>
          <w:szCs w:val="21"/>
          <w:highlight w:val="none"/>
        </w:rPr>
        <w:t> </w:t>
      </w:r>
    </w:p>
    <w:p w14:paraId="289031D4">
      <w:pPr>
        <w:widowControl/>
        <w:spacing w:before="75" w:after="75" w:line="300" w:lineRule="atLeast"/>
        <w:jc w:val="left"/>
        <w:rPr>
          <w:rFonts w:hint="eastAsia" w:ascii="微软雅黑" w:hAnsi="微软雅黑" w:eastAsia="微软雅黑" w:cs="Arial"/>
          <w:color w:val="0000FF"/>
          <w:kern w:val="0"/>
          <w:szCs w:val="21"/>
          <w:highlight w:val="none"/>
          <w:lang w:eastAsia="zh-CN"/>
        </w:rPr>
      </w:pPr>
      <w:r>
        <w:rPr>
          <w:rFonts w:ascii="微软雅黑" w:hAnsi="微软雅黑" w:eastAsia="微软雅黑" w:cs="Calibri"/>
          <w:color w:val="0000FF"/>
          <w:kern w:val="0"/>
          <w:szCs w:val="21"/>
          <w:highlight w:val="none"/>
        </w:rPr>
        <w:t> </w:t>
      </w:r>
      <w:r>
        <w:rPr>
          <w:rFonts w:hint="eastAsia" w:ascii="微软雅黑" w:hAnsi="微软雅黑" w:eastAsia="微软雅黑" w:cs="Arial"/>
          <w:color w:val="0000FF"/>
          <w:kern w:val="0"/>
          <w:szCs w:val="21"/>
          <w:highlight w:val="none"/>
        </w:rPr>
        <w:t>简要规格描述：</w:t>
      </w:r>
      <w:r>
        <w:rPr>
          <w:rFonts w:hint="eastAsia" w:ascii="微软雅黑" w:hAnsi="微软雅黑" w:eastAsia="微软雅黑" w:cs="Arial"/>
          <w:color w:val="0000FF"/>
          <w:kern w:val="0"/>
          <w:szCs w:val="21"/>
          <w:highlight w:val="none"/>
          <w:lang w:eastAsia="zh-CN"/>
        </w:rPr>
        <w:t>线路</w:t>
      </w:r>
      <w:r>
        <w:rPr>
          <w:rFonts w:hint="eastAsia" w:ascii="微软雅黑" w:hAnsi="微软雅黑" w:eastAsia="微软雅黑" w:cs="Arial"/>
          <w:color w:val="0000FF"/>
          <w:kern w:val="0"/>
          <w:szCs w:val="21"/>
          <w:highlight w:val="none"/>
          <w:lang w:val="en-US" w:eastAsia="zh-CN"/>
        </w:rPr>
        <w:t>三</w:t>
      </w:r>
      <w:r>
        <w:rPr>
          <w:rFonts w:hint="eastAsia" w:ascii="微软雅黑" w:hAnsi="微软雅黑" w:eastAsia="微软雅黑" w:cs="Arial"/>
          <w:color w:val="0000FF"/>
          <w:kern w:val="0"/>
          <w:szCs w:val="21"/>
          <w:highlight w:val="none"/>
          <w:lang w:eastAsia="zh-CN"/>
        </w:rPr>
        <w:t>：</w:t>
      </w:r>
      <w:r>
        <w:rPr>
          <w:rFonts w:hint="eastAsia" w:ascii="微软雅黑" w:hAnsi="微软雅黑" w:eastAsia="微软雅黑" w:cs="Arial"/>
          <w:color w:val="0000FF"/>
          <w:kern w:val="0"/>
          <w:szCs w:val="21"/>
          <w:highlight w:val="none"/>
          <w:lang w:val="en-US" w:eastAsia="zh-CN"/>
        </w:rPr>
        <w:t>福建霞浦平潭岛5日游</w:t>
      </w:r>
      <w:r>
        <w:rPr>
          <w:rFonts w:hint="eastAsia" w:ascii="微软雅黑" w:hAnsi="微软雅黑" w:eastAsia="微软雅黑" w:cs="Arial"/>
          <w:color w:val="0000FF"/>
          <w:kern w:val="0"/>
          <w:szCs w:val="21"/>
          <w:highlight w:val="none"/>
          <w:lang w:eastAsia="zh-CN"/>
        </w:rPr>
        <w:t>；</w:t>
      </w:r>
    </w:p>
    <w:p w14:paraId="1DC3DCD8">
      <w:pPr>
        <w:widowControl/>
        <w:spacing w:before="75" w:after="75" w:line="300" w:lineRule="atLeast"/>
        <w:jc w:val="left"/>
        <w:rPr>
          <w:rFonts w:hint="eastAsia" w:ascii="微软雅黑" w:hAnsi="微软雅黑" w:eastAsia="微软雅黑" w:cs="Arial"/>
          <w:color w:val="000000"/>
          <w:kern w:val="0"/>
          <w:szCs w:val="21"/>
          <w:highlight w:val="none"/>
          <w:lang w:val="en-US" w:eastAsia="zh-CN"/>
        </w:rPr>
      </w:pPr>
      <w:r>
        <w:rPr>
          <w:rFonts w:hint="eastAsia" w:ascii="微软雅黑" w:hAnsi="微软雅黑" w:eastAsia="微软雅黑" w:cs="Calibri"/>
          <w:color w:val="000000"/>
          <w:kern w:val="0"/>
          <w:szCs w:val="21"/>
          <w:highlight w:val="none"/>
        </w:rPr>
        <w:t>人数按实际报名情况确定</w:t>
      </w:r>
    </w:p>
    <w:p w14:paraId="4DF3AF9C">
      <w:pPr>
        <w:widowControl/>
        <w:spacing w:before="75" w:after="75" w:line="300" w:lineRule="atLeast"/>
        <w:jc w:val="left"/>
        <w:rPr>
          <w:rFonts w:hint="eastAsia" w:ascii="微软雅黑" w:hAnsi="微软雅黑" w:eastAsia="微软雅黑" w:cs="Arial"/>
          <w:color w:val="000000"/>
          <w:kern w:val="0"/>
          <w:szCs w:val="21"/>
          <w:highlight w:val="none"/>
          <w:lang w:val="en-US" w:eastAsia="zh-CN"/>
        </w:rPr>
      </w:pPr>
    </w:p>
    <w:p w14:paraId="221361ED">
      <w:pPr>
        <w:widowControl/>
        <w:spacing w:before="75" w:after="75" w:line="300" w:lineRule="atLeast"/>
        <w:ind w:firstLine="210" w:firstLineChars="100"/>
        <w:jc w:val="left"/>
        <w:rPr>
          <w:rFonts w:hint="eastAsia" w:ascii="微软雅黑" w:hAnsi="微软雅黑" w:eastAsia="微软雅黑" w:cs="Arial"/>
          <w:color w:val="000000"/>
          <w:kern w:val="0"/>
          <w:szCs w:val="21"/>
          <w:highlight w:val="none"/>
        </w:rPr>
      </w:pPr>
      <w:r>
        <w:rPr>
          <w:rFonts w:hint="eastAsia" w:ascii="微软雅黑" w:hAnsi="微软雅黑" w:eastAsia="微软雅黑" w:cs="Arial"/>
          <w:color w:val="000000"/>
          <w:kern w:val="0"/>
          <w:szCs w:val="21"/>
          <w:highlight w:val="none"/>
        </w:rPr>
        <w:t>备注：</w:t>
      </w:r>
      <w:r>
        <w:rPr>
          <w:rFonts w:ascii="微软雅黑" w:hAnsi="微软雅黑" w:eastAsia="微软雅黑" w:cs="Calibri"/>
          <w:color w:val="000000"/>
          <w:kern w:val="0"/>
          <w:szCs w:val="21"/>
          <w:highlight w:val="none"/>
        </w:rPr>
        <w:t> </w:t>
      </w:r>
    </w:p>
    <w:p w14:paraId="4C383621">
      <w:pPr>
        <w:widowControl/>
        <w:spacing w:before="75" w:after="75" w:line="300" w:lineRule="atLeast"/>
        <w:jc w:val="left"/>
        <w:rPr>
          <w:rFonts w:hint="eastAsia" w:ascii="微软雅黑" w:hAnsi="微软雅黑" w:eastAsia="微软雅黑" w:cs="Arial"/>
          <w:color w:val="000000"/>
          <w:kern w:val="0"/>
          <w:szCs w:val="21"/>
          <w:highlight w:val="none"/>
        </w:rPr>
      </w:pPr>
      <w:r>
        <w:rPr>
          <w:rFonts w:hint="eastAsia" w:ascii="微软雅黑" w:hAnsi="微软雅黑" w:eastAsia="微软雅黑" w:cs="Arial"/>
          <w:color w:val="000000"/>
          <w:kern w:val="0"/>
          <w:szCs w:val="21"/>
          <w:highlight w:val="none"/>
        </w:rPr>
        <w:t>合同履约期限：</w:t>
      </w:r>
      <w:r>
        <w:rPr>
          <w:rFonts w:hint="eastAsia" w:ascii="微软雅黑" w:hAnsi="微软雅黑" w:eastAsia="微软雅黑" w:cs="Arial"/>
          <w:color w:val="000000"/>
          <w:kern w:val="0"/>
          <w:szCs w:val="21"/>
          <w:highlight w:val="none"/>
          <w:lang w:val="en-US" w:eastAsia="zh-CN"/>
        </w:rPr>
        <w:t>标项1、2、3</w:t>
      </w:r>
      <w:r>
        <w:rPr>
          <w:rFonts w:hint="eastAsia" w:ascii="微软雅黑" w:hAnsi="微软雅黑" w:eastAsia="微软雅黑" w:cs="Arial"/>
          <w:color w:val="000000"/>
          <w:kern w:val="0"/>
          <w:szCs w:val="21"/>
          <w:highlight w:val="none"/>
        </w:rPr>
        <w:t>详见竞争性磋商文件</w:t>
      </w:r>
      <w:r>
        <w:rPr>
          <w:rFonts w:ascii="微软雅黑" w:hAnsi="微软雅黑" w:eastAsia="微软雅黑" w:cs="Calibri"/>
          <w:color w:val="000000"/>
          <w:kern w:val="0"/>
          <w:szCs w:val="21"/>
          <w:highlight w:val="none"/>
        </w:rPr>
        <w:t>  </w:t>
      </w:r>
    </w:p>
    <w:p w14:paraId="5CC5DC88">
      <w:pPr>
        <w:widowControl/>
        <w:spacing w:before="75" w:after="75" w:line="300" w:lineRule="atLeast"/>
        <w:jc w:val="left"/>
        <w:rPr>
          <w:rFonts w:hint="eastAsia" w:ascii="微软雅黑" w:hAnsi="微软雅黑" w:eastAsia="微软雅黑" w:cs="Arial"/>
          <w:color w:val="000000"/>
          <w:kern w:val="0"/>
          <w:szCs w:val="21"/>
          <w:highlight w:val="none"/>
        </w:rPr>
      </w:pPr>
      <w:r>
        <w:rPr>
          <w:rFonts w:hint="eastAsia" w:ascii="微软雅黑" w:hAnsi="微软雅黑" w:eastAsia="微软雅黑" w:cs="Arial"/>
          <w:color w:val="000000"/>
          <w:kern w:val="0"/>
          <w:szCs w:val="21"/>
          <w:highlight w:val="none"/>
        </w:rPr>
        <w:t>本项目（否）接受联合体投标。</w:t>
      </w:r>
      <w:r>
        <w:rPr>
          <w:rFonts w:ascii="微软雅黑" w:hAnsi="微软雅黑" w:eastAsia="微软雅黑" w:cs="Calibri"/>
          <w:color w:val="000000"/>
          <w:kern w:val="0"/>
          <w:szCs w:val="21"/>
          <w:highlight w:val="none"/>
        </w:rPr>
        <w:t>  </w:t>
      </w:r>
    </w:p>
    <w:p w14:paraId="68ABDA9D">
      <w:pPr>
        <w:widowControl/>
        <w:spacing w:before="255" w:after="255" w:line="450" w:lineRule="atLeast"/>
        <w:rPr>
          <w:rFonts w:hint="eastAsia" w:ascii="微软雅黑" w:hAnsi="微软雅黑" w:eastAsia="微软雅黑" w:cs="Arial"/>
          <w:color w:val="000000"/>
          <w:kern w:val="0"/>
          <w:szCs w:val="21"/>
          <w:highlight w:val="none"/>
        </w:rPr>
      </w:pPr>
      <w:r>
        <w:rPr>
          <w:rFonts w:hint="eastAsia" w:ascii="微软雅黑" w:hAnsi="微软雅黑" w:eastAsia="微软雅黑" w:cs="Arial"/>
          <w:b/>
          <w:bCs/>
          <w:color w:val="000000"/>
          <w:kern w:val="0"/>
          <w:szCs w:val="21"/>
          <w:highlight w:val="none"/>
        </w:rPr>
        <w:t>二、申请人的资格要求：</w:t>
      </w:r>
    </w:p>
    <w:p w14:paraId="20DE3C05">
      <w:pPr>
        <w:widowControl/>
        <w:spacing w:before="75" w:after="75" w:line="300" w:lineRule="atLeast"/>
        <w:jc w:val="left"/>
        <w:rPr>
          <w:rFonts w:hint="eastAsia" w:ascii="微软雅黑" w:hAnsi="微软雅黑" w:eastAsia="微软雅黑" w:cs="Calibri"/>
          <w:color w:val="000000"/>
          <w:kern w:val="0"/>
          <w:szCs w:val="21"/>
          <w:highlight w:val="none"/>
        </w:rPr>
      </w:pPr>
      <w:r>
        <w:rPr>
          <w:rFonts w:hint="eastAsia" w:ascii="微软雅黑" w:hAnsi="微软雅黑" w:eastAsia="微软雅黑" w:cs="Calibri"/>
          <w:color w:val="000000"/>
          <w:kern w:val="0"/>
          <w:szCs w:val="21"/>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2D4111CD">
      <w:pPr>
        <w:widowControl/>
        <w:spacing w:before="75" w:after="75" w:line="300" w:lineRule="atLeast"/>
        <w:jc w:val="left"/>
        <w:rPr>
          <w:rFonts w:hint="eastAsia" w:ascii="微软雅黑" w:hAnsi="微软雅黑" w:eastAsia="微软雅黑" w:cs="Calibri"/>
          <w:color w:val="000000"/>
          <w:kern w:val="0"/>
          <w:szCs w:val="21"/>
          <w:highlight w:val="none"/>
        </w:rPr>
      </w:pPr>
      <w:r>
        <w:rPr>
          <w:rFonts w:hint="eastAsia" w:ascii="微软雅黑" w:hAnsi="微软雅黑" w:eastAsia="微软雅黑" w:cs="Calibri"/>
          <w:color w:val="000000"/>
          <w:kern w:val="0"/>
          <w:szCs w:val="21"/>
          <w:highlight w:val="none"/>
        </w:rPr>
        <w:t xml:space="preserve"> </w:t>
      </w:r>
      <w:r>
        <w:rPr>
          <w:rFonts w:hint="eastAsia" w:ascii="微软雅黑" w:hAnsi="微软雅黑" w:eastAsia="微软雅黑" w:cs="Calibri"/>
          <w:color w:val="000000"/>
          <w:kern w:val="0"/>
          <w:szCs w:val="21"/>
          <w:highlight w:val="none"/>
          <w:lang w:val="en-US" w:eastAsia="zh-CN"/>
        </w:rPr>
        <w:t xml:space="preserve"> </w:t>
      </w:r>
      <w:r>
        <w:rPr>
          <w:rFonts w:hint="eastAsia" w:ascii="微软雅黑" w:hAnsi="微软雅黑" w:eastAsia="微软雅黑" w:cs="Calibri"/>
          <w:color w:val="000000"/>
          <w:kern w:val="0"/>
          <w:szCs w:val="21"/>
          <w:highlight w:val="none"/>
        </w:rPr>
        <w:t xml:space="preserve">2.落实政府采购政策需满足的资格要求：专门面向中小企业 </w:t>
      </w:r>
    </w:p>
    <w:p w14:paraId="02359BBB">
      <w:pPr>
        <w:widowControl/>
        <w:spacing w:before="75" w:after="75" w:line="300" w:lineRule="atLeast"/>
        <w:jc w:val="left"/>
        <w:rPr>
          <w:rFonts w:hint="eastAsia" w:ascii="微软雅黑" w:hAnsi="微软雅黑" w:eastAsia="微软雅黑" w:cs="Calibri"/>
          <w:color w:val="000000"/>
          <w:kern w:val="0"/>
          <w:szCs w:val="21"/>
          <w:highlight w:val="none"/>
        </w:rPr>
      </w:pPr>
      <w:r>
        <w:rPr>
          <w:rFonts w:hint="eastAsia" w:ascii="微软雅黑" w:hAnsi="微软雅黑" w:eastAsia="微软雅黑" w:cs="Calibri"/>
          <w:color w:val="000000"/>
          <w:kern w:val="0"/>
          <w:szCs w:val="21"/>
          <w:highlight w:val="none"/>
        </w:rPr>
        <w:t>   3.本项目的特定资格要求：投标人具有有效的旅行社业务经营许可证 </w:t>
      </w:r>
    </w:p>
    <w:p w14:paraId="288E91ED">
      <w:pPr>
        <w:widowControl/>
        <w:spacing w:before="255" w:after="255" w:line="450" w:lineRule="atLeast"/>
        <w:rPr>
          <w:rFonts w:hint="eastAsia" w:ascii="微软雅黑" w:hAnsi="微软雅黑" w:eastAsia="微软雅黑" w:cs="Arial"/>
          <w:color w:val="000000"/>
          <w:kern w:val="0"/>
          <w:szCs w:val="21"/>
          <w:highlight w:val="none"/>
        </w:rPr>
      </w:pPr>
      <w:r>
        <w:rPr>
          <w:rFonts w:hint="eastAsia" w:ascii="微软雅黑" w:hAnsi="微软雅黑" w:eastAsia="微软雅黑" w:cs="Arial"/>
          <w:b/>
          <w:bCs/>
          <w:color w:val="000000"/>
          <w:kern w:val="0"/>
          <w:szCs w:val="21"/>
          <w:highlight w:val="none"/>
        </w:rPr>
        <w:t>三、获取（下载）采购文件</w:t>
      </w:r>
    </w:p>
    <w:p w14:paraId="3B1D1885">
      <w:pPr>
        <w:widowControl/>
        <w:spacing w:before="75" w:after="75" w:line="300" w:lineRule="atLeast"/>
        <w:jc w:val="left"/>
        <w:rPr>
          <w:rFonts w:hint="eastAsia" w:ascii="微软雅黑" w:hAnsi="微软雅黑" w:eastAsia="微软雅黑" w:cs="Arial"/>
          <w:color w:val="000000"/>
          <w:kern w:val="0"/>
          <w:szCs w:val="21"/>
          <w:highlight w:val="none"/>
        </w:rPr>
      </w:pP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时间：/至</w:t>
      </w:r>
      <w:r>
        <w:rPr>
          <w:rFonts w:hint="eastAsia" w:ascii="微软雅黑" w:hAnsi="微软雅黑" w:eastAsia="微软雅黑" w:cs="Arial"/>
          <w:color w:val="000000"/>
          <w:kern w:val="0"/>
          <w:szCs w:val="21"/>
          <w:highlight w:val="none"/>
          <w:lang w:eastAsia="zh-CN"/>
        </w:rPr>
        <w:t>2025年6月30日</w:t>
      </w:r>
      <w:r>
        <w:rPr>
          <w:rFonts w:hint="eastAsia" w:ascii="微软雅黑" w:hAnsi="微软雅黑" w:eastAsia="微软雅黑" w:cs="Arial"/>
          <w:color w:val="000000"/>
          <w:kern w:val="0"/>
          <w:szCs w:val="21"/>
          <w:highlight w:val="none"/>
        </w:rPr>
        <w:t>，每天上午00:00至12:00，下午12:00至23:59（北京时间，线上获取法定节假日均可，线下获取文件法定节假日除外）</w:t>
      </w:r>
    </w:p>
    <w:p w14:paraId="129EFC75">
      <w:pPr>
        <w:widowControl/>
        <w:spacing w:before="75" w:after="75" w:line="300" w:lineRule="atLeast"/>
        <w:jc w:val="left"/>
        <w:rPr>
          <w:rFonts w:hint="eastAsia" w:ascii="微软雅黑" w:hAnsi="微软雅黑" w:eastAsia="微软雅黑" w:cs="Arial"/>
          <w:color w:val="000000"/>
          <w:kern w:val="0"/>
          <w:szCs w:val="21"/>
          <w:highlight w:val="none"/>
        </w:rPr>
      </w:pP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地点（网址）：https://www.zcygov.cn/</w:t>
      </w:r>
      <w:r>
        <w:rPr>
          <w:rFonts w:ascii="微软雅黑" w:hAnsi="微软雅黑" w:eastAsia="微软雅黑" w:cs="Calibri"/>
          <w:color w:val="000000"/>
          <w:kern w:val="0"/>
          <w:szCs w:val="21"/>
          <w:highlight w:val="none"/>
        </w:rPr>
        <w:t> </w:t>
      </w:r>
    </w:p>
    <w:p w14:paraId="67590AA7">
      <w:pPr>
        <w:widowControl/>
        <w:spacing w:before="75" w:after="75" w:line="300" w:lineRule="atLeast"/>
        <w:jc w:val="left"/>
        <w:rPr>
          <w:rFonts w:hint="eastAsia" w:ascii="微软雅黑" w:hAnsi="微软雅黑" w:eastAsia="微软雅黑" w:cs="Arial"/>
          <w:color w:val="000000"/>
          <w:kern w:val="0"/>
          <w:szCs w:val="21"/>
          <w:highlight w:val="none"/>
        </w:rPr>
      </w:pP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方式：供应商登录政采云平台https://www.zcygov.cn/在线申请获取采购文件（进入“项目采购”应用，在获取采购文件菜单中选择项目，申请获取采购文件）</w:t>
      </w:r>
      <w:r>
        <w:rPr>
          <w:rFonts w:ascii="微软雅黑" w:hAnsi="微软雅黑" w:eastAsia="微软雅黑" w:cs="Calibri"/>
          <w:color w:val="000000"/>
          <w:kern w:val="0"/>
          <w:szCs w:val="21"/>
          <w:highlight w:val="none"/>
        </w:rPr>
        <w:t> </w:t>
      </w:r>
    </w:p>
    <w:p w14:paraId="25FC1C98">
      <w:pPr>
        <w:widowControl/>
        <w:spacing w:before="75" w:after="75" w:line="300" w:lineRule="atLeast"/>
        <w:jc w:val="left"/>
        <w:rPr>
          <w:rFonts w:hint="eastAsia" w:ascii="微软雅黑" w:hAnsi="微软雅黑" w:eastAsia="微软雅黑" w:cs="Arial"/>
          <w:color w:val="000000"/>
          <w:kern w:val="0"/>
          <w:szCs w:val="21"/>
          <w:highlight w:val="none"/>
        </w:rPr>
      </w:pP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售价（元）：0</w:t>
      </w:r>
      <w:r>
        <w:rPr>
          <w:rFonts w:ascii="微软雅黑" w:hAnsi="微软雅黑" w:eastAsia="微软雅黑" w:cs="Calibri"/>
          <w:color w:val="000000"/>
          <w:kern w:val="0"/>
          <w:szCs w:val="21"/>
          <w:highlight w:val="none"/>
        </w:rPr>
        <w:t> </w:t>
      </w:r>
    </w:p>
    <w:p w14:paraId="2E83B46E">
      <w:pPr>
        <w:widowControl/>
        <w:spacing w:before="255" w:after="255" w:line="450" w:lineRule="atLeast"/>
        <w:rPr>
          <w:rFonts w:hint="eastAsia" w:ascii="微软雅黑" w:hAnsi="微软雅黑" w:eastAsia="微软雅黑" w:cs="Arial"/>
          <w:color w:val="000000"/>
          <w:kern w:val="0"/>
          <w:szCs w:val="21"/>
          <w:highlight w:val="none"/>
        </w:rPr>
      </w:pPr>
      <w:r>
        <w:rPr>
          <w:rFonts w:hint="eastAsia" w:ascii="微软雅黑" w:hAnsi="微软雅黑" w:eastAsia="微软雅黑" w:cs="Arial"/>
          <w:b/>
          <w:bCs/>
          <w:color w:val="000000"/>
          <w:kern w:val="0"/>
          <w:szCs w:val="21"/>
          <w:highlight w:val="none"/>
        </w:rPr>
        <w:t>四、响应文件提交（上传）</w:t>
      </w:r>
      <w:r>
        <w:rPr>
          <w:rFonts w:ascii="微软雅黑" w:hAnsi="微软雅黑" w:eastAsia="微软雅黑" w:cs="Calibri"/>
          <w:color w:val="000000"/>
          <w:kern w:val="0"/>
          <w:szCs w:val="21"/>
          <w:highlight w:val="none"/>
        </w:rPr>
        <w:t> </w:t>
      </w:r>
    </w:p>
    <w:p w14:paraId="59597698">
      <w:pPr>
        <w:widowControl/>
        <w:spacing w:before="75" w:after="75" w:line="300" w:lineRule="atLeast"/>
        <w:jc w:val="left"/>
        <w:rPr>
          <w:rFonts w:hint="eastAsia" w:ascii="微软雅黑" w:hAnsi="微软雅黑" w:eastAsia="微软雅黑" w:cs="Arial"/>
          <w:color w:val="000000"/>
          <w:kern w:val="0"/>
          <w:szCs w:val="21"/>
          <w:highlight w:val="none"/>
        </w:rPr>
      </w:pP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截止时间：</w:t>
      </w:r>
      <w:r>
        <w:rPr>
          <w:rFonts w:hint="eastAsia" w:ascii="微软雅黑" w:hAnsi="微软雅黑" w:eastAsia="微软雅黑" w:cs="Arial"/>
          <w:color w:val="000000"/>
          <w:kern w:val="0"/>
          <w:szCs w:val="21"/>
          <w:highlight w:val="none"/>
          <w:lang w:eastAsia="zh-CN"/>
        </w:rPr>
        <w:t>2025年6月30日 09:30</w:t>
      </w:r>
      <w:r>
        <w:rPr>
          <w:rFonts w:hint="eastAsia" w:ascii="微软雅黑" w:hAnsi="微软雅黑" w:eastAsia="微软雅黑" w:cs="Arial"/>
          <w:color w:val="000000"/>
          <w:kern w:val="0"/>
          <w:szCs w:val="21"/>
          <w:highlight w:val="none"/>
        </w:rPr>
        <w:t>（北京时间）</w:t>
      </w:r>
    </w:p>
    <w:p w14:paraId="7E720998">
      <w:pPr>
        <w:widowControl/>
        <w:spacing w:before="75" w:after="75" w:line="300" w:lineRule="atLeast"/>
        <w:jc w:val="left"/>
        <w:rPr>
          <w:rFonts w:hint="eastAsia" w:ascii="微软雅黑" w:hAnsi="微软雅黑" w:eastAsia="微软雅黑" w:cs="Arial"/>
          <w:color w:val="000000"/>
          <w:kern w:val="0"/>
          <w:szCs w:val="21"/>
          <w:highlight w:val="none"/>
        </w:rPr>
      </w:pP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地点（网址）：请登录政采云投标客户端投标</w:t>
      </w:r>
      <w:r>
        <w:rPr>
          <w:rFonts w:ascii="微软雅黑" w:hAnsi="微软雅黑" w:eastAsia="微软雅黑" w:cs="Calibri"/>
          <w:color w:val="000000"/>
          <w:kern w:val="0"/>
          <w:szCs w:val="21"/>
          <w:highlight w:val="none"/>
        </w:rPr>
        <w:t>  </w:t>
      </w:r>
    </w:p>
    <w:p w14:paraId="5A25E557">
      <w:pPr>
        <w:widowControl/>
        <w:spacing w:before="255" w:after="255" w:line="450" w:lineRule="atLeast"/>
        <w:rPr>
          <w:rFonts w:hint="eastAsia" w:ascii="微软雅黑" w:hAnsi="微软雅黑" w:eastAsia="微软雅黑" w:cs="Arial"/>
          <w:color w:val="000000"/>
          <w:kern w:val="0"/>
          <w:szCs w:val="21"/>
          <w:highlight w:val="none"/>
        </w:rPr>
      </w:pPr>
      <w:r>
        <w:rPr>
          <w:rFonts w:hint="eastAsia" w:ascii="微软雅黑" w:hAnsi="微软雅黑" w:eastAsia="微软雅黑" w:cs="Arial"/>
          <w:b/>
          <w:bCs/>
          <w:color w:val="000000"/>
          <w:kern w:val="0"/>
          <w:szCs w:val="21"/>
          <w:highlight w:val="none"/>
        </w:rPr>
        <w:t>五、响应文件开启</w:t>
      </w:r>
      <w:r>
        <w:rPr>
          <w:rFonts w:ascii="微软雅黑" w:hAnsi="微软雅黑" w:eastAsia="微软雅黑" w:cs="Calibri"/>
          <w:color w:val="000000"/>
          <w:kern w:val="0"/>
          <w:szCs w:val="21"/>
          <w:highlight w:val="none"/>
        </w:rPr>
        <w:t> </w:t>
      </w:r>
    </w:p>
    <w:p w14:paraId="5496C7DC">
      <w:pPr>
        <w:widowControl/>
        <w:spacing w:before="75" w:after="75" w:line="300" w:lineRule="atLeast"/>
        <w:jc w:val="left"/>
        <w:rPr>
          <w:rFonts w:hint="eastAsia" w:ascii="微软雅黑" w:hAnsi="微软雅黑" w:eastAsia="微软雅黑" w:cs="Arial"/>
          <w:color w:val="000000"/>
          <w:kern w:val="0"/>
          <w:szCs w:val="21"/>
          <w:highlight w:val="none"/>
        </w:rPr>
      </w:pP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开启时间：</w:t>
      </w:r>
      <w:r>
        <w:rPr>
          <w:rFonts w:hint="eastAsia" w:ascii="微软雅黑" w:hAnsi="微软雅黑" w:eastAsia="微软雅黑" w:cs="Arial"/>
          <w:color w:val="000000"/>
          <w:kern w:val="0"/>
          <w:szCs w:val="21"/>
          <w:highlight w:val="none"/>
          <w:lang w:eastAsia="zh-CN"/>
        </w:rPr>
        <w:t>2025年6月30日 09:30</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（北京时间）</w:t>
      </w:r>
    </w:p>
    <w:p w14:paraId="4F35FF41">
      <w:pPr>
        <w:widowControl/>
        <w:spacing w:before="75" w:after="75" w:line="300" w:lineRule="atLeast"/>
        <w:jc w:val="left"/>
        <w:rPr>
          <w:rFonts w:hint="eastAsia" w:ascii="微软雅黑" w:hAnsi="微软雅黑" w:eastAsia="微软雅黑" w:cs="Arial"/>
          <w:color w:val="000000"/>
          <w:kern w:val="0"/>
          <w:szCs w:val="21"/>
          <w:highlight w:val="none"/>
        </w:rPr>
      </w:pP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地点（网址）：“政采云”平台电子投标</w:t>
      </w:r>
    </w:p>
    <w:p w14:paraId="2FBB8DA6">
      <w:pPr>
        <w:widowControl/>
        <w:spacing w:before="255" w:after="255" w:line="450" w:lineRule="atLeast"/>
        <w:rPr>
          <w:rFonts w:hint="eastAsia" w:ascii="微软雅黑" w:hAnsi="微软雅黑" w:eastAsia="微软雅黑" w:cs="Arial"/>
          <w:color w:val="000000"/>
          <w:kern w:val="0"/>
          <w:szCs w:val="21"/>
          <w:highlight w:val="none"/>
        </w:rPr>
      </w:pPr>
      <w:r>
        <w:rPr>
          <w:rFonts w:hint="eastAsia" w:ascii="微软雅黑" w:hAnsi="微软雅黑" w:eastAsia="微软雅黑" w:cs="Arial"/>
          <w:b/>
          <w:bCs/>
          <w:color w:val="000000"/>
          <w:kern w:val="0"/>
          <w:szCs w:val="21"/>
          <w:highlight w:val="none"/>
        </w:rPr>
        <w:t>六、公告期限</w:t>
      </w:r>
    </w:p>
    <w:p w14:paraId="5DA70BE8">
      <w:pPr>
        <w:widowControl/>
        <w:spacing w:before="75" w:after="75" w:line="240" w:lineRule="auto"/>
        <w:jc w:val="left"/>
        <w:rPr>
          <w:rFonts w:hint="eastAsia" w:ascii="微软雅黑" w:hAnsi="微软雅黑" w:eastAsia="微软雅黑" w:cs="Arial"/>
          <w:color w:val="000000"/>
          <w:kern w:val="0"/>
          <w:szCs w:val="21"/>
          <w:highlight w:val="none"/>
        </w:rPr>
      </w:pP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自本公告发布之日起3个工作日。</w:t>
      </w:r>
    </w:p>
    <w:p w14:paraId="50C87A5A">
      <w:pPr>
        <w:widowControl/>
        <w:spacing w:before="255" w:after="255" w:line="450" w:lineRule="atLeast"/>
        <w:rPr>
          <w:rFonts w:ascii="微软雅黑" w:hAnsi="微软雅黑" w:eastAsia="微软雅黑" w:cs="Arial"/>
          <w:color w:val="000000"/>
          <w:kern w:val="0"/>
          <w:szCs w:val="21"/>
          <w:highlight w:val="none"/>
        </w:rPr>
      </w:pPr>
      <w:r>
        <w:rPr>
          <w:rFonts w:hint="eastAsia" w:ascii="微软雅黑" w:hAnsi="微软雅黑" w:eastAsia="微软雅黑" w:cs="Arial"/>
          <w:b/>
          <w:bCs/>
          <w:color w:val="000000"/>
          <w:kern w:val="0"/>
          <w:szCs w:val="21"/>
          <w:highlight w:val="none"/>
        </w:rPr>
        <w:t>七、其他补充事宜</w:t>
      </w:r>
      <w:r>
        <w:rPr>
          <w:rFonts w:ascii="微软雅黑" w:hAnsi="微软雅黑" w:eastAsia="微软雅黑" w:cs="Calibri"/>
          <w:color w:val="000000"/>
          <w:kern w:val="0"/>
          <w:szCs w:val="21"/>
          <w:highlight w:val="none"/>
        </w:rPr>
        <w:t> </w:t>
      </w:r>
    </w:p>
    <w:p w14:paraId="713CAF8A">
      <w:pPr>
        <w:widowControl/>
        <w:spacing w:before="75" w:after="75" w:line="360" w:lineRule="atLeast"/>
        <w:jc w:val="left"/>
        <w:rPr>
          <w:rFonts w:hint="eastAsia" w:ascii="微软雅黑" w:hAnsi="微软雅黑" w:eastAsia="微软雅黑" w:cs="Arial"/>
          <w:color w:val="000000"/>
          <w:kern w:val="0"/>
          <w:szCs w:val="21"/>
          <w:highlight w:val="none"/>
          <w:lang w:eastAsia="zh-CN"/>
        </w:rPr>
      </w:pP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1.供应商认为采购文件使自己的权益受到损害的，可以自获取采购文件之日或者采购文件公告期限届满之日（公告期限届满后获取采购文件的，以公告期限届满之日为准）起7个工作日内，</w:t>
      </w:r>
      <w:r>
        <w:rPr>
          <w:rFonts w:hint="eastAsia" w:ascii="微软雅黑" w:hAnsi="微软雅黑" w:eastAsia="微软雅黑" w:cs="Arial"/>
          <w:color w:val="000000"/>
          <w:kern w:val="0"/>
          <w:szCs w:val="21"/>
          <w:highlight w:val="none"/>
          <w:shd w:val="clear" w:color="auto" w:fill="FFFFFF"/>
        </w:rPr>
        <w:t>对采购文件需求的以书面形式向采购人提出质疑，对其他内容的以书面形式向采购人和采购代理机构提出质疑。</w:t>
      </w:r>
      <w:r>
        <w:rPr>
          <w:rFonts w:hint="eastAsia" w:ascii="微软雅黑" w:hAnsi="微软雅黑" w:eastAsia="微软雅黑" w:cs="Arial"/>
          <w:color w:val="000000"/>
          <w:kern w:val="0"/>
          <w:szCs w:val="21"/>
          <w:highlight w:val="none"/>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1523019">
      <w:pPr>
        <w:widowControl/>
        <w:spacing w:before="75" w:after="75" w:line="360" w:lineRule="atLeast"/>
        <w:jc w:val="left"/>
        <w:rPr>
          <w:rFonts w:hint="eastAsia" w:ascii="微软雅黑" w:hAnsi="微软雅黑" w:eastAsia="微软雅黑" w:cs="Arial"/>
          <w:color w:val="000000"/>
          <w:kern w:val="0"/>
          <w:szCs w:val="21"/>
          <w:highlight w:val="none"/>
        </w:rPr>
      </w:pP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2.其他事项：无</w:t>
      </w:r>
      <w:r>
        <w:rPr>
          <w:rFonts w:ascii="微软雅黑" w:hAnsi="微软雅黑" w:eastAsia="微软雅黑" w:cs="Calibri"/>
          <w:color w:val="000000"/>
          <w:kern w:val="0"/>
          <w:szCs w:val="21"/>
          <w:highlight w:val="none"/>
        </w:rPr>
        <w:t>  </w:t>
      </w:r>
    </w:p>
    <w:p w14:paraId="2CB9C2B4">
      <w:pPr>
        <w:widowControl/>
        <w:spacing w:before="255" w:after="255" w:line="480" w:lineRule="atLeast"/>
        <w:rPr>
          <w:rFonts w:ascii="微软雅黑" w:hAnsi="微软雅黑" w:eastAsia="微软雅黑" w:cs="Arial"/>
          <w:color w:val="000000"/>
          <w:kern w:val="0"/>
          <w:szCs w:val="21"/>
          <w:highlight w:val="none"/>
        </w:rPr>
      </w:pPr>
      <w:r>
        <w:rPr>
          <w:rFonts w:hint="eastAsia" w:ascii="微软雅黑" w:hAnsi="微软雅黑" w:eastAsia="微软雅黑" w:cs="Arial"/>
          <w:b/>
          <w:bCs/>
          <w:color w:val="000000"/>
          <w:kern w:val="0"/>
          <w:szCs w:val="21"/>
          <w:highlight w:val="none"/>
        </w:rPr>
        <w:t>八、凡对本次招标提出询问、质疑、投诉，请按以下方式联系</w:t>
      </w:r>
    </w:p>
    <w:p w14:paraId="03B5EF7C">
      <w:pPr>
        <w:widowControl/>
        <w:spacing w:before="75" w:after="75" w:line="240" w:lineRule="auto"/>
        <w:jc w:val="left"/>
        <w:rPr>
          <w:rFonts w:hint="eastAsia" w:ascii="微软雅黑" w:hAnsi="微软雅黑" w:eastAsia="微软雅黑" w:cs="Arial"/>
          <w:color w:val="auto"/>
          <w:kern w:val="0"/>
          <w:szCs w:val="21"/>
          <w:highlight w:val="none"/>
        </w:rPr>
      </w:pP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1.采购人信息</w:t>
      </w:r>
    </w:p>
    <w:p w14:paraId="37846B60">
      <w:pPr>
        <w:widowControl/>
        <w:spacing w:before="75" w:after="75" w:line="360" w:lineRule="atLeast"/>
        <w:ind w:firstLine="210" w:firstLineChars="100"/>
        <w:jc w:val="left"/>
        <w:rPr>
          <w:rFonts w:hint="eastAsia" w:ascii="微软雅黑" w:hAnsi="微软雅黑" w:eastAsia="微软雅黑" w:cs="Arial"/>
          <w:color w:val="auto"/>
          <w:kern w:val="0"/>
          <w:szCs w:val="21"/>
          <w:highlight w:val="none"/>
        </w:rPr>
      </w:pPr>
      <w:r>
        <w:rPr>
          <w:rFonts w:hint="eastAsia" w:ascii="微软雅黑" w:hAnsi="微软雅黑" w:eastAsia="微软雅黑" w:cs="Arial"/>
          <w:color w:val="auto"/>
          <w:kern w:val="0"/>
          <w:szCs w:val="21"/>
          <w:highlight w:val="none"/>
        </w:rPr>
        <w:t>名称：</w:t>
      </w:r>
      <w:r>
        <w:rPr>
          <w:rFonts w:hint="eastAsia" w:ascii="微软雅黑" w:hAnsi="微软雅黑" w:eastAsia="微软雅黑" w:cs="Arial"/>
          <w:color w:val="auto"/>
          <w:kern w:val="0"/>
          <w:szCs w:val="21"/>
          <w:highlight w:val="none"/>
          <w:lang w:eastAsia="zh-CN"/>
        </w:rPr>
        <w:t>嘉兴市南湖区大桥镇中心小学</w:t>
      </w:r>
      <w:r>
        <w:rPr>
          <w:rFonts w:hint="eastAsia" w:ascii="微软雅黑" w:hAnsi="微软雅黑" w:eastAsia="微软雅黑" w:cs="Arial"/>
          <w:color w:val="auto"/>
          <w:kern w:val="0"/>
          <w:szCs w:val="21"/>
          <w:highlight w:val="none"/>
        </w:rPr>
        <w:t> </w:t>
      </w:r>
    </w:p>
    <w:p w14:paraId="2A3A0D89">
      <w:pPr>
        <w:widowControl/>
        <w:spacing w:before="75" w:after="75" w:line="360" w:lineRule="atLeast"/>
        <w:ind w:firstLine="210" w:firstLineChars="100"/>
        <w:jc w:val="left"/>
        <w:rPr>
          <w:rFonts w:hint="eastAsia" w:ascii="微软雅黑" w:hAnsi="微软雅黑" w:eastAsia="微软雅黑" w:cs="Arial"/>
          <w:color w:val="auto"/>
          <w:kern w:val="0"/>
          <w:szCs w:val="21"/>
          <w:highlight w:val="none"/>
          <w:lang w:eastAsia="zh-CN"/>
        </w:rPr>
      </w:pPr>
      <w:r>
        <w:rPr>
          <w:rFonts w:hint="eastAsia" w:ascii="微软雅黑" w:hAnsi="微软雅黑" w:eastAsia="微软雅黑" w:cs="Arial"/>
          <w:color w:val="auto"/>
          <w:kern w:val="0"/>
          <w:szCs w:val="21"/>
          <w:highlight w:val="none"/>
        </w:rPr>
        <w:t>地址：</w:t>
      </w:r>
      <w:r>
        <w:rPr>
          <w:rFonts w:hint="eastAsia" w:ascii="微软雅黑" w:hAnsi="微软雅黑" w:eastAsia="微软雅黑" w:cs="Arial"/>
          <w:color w:val="auto"/>
          <w:kern w:val="0"/>
          <w:szCs w:val="21"/>
          <w:highlight w:val="none"/>
          <w:lang w:eastAsia="zh-CN"/>
        </w:rPr>
        <w:t>嘉兴市南湖区大桥镇天明路66号</w:t>
      </w:r>
    </w:p>
    <w:p w14:paraId="2B25B130">
      <w:pPr>
        <w:widowControl/>
        <w:spacing w:before="75" w:after="75" w:line="360" w:lineRule="atLeast"/>
        <w:ind w:firstLine="210" w:firstLineChars="100"/>
        <w:jc w:val="left"/>
        <w:rPr>
          <w:rFonts w:hint="eastAsia" w:ascii="微软雅黑" w:hAnsi="微软雅黑" w:eastAsia="微软雅黑" w:cs="Arial"/>
          <w:color w:val="auto"/>
          <w:kern w:val="0"/>
          <w:szCs w:val="21"/>
          <w:highlight w:val="none"/>
        </w:rPr>
      </w:pPr>
      <w:r>
        <w:rPr>
          <w:rFonts w:hint="eastAsia" w:ascii="微软雅黑" w:hAnsi="微软雅黑" w:eastAsia="微软雅黑" w:cs="Arial"/>
          <w:color w:val="auto"/>
          <w:kern w:val="0"/>
          <w:szCs w:val="21"/>
          <w:highlight w:val="none"/>
        </w:rPr>
        <w:t>传真： </w:t>
      </w:r>
    </w:p>
    <w:p w14:paraId="051A89D4">
      <w:pPr>
        <w:widowControl/>
        <w:spacing w:before="75" w:after="75" w:line="360" w:lineRule="atLeast"/>
        <w:ind w:firstLine="210" w:firstLineChars="100"/>
        <w:jc w:val="left"/>
        <w:rPr>
          <w:rFonts w:hint="default"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lang w:eastAsia="zh-CN"/>
        </w:rPr>
        <w:t>项目联系人（询问）：</w:t>
      </w:r>
      <w:r>
        <w:rPr>
          <w:rFonts w:hint="eastAsia" w:ascii="微软雅黑" w:hAnsi="微软雅黑" w:eastAsia="微软雅黑" w:cs="Arial"/>
          <w:color w:val="auto"/>
          <w:kern w:val="0"/>
          <w:szCs w:val="21"/>
          <w:highlight w:val="none"/>
          <w:lang w:val="en-US" w:eastAsia="zh-CN"/>
        </w:rPr>
        <w:t xml:space="preserve">  </w:t>
      </w:r>
      <w:r>
        <w:rPr>
          <w:rFonts w:hint="eastAsia" w:ascii="微软雅黑" w:hAnsi="微软雅黑" w:eastAsia="微软雅黑" w:cs="Arial"/>
          <w:color w:val="auto"/>
          <w:kern w:val="0"/>
          <w:szCs w:val="21"/>
          <w:highlight w:val="none"/>
          <w:lang w:eastAsia="zh-CN"/>
        </w:rPr>
        <w:t>徐利伟</w:t>
      </w:r>
      <w:r>
        <w:rPr>
          <w:rFonts w:hint="eastAsia" w:ascii="微软雅黑" w:hAnsi="微软雅黑" w:eastAsia="微软雅黑" w:cs="Arial"/>
          <w:color w:val="auto"/>
          <w:kern w:val="0"/>
          <w:szCs w:val="21"/>
          <w:highlight w:val="none"/>
          <w:lang w:val="en-US" w:eastAsia="zh-CN"/>
        </w:rPr>
        <w:t xml:space="preserve">   </w:t>
      </w:r>
    </w:p>
    <w:p w14:paraId="5F1ABDBF">
      <w:pPr>
        <w:widowControl/>
        <w:spacing w:before="75" w:after="75" w:line="360" w:lineRule="atLeast"/>
        <w:ind w:firstLine="210" w:firstLineChars="100"/>
        <w:jc w:val="left"/>
        <w:rPr>
          <w:rFonts w:hint="eastAsia" w:ascii="微软雅黑" w:hAnsi="微软雅黑" w:eastAsia="微软雅黑" w:cs="Arial"/>
          <w:color w:val="auto"/>
          <w:kern w:val="0"/>
          <w:szCs w:val="21"/>
          <w:highlight w:val="none"/>
          <w:lang w:eastAsia="zh-CN"/>
        </w:rPr>
      </w:pPr>
      <w:r>
        <w:rPr>
          <w:rFonts w:hint="eastAsia" w:ascii="微软雅黑" w:hAnsi="微软雅黑" w:eastAsia="微软雅黑" w:cs="Arial"/>
          <w:color w:val="auto"/>
          <w:kern w:val="0"/>
          <w:szCs w:val="21"/>
          <w:highlight w:val="none"/>
          <w:lang w:eastAsia="zh-CN"/>
        </w:rPr>
        <w:t>项目联系方式（询问）：0573-89990506</w:t>
      </w:r>
      <w:r>
        <w:rPr>
          <w:rFonts w:hint="eastAsia" w:ascii="微软雅黑" w:hAnsi="微软雅黑" w:eastAsia="微软雅黑" w:cs="Arial"/>
          <w:color w:val="auto"/>
          <w:kern w:val="0"/>
          <w:szCs w:val="21"/>
          <w:highlight w:val="none"/>
          <w:lang w:val="en-US" w:eastAsia="zh-CN"/>
        </w:rPr>
        <w:t xml:space="preserve">      </w:t>
      </w:r>
    </w:p>
    <w:p w14:paraId="6A6D53ED">
      <w:pPr>
        <w:widowControl/>
        <w:spacing w:before="75" w:after="75" w:line="360" w:lineRule="atLeast"/>
        <w:ind w:firstLine="210" w:firstLineChars="100"/>
        <w:jc w:val="left"/>
        <w:rPr>
          <w:rFonts w:hint="eastAsia" w:ascii="微软雅黑" w:hAnsi="微软雅黑" w:eastAsia="微软雅黑" w:cs="Arial"/>
          <w:color w:val="auto"/>
          <w:kern w:val="0"/>
          <w:szCs w:val="21"/>
          <w:highlight w:val="none"/>
          <w:lang w:eastAsia="zh-CN"/>
        </w:rPr>
      </w:pPr>
      <w:r>
        <w:rPr>
          <w:rFonts w:hint="eastAsia" w:ascii="微软雅黑" w:hAnsi="微软雅黑" w:eastAsia="微软雅黑" w:cs="Arial"/>
          <w:color w:val="auto"/>
          <w:kern w:val="0"/>
          <w:szCs w:val="21"/>
          <w:highlight w:val="none"/>
          <w:lang w:eastAsia="zh-CN"/>
        </w:rPr>
        <w:t>质疑联系人：</w:t>
      </w:r>
      <w:r>
        <w:rPr>
          <w:rFonts w:hint="eastAsia" w:ascii="微软雅黑" w:hAnsi="微软雅黑" w:eastAsia="微软雅黑" w:cs="Arial"/>
          <w:color w:val="auto"/>
          <w:kern w:val="0"/>
          <w:szCs w:val="21"/>
          <w:highlight w:val="none"/>
          <w:lang w:val="en-US" w:eastAsia="zh-CN"/>
        </w:rPr>
        <w:t xml:space="preserve">李女士   </w:t>
      </w:r>
    </w:p>
    <w:p w14:paraId="792BB6EB">
      <w:pPr>
        <w:widowControl/>
        <w:spacing w:before="75" w:after="75" w:line="360" w:lineRule="atLeast"/>
        <w:ind w:firstLine="210" w:firstLineChars="100"/>
        <w:jc w:val="left"/>
        <w:rPr>
          <w:rFonts w:hint="eastAsia" w:ascii="微软雅黑" w:hAnsi="微软雅黑" w:eastAsia="微软雅黑" w:cs="Arial"/>
          <w:color w:val="auto"/>
          <w:kern w:val="0"/>
          <w:szCs w:val="21"/>
          <w:highlight w:val="none"/>
          <w:lang w:eastAsia="zh-CN"/>
        </w:rPr>
      </w:pPr>
      <w:r>
        <w:rPr>
          <w:rFonts w:hint="eastAsia" w:ascii="微软雅黑" w:hAnsi="微软雅黑" w:eastAsia="微软雅黑" w:cs="Arial"/>
          <w:color w:val="auto"/>
          <w:kern w:val="0"/>
          <w:szCs w:val="21"/>
          <w:highlight w:val="none"/>
          <w:lang w:eastAsia="zh-CN"/>
        </w:rPr>
        <w:t xml:space="preserve"> 质疑联系方式：0573-83018328  </w:t>
      </w:r>
    </w:p>
    <w:p w14:paraId="22F184C4">
      <w:pPr>
        <w:widowControl/>
        <w:spacing w:before="75" w:after="75" w:line="360" w:lineRule="atLeast"/>
        <w:ind w:firstLine="210" w:firstLineChars="100"/>
        <w:jc w:val="left"/>
        <w:rPr>
          <w:rFonts w:hint="eastAsia" w:ascii="微软雅黑" w:hAnsi="微软雅黑" w:eastAsia="微软雅黑" w:cs="Arial"/>
          <w:color w:val="000000"/>
          <w:kern w:val="0"/>
          <w:szCs w:val="21"/>
          <w:highlight w:val="none"/>
          <w:lang w:eastAsia="zh-CN"/>
        </w:rPr>
      </w:pPr>
    </w:p>
    <w:p w14:paraId="3E1C090D">
      <w:pPr>
        <w:widowControl/>
        <w:spacing w:before="75" w:after="75" w:line="240" w:lineRule="auto"/>
        <w:jc w:val="left"/>
        <w:rPr>
          <w:rFonts w:ascii="微软雅黑" w:hAnsi="微软雅黑" w:eastAsia="微软雅黑" w:cs="Arial"/>
          <w:color w:val="000000"/>
          <w:kern w:val="0"/>
          <w:szCs w:val="21"/>
        </w:rPr>
      </w:pP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rPr>
        <w:t> </w:t>
      </w:r>
      <w:r>
        <w:rPr>
          <w:rFonts w:hint="eastAsia" w:ascii="微软雅黑" w:hAnsi="微软雅黑" w:eastAsia="微软雅黑" w:cs="Arial"/>
          <w:color w:val="000000"/>
          <w:kern w:val="0"/>
          <w:szCs w:val="21"/>
        </w:rPr>
        <w:t xml:space="preserve"> 2.采购代理机构信息</w:t>
      </w:r>
    </w:p>
    <w:p w14:paraId="21A5A8B2">
      <w:pPr>
        <w:widowControl/>
        <w:spacing w:before="75" w:after="75" w:line="360" w:lineRule="atLeast"/>
        <w:jc w:val="left"/>
        <w:rPr>
          <w:rFonts w:ascii="微软雅黑" w:hAnsi="微软雅黑" w:eastAsia="微软雅黑" w:cs="Arial"/>
          <w:color w:val="000000"/>
          <w:kern w:val="0"/>
          <w:szCs w:val="21"/>
        </w:rPr>
      </w:pPr>
      <w:r>
        <w:rPr>
          <w:rFonts w:hint="eastAsia" w:ascii="微软雅黑" w:hAnsi="微软雅黑" w:eastAsia="微软雅黑" w:cs="Arial"/>
          <w:color w:val="000000"/>
          <w:kern w:val="0"/>
          <w:szCs w:val="21"/>
        </w:rPr>
        <w:t xml:space="preserve">   名 称：浙江中际工程项目管理有限公司</w:t>
      </w:r>
    </w:p>
    <w:p w14:paraId="01799101">
      <w:pPr>
        <w:widowControl/>
        <w:spacing w:before="75" w:after="75" w:line="360" w:lineRule="atLeast"/>
        <w:ind w:firstLine="210" w:firstLineChars="100"/>
        <w:jc w:val="left"/>
        <w:rPr>
          <w:rFonts w:ascii="微软雅黑" w:hAnsi="微软雅黑" w:eastAsia="微软雅黑" w:cs="Arial"/>
          <w:color w:val="000000"/>
          <w:kern w:val="0"/>
          <w:szCs w:val="21"/>
        </w:rPr>
      </w:pPr>
      <w:r>
        <w:rPr>
          <w:rFonts w:hint="eastAsia" w:ascii="微软雅黑" w:hAnsi="微软雅黑" w:eastAsia="微软雅黑" w:cs="Arial"/>
          <w:color w:val="000000"/>
          <w:kern w:val="0"/>
          <w:szCs w:val="21"/>
        </w:rPr>
        <w:t>地 址：嘉兴市由拳路南湖大道口华隆广场1号楼1306室</w:t>
      </w:r>
    </w:p>
    <w:p w14:paraId="177E0B57">
      <w:pPr>
        <w:widowControl/>
        <w:spacing w:before="75" w:after="75" w:line="360" w:lineRule="atLeast"/>
        <w:ind w:firstLine="210" w:firstLineChars="100"/>
        <w:jc w:val="left"/>
        <w:rPr>
          <w:rFonts w:ascii="微软雅黑" w:hAnsi="微软雅黑" w:eastAsia="微软雅黑" w:cs="Arial"/>
          <w:color w:val="000000"/>
          <w:kern w:val="0"/>
          <w:szCs w:val="21"/>
        </w:rPr>
      </w:pPr>
      <w:r>
        <w:rPr>
          <w:rFonts w:hint="eastAsia" w:ascii="微软雅黑" w:hAnsi="微软雅黑" w:eastAsia="微软雅黑" w:cs="Arial"/>
          <w:color w:val="000000"/>
          <w:kern w:val="0"/>
          <w:szCs w:val="21"/>
        </w:rPr>
        <w:t>项目联系人</w:t>
      </w:r>
      <w:r>
        <w:rPr>
          <w:rFonts w:hint="eastAsia" w:ascii="微软雅黑" w:hAnsi="微软雅黑" w:eastAsia="微软雅黑" w:cs="Arial"/>
          <w:color w:val="000000"/>
          <w:kern w:val="0"/>
          <w:szCs w:val="21"/>
          <w:lang w:eastAsia="zh-CN"/>
        </w:rPr>
        <w:t>（</w:t>
      </w:r>
      <w:r>
        <w:rPr>
          <w:rFonts w:hint="eastAsia" w:ascii="微软雅黑" w:hAnsi="微软雅黑" w:eastAsia="微软雅黑" w:cs="Arial"/>
          <w:color w:val="000000"/>
          <w:kern w:val="0"/>
          <w:szCs w:val="21"/>
          <w:lang w:val="en-US" w:eastAsia="zh-CN"/>
        </w:rPr>
        <w:t>询问</w:t>
      </w:r>
      <w:r>
        <w:rPr>
          <w:rFonts w:hint="eastAsia" w:ascii="微软雅黑" w:hAnsi="微软雅黑" w:eastAsia="微软雅黑" w:cs="Arial"/>
          <w:color w:val="000000"/>
          <w:kern w:val="0"/>
          <w:szCs w:val="21"/>
          <w:lang w:eastAsia="zh-CN"/>
        </w:rPr>
        <w:t>）</w:t>
      </w:r>
      <w:r>
        <w:rPr>
          <w:rFonts w:hint="eastAsia" w:ascii="微软雅黑" w:hAnsi="微软雅黑" w:eastAsia="微软雅黑" w:cs="Arial"/>
          <w:color w:val="000000"/>
          <w:kern w:val="0"/>
          <w:szCs w:val="21"/>
        </w:rPr>
        <w:t>：马专圆</w:t>
      </w:r>
    </w:p>
    <w:p w14:paraId="3B22BFF7">
      <w:pPr>
        <w:widowControl/>
        <w:spacing w:before="75" w:after="75" w:line="360" w:lineRule="atLeast"/>
        <w:ind w:firstLine="210" w:firstLineChars="100"/>
        <w:jc w:val="left"/>
        <w:rPr>
          <w:rFonts w:ascii="微软雅黑" w:hAnsi="微软雅黑" w:eastAsia="微软雅黑" w:cs="Arial"/>
          <w:color w:val="000000"/>
          <w:kern w:val="0"/>
          <w:szCs w:val="21"/>
        </w:rPr>
      </w:pPr>
      <w:r>
        <w:rPr>
          <w:rFonts w:hint="eastAsia" w:ascii="微软雅黑" w:hAnsi="微软雅黑" w:eastAsia="微软雅黑" w:cs="Arial"/>
          <w:color w:val="000000"/>
          <w:kern w:val="0"/>
          <w:szCs w:val="21"/>
          <w:lang w:val="en-US" w:eastAsia="zh-CN"/>
        </w:rPr>
        <w:t>项目联系方式（询问）</w:t>
      </w:r>
      <w:r>
        <w:rPr>
          <w:rFonts w:hint="eastAsia" w:ascii="微软雅黑" w:hAnsi="微软雅黑" w:eastAsia="微软雅黑" w:cs="Arial"/>
          <w:color w:val="000000"/>
          <w:kern w:val="0"/>
          <w:szCs w:val="21"/>
        </w:rPr>
        <w:t>：0573-82862011</w:t>
      </w:r>
    </w:p>
    <w:p w14:paraId="5F74A806">
      <w:pPr>
        <w:widowControl/>
        <w:spacing w:before="75" w:after="75" w:line="360" w:lineRule="atLeast"/>
        <w:ind w:firstLine="210" w:firstLineChars="100"/>
        <w:jc w:val="left"/>
        <w:rPr>
          <w:rFonts w:ascii="微软雅黑" w:hAnsi="微软雅黑" w:eastAsia="微软雅黑" w:cs="Arial"/>
          <w:color w:val="000000"/>
          <w:kern w:val="0"/>
          <w:szCs w:val="21"/>
        </w:rPr>
      </w:pPr>
      <w:r>
        <w:rPr>
          <w:rFonts w:hint="eastAsia" w:ascii="微软雅黑" w:hAnsi="微软雅黑" w:eastAsia="微软雅黑" w:cs="Arial"/>
          <w:color w:val="000000"/>
          <w:kern w:val="0"/>
          <w:szCs w:val="21"/>
        </w:rPr>
        <w:t>质疑联系人：庞佳玥</w:t>
      </w:r>
    </w:p>
    <w:p w14:paraId="5FC1B7F4">
      <w:pPr>
        <w:widowControl/>
        <w:spacing w:before="75" w:after="75" w:line="360" w:lineRule="atLeast"/>
        <w:ind w:firstLine="210" w:firstLineChars="100"/>
        <w:jc w:val="left"/>
        <w:rPr>
          <w:rFonts w:ascii="微软雅黑" w:hAnsi="微软雅黑" w:eastAsia="微软雅黑" w:cs="Arial"/>
          <w:color w:val="000000"/>
          <w:kern w:val="0"/>
          <w:szCs w:val="21"/>
        </w:rPr>
      </w:pPr>
      <w:r>
        <w:rPr>
          <w:rFonts w:hint="eastAsia" w:ascii="微软雅黑" w:hAnsi="微软雅黑" w:eastAsia="微软雅黑" w:cs="Arial"/>
          <w:color w:val="000000"/>
          <w:kern w:val="0"/>
          <w:szCs w:val="21"/>
          <w:lang w:val="en-US" w:eastAsia="zh-CN"/>
        </w:rPr>
        <w:t>质疑</w:t>
      </w:r>
      <w:r>
        <w:rPr>
          <w:rFonts w:hint="eastAsia" w:ascii="微软雅黑" w:hAnsi="微软雅黑" w:eastAsia="微软雅黑" w:cs="Arial"/>
          <w:color w:val="000000"/>
          <w:kern w:val="0"/>
          <w:szCs w:val="21"/>
        </w:rPr>
        <w:t>联系方式：0573-8286</w:t>
      </w:r>
      <w:r>
        <w:rPr>
          <w:rFonts w:hint="eastAsia" w:ascii="微软雅黑" w:hAnsi="微软雅黑" w:eastAsia="微软雅黑" w:cs="Arial"/>
          <w:color w:val="000000"/>
          <w:kern w:val="0"/>
          <w:szCs w:val="21"/>
          <w:lang w:val="en-US" w:eastAsia="zh-CN"/>
        </w:rPr>
        <w:t>1</w:t>
      </w:r>
      <w:r>
        <w:rPr>
          <w:rFonts w:hint="eastAsia" w:ascii="微软雅黑" w:hAnsi="微软雅黑" w:eastAsia="微软雅黑" w:cs="Arial"/>
          <w:color w:val="000000"/>
          <w:kern w:val="0"/>
          <w:szCs w:val="21"/>
        </w:rPr>
        <w:t>011</w:t>
      </w:r>
    </w:p>
    <w:p w14:paraId="53BFE998">
      <w:pPr>
        <w:widowControl/>
        <w:spacing w:before="75" w:after="75" w:line="240" w:lineRule="auto"/>
        <w:jc w:val="left"/>
        <w:rPr>
          <w:rFonts w:hint="eastAsia" w:ascii="微软雅黑" w:hAnsi="微软雅黑" w:eastAsia="微软雅黑" w:cs="Calibri"/>
          <w:color w:val="000000"/>
          <w:kern w:val="0"/>
          <w:szCs w:val="21"/>
          <w:highlight w:val="none"/>
          <w:lang w:eastAsia="zh-CN"/>
        </w:rPr>
      </w:pPr>
      <w:r>
        <w:rPr>
          <w:rFonts w:ascii="微软雅黑" w:hAnsi="微软雅黑" w:eastAsia="微软雅黑" w:cs="Calibri"/>
          <w:color w:val="000000"/>
          <w:kern w:val="0"/>
          <w:szCs w:val="21"/>
          <w:highlight w:val="none"/>
        </w:rPr>
        <w:t> </w:t>
      </w:r>
      <w:r>
        <w:rPr>
          <w:rFonts w:hint="eastAsia" w:ascii="微软雅黑" w:hAnsi="微软雅黑" w:eastAsia="微软雅黑" w:cs="Arial"/>
          <w:color w:val="000000"/>
          <w:kern w:val="0"/>
          <w:szCs w:val="21"/>
          <w:highlight w:val="none"/>
        </w:rPr>
        <w:t xml:space="preserve"> </w:t>
      </w:r>
      <w:r>
        <w:rPr>
          <w:rFonts w:ascii="微软雅黑" w:hAnsi="微软雅黑" w:eastAsia="微软雅黑" w:cs="Calibri"/>
          <w:color w:val="000000"/>
          <w:kern w:val="0"/>
          <w:szCs w:val="21"/>
          <w:highlight w:val="none"/>
        </w:rPr>
        <w:t> </w:t>
      </w:r>
    </w:p>
    <w:p w14:paraId="75B9112A">
      <w:pPr>
        <w:widowControl/>
        <w:spacing w:before="75" w:after="75" w:line="240" w:lineRule="auto"/>
        <w:ind w:firstLine="210" w:firstLineChars="100"/>
        <w:jc w:val="left"/>
        <w:rPr>
          <w:rFonts w:hint="eastAsia" w:ascii="微软雅黑" w:hAnsi="微软雅黑" w:eastAsia="微软雅黑" w:cs="Arial"/>
          <w:color w:val="000000"/>
          <w:kern w:val="0"/>
          <w:szCs w:val="21"/>
          <w:highlight w:val="none"/>
        </w:rPr>
      </w:pPr>
      <w:r>
        <w:rPr>
          <w:rFonts w:hint="eastAsia" w:ascii="微软雅黑" w:hAnsi="微软雅黑" w:eastAsia="微软雅黑" w:cs="Arial"/>
          <w:color w:val="000000"/>
          <w:kern w:val="0"/>
          <w:szCs w:val="21"/>
          <w:highlight w:val="none"/>
        </w:rPr>
        <w:t>3.同级政府采购监督管理部门</w:t>
      </w:r>
    </w:p>
    <w:p w14:paraId="200E51FD">
      <w:pPr>
        <w:widowControl/>
        <w:numPr>
          <w:ilvl w:val="0"/>
          <w:numId w:val="0"/>
        </w:numPr>
        <w:spacing w:before="75" w:after="75" w:line="240" w:lineRule="auto"/>
        <w:ind w:firstLine="210" w:firstLineChars="100"/>
        <w:jc w:val="left"/>
        <w:rPr>
          <w:rFonts w:hint="eastAsia" w:ascii="微软雅黑" w:hAnsi="微软雅黑" w:eastAsia="微软雅黑" w:cs="Arial"/>
          <w:color w:val="000000"/>
          <w:kern w:val="0"/>
          <w:szCs w:val="21"/>
        </w:rPr>
      </w:pPr>
      <w:r>
        <w:rPr>
          <w:rFonts w:hint="eastAsia" w:ascii="微软雅黑" w:hAnsi="微软雅黑" w:eastAsia="微软雅黑" w:cs="Arial"/>
          <w:color w:val="000000"/>
          <w:kern w:val="0"/>
          <w:szCs w:val="21"/>
        </w:rPr>
        <w:t>名</w:t>
      </w:r>
      <w:r>
        <w:rPr>
          <w:rFonts w:hint="eastAsia" w:ascii="微软雅黑" w:hAnsi="微软雅黑" w:eastAsia="微软雅黑" w:cs="Arial"/>
          <w:color w:val="000000"/>
          <w:kern w:val="0"/>
          <w:szCs w:val="21"/>
          <w:lang w:val="en-US" w:eastAsia="zh-CN"/>
        </w:rPr>
        <w:t xml:space="preserve">  </w:t>
      </w:r>
      <w:r>
        <w:rPr>
          <w:rFonts w:hint="eastAsia" w:ascii="微软雅黑" w:hAnsi="微软雅黑" w:eastAsia="微软雅黑" w:cs="Arial"/>
          <w:color w:val="000000"/>
          <w:kern w:val="0"/>
          <w:szCs w:val="21"/>
        </w:rPr>
        <w:t>称：嘉兴市南湖区财政局</w:t>
      </w:r>
    </w:p>
    <w:p w14:paraId="1240A1EE">
      <w:pPr>
        <w:widowControl/>
        <w:spacing w:before="75" w:after="75" w:line="360" w:lineRule="atLeast"/>
        <w:ind w:firstLine="210" w:firstLineChars="100"/>
        <w:jc w:val="left"/>
        <w:rPr>
          <w:rFonts w:hint="default" w:ascii="微软雅黑" w:hAnsi="微软雅黑" w:eastAsia="微软雅黑" w:cs="Arial"/>
          <w:color w:val="000000"/>
          <w:kern w:val="0"/>
          <w:szCs w:val="21"/>
          <w:lang w:val="en-US" w:eastAsia="zh-CN"/>
        </w:rPr>
      </w:pPr>
      <w:r>
        <w:rPr>
          <w:rFonts w:hint="eastAsia" w:ascii="微软雅黑" w:hAnsi="微软雅黑" w:eastAsia="微软雅黑" w:cs="Arial"/>
          <w:color w:val="000000"/>
          <w:kern w:val="0"/>
          <w:szCs w:val="21"/>
          <w:lang w:val="en-US" w:eastAsia="zh-CN"/>
        </w:rPr>
        <w:t>地  址：嘉兴市凌公塘路1260号南湖区行政中心</w:t>
      </w:r>
    </w:p>
    <w:p w14:paraId="77C6E023">
      <w:pPr>
        <w:widowControl/>
        <w:spacing w:before="75" w:after="75" w:line="360" w:lineRule="atLeast"/>
        <w:ind w:firstLine="210" w:firstLineChars="100"/>
        <w:jc w:val="left"/>
        <w:rPr>
          <w:rFonts w:hint="default" w:ascii="微软雅黑" w:hAnsi="微软雅黑" w:eastAsia="微软雅黑" w:cs="Arial"/>
          <w:color w:val="000000"/>
          <w:kern w:val="0"/>
          <w:szCs w:val="21"/>
          <w:lang w:val="en-US" w:eastAsia="zh-CN"/>
        </w:rPr>
      </w:pPr>
      <w:r>
        <w:rPr>
          <w:rFonts w:hint="eastAsia" w:ascii="微软雅黑" w:hAnsi="微软雅黑" w:eastAsia="微软雅黑" w:cs="Arial"/>
          <w:color w:val="000000"/>
          <w:kern w:val="0"/>
          <w:szCs w:val="21"/>
          <w:lang w:val="en-US" w:eastAsia="zh-CN"/>
        </w:rPr>
        <w:t>传  真：/</w:t>
      </w:r>
    </w:p>
    <w:p w14:paraId="3F9BD353">
      <w:pPr>
        <w:widowControl/>
        <w:spacing w:before="75" w:after="75" w:line="360" w:lineRule="atLeast"/>
        <w:ind w:firstLine="210" w:firstLineChars="100"/>
        <w:jc w:val="left"/>
        <w:rPr>
          <w:rFonts w:hint="eastAsia" w:ascii="微软雅黑" w:hAnsi="微软雅黑" w:eastAsia="微软雅黑" w:cs="Arial"/>
          <w:color w:val="000000"/>
          <w:kern w:val="0"/>
          <w:szCs w:val="21"/>
        </w:rPr>
      </w:pPr>
      <w:r>
        <w:rPr>
          <w:rFonts w:hint="eastAsia" w:ascii="微软雅黑" w:hAnsi="微软雅黑" w:eastAsia="微软雅黑" w:cs="Arial"/>
          <w:color w:val="000000"/>
          <w:kern w:val="0"/>
          <w:szCs w:val="21"/>
        </w:rPr>
        <w:t>联系人 ：张先生</w:t>
      </w:r>
    </w:p>
    <w:p w14:paraId="2387996E">
      <w:pPr>
        <w:widowControl/>
        <w:spacing w:before="75" w:after="75" w:line="360" w:lineRule="atLeast"/>
        <w:ind w:firstLine="210" w:firstLineChars="100"/>
        <w:jc w:val="left"/>
        <w:rPr>
          <w:rFonts w:ascii="微软雅黑" w:hAnsi="微软雅黑" w:eastAsia="微软雅黑" w:cs="Arial"/>
          <w:color w:val="000000"/>
          <w:kern w:val="0"/>
          <w:szCs w:val="21"/>
        </w:rPr>
      </w:pPr>
      <w:r>
        <w:rPr>
          <w:rFonts w:hint="eastAsia" w:ascii="微软雅黑" w:hAnsi="微软雅黑" w:eastAsia="微软雅黑" w:cs="Arial"/>
          <w:color w:val="000000"/>
          <w:kern w:val="0"/>
          <w:szCs w:val="21"/>
        </w:rPr>
        <w:t>监督投诉电话：0573-82832019  </w:t>
      </w:r>
      <w:r>
        <w:rPr>
          <w:rFonts w:hint="eastAsia" w:ascii="微软雅黑" w:hAnsi="微软雅黑" w:eastAsia="微软雅黑" w:cs="Arial"/>
          <w:szCs w:val="21"/>
        </w:rPr>
        <w:t xml:space="preserve"> </w:t>
      </w:r>
      <w:r>
        <w:rPr>
          <w:rFonts w:ascii="微软雅黑" w:hAnsi="微软雅黑" w:eastAsia="微软雅黑" w:cs="Calibri"/>
          <w:szCs w:val="21"/>
        </w:rPr>
        <w:t> </w:t>
      </w:r>
      <w:r>
        <w:rPr>
          <w:rFonts w:hint="eastAsia" w:ascii="微软雅黑" w:hAnsi="微软雅黑" w:eastAsia="微软雅黑" w:cs="Arial"/>
          <w:szCs w:val="21"/>
        </w:rPr>
        <w:t xml:space="preserve"> </w:t>
      </w:r>
    </w:p>
    <w:p w14:paraId="4130F0AD">
      <w:pPr>
        <w:widowControl/>
        <w:spacing w:after="0" w:line="240" w:lineRule="auto"/>
        <w:jc w:val="left"/>
        <w:rPr>
          <w:rFonts w:hint="eastAsia" w:ascii="微软雅黑" w:hAnsi="微软雅黑" w:eastAsia="微软雅黑" w:cs="Arial"/>
          <w:color w:val="000000"/>
          <w:kern w:val="0"/>
          <w:szCs w:val="21"/>
          <w:highlight w:val="none"/>
          <w:lang w:eastAsia="zh-CN"/>
        </w:rPr>
      </w:pPr>
    </w:p>
    <w:p w14:paraId="0463283B">
      <w:pPr>
        <w:widowControl/>
        <w:spacing w:after="0" w:line="240" w:lineRule="auto"/>
        <w:jc w:val="left"/>
        <w:rPr>
          <w:rFonts w:ascii="微软雅黑" w:hAnsi="微软雅黑" w:eastAsia="微软雅黑" w:cs="宋体"/>
          <w:color w:val="000000"/>
          <w:kern w:val="0"/>
          <w:szCs w:val="21"/>
          <w:highlight w:val="none"/>
        </w:rPr>
      </w:pPr>
      <w:r>
        <w:rPr>
          <w:rFonts w:ascii="微软雅黑" w:hAnsi="微软雅黑" w:eastAsia="微软雅黑" w:cs="Arial"/>
          <w:color w:val="000000"/>
          <w:kern w:val="0"/>
          <w:szCs w:val="21"/>
          <w:highlight w:val="none"/>
        </w:rPr>
        <w:t xml:space="preserve">    </w:t>
      </w:r>
      <w:r>
        <w:rPr>
          <w:rFonts w:hint="eastAsia" w:ascii="微软雅黑" w:hAnsi="微软雅黑" w:eastAsia="微软雅黑" w:cs="宋体"/>
          <w:color w:val="000000"/>
          <w:kern w:val="0"/>
          <w:szCs w:val="21"/>
          <w:highlight w:val="none"/>
        </w:rPr>
        <w:t>若对项目采购电子交易系统操作有疑问，可登录政采云（https://www.zcygov.cn/），点击右侧咨询小采，获取采小蜜智能服务管家帮助，或拨打政采云服务热线400-881-7190获取热线服务帮助。</w:t>
      </w:r>
      <w:r>
        <w:rPr>
          <w:rFonts w:ascii="微软雅黑" w:hAnsi="微软雅黑" w:eastAsia="微软雅黑" w:cs="Calibri"/>
          <w:color w:val="000000"/>
          <w:kern w:val="0"/>
          <w:szCs w:val="21"/>
          <w:highlight w:val="none"/>
        </w:rPr>
        <w:t> </w:t>
      </w:r>
      <w:r>
        <w:rPr>
          <w:rFonts w:hint="eastAsia" w:ascii="微软雅黑" w:hAnsi="微软雅黑" w:eastAsia="微软雅黑" w:cs="宋体"/>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宋体"/>
          <w:color w:val="000000"/>
          <w:kern w:val="0"/>
          <w:szCs w:val="21"/>
          <w:highlight w:val="none"/>
        </w:rPr>
        <w:t xml:space="preserve"> </w:t>
      </w:r>
      <w:r>
        <w:rPr>
          <w:rFonts w:ascii="微软雅黑" w:hAnsi="微软雅黑" w:eastAsia="微软雅黑" w:cs="Calibri"/>
          <w:color w:val="000000"/>
          <w:kern w:val="0"/>
          <w:szCs w:val="21"/>
          <w:highlight w:val="none"/>
        </w:rPr>
        <w:t> </w:t>
      </w:r>
      <w:r>
        <w:rPr>
          <w:rFonts w:hint="eastAsia" w:ascii="微软雅黑" w:hAnsi="微软雅黑" w:eastAsia="微软雅黑" w:cs="宋体"/>
          <w:color w:val="000000"/>
          <w:kern w:val="0"/>
          <w:szCs w:val="21"/>
          <w:highlight w:val="none"/>
        </w:rPr>
        <w:t xml:space="preserve"> </w:t>
      </w:r>
      <w:r>
        <w:rPr>
          <w:rFonts w:ascii="微软雅黑" w:hAnsi="微软雅黑" w:eastAsia="微软雅黑" w:cs="Calibri"/>
          <w:color w:val="000000"/>
          <w:kern w:val="0"/>
          <w:szCs w:val="21"/>
          <w:highlight w:val="none"/>
        </w:rPr>
        <w:t>  </w:t>
      </w:r>
    </w:p>
    <w:p w14:paraId="06DA0D98">
      <w:pPr>
        <w:widowControl/>
        <w:spacing w:before="75" w:after="75" w:line="240" w:lineRule="auto"/>
        <w:jc w:val="left"/>
        <w:rPr>
          <w:rFonts w:hint="eastAsia" w:ascii="微软雅黑" w:hAnsi="微软雅黑" w:eastAsia="微软雅黑" w:cs="宋体"/>
          <w:color w:val="000000"/>
          <w:kern w:val="0"/>
          <w:szCs w:val="21"/>
          <w:highlight w:val="none"/>
          <w:lang w:eastAsia="zh-CN"/>
        </w:rPr>
      </w:pPr>
      <w:r>
        <w:rPr>
          <w:rFonts w:hint="eastAsia" w:ascii="微软雅黑" w:hAnsi="微软雅黑" w:eastAsia="微软雅黑" w:cs="宋体"/>
          <w:color w:val="000000"/>
          <w:kern w:val="0"/>
          <w:szCs w:val="21"/>
          <w:highlight w:val="none"/>
        </w:rPr>
        <w:t>CA问题联系电话（人工）：汇信CA 400-888-4636；天谷CA 400-087-8198。</w:t>
      </w:r>
    </w:p>
    <w:p w14:paraId="06426CF3">
      <w:pPr>
        <w:widowControl/>
        <w:spacing w:before="75" w:after="75" w:line="240" w:lineRule="auto"/>
        <w:jc w:val="left"/>
        <w:rPr>
          <w:rFonts w:hint="eastAsia" w:ascii="仿宋" w:hAnsi="仿宋" w:eastAsia="仿宋" w:cs="宋体"/>
          <w:color w:val="000000"/>
          <w:kern w:val="0"/>
          <w:sz w:val="24"/>
          <w:highlight w:val="none"/>
        </w:rPr>
      </w:pPr>
      <w:r>
        <w:rPr>
          <w:rFonts w:ascii="Calibri" w:hAnsi="Calibri" w:eastAsia="仿宋" w:cs="Calibri"/>
          <w:color w:val="000000"/>
          <w:kern w:val="0"/>
          <w:sz w:val="24"/>
          <w:highlight w:val="none"/>
        </w:rPr>
        <w:t> </w:t>
      </w:r>
    </w:p>
    <w:p w14:paraId="2DAF4122">
      <w:pPr>
        <w:pStyle w:val="2"/>
        <w:numPr>
          <w:ilvl w:val="0"/>
          <w:numId w:val="19"/>
        </w:numPr>
        <w:spacing w:before="360"/>
        <w:jc w:val="center"/>
        <w:rPr>
          <w:rFonts w:ascii="微软雅黑" w:hAnsi="微软雅黑" w:cs="微软雅黑"/>
          <w:szCs w:val="21"/>
          <w:highlight w:val="none"/>
        </w:rPr>
      </w:pPr>
      <w:bookmarkStart w:id="5" w:name="_Toc192313099"/>
      <w:bookmarkStart w:id="6" w:name="_Toc493699290"/>
      <w:r>
        <w:rPr>
          <w:rFonts w:hint="eastAsia" w:ascii="微软雅黑" w:hAnsi="微软雅黑" w:cs="微软雅黑"/>
          <w:szCs w:val="21"/>
          <w:highlight w:val="none"/>
        </w:rPr>
        <w:br w:type="page"/>
      </w:r>
      <w:bookmarkStart w:id="7" w:name="_Toc14857"/>
      <w:bookmarkStart w:id="8" w:name="_Toc100764192"/>
      <w:r>
        <w:rPr>
          <w:rFonts w:hint="eastAsia" w:ascii="微软雅黑" w:hAnsi="微软雅黑" w:cs="微软雅黑"/>
          <w:szCs w:val="21"/>
          <w:highlight w:val="none"/>
        </w:rPr>
        <w:t>供应商须知</w:t>
      </w:r>
      <w:bookmarkEnd w:id="5"/>
      <w:bookmarkEnd w:id="6"/>
      <w:bookmarkEnd w:id="7"/>
      <w:bookmarkEnd w:id="8"/>
    </w:p>
    <w:p w14:paraId="4EB7BDFD">
      <w:pPr>
        <w:pStyle w:val="3"/>
        <w:spacing w:before="0" w:after="0" w:line="460" w:lineRule="exact"/>
        <w:rPr>
          <w:rFonts w:ascii="微软雅黑" w:hAnsi="微软雅黑" w:eastAsia="微软雅黑" w:cs="微软雅黑"/>
          <w:b w:val="0"/>
          <w:bCs/>
          <w:sz w:val="21"/>
          <w:szCs w:val="21"/>
          <w:highlight w:val="none"/>
        </w:rPr>
      </w:pPr>
      <w:bookmarkStart w:id="9" w:name="_Toc89266796"/>
      <w:bookmarkStart w:id="10" w:name="_Toc100764193"/>
      <w:bookmarkStart w:id="11" w:name="_Toc40788009"/>
      <w:bookmarkStart w:id="12" w:name="_Toc493699291"/>
      <w:bookmarkStart w:id="13" w:name="_Toc53062671"/>
      <w:r>
        <w:rPr>
          <w:rFonts w:hint="eastAsia" w:ascii="微软雅黑" w:hAnsi="微软雅黑" w:eastAsia="微软雅黑" w:cs="微软雅黑"/>
          <w:bCs/>
          <w:sz w:val="21"/>
          <w:szCs w:val="21"/>
          <w:highlight w:val="none"/>
        </w:rPr>
        <w:t>电子交易注意事项</w:t>
      </w:r>
      <w:bookmarkEnd w:id="9"/>
      <w:bookmarkEnd w:id="10"/>
    </w:p>
    <w:p w14:paraId="56033ADC">
      <w:pPr>
        <w:spacing w:line="460" w:lineRule="exact"/>
        <w:ind w:firstLine="210" w:firstLineChars="100"/>
        <w:jc w:val="left"/>
        <w:rPr>
          <w:rFonts w:ascii="微软雅黑" w:hAnsi="微软雅黑" w:eastAsia="微软雅黑" w:cs="微软雅黑"/>
          <w:szCs w:val="21"/>
          <w:highlight w:val="none"/>
          <w:shd w:val="clear" w:color="auto" w:fill="FFFFFF"/>
        </w:rPr>
      </w:pPr>
      <w:r>
        <w:rPr>
          <w:rFonts w:hint="eastAsia" w:ascii="微软雅黑" w:hAnsi="微软雅黑" w:eastAsia="微软雅黑" w:cs="微软雅黑"/>
          <w:szCs w:val="21"/>
          <w:highlight w:val="none"/>
          <w:shd w:val="clear" w:color="auto" w:fill="FFFFFF"/>
        </w:rPr>
        <w:t>　政府采购项目电子交易活动适用《浙江省政府采购项目电子交易管理暂行办法》，现将相关注意事项告知如下：</w:t>
      </w:r>
    </w:p>
    <w:p w14:paraId="3A33772C">
      <w:pPr>
        <w:spacing w:line="460" w:lineRule="exact"/>
        <w:ind w:firstLine="210" w:firstLineChars="10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　1、代理机构按照竞争性磋商文件规定的时间通过电子交易平台组织开标、开启竞争性磋商响应文件，所有供应商均应当准时在线参加，直至评审结束。</w:t>
      </w:r>
    </w:p>
    <w:p w14:paraId="2DD8D2BE">
      <w:pPr>
        <w:pStyle w:val="48"/>
        <w:spacing w:before="0" w:beforeAutospacing="0" w:after="0" w:afterAutospacing="0" w:line="460" w:lineRule="exact"/>
        <w:ind w:firstLine="210" w:firstLineChars="100"/>
        <w:rPr>
          <w:rFonts w:ascii="微软雅黑" w:hAnsi="微软雅黑" w:eastAsia="微软雅黑" w:cs="微软雅黑"/>
          <w:kern w:val="2"/>
          <w:sz w:val="21"/>
          <w:szCs w:val="21"/>
          <w:highlight w:val="none"/>
        </w:rPr>
      </w:pPr>
      <w:r>
        <w:rPr>
          <w:rFonts w:hint="eastAsia" w:ascii="微软雅黑" w:hAnsi="微软雅黑" w:eastAsia="微软雅黑" w:cs="微软雅黑"/>
          <w:kern w:val="2"/>
          <w:sz w:val="21"/>
          <w:szCs w:val="21"/>
          <w:highlight w:val="none"/>
        </w:rPr>
        <w:t>　2、竞争性磋商响应文件未按时解密，供应商如提供备份竞争性磋商响应文件的，以符合要求的备份竞争性磋商响应文件作为依据，否则视为竞争性磋商响应文件撤回。竞争性磋商响应文件已按时解密的，备份竞争性磋商响应文件自动失效。</w:t>
      </w:r>
    </w:p>
    <w:p w14:paraId="46EA68F1">
      <w:pPr>
        <w:pStyle w:val="48"/>
        <w:spacing w:before="0" w:beforeAutospacing="0" w:after="0" w:afterAutospacing="0" w:line="460" w:lineRule="exact"/>
        <w:ind w:firstLine="210" w:firstLineChars="100"/>
        <w:rPr>
          <w:rFonts w:ascii="微软雅黑" w:hAnsi="微软雅黑" w:eastAsia="微软雅黑" w:cs="微软雅黑"/>
          <w:kern w:val="2"/>
          <w:sz w:val="21"/>
          <w:szCs w:val="21"/>
          <w:highlight w:val="none"/>
        </w:rPr>
      </w:pPr>
      <w:r>
        <w:rPr>
          <w:rFonts w:hint="eastAsia" w:ascii="微软雅黑" w:hAnsi="微软雅黑" w:eastAsia="微软雅黑" w:cs="微软雅黑"/>
          <w:kern w:val="2"/>
          <w:sz w:val="21"/>
          <w:szCs w:val="21"/>
          <w:highlight w:val="none"/>
        </w:rPr>
        <w:t>　3、采购过程中出现以下情形，导致电子交易平台无法正常运行，或者无法保证电子交易的公平、公正和安全时，代理机构可中止电子交易活动：</w:t>
      </w:r>
    </w:p>
    <w:p w14:paraId="3118E272">
      <w:pPr>
        <w:pStyle w:val="48"/>
        <w:spacing w:before="0" w:beforeAutospacing="0" w:after="0" w:afterAutospacing="0" w:line="460" w:lineRule="exact"/>
        <w:ind w:firstLine="645"/>
        <w:rPr>
          <w:rFonts w:ascii="微软雅黑" w:hAnsi="微软雅黑" w:eastAsia="微软雅黑" w:cs="微软雅黑"/>
          <w:kern w:val="2"/>
          <w:sz w:val="21"/>
          <w:szCs w:val="21"/>
          <w:highlight w:val="none"/>
        </w:rPr>
      </w:pPr>
      <w:r>
        <w:rPr>
          <w:rFonts w:hint="eastAsia" w:ascii="微软雅黑" w:hAnsi="微软雅黑" w:eastAsia="微软雅黑" w:cs="微软雅黑"/>
          <w:kern w:val="2"/>
          <w:sz w:val="21"/>
          <w:szCs w:val="21"/>
          <w:highlight w:val="none"/>
        </w:rPr>
        <w:t>（一）电子交易平台发生故障而无法登录访问的； </w:t>
      </w:r>
    </w:p>
    <w:p w14:paraId="77DC2EC9">
      <w:pPr>
        <w:pStyle w:val="48"/>
        <w:spacing w:before="0" w:beforeAutospacing="0" w:after="0" w:afterAutospacing="0" w:line="460" w:lineRule="exact"/>
        <w:ind w:firstLine="645"/>
        <w:rPr>
          <w:rFonts w:ascii="微软雅黑" w:hAnsi="微软雅黑" w:eastAsia="微软雅黑" w:cs="微软雅黑"/>
          <w:kern w:val="2"/>
          <w:sz w:val="21"/>
          <w:szCs w:val="21"/>
          <w:highlight w:val="none"/>
        </w:rPr>
      </w:pPr>
      <w:r>
        <w:rPr>
          <w:rFonts w:hint="eastAsia" w:ascii="微软雅黑" w:hAnsi="微软雅黑" w:eastAsia="微软雅黑" w:cs="微软雅黑"/>
          <w:kern w:val="2"/>
          <w:sz w:val="21"/>
          <w:szCs w:val="21"/>
          <w:highlight w:val="none"/>
        </w:rPr>
        <w:t>（二）电子交易平台应用或数据库出现错误，不能进行正常操作的；</w:t>
      </w:r>
    </w:p>
    <w:p w14:paraId="5EBA6262">
      <w:pPr>
        <w:pStyle w:val="48"/>
        <w:spacing w:before="0" w:beforeAutospacing="0" w:after="0" w:afterAutospacing="0" w:line="460" w:lineRule="exact"/>
        <w:ind w:firstLine="645"/>
        <w:rPr>
          <w:rFonts w:ascii="微软雅黑" w:hAnsi="微软雅黑" w:eastAsia="微软雅黑" w:cs="微软雅黑"/>
          <w:kern w:val="2"/>
          <w:sz w:val="21"/>
          <w:szCs w:val="21"/>
          <w:highlight w:val="none"/>
        </w:rPr>
      </w:pPr>
      <w:r>
        <w:rPr>
          <w:rFonts w:hint="eastAsia" w:ascii="微软雅黑" w:hAnsi="微软雅黑" w:eastAsia="微软雅黑" w:cs="微软雅黑"/>
          <w:kern w:val="2"/>
          <w:sz w:val="21"/>
          <w:szCs w:val="21"/>
          <w:highlight w:val="none"/>
        </w:rPr>
        <w:t>（三）电子交易平台发现严重安全漏洞，有潜在泄密危险的；</w:t>
      </w:r>
    </w:p>
    <w:p w14:paraId="722DDE03">
      <w:pPr>
        <w:pStyle w:val="48"/>
        <w:spacing w:before="0" w:beforeAutospacing="0" w:after="0" w:afterAutospacing="0" w:line="460" w:lineRule="exact"/>
        <w:ind w:firstLine="645"/>
        <w:rPr>
          <w:rFonts w:ascii="微软雅黑" w:hAnsi="微软雅黑" w:eastAsia="微软雅黑" w:cs="微软雅黑"/>
          <w:kern w:val="2"/>
          <w:sz w:val="21"/>
          <w:szCs w:val="21"/>
          <w:highlight w:val="none"/>
        </w:rPr>
      </w:pPr>
      <w:r>
        <w:rPr>
          <w:rFonts w:hint="eastAsia" w:ascii="微软雅黑" w:hAnsi="微软雅黑" w:eastAsia="微软雅黑" w:cs="微软雅黑"/>
          <w:kern w:val="2"/>
          <w:sz w:val="21"/>
          <w:szCs w:val="21"/>
          <w:highlight w:val="none"/>
        </w:rPr>
        <w:t>（四）病毒发作导致不能进行正常操作的； </w:t>
      </w:r>
    </w:p>
    <w:p w14:paraId="5CE0C25A">
      <w:pPr>
        <w:pStyle w:val="48"/>
        <w:spacing w:before="0" w:beforeAutospacing="0" w:after="0" w:afterAutospacing="0" w:line="460" w:lineRule="exact"/>
        <w:ind w:firstLine="645"/>
        <w:rPr>
          <w:rFonts w:ascii="微软雅黑" w:hAnsi="微软雅黑" w:eastAsia="微软雅黑" w:cs="微软雅黑"/>
          <w:kern w:val="2"/>
          <w:sz w:val="21"/>
          <w:szCs w:val="21"/>
          <w:highlight w:val="none"/>
        </w:rPr>
      </w:pPr>
      <w:r>
        <w:rPr>
          <w:rFonts w:hint="eastAsia" w:ascii="微软雅黑" w:hAnsi="微软雅黑" w:eastAsia="微软雅黑" w:cs="微软雅黑"/>
          <w:kern w:val="2"/>
          <w:sz w:val="21"/>
          <w:szCs w:val="21"/>
          <w:highlight w:val="none"/>
        </w:rPr>
        <w:t>（五）其他无法保证电子交易的公平、公正和安全的情况。</w:t>
      </w:r>
    </w:p>
    <w:p w14:paraId="246E0AD1">
      <w:pPr>
        <w:pStyle w:val="48"/>
        <w:spacing w:before="0" w:beforeAutospacing="0" w:after="0" w:afterAutospacing="0" w:line="460" w:lineRule="exact"/>
        <w:ind w:firstLine="480"/>
        <w:rPr>
          <w:rFonts w:ascii="微软雅黑" w:hAnsi="微软雅黑" w:eastAsia="微软雅黑" w:cs="微软雅黑"/>
          <w:kern w:val="2"/>
          <w:sz w:val="21"/>
          <w:szCs w:val="21"/>
          <w:highlight w:val="none"/>
        </w:rPr>
      </w:pPr>
      <w:r>
        <w:rPr>
          <w:rFonts w:hint="eastAsia" w:ascii="微软雅黑" w:hAnsi="微软雅黑" w:eastAsia="微软雅黑" w:cs="微软雅黑"/>
          <w:kern w:val="2"/>
          <w:sz w:val="21"/>
          <w:szCs w:val="21"/>
          <w:highlight w:val="none"/>
        </w:rPr>
        <w:t>出现前款规定情形，不影响采购公平、公正性的，代理机构可以待上述情形消除后继续组织电子交易活动，也可以决定某些环节以纸质形式进行；影响或可能影响采购公平、公正性的，应当重新采购。</w:t>
      </w:r>
    </w:p>
    <w:p w14:paraId="35A24BE6">
      <w:pPr>
        <w:pStyle w:val="48"/>
        <w:numPr>
          <w:ilvl w:val="0"/>
          <w:numId w:val="20"/>
        </w:numPr>
        <w:spacing w:before="0" w:beforeAutospacing="0" w:after="0" w:afterAutospacing="0" w:line="460" w:lineRule="exact"/>
        <w:ind w:firstLine="480"/>
        <w:rPr>
          <w:rFonts w:ascii="微软雅黑" w:hAnsi="微软雅黑" w:eastAsia="微软雅黑" w:cs="微软雅黑"/>
          <w:sz w:val="21"/>
          <w:szCs w:val="21"/>
          <w:highlight w:val="none"/>
          <w:shd w:val="clear" w:color="auto" w:fill="FFFFFF"/>
        </w:rPr>
      </w:pPr>
      <w:r>
        <w:rPr>
          <w:rFonts w:hint="eastAsia" w:ascii="微软雅黑" w:hAnsi="微软雅黑" w:eastAsia="微软雅黑" w:cs="微软雅黑"/>
          <w:sz w:val="21"/>
          <w:szCs w:val="21"/>
          <w:highlight w:val="none"/>
          <w:shd w:val="clear" w:color="auto" w:fill="FFFFFF"/>
        </w:rPr>
        <w:t>评审中需要供应商对竞争性磋商响应文件作出澄清、说明或者补正的，评审小组和供应商应当通过电子交易平台交换数据电文。供应商需在半小时内提交澄清说明或补正，供应商已经明确表示澄清说明或补正完毕的除外。</w:t>
      </w:r>
    </w:p>
    <w:p w14:paraId="3F17847D">
      <w:pPr>
        <w:pStyle w:val="48"/>
        <w:numPr>
          <w:ilvl w:val="0"/>
          <w:numId w:val="20"/>
        </w:numPr>
        <w:spacing w:before="0" w:beforeAutospacing="0" w:after="0" w:afterAutospacing="0" w:line="460" w:lineRule="exact"/>
        <w:ind w:firstLine="480"/>
        <w:rPr>
          <w:rFonts w:ascii="微软雅黑" w:hAnsi="微软雅黑" w:eastAsia="微软雅黑" w:cs="微软雅黑"/>
          <w:b/>
          <w:bCs/>
          <w:sz w:val="21"/>
          <w:szCs w:val="21"/>
          <w:highlight w:val="none"/>
          <w:shd w:val="clear" w:color="auto" w:fill="FFFFFF"/>
        </w:rPr>
      </w:pPr>
      <w:r>
        <w:rPr>
          <w:rFonts w:hint="eastAsia" w:ascii="微软雅黑" w:hAnsi="微软雅黑" w:eastAsia="微软雅黑" w:cs="微软雅黑"/>
          <w:b/>
          <w:bCs/>
          <w:sz w:val="21"/>
          <w:szCs w:val="21"/>
          <w:highlight w:val="none"/>
          <w:shd w:val="clear" w:color="auto" w:fill="FFFFFF"/>
        </w:rPr>
        <w:t>供应商须在代理机构宣布评审结束、产生中标候选人期间时刻关注项目政采云，配合专家组工作，如有询标（澄清、质疑），在30分钟内（具体时间以询标函上规定的时间为准备）通过ＣＡ进行回复。过期不按要求回复，视为默认原竞争性磋商响应文件内容。</w:t>
      </w:r>
    </w:p>
    <w:p w14:paraId="71481E14">
      <w:pPr>
        <w:spacing w:line="460" w:lineRule="exact"/>
        <w:rPr>
          <w:rFonts w:ascii="微软雅黑" w:hAnsi="微软雅黑" w:eastAsia="微软雅黑" w:cs="微软雅黑"/>
          <w:b/>
          <w:kern w:val="0"/>
          <w:szCs w:val="21"/>
          <w:highlight w:val="none"/>
          <w:shd w:val="pct10" w:color="auto" w:fill="FFFFFF"/>
        </w:rPr>
      </w:pPr>
    </w:p>
    <w:p w14:paraId="0AB68706">
      <w:pPr>
        <w:spacing w:line="460" w:lineRule="exact"/>
        <w:rPr>
          <w:rFonts w:ascii="微软雅黑" w:hAnsi="微软雅黑" w:eastAsia="微软雅黑" w:cs="微软雅黑"/>
          <w:b/>
          <w:kern w:val="0"/>
          <w:szCs w:val="21"/>
          <w:highlight w:val="none"/>
          <w:shd w:val="pct10" w:color="auto" w:fill="FFFFFF"/>
        </w:rPr>
      </w:pPr>
    </w:p>
    <w:p w14:paraId="1D5F91CA">
      <w:pPr>
        <w:snapToGrid w:val="0"/>
        <w:spacing w:line="460" w:lineRule="exact"/>
        <w:ind w:left="238"/>
        <w:jc w:val="center"/>
        <w:outlineLvl w:val="1"/>
        <w:rPr>
          <w:rFonts w:ascii="微软雅黑" w:hAnsi="微软雅黑" w:eastAsia="微软雅黑" w:cs="微软雅黑"/>
          <w:b/>
          <w:szCs w:val="21"/>
          <w:highlight w:val="none"/>
        </w:rPr>
      </w:pPr>
      <w:bookmarkStart w:id="14" w:name="_Toc89266797"/>
      <w:bookmarkStart w:id="15" w:name="_Toc100764194"/>
      <w:r>
        <w:rPr>
          <w:rFonts w:hint="eastAsia" w:ascii="微软雅黑" w:hAnsi="微软雅黑" w:eastAsia="微软雅黑" w:cs="微软雅黑"/>
          <w:b/>
          <w:szCs w:val="21"/>
          <w:highlight w:val="none"/>
        </w:rPr>
        <w:t>前附表</w:t>
      </w:r>
      <w:bookmarkEnd w:id="11"/>
      <w:bookmarkEnd w:id="12"/>
      <w:bookmarkEnd w:id="13"/>
      <w:bookmarkEnd w:id="14"/>
      <w:bookmarkEnd w:id="15"/>
    </w:p>
    <w:tbl>
      <w:tblPr>
        <w:tblStyle w:val="53"/>
        <w:tblW w:w="9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0"/>
        <w:gridCol w:w="8350"/>
      </w:tblGrid>
      <w:tr w14:paraId="0487C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1B31BFD0">
            <w:pPr>
              <w:snapToGrid w:val="0"/>
              <w:spacing w:after="0" w:line="460" w:lineRule="exact"/>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序号</w:t>
            </w:r>
          </w:p>
        </w:tc>
        <w:tc>
          <w:tcPr>
            <w:tcW w:w="8350" w:type="dxa"/>
            <w:tcBorders>
              <w:top w:val="single" w:color="auto" w:sz="4" w:space="0"/>
              <w:left w:val="single" w:color="auto" w:sz="4" w:space="0"/>
              <w:bottom w:val="single" w:color="auto" w:sz="4" w:space="0"/>
              <w:right w:val="single" w:color="auto" w:sz="4" w:space="0"/>
            </w:tcBorders>
            <w:vAlign w:val="center"/>
          </w:tcPr>
          <w:p w14:paraId="53426DE4">
            <w:pPr>
              <w:snapToGrid w:val="0"/>
              <w:spacing w:after="0" w:line="460" w:lineRule="exact"/>
              <w:ind w:firstLine="2625" w:firstLineChars="125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内容、要求</w:t>
            </w:r>
          </w:p>
        </w:tc>
      </w:tr>
      <w:tr w14:paraId="31E6E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5A3F0AA4">
            <w:pPr>
              <w:snapToGrid w:val="0"/>
              <w:spacing w:after="0" w:line="460" w:lineRule="exact"/>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w:t>
            </w:r>
          </w:p>
        </w:tc>
        <w:tc>
          <w:tcPr>
            <w:tcW w:w="8350" w:type="dxa"/>
            <w:tcBorders>
              <w:top w:val="single" w:color="auto" w:sz="4" w:space="0"/>
              <w:left w:val="single" w:color="auto" w:sz="4" w:space="0"/>
              <w:bottom w:val="single" w:color="auto" w:sz="4" w:space="0"/>
              <w:right w:val="single" w:color="auto" w:sz="4" w:space="0"/>
            </w:tcBorders>
            <w:vAlign w:val="center"/>
          </w:tcPr>
          <w:p w14:paraId="0F414C63">
            <w:pPr>
              <w:snapToGrid w:val="0"/>
              <w:spacing w:after="0" w:line="46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项目名称：</w:t>
            </w:r>
            <w:r>
              <w:rPr>
                <w:rFonts w:hint="eastAsia" w:ascii="微软雅黑" w:hAnsi="微软雅黑" w:eastAsia="微软雅黑"/>
                <w:highlight w:val="none"/>
                <w:lang w:eastAsia="zh-CN"/>
              </w:rPr>
              <w:t>嘉兴市南湖区大桥镇中心小学2025年度教师疗休养项目</w:t>
            </w:r>
          </w:p>
        </w:tc>
      </w:tr>
      <w:tr w14:paraId="60B8E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7EEF489C">
            <w:pPr>
              <w:snapToGrid w:val="0"/>
              <w:spacing w:after="0" w:line="460" w:lineRule="exact"/>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w:t>
            </w:r>
          </w:p>
        </w:tc>
        <w:tc>
          <w:tcPr>
            <w:tcW w:w="8350" w:type="dxa"/>
            <w:tcBorders>
              <w:top w:val="single" w:color="auto" w:sz="4" w:space="0"/>
              <w:left w:val="single" w:color="auto" w:sz="4" w:space="0"/>
              <w:bottom w:val="single" w:color="auto" w:sz="4" w:space="0"/>
              <w:right w:val="single" w:color="auto" w:sz="4" w:space="0"/>
            </w:tcBorders>
            <w:vAlign w:val="center"/>
          </w:tcPr>
          <w:p w14:paraId="5D8D82F6">
            <w:pPr>
              <w:snapToGrid w:val="0"/>
              <w:spacing w:after="0" w:line="460" w:lineRule="exact"/>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采购内容：</w:t>
            </w:r>
            <w:r>
              <w:rPr>
                <w:rFonts w:hint="eastAsia" w:ascii="微软雅黑" w:hAnsi="微软雅黑" w:eastAsia="微软雅黑" w:cs="微软雅黑"/>
                <w:bCs/>
                <w:szCs w:val="21"/>
                <w:highlight w:val="none"/>
              </w:rPr>
              <w:t>详见第三章项目需求</w:t>
            </w:r>
          </w:p>
        </w:tc>
      </w:tr>
      <w:tr w14:paraId="57AFD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1A2DEEE5">
            <w:pPr>
              <w:snapToGrid w:val="0"/>
              <w:spacing w:after="0" w:line="460" w:lineRule="exact"/>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w:t>
            </w:r>
          </w:p>
        </w:tc>
        <w:tc>
          <w:tcPr>
            <w:tcW w:w="8350" w:type="dxa"/>
            <w:tcBorders>
              <w:top w:val="single" w:color="auto" w:sz="4" w:space="0"/>
              <w:left w:val="single" w:color="auto" w:sz="4" w:space="0"/>
              <w:bottom w:val="single" w:color="auto" w:sz="4" w:space="0"/>
              <w:right w:val="single" w:color="auto" w:sz="4" w:space="0"/>
            </w:tcBorders>
            <w:vAlign w:val="center"/>
          </w:tcPr>
          <w:p w14:paraId="37E84DDA">
            <w:pPr>
              <w:snapToGrid w:val="0"/>
              <w:spacing w:after="0" w:line="46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投标报价及费用：</w:t>
            </w:r>
          </w:p>
          <w:p w14:paraId="707ED8FD">
            <w:pPr>
              <w:snapToGrid w:val="0"/>
              <w:spacing w:after="0" w:line="460" w:lineRule="exact"/>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1、本项目投标应以人民币报价；</w:t>
            </w:r>
          </w:p>
          <w:p w14:paraId="616B9897">
            <w:pPr>
              <w:snapToGrid w:val="0"/>
              <w:spacing w:after="0" w:line="460" w:lineRule="exact"/>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2、不论投标结果如何，投标人均应自行承担所有与投标有关的全部费用。</w:t>
            </w:r>
          </w:p>
        </w:tc>
      </w:tr>
      <w:tr w14:paraId="2CD270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5176C6D6">
            <w:pPr>
              <w:snapToGrid w:val="0"/>
              <w:spacing w:after="0" w:line="460" w:lineRule="exact"/>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4</w:t>
            </w:r>
          </w:p>
        </w:tc>
        <w:tc>
          <w:tcPr>
            <w:tcW w:w="8350" w:type="dxa"/>
            <w:tcBorders>
              <w:top w:val="single" w:color="auto" w:sz="4" w:space="0"/>
              <w:left w:val="single" w:color="auto" w:sz="4" w:space="0"/>
              <w:bottom w:val="single" w:color="auto" w:sz="4" w:space="0"/>
              <w:right w:val="single" w:color="auto" w:sz="4" w:space="0"/>
            </w:tcBorders>
            <w:vAlign w:val="center"/>
          </w:tcPr>
          <w:p w14:paraId="752F542B">
            <w:pPr>
              <w:widowControl/>
              <w:spacing w:before="75" w:after="75" w:line="300" w:lineRule="atLeast"/>
              <w:jc w:val="left"/>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预算金额（元）：</w:t>
            </w:r>
            <w:r>
              <w:rPr>
                <w:rFonts w:hint="eastAsia" w:ascii="微软雅黑" w:hAnsi="微软雅黑" w:eastAsia="微软雅黑" w:cs="微软雅黑"/>
                <w:b/>
                <w:bCs/>
                <w:szCs w:val="21"/>
                <w:highlight w:val="none"/>
                <w:lang w:val="en-US" w:eastAsia="zh-CN"/>
              </w:rPr>
              <w:t>291000</w:t>
            </w:r>
            <w:r>
              <w:rPr>
                <w:rFonts w:hint="eastAsia" w:ascii="微软雅黑" w:hAnsi="微软雅黑" w:eastAsia="微软雅黑" w:cs="Calibri"/>
                <w:b/>
                <w:bCs/>
                <w:color w:val="000000"/>
                <w:kern w:val="0"/>
                <w:szCs w:val="21"/>
                <w:highlight w:val="none"/>
                <w:lang w:val="en-US" w:eastAsia="zh-CN"/>
              </w:rPr>
              <w:t>元；</w:t>
            </w:r>
            <w:r>
              <w:rPr>
                <w:rFonts w:hint="eastAsia" w:ascii="微软雅黑" w:hAnsi="微软雅黑" w:eastAsia="微软雅黑" w:cs="Arial"/>
                <w:b/>
                <w:bCs/>
                <w:color w:val="000000"/>
                <w:kern w:val="0"/>
                <w:szCs w:val="21"/>
                <w:highlight w:val="none"/>
              </w:rPr>
              <w:t xml:space="preserve"> </w:t>
            </w:r>
          </w:p>
        </w:tc>
      </w:tr>
      <w:tr w14:paraId="3309F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2B5EA9CC">
            <w:pPr>
              <w:snapToGrid w:val="0"/>
              <w:spacing w:after="0" w:line="460" w:lineRule="exact"/>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5</w:t>
            </w:r>
          </w:p>
        </w:tc>
        <w:tc>
          <w:tcPr>
            <w:tcW w:w="8350" w:type="dxa"/>
            <w:tcBorders>
              <w:top w:val="single" w:color="auto" w:sz="4" w:space="0"/>
              <w:left w:val="single" w:color="auto" w:sz="4" w:space="0"/>
              <w:bottom w:val="single" w:color="auto" w:sz="4" w:space="0"/>
              <w:right w:val="single" w:color="auto" w:sz="4" w:space="0"/>
            </w:tcBorders>
            <w:vAlign w:val="center"/>
          </w:tcPr>
          <w:p w14:paraId="309C419C">
            <w:pPr>
              <w:snapToGrid w:val="0"/>
              <w:spacing w:after="0" w:line="46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投标保证金：无</w:t>
            </w:r>
          </w:p>
        </w:tc>
      </w:tr>
      <w:tr w14:paraId="60DF7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044DA890">
            <w:pPr>
              <w:snapToGrid w:val="0"/>
              <w:spacing w:after="0" w:line="460" w:lineRule="exact"/>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6</w:t>
            </w:r>
          </w:p>
        </w:tc>
        <w:tc>
          <w:tcPr>
            <w:tcW w:w="8350" w:type="dxa"/>
            <w:tcBorders>
              <w:top w:val="single" w:color="auto" w:sz="4" w:space="0"/>
              <w:left w:val="single" w:color="auto" w:sz="4" w:space="0"/>
              <w:bottom w:val="single" w:color="auto" w:sz="4" w:space="0"/>
              <w:right w:val="single" w:color="auto" w:sz="4" w:space="0"/>
            </w:tcBorders>
            <w:vAlign w:val="center"/>
          </w:tcPr>
          <w:p w14:paraId="0DB55837">
            <w:pPr>
              <w:pStyle w:val="48"/>
              <w:spacing w:before="0" w:beforeAutospacing="0" w:after="0" w:afterAutospacing="0" w:line="500" w:lineRule="exac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现场踏勘：无</w:t>
            </w:r>
          </w:p>
        </w:tc>
      </w:tr>
      <w:tr w14:paraId="50F40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457C0EE0">
            <w:pPr>
              <w:spacing w:after="0" w:line="460" w:lineRule="exact"/>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7</w:t>
            </w:r>
          </w:p>
        </w:tc>
        <w:tc>
          <w:tcPr>
            <w:tcW w:w="8350" w:type="dxa"/>
            <w:tcBorders>
              <w:top w:val="single" w:color="auto" w:sz="4" w:space="0"/>
              <w:left w:val="single" w:color="auto" w:sz="4" w:space="0"/>
              <w:bottom w:val="single" w:color="auto" w:sz="4" w:space="0"/>
              <w:right w:val="single" w:color="auto" w:sz="4" w:space="0"/>
            </w:tcBorders>
            <w:vAlign w:val="center"/>
          </w:tcPr>
          <w:p w14:paraId="21AB7752">
            <w:pPr>
              <w:autoSpaceDE w:val="0"/>
              <w:autoSpaceDN w:val="0"/>
              <w:snapToGrid w:val="0"/>
              <w:spacing w:after="0" w:line="460" w:lineRule="exact"/>
              <w:textAlignment w:val="bottom"/>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竞争性磋商响应文件组成：</w:t>
            </w:r>
            <w:r>
              <w:rPr>
                <w:rFonts w:hint="eastAsia" w:ascii="微软雅黑" w:hAnsi="微软雅黑" w:eastAsia="微软雅黑" w:cs="微软雅黑"/>
                <w:bCs/>
                <w:szCs w:val="21"/>
                <w:highlight w:val="none"/>
              </w:rPr>
              <w:t>完整的《竞争性磋商响应文件》由</w:t>
            </w:r>
            <w:r>
              <w:rPr>
                <w:rFonts w:hint="eastAsia" w:ascii="微软雅黑" w:hAnsi="微软雅黑" w:eastAsia="微软雅黑" w:cs="微软雅黑"/>
                <w:b/>
                <w:szCs w:val="21"/>
                <w:highlight w:val="none"/>
              </w:rPr>
              <w:t>资信技术文件及商务报价文件二部份组成</w:t>
            </w:r>
          </w:p>
        </w:tc>
      </w:tr>
      <w:tr w14:paraId="3F6865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7624D4D3">
            <w:pPr>
              <w:spacing w:after="0" w:line="460" w:lineRule="exact"/>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8</w:t>
            </w:r>
          </w:p>
        </w:tc>
        <w:tc>
          <w:tcPr>
            <w:tcW w:w="8350" w:type="dxa"/>
            <w:tcBorders>
              <w:top w:val="single" w:color="auto" w:sz="4" w:space="0"/>
              <w:left w:val="single" w:color="auto" w:sz="4" w:space="0"/>
              <w:bottom w:val="single" w:color="auto" w:sz="4" w:space="0"/>
              <w:right w:val="single" w:color="auto" w:sz="4" w:space="0"/>
            </w:tcBorders>
            <w:vAlign w:val="center"/>
          </w:tcPr>
          <w:p w14:paraId="1C08A2FB">
            <w:pPr>
              <w:spacing w:after="0" w:line="460" w:lineRule="exact"/>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竞争性磋商响应文件的编制：供应商应先安装“政采云电子交易客户端”，并按照本竞争性磋商文件和“政府采购云平台”的要求，通过“政采云电子交易客户端”编制并加密竞争性磋商响应文件。</w:t>
            </w:r>
          </w:p>
        </w:tc>
      </w:tr>
      <w:tr w14:paraId="5060A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541436B4">
            <w:pPr>
              <w:snapToGrid w:val="0"/>
              <w:spacing w:after="0" w:line="460" w:lineRule="exact"/>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9</w:t>
            </w:r>
          </w:p>
        </w:tc>
        <w:tc>
          <w:tcPr>
            <w:tcW w:w="8350" w:type="dxa"/>
            <w:tcBorders>
              <w:top w:val="single" w:color="auto" w:sz="4" w:space="0"/>
              <w:left w:val="single" w:color="auto" w:sz="4" w:space="0"/>
              <w:bottom w:val="single" w:color="auto" w:sz="4" w:space="0"/>
              <w:right w:val="single" w:color="auto" w:sz="4" w:space="0"/>
            </w:tcBorders>
            <w:vAlign w:val="center"/>
          </w:tcPr>
          <w:p w14:paraId="00AC10E5">
            <w:pPr>
              <w:spacing w:after="0" w:line="460" w:lineRule="exact"/>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竞争性磋商响应文件的签章：电子签章。</w:t>
            </w:r>
          </w:p>
        </w:tc>
      </w:tr>
      <w:tr w14:paraId="341851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7BC73254">
            <w:pPr>
              <w:snapToGrid w:val="0"/>
              <w:spacing w:after="0" w:line="460" w:lineRule="exact"/>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10</w:t>
            </w:r>
          </w:p>
        </w:tc>
        <w:tc>
          <w:tcPr>
            <w:tcW w:w="8350" w:type="dxa"/>
            <w:tcBorders>
              <w:top w:val="single" w:color="auto" w:sz="4" w:space="0"/>
              <w:left w:val="single" w:color="auto" w:sz="4" w:space="0"/>
              <w:bottom w:val="single" w:color="auto" w:sz="4" w:space="0"/>
              <w:right w:val="single" w:color="auto" w:sz="4" w:space="0"/>
            </w:tcBorders>
            <w:vAlign w:val="center"/>
          </w:tcPr>
          <w:p w14:paraId="79D0119C">
            <w:pPr>
              <w:spacing w:after="0" w:line="460" w:lineRule="exact"/>
              <w:jc w:val="left"/>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竞争性磋商响应文件的形式：</w:t>
            </w:r>
            <w:r>
              <w:rPr>
                <w:rFonts w:hint="eastAsia" w:ascii="微软雅黑" w:hAnsi="微软雅黑" w:eastAsia="微软雅黑" w:cs="微软雅黑"/>
                <w:bCs/>
                <w:szCs w:val="21"/>
                <w:highlight w:val="none"/>
              </w:rPr>
              <w:t>☑电子竞争性磋商响应文件（包括“电子加密竞争性磋商响应文件”和“备份竞争性磋商响应文件”，在竞争性磋商响应文件编制完成后同时生成）；</w:t>
            </w:r>
          </w:p>
          <w:p w14:paraId="581ACD52">
            <w:pPr>
              <w:spacing w:after="0" w:line="460" w:lineRule="exact"/>
              <w:jc w:val="left"/>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rPr>
              <w:t>（1）“电子加密竞争性磋商响应文件”是指通过“政采云电子交易客户端”完成竞争性磋商响应文件编制后生成并加密的数据电文形式的竞争性磋商响应文件。</w:t>
            </w:r>
          </w:p>
          <w:p w14:paraId="65065B4B">
            <w:pPr>
              <w:snapToGrid w:val="0"/>
              <w:spacing w:after="0" w:line="460" w:lineRule="exact"/>
              <w:rPr>
                <w:rFonts w:ascii="微软雅黑" w:hAnsi="微软雅黑" w:eastAsia="微软雅黑" w:cs="微软雅黑"/>
                <w:szCs w:val="21"/>
                <w:highlight w:val="none"/>
              </w:rPr>
            </w:pPr>
            <w:r>
              <w:rPr>
                <w:rFonts w:hint="eastAsia" w:ascii="微软雅黑" w:hAnsi="微软雅黑" w:eastAsia="微软雅黑" w:cs="微软雅黑"/>
                <w:bCs/>
                <w:szCs w:val="21"/>
                <w:highlight w:val="none"/>
              </w:rPr>
              <w:t>（2）“备份竞争性磋商响应文件”是指与“电子加密竞争性磋商响应文件”同时生成的数据电文形式的电子文件（备份标书），其他方式编制的备份竞争性磋商响应文件视为无效备份竞争性磋商响应文件。</w:t>
            </w:r>
          </w:p>
        </w:tc>
      </w:tr>
      <w:tr w14:paraId="59531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72FC4169">
            <w:pPr>
              <w:snapToGrid w:val="0"/>
              <w:spacing w:after="0" w:line="460" w:lineRule="exact"/>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11</w:t>
            </w:r>
          </w:p>
        </w:tc>
        <w:tc>
          <w:tcPr>
            <w:tcW w:w="8350" w:type="dxa"/>
            <w:tcBorders>
              <w:top w:val="single" w:color="auto" w:sz="4" w:space="0"/>
              <w:left w:val="single" w:color="auto" w:sz="4" w:space="0"/>
              <w:bottom w:val="single" w:color="auto" w:sz="4" w:space="0"/>
              <w:right w:val="single" w:color="auto" w:sz="4" w:space="0"/>
            </w:tcBorders>
            <w:vAlign w:val="center"/>
          </w:tcPr>
          <w:p w14:paraId="4A385438">
            <w:pPr>
              <w:snapToGrid w:val="0"/>
              <w:spacing w:after="0" w:line="46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竞争性磋商响应文件份数：</w:t>
            </w:r>
            <w:r>
              <w:rPr>
                <w:rFonts w:hint="eastAsia" w:ascii="微软雅黑" w:hAnsi="微软雅黑" w:eastAsia="微软雅黑" w:cs="微软雅黑"/>
                <w:bCs/>
                <w:szCs w:val="21"/>
                <w:highlight w:val="none"/>
              </w:rPr>
              <w:t>（1）“电子加密竞争性磋商响应文件”：在线上传递交。（2）“备份竞争性磋商响应文件”：密封包装后（邮寄形式）投标截止时间前递交、一份（邮寄地址：</w:t>
            </w:r>
            <w:r>
              <w:rPr>
                <w:rFonts w:hint="eastAsia" w:ascii="微软雅黑" w:hAnsi="微软雅黑" w:eastAsia="微软雅黑" w:cs="微软雅黑"/>
                <w:color w:val="000000"/>
                <w:highlight w:val="none"/>
              </w:rPr>
              <w:t>嘉兴市由拳路南湖大道口华隆广场1号楼1306室</w:t>
            </w:r>
            <w:r>
              <w:rPr>
                <w:rFonts w:hint="eastAsia" w:ascii="微软雅黑" w:hAnsi="微软雅黑" w:eastAsia="微软雅黑" w:cs="微软雅黑"/>
                <w:bCs/>
                <w:szCs w:val="21"/>
                <w:highlight w:val="none"/>
                <w:lang w:eastAsia="zh-CN"/>
              </w:rPr>
              <w:t>浙江中际工程项目管理有限公司</w:t>
            </w:r>
            <w:r>
              <w:rPr>
                <w:rFonts w:hint="eastAsia" w:ascii="微软雅黑" w:hAnsi="微软雅黑" w:eastAsia="微软雅黑" w:cs="微软雅黑"/>
                <w:bCs/>
                <w:szCs w:val="21"/>
                <w:highlight w:val="none"/>
              </w:rPr>
              <w:t>（</w:t>
            </w:r>
            <w:r>
              <w:rPr>
                <w:rFonts w:hint="eastAsia" w:ascii="微软雅黑" w:hAnsi="微软雅黑" w:eastAsia="微软雅黑" w:cs="微软雅黑"/>
                <w:bCs/>
                <w:szCs w:val="21"/>
                <w:highlight w:val="none"/>
                <w:lang w:val="en-US" w:eastAsia="zh-CN"/>
              </w:rPr>
              <w:t>马专圆</w:t>
            </w:r>
            <w:r>
              <w:rPr>
                <w:rFonts w:hint="eastAsia" w:ascii="微软雅黑" w:hAnsi="微软雅黑" w:eastAsia="微软雅黑" w:cs="微软雅黑"/>
                <w:bCs/>
                <w:szCs w:val="21"/>
                <w:highlight w:val="none"/>
              </w:rPr>
              <w:t>电话：</w:t>
            </w:r>
            <w:r>
              <w:rPr>
                <w:rFonts w:hint="eastAsia" w:ascii="微软雅黑" w:hAnsi="微软雅黑" w:eastAsia="微软雅黑" w:cs="微软雅黑"/>
                <w:color w:val="000000"/>
                <w:highlight w:val="none"/>
              </w:rPr>
              <w:t>13511352944</w:t>
            </w:r>
            <w:r>
              <w:rPr>
                <w:rFonts w:hint="eastAsia" w:ascii="微软雅黑" w:hAnsi="微软雅黑" w:eastAsia="微软雅黑" w:cs="微软雅黑"/>
                <w:bCs/>
                <w:szCs w:val="21"/>
                <w:highlight w:val="none"/>
              </w:rPr>
              <w:t>）。</w:t>
            </w:r>
          </w:p>
        </w:tc>
      </w:tr>
      <w:tr w14:paraId="5B72BC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46C86B9A">
            <w:pPr>
              <w:snapToGrid w:val="0"/>
              <w:spacing w:after="0" w:line="460" w:lineRule="exact"/>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12</w:t>
            </w:r>
          </w:p>
        </w:tc>
        <w:tc>
          <w:tcPr>
            <w:tcW w:w="8350" w:type="dxa"/>
            <w:tcBorders>
              <w:top w:val="single" w:color="auto" w:sz="4" w:space="0"/>
              <w:left w:val="single" w:color="auto" w:sz="4" w:space="0"/>
              <w:bottom w:val="single" w:color="auto" w:sz="4" w:space="0"/>
              <w:right w:val="single" w:color="auto" w:sz="4" w:space="0"/>
            </w:tcBorders>
            <w:vAlign w:val="center"/>
          </w:tcPr>
          <w:p w14:paraId="633AE4A9">
            <w:pPr>
              <w:spacing w:after="0" w:line="460" w:lineRule="exact"/>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竞争性磋商响应文件的上传和递交：</w:t>
            </w:r>
          </w:p>
          <w:p w14:paraId="567A12A5">
            <w:pPr>
              <w:spacing w:after="0" w:line="460" w:lineRule="exact"/>
              <w:jc w:val="left"/>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rPr>
              <w:t>（1）“电子加密竞争性磋商响应文件”的上传、递交：</w:t>
            </w:r>
          </w:p>
          <w:p w14:paraId="523256B1">
            <w:pPr>
              <w:spacing w:after="0" w:line="460" w:lineRule="exact"/>
              <w:jc w:val="left"/>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rPr>
              <w:t>a.投标供应商应在投标截止时间前将“电子加密竞争性磋商响应文件”成功上传递交至“政府采购云平台”，否则投标无效。</w:t>
            </w:r>
          </w:p>
          <w:p w14:paraId="4E512562">
            <w:pPr>
              <w:spacing w:after="0" w:line="460" w:lineRule="exact"/>
              <w:jc w:val="left"/>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rPr>
              <w:t>b.“电子加密竞争性磋商响应文件”成功上传递交后，供应商可自行打印竞争性磋商响应文件接收回执。</w:t>
            </w:r>
          </w:p>
          <w:p w14:paraId="4777258D">
            <w:pPr>
              <w:spacing w:after="0" w:line="460" w:lineRule="exact"/>
              <w:jc w:val="left"/>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rPr>
              <w:t>（2）“备份竞争性磋商响应文件”的密封包装、递交：</w:t>
            </w:r>
          </w:p>
          <w:p w14:paraId="1086ED6A">
            <w:pPr>
              <w:spacing w:after="0" w:line="460" w:lineRule="exact"/>
              <w:jc w:val="left"/>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rPr>
              <w:t>a、投标供应商在“政府采购云平台”完成“电子加密竞争性磋商响应文件”的上传递交后，还可以（邮寄形式）在投标截止时间前递交以介质（U盘）存储的“备份竞争性磋商响应文件”（一份）；</w:t>
            </w:r>
          </w:p>
          <w:p w14:paraId="3896F5D3">
            <w:pPr>
              <w:spacing w:after="0" w:line="460" w:lineRule="exact"/>
              <w:jc w:val="left"/>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rPr>
              <w:t>b.“备份竞争性磋商响应文件”应当密封包装，并在包装上标注投标项目名称、投标单位名称并加盖公章。没有密封包装或者逾期邮寄送达至上述邮寄地点的“备份竞争性磋商响应文件”将不予接收；</w:t>
            </w:r>
          </w:p>
          <w:p w14:paraId="260994C9">
            <w:pPr>
              <w:snapToGrid w:val="0"/>
              <w:spacing w:after="0" w:line="460" w:lineRule="exact"/>
              <w:rPr>
                <w:rFonts w:ascii="微软雅黑" w:hAnsi="微软雅黑" w:eastAsia="微软雅黑" w:cs="微软雅黑"/>
                <w:szCs w:val="21"/>
                <w:highlight w:val="none"/>
              </w:rPr>
            </w:pPr>
            <w:r>
              <w:rPr>
                <w:rFonts w:hint="eastAsia" w:ascii="微软雅黑" w:hAnsi="微软雅黑" w:eastAsia="微软雅黑" w:cs="微软雅黑"/>
                <w:bCs/>
                <w:szCs w:val="21"/>
                <w:highlight w:val="none"/>
              </w:rPr>
              <w:t>c.通过“政府采购云平台”成功上传递交的“电子加密竞争性磋商响应文件”已按时解密的，“备份竞争性磋商响应文件”自动失效。投标截止时间前，投标供应商仅递交了“备份竞争性磋商响应文件”而未将“电子加密竞争性磋商响应文件”成功上传至“政府采购云平台”的，投标无效。</w:t>
            </w:r>
          </w:p>
        </w:tc>
      </w:tr>
      <w:tr w14:paraId="03898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5ECA4DD0">
            <w:pPr>
              <w:snapToGrid w:val="0"/>
              <w:spacing w:after="0" w:line="460" w:lineRule="exact"/>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13</w:t>
            </w:r>
          </w:p>
        </w:tc>
        <w:tc>
          <w:tcPr>
            <w:tcW w:w="8350" w:type="dxa"/>
            <w:tcBorders>
              <w:top w:val="single" w:color="auto" w:sz="4" w:space="0"/>
              <w:left w:val="single" w:color="auto" w:sz="4" w:space="0"/>
              <w:bottom w:val="single" w:color="auto" w:sz="4" w:space="0"/>
              <w:right w:val="single" w:color="auto" w:sz="4" w:space="0"/>
            </w:tcBorders>
            <w:vAlign w:val="center"/>
          </w:tcPr>
          <w:p w14:paraId="179613DB">
            <w:pPr>
              <w:spacing w:after="0" w:line="460" w:lineRule="exact"/>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电子加密竞争性磋商响应文件的解密和异常情况处理：</w:t>
            </w:r>
          </w:p>
          <w:p w14:paraId="4C5222C1">
            <w:pPr>
              <w:spacing w:after="0" w:line="460" w:lineRule="exact"/>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（1）开标后，采购组织机构将向各投标供应商发出“电子加密竞争性磋商响应文件”的解密通知，各投标供应商代表应当在接到解密通知后30分钟内自行完成“电子加密竞争性磋商响应文件”的在线解密。</w:t>
            </w:r>
          </w:p>
          <w:p w14:paraId="1D14CC7C">
            <w:pPr>
              <w:spacing w:after="0" w:line="460" w:lineRule="exact"/>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通过“政府采购云平台”成功上传递交的“电子加密竞争性磋商响应文件”无法按时解密，投标供应商如按规定递交了“备份竞争性磋商响应文件”的，以“备份竞争性磋商响应文件”为依据（由采购组织机构按“政府采购云平台”操作规范将“备份竞争性磋商响应文件”上传至“政府采购云平台”，上传成功后，“电子加密竞争性磋商响应文件”自动失效），否则视为竞争性磋商响应文件撤回。</w:t>
            </w:r>
          </w:p>
          <w:p w14:paraId="6948F261">
            <w:pPr>
              <w:spacing w:after="0" w:line="460" w:lineRule="exact"/>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（3）投标截止时间前，投标供应商仅递交了“备份竞争性磋商响应文件”而未将电子加密竞争性磋商响应文件上传至“政府采购云平台”的，投标无效。</w:t>
            </w:r>
          </w:p>
        </w:tc>
      </w:tr>
      <w:tr w14:paraId="54328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719D3462">
            <w:pPr>
              <w:snapToGrid w:val="0"/>
              <w:spacing w:after="0" w:line="460" w:lineRule="exact"/>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14</w:t>
            </w:r>
          </w:p>
        </w:tc>
        <w:tc>
          <w:tcPr>
            <w:tcW w:w="8350" w:type="dxa"/>
            <w:tcBorders>
              <w:top w:val="single" w:color="auto" w:sz="4" w:space="0"/>
              <w:left w:val="single" w:color="auto" w:sz="4" w:space="0"/>
              <w:bottom w:val="single" w:color="auto" w:sz="4" w:space="0"/>
              <w:right w:val="single" w:color="auto" w:sz="4" w:space="0"/>
            </w:tcBorders>
            <w:vAlign w:val="center"/>
          </w:tcPr>
          <w:p w14:paraId="68C445AF">
            <w:pPr>
              <w:snapToGrid w:val="0"/>
              <w:spacing w:after="0" w:line="46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投标截止时间及地点：</w:t>
            </w:r>
            <w:r>
              <w:rPr>
                <w:rStyle w:val="195"/>
                <w:rFonts w:hint="eastAsia" w:ascii="微软雅黑" w:hAnsi="微软雅黑" w:eastAsia="微软雅黑" w:cs="微软雅黑"/>
                <w:szCs w:val="21"/>
                <w:highlight w:val="none"/>
                <w:u w:val="single"/>
                <w:lang w:eastAsia="zh-CN"/>
              </w:rPr>
              <w:t>2025年6月30日 09:30</w:t>
            </w:r>
            <w:r>
              <w:rPr>
                <w:rFonts w:hint="eastAsia" w:ascii="微软雅黑" w:hAnsi="微软雅黑" w:eastAsia="微软雅黑" w:cs="微软雅黑"/>
                <w:szCs w:val="21"/>
                <w:highlight w:val="none"/>
              </w:rPr>
              <w:t>，政采云线上投标；</w:t>
            </w:r>
          </w:p>
        </w:tc>
      </w:tr>
      <w:tr w14:paraId="55FD3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6E59BEF8">
            <w:pPr>
              <w:snapToGrid w:val="0"/>
              <w:spacing w:after="0" w:line="460" w:lineRule="exact"/>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15</w:t>
            </w:r>
          </w:p>
        </w:tc>
        <w:tc>
          <w:tcPr>
            <w:tcW w:w="8350" w:type="dxa"/>
            <w:tcBorders>
              <w:top w:val="single" w:color="auto" w:sz="4" w:space="0"/>
              <w:left w:val="single" w:color="auto" w:sz="4" w:space="0"/>
              <w:bottom w:val="single" w:color="auto" w:sz="4" w:space="0"/>
              <w:right w:val="single" w:color="auto" w:sz="4" w:space="0"/>
            </w:tcBorders>
            <w:vAlign w:val="center"/>
          </w:tcPr>
          <w:p w14:paraId="3ED0E36F">
            <w:pPr>
              <w:widowControl/>
              <w:snapToGrid w:val="0"/>
              <w:spacing w:after="0" w:line="460" w:lineRule="exact"/>
              <w:jc w:val="left"/>
              <w:rPr>
                <w:rStyle w:val="195"/>
                <w:rFonts w:ascii="微软雅黑" w:hAnsi="微软雅黑" w:eastAsia="微软雅黑" w:cs="微软雅黑"/>
                <w:szCs w:val="21"/>
                <w:highlight w:val="none"/>
              </w:rPr>
            </w:pPr>
            <w:r>
              <w:rPr>
                <w:rFonts w:hint="eastAsia" w:ascii="微软雅黑" w:hAnsi="微软雅黑" w:eastAsia="微软雅黑" w:cs="微软雅黑"/>
                <w:szCs w:val="21"/>
                <w:highlight w:val="none"/>
              </w:rPr>
              <w:t>开标时间及地点： </w:t>
            </w:r>
            <w:r>
              <w:rPr>
                <w:rStyle w:val="195"/>
                <w:rFonts w:hint="eastAsia" w:ascii="微软雅黑" w:hAnsi="微软雅黑" w:eastAsia="微软雅黑" w:cs="微软雅黑"/>
                <w:szCs w:val="21"/>
                <w:highlight w:val="none"/>
                <w:u w:val="single"/>
                <w:lang w:eastAsia="zh-CN"/>
              </w:rPr>
              <w:t>2025年6月30日 09:30</w:t>
            </w:r>
            <w:r>
              <w:rPr>
                <w:rStyle w:val="195"/>
                <w:rFonts w:hint="eastAsia" w:ascii="微软雅黑" w:hAnsi="微软雅黑" w:eastAsia="微软雅黑" w:cs="微软雅黑"/>
                <w:szCs w:val="21"/>
                <w:highlight w:val="none"/>
              </w:rPr>
              <w:t>；</w:t>
            </w:r>
          </w:p>
          <w:p w14:paraId="163B269B">
            <w:pPr>
              <w:widowControl/>
              <w:snapToGrid w:val="0"/>
              <w:spacing w:after="0" w:line="460" w:lineRule="exact"/>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u w:val="single"/>
              </w:rPr>
              <w:t> </w:t>
            </w:r>
            <w:r>
              <w:rPr>
                <w:rStyle w:val="195"/>
                <w:rFonts w:hint="eastAsia" w:ascii="微软雅黑" w:hAnsi="微软雅黑" w:eastAsia="微软雅黑" w:cs="微软雅黑"/>
                <w:szCs w:val="21"/>
                <w:highlight w:val="none"/>
                <w:u w:val="single"/>
                <w:lang w:eastAsia="zh-CN"/>
              </w:rPr>
              <w:t>浙江中际工程项目管理有限公司（嘉兴市由拳路南湖大道口华隆广场1号楼1306室）</w:t>
            </w:r>
            <w:r>
              <w:rPr>
                <w:rFonts w:hint="eastAsia" w:ascii="微软雅黑" w:hAnsi="微软雅黑" w:eastAsia="微软雅黑" w:cs="微软雅黑"/>
                <w:kern w:val="0"/>
                <w:szCs w:val="21"/>
                <w:highlight w:val="none"/>
              </w:rPr>
              <w:t>；</w:t>
            </w:r>
          </w:p>
        </w:tc>
      </w:tr>
      <w:tr w14:paraId="53A08C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59A0E11E">
            <w:pPr>
              <w:snapToGrid w:val="0"/>
              <w:spacing w:after="0" w:line="460" w:lineRule="exact"/>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16</w:t>
            </w:r>
          </w:p>
        </w:tc>
        <w:tc>
          <w:tcPr>
            <w:tcW w:w="8350" w:type="dxa"/>
            <w:tcBorders>
              <w:top w:val="single" w:color="auto" w:sz="4" w:space="0"/>
              <w:left w:val="single" w:color="auto" w:sz="4" w:space="0"/>
              <w:bottom w:val="single" w:color="auto" w:sz="4" w:space="0"/>
              <w:right w:val="single" w:color="auto" w:sz="4" w:space="0"/>
            </w:tcBorders>
            <w:vAlign w:val="center"/>
          </w:tcPr>
          <w:p w14:paraId="4F6BAC66">
            <w:pPr>
              <w:autoSpaceDE w:val="0"/>
              <w:autoSpaceDN w:val="0"/>
              <w:snapToGrid w:val="0"/>
              <w:spacing w:after="0" w:line="460" w:lineRule="exact"/>
              <w:textAlignment w:val="bottom"/>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投标费用：</w:t>
            </w:r>
            <w:r>
              <w:rPr>
                <w:rFonts w:hint="eastAsia" w:ascii="微软雅黑" w:hAnsi="微软雅黑" w:eastAsia="微软雅黑"/>
                <w:szCs w:val="21"/>
                <w:highlight w:val="none"/>
              </w:rPr>
              <w:t>中标单位支付招标代理服务费（收费标准详见招标文件）</w:t>
            </w:r>
            <w:r>
              <w:rPr>
                <w:rFonts w:hint="eastAsia" w:ascii="微软雅黑" w:hAnsi="微软雅黑" w:eastAsia="微软雅黑" w:cs="微软雅黑"/>
                <w:szCs w:val="21"/>
                <w:highlight w:val="none"/>
              </w:rPr>
              <w:t>；</w:t>
            </w:r>
          </w:p>
        </w:tc>
      </w:tr>
      <w:tr w14:paraId="27976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1AF71B5A">
            <w:pPr>
              <w:snapToGrid w:val="0"/>
              <w:spacing w:after="0" w:line="460" w:lineRule="exact"/>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17</w:t>
            </w:r>
          </w:p>
        </w:tc>
        <w:tc>
          <w:tcPr>
            <w:tcW w:w="8350" w:type="dxa"/>
            <w:tcBorders>
              <w:top w:val="single" w:color="auto" w:sz="4" w:space="0"/>
              <w:left w:val="single" w:color="auto" w:sz="4" w:space="0"/>
              <w:bottom w:val="single" w:color="auto" w:sz="4" w:space="0"/>
              <w:right w:val="single" w:color="auto" w:sz="4" w:space="0"/>
            </w:tcBorders>
            <w:vAlign w:val="center"/>
          </w:tcPr>
          <w:p w14:paraId="067B0A31">
            <w:pPr>
              <w:autoSpaceDE w:val="0"/>
              <w:autoSpaceDN w:val="0"/>
              <w:snapToGrid w:val="0"/>
              <w:spacing w:after="0" w:line="460" w:lineRule="exact"/>
              <w:textAlignment w:val="bottom"/>
              <w:rPr>
                <w:rFonts w:ascii="微软雅黑" w:hAnsi="微软雅黑" w:eastAsia="微软雅黑" w:cs="微软雅黑"/>
                <w:szCs w:val="21"/>
                <w:highlight w:val="none"/>
              </w:rPr>
            </w:pPr>
            <w:r>
              <w:rPr>
                <w:rFonts w:hint="eastAsia" w:ascii="微软雅黑" w:hAnsi="微软雅黑" w:eastAsia="微软雅黑" w:cs="微软雅黑"/>
                <w:szCs w:val="21"/>
                <w:highlight w:val="none"/>
              </w:rPr>
              <w:t>评标办法及评分标准：详见第四章</w:t>
            </w:r>
          </w:p>
        </w:tc>
      </w:tr>
      <w:tr w14:paraId="343C2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5951B13D">
            <w:pPr>
              <w:snapToGrid w:val="0"/>
              <w:spacing w:after="0" w:line="460" w:lineRule="exact"/>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18</w:t>
            </w:r>
          </w:p>
        </w:tc>
        <w:tc>
          <w:tcPr>
            <w:tcW w:w="8350" w:type="dxa"/>
            <w:tcBorders>
              <w:top w:val="single" w:color="auto" w:sz="4" w:space="0"/>
              <w:left w:val="single" w:color="auto" w:sz="4" w:space="0"/>
              <w:bottom w:val="single" w:color="auto" w:sz="4" w:space="0"/>
              <w:right w:val="single" w:color="auto" w:sz="4" w:space="0"/>
            </w:tcBorders>
            <w:vAlign w:val="center"/>
          </w:tcPr>
          <w:p w14:paraId="230F5D26">
            <w:pPr>
              <w:autoSpaceDE w:val="0"/>
              <w:autoSpaceDN w:val="0"/>
              <w:snapToGrid w:val="0"/>
              <w:spacing w:after="0" w:line="460" w:lineRule="exact"/>
              <w:textAlignment w:val="bottom"/>
              <w:rPr>
                <w:rFonts w:ascii="微软雅黑" w:hAnsi="微软雅黑" w:eastAsia="微软雅黑" w:cs="微软雅黑"/>
                <w:szCs w:val="21"/>
                <w:highlight w:val="none"/>
              </w:rPr>
            </w:pPr>
            <w:r>
              <w:rPr>
                <w:rFonts w:hint="eastAsia" w:ascii="微软雅黑" w:hAnsi="微软雅黑" w:eastAsia="微软雅黑" w:cs="微软雅黑"/>
                <w:szCs w:val="21"/>
                <w:highlight w:val="none"/>
              </w:rPr>
              <w:t>评标结果公告：评标结束后2天内，评标结果公告于浙江政府采购网(https://zfcg.czt.zj.gov.cn/)</w:t>
            </w:r>
          </w:p>
        </w:tc>
      </w:tr>
      <w:tr w14:paraId="04B6C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403EB065">
            <w:pPr>
              <w:snapToGrid w:val="0"/>
              <w:spacing w:after="0" w:line="460" w:lineRule="exact"/>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19</w:t>
            </w:r>
          </w:p>
        </w:tc>
        <w:tc>
          <w:tcPr>
            <w:tcW w:w="8350" w:type="dxa"/>
            <w:tcBorders>
              <w:top w:val="single" w:color="auto" w:sz="4" w:space="0"/>
              <w:left w:val="single" w:color="auto" w:sz="4" w:space="0"/>
              <w:bottom w:val="single" w:color="auto" w:sz="4" w:space="0"/>
              <w:right w:val="single" w:color="auto" w:sz="4" w:space="0"/>
            </w:tcBorders>
            <w:vAlign w:val="center"/>
          </w:tcPr>
          <w:p w14:paraId="175565E3">
            <w:pPr>
              <w:autoSpaceDE w:val="0"/>
              <w:autoSpaceDN w:val="0"/>
              <w:snapToGrid w:val="0"/>
              <w:spacing w:after="0" w:line="460" w:lineRule="exact"/>
              <w:textAlignment w:val="bottom"/>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中标公告：中标公告发布于上述媒体，公告1个工作日；</w:t>
            </w:r>
          </w:p>
        </w:tc>
      </w:tr>
      <w:tr w14:paraId="1A685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50F8F990">
            <w:pPr>
              <w:snapToGrid w:val="0"/>
              <w:spacing w:after="0" w:line="460" w:lineRule="exact"/>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20</w:t>
            </w:r>
          </w:p>
        </w:tc>
        <w:tc>
          <w:tcPr>
            <w:tcW w:w="8350" w:type="dxa"/>
            <w:tcBorders>
              <w:top w:val="single" w:color="auto" w:sz="4" w:space="0"/>
              <w:left w:val="single" w:color="auto" w:sz="4" w:space="0"/>
              <w:bottom w:val="single" w:color="auto" w:sz="4" w:space="0"/>
              <w:right w:val="single" w:color="auto" w:sz="4" w:space="0"/>
            </w:tcBorders>
            <w:vAlign w:val="center"/>
          </w:tcPr>
          <w:p w14:paraId="1E58792C">
            <w:pPr>
              <w:autoSpaceDE w:val="0"/>
              <w:autoSpaceDN w:val="0"/>
              <w:snapToGrid w:val="0"/>
              <w:spacing w:after="0" w:line="460" w:lineRule="exact"/>
              <w:textAlignment w:val="bottom"/>
              <w:rPr>
                <w:rFonts w:hint="eastAsia" w:ascii="微软雅黑" w:hAnsi="微软雅黑" w:eastAsia="微软雅黑" w:cs="微软雅黑"/>
                <w:szCs w:val="21"/>
                <w:highlight w:val="none"/>
                <w:lang w:eastAsia="zh-CN"/>
              </w:rPr>
            </w:pPr>
            <w:r>
              <w:rPr>
                <w:rFonts w:hint="eastAsia" w:ascii="微软雅黑" w:hAnsi="微软雅黑" w:eastAsia="微软雅黑" w:cs="微软雅黑"/>
                <w:szCs w:val="21"/>
                <w:highlight w:val="none"/>
              </w:rPr>
              <w:t>履约保证金的收取及退还：</w:t>
            </w:r>
            <w:r>
              <w:rPr>
                <w:rFonts w:hint="eastAsia" w:ascii="微软雅黑" w:hAnsi="微软雅黑" w:eastAsia="微软雅黑" w:cs="微软雅黑"/>
                <w:szCs w:val="21"/>
                <w:highlight w:val="none"/>
                <w:lang w:val="en-US" w:eastAsia="zh-CN"/>
              </w:rPr>
              <w:t>无</w:t>
            </w:r>
          </w:p>
        </w:tc>
      </w:tr>
      <w:tr w14:paraId="24AB72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26FE8DE1">
            <w:pPr>
              <w:snapToGrid w:val="0"/>
              <w:spacing w:after="0" w:line="460" w:lineRule="exact"/>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21</w:t>
            </w:r>
          </w:p>
        </w:tc>
        <w:tc>
          <w:tcPr>
            <w:tcW w:w="8350" w:type="dxa"/>
            <w:tcBorders>
              <w:top w:val="single" w:color="auto" w:sz="4" w:space="0"/>
              <w:left w:val="single" w:color="auto" w:sz="4" w:space="0"/>
              <w:bottom w:val="single" w:color="auto" w:sz="4" w:space="0"/>
              <w:right w:val="single" w:color="auto" w:sz="4" w:space="0"/>
            </w:tcBorders>
            <w:vAlign w:val="center"/>
          </w:tcPr>
          <w:p w14:paraId="5E48DC43">
            <w:pPr>
              <w:autoSpaceDE w:val="0"/>
              <w:autoSpaceDN w:val="0"/>
              <w:snapToGrid w:val="0"/>
              <w:spacing w:after="0" w:line="460" w:lineRule="exact"/>
              <w:textAlignment w:val="bottom"/>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签订合同时间：中标通知书发出后30日内。</w:t>
            </w:r>
          </w:p>
        </w:tc>
      </w:tr>
      <w:tr w14:paraId="3A8C31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689273C5">
            <w:pPr>
              <w:snapToGrid w:val="0"/>
              <w:spacing w:after="0" w:line="460" w:lineRule="exact"/>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22</w:t>
            </w:r>
          </w:p>
        </w:tc>
        <w:tc>
          <w:tcPr>
            <w:tcW w:w="8350" w:type="dxa"/>
            <w:tcBorders>
              <w:top w:val="single" w:color="auto" w:sz="4" w:space="0"/>
              <w:left w:val="single" w:color="auto" w:sz="4" w:space="0"/>
              <w:bottom w:val="single" w:color="auto" w:sz="4" w:space="0"/>
              <w:right w:val="single" w:color="auto" w:sz="4" w:space="0"/>
            </w:tcBorders>
            <w:vAlign w:val="center"/>
          </w:tcPr>
          <w:p w14:paraId="7B1BE44A">
            <w:pPr>
              <w:autoSpaceDE w:val="0"/>
              <w:autoSpaceDN w:val="0"/>
              <w:snapToGrid w:val="0"/>
              <w:spacing w:after="0" w:line="460" w:lineRule="exact"/>
              <w:textAlignment w:val="bottom"/>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竞争性磋商响应文件有效期：</w:t>
            </w:r>
            <w:r>
              <w:rPr>
                <w:rFonts w:hint="default" w:ascii="微软雅黑" w:hAnsi="微软雅黑" w:eastAsia="微软雅黑" w:cs="微软雅黑"/>
                <w:szCs w:val="21"/>
                <w:highlight w:val="none"/>
              </w:rPr>
              <w:t>9</w:t>
            </w:r>
            <w:r>
              <w:rPr>
                <w:rFonts w:hint="eastAsia" w:ascii="微软雅黑" w:hAnsi="微软雅黑" w:eastAsia="微软雅黑" w:cs="微软雅黑"/>
                <w:szCs w:val="21"/>
                <w:highlight w:val="none"/>
                <w:u w:val="single"/>
              </w:rPr>
              <w:t>0</w:t>
            </w:r>
            <w:r>
              <w:rPr>
                <w:rFonts w:hint="eastAsia" w:ascii="微软雅黑" w:hAnsi="微软雅黑" w:eastAsia="微软雅黑" w:cs="微软雅黑"/>
                <w:szCs w:val="21"/>
                <w:highlight w:val="none"/>
              </w:rPr>
              <w:t>天</w:t>
            </w:r>
          </w:p>
        </w:tc>
      </w:tr>
      <w:tr w14:paraId="18B72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3E4DF73E">
            <w:pPr>
              <w:snapToGrid w:val="0"/>
              <w:spacing w:after="0" w:line="460" w:lineRule="exact"/>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23</w:t>
            </w:r>
          </w:p>
        </w:tc>
        <w:tc>
          <w:tcPr>
            <w:tcW w:w="8350" w:type="dxa"/>
            <w:tcBorders>
              <w:top w:val="single" w:color="auto" w:sz="4" w:space="0"/>
              <w:left w:val="single" w:color="auto" w:sz="4" w:space="0"/>
              <w:bottom w:val="single" w:color="auto" w:sz="4" w:space="0"/>
              <w:right w:val="single" w:color="auto" w:sz="4" w:space="0"/>
            </w:tcBorders>
            <w:vAlign w:val="center"/>
          </w:tcPr>
          <w:p w14:paraId="61CA55F4">
            <w:pPr>
              <w:snapToGrid w:val="0"/>
              <w:spacing w:after="0" w:line="460" w:lineRule="exact"/>
              <w:rPr>
                <w:rFonts w:hint="eastAsia" w:ascii="微软雅黑" w:hAnsi="微软雅黑" w:eastAsia="微软雅黑" w:cs="微软雅黑"/>
                <w:kern w:val="0"/>
                <w:szCs w:val="21"/>
                <w:highlight w:val="none"/>
                <w:lang w:eastAsia="zh-CN"/>
              </w:rPr>
            </w:pPr>
            <w:r>
              <w:rPr>
                <w:rFonts w:hint="eastAsia" w:ascii="微软雅黑" w:hAnsi="微软雅黑" w:eastAsia="微软雅黑" w:cs="微软雅黑"/>
                <w:kern w:val="0"/>
                <w:szCs w:val="21"/>
                <w:highlight w:val="none"/>
              </w:rPr>
              <w:t>网上注册：</w:t>
            </w:r>
          </w:p>
          <w:p w14:paraId="501389D0">
            <w:pPr>
              <w:snapToGrid w:val="0"/>
              <w:spacing w:after="0" w:line="460" w:lineRule="exact"/>
              <w:rPr>
                <w:rFonts w:ascii="微软雅黑" w:hAnsi="微软雅黑" w:eastAsia="微软雅黑" w:cs="微软雅黑"/>
                <w:szCs w:val="21"/>
                <w:highlight w:val="none"/>
              </w:rPr>
            </w:pPr>
            <w:r>
              <w:rPr>
                <w:rFonts w:hint="eastAsia" w:ascii="微软雅黑" w:hAnsi="微软雅黑" w:eastAsia="微软雅黑" w:cs="微软雅黑"/>
                <w:kern w:val="0"/>
                <w:szCs w:val="21"/>
                <w:highlight w:val="none"/>
              </w:rPr>
              <w:t>本项目不接受现场报名，须注册后进行网上报名。在浙江政府采购网进行供应商注册后完成报名；（详情请见第一章公告“七、报名及竞争性磋商文件的获取”）</w:t>
            </w:r>
          </w:p>
        </w:tc>
      </w:tr>
      <w:tr w14:paraId="20341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31930457">
            <w:pPr>
              <w:snapToGrid w:val="0"/>
              <w:spacing w:after="0" w:line="460" w:lineRule="exact"/>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24</w:t>
            </w:r>
          </w:p>
        </w:tc>
        <w:tc>
          <w:tcPr>
            <w:tcW w:w="8350" w:type="dxa"/>
            <w:tcBorders>
              <w:top w:val="single" w:color="auto" w:sz="4" w:space="0"/>
              <w:left w:val="single" w:color="auto" w:sz="4" w:space="0"/>
              <w:bottom w:val="single" w:color="auto" w:sz="4" w:space="0"/>
              <w:right w:val="single" w:color="auto" w:sz="4" w:space="0"/>
            </w:tcBorders>
            <w:vAlign w:val="center"/>
          </w:tcPr>
          <w:p w14:paraId="02E78A0F">
            <w:pPr>
              <w:snapToGrid w:val="0"/>
              <w:spacing w:after="0" w:line="46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注：根据财库（[2015] 124号）采用竞争性磋商采购方式采购的政府购买服务项目（含政府和社会资本合作项目），在采购过程中符合要求的供应商（社会资本）只有2家的，竞争性磋商采购活动可以继续进行。</w:t>
            </w:r>
          </w:p>
        </w:tc>
      </w:tr>
      <w:tr w14:paraId="4AC4B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53B5881C">
            <w:pPr>
              <w:snapToGrid w:val="0"/>
              <w:spacing w:after="0" w:line="460" w:lineRule="exact"/>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25</w:t>
            </w:r>
          </w:p>
        </w:tc>
        <w:tc>
          <w:tcPr>
            <w:tcW w:w="8350" w:type="dxa"/>
            <w:tcBorders>
              <w:top w:val="single" w:color="auto" w:sz="4" w:space="0"/>
              <w:left w:val="single" w:color="auto" w:sz="4" w:space="0"/>
              <w:bottom w:val="single" w:color="auto" w:sz="4" w:space="0"/>
              <w:right w:val="single" w:color="auto" w:sz="4" w:space="0"/>
            </w:tcBorders>
            <w:vAlign w:val="center"/>
          </w:tcPr>
          <w:p w14:paraId="05EB1293">
            <w:pPr>
              <w:autoSpaceDE w:val="0"/>
              <w:autoSpaceDN w:val="0"/>
              <w:snapToGrid w:val="0"/>
              <w:spacing w:after="0" w:line="460" w:lineRule="exact"/>
              <w:textAlignment w:val="bottom"/>
              <w:rPr>
                <w:rFonts w:ascii="微软雅黑" w:hAnsi="微软雅黑" w:eastAsia="微软雅黑" w:cs="微软雅黑"/>
                <w:szCs w:val="21"/>
                <w:highlight w:val="none"/>
              </w:rPr>
            </w:pPr>
            <w:r>
              <w:rPr>
                <w:rFonts w:hint="eastAsia" w:ascii="微软雅黑" w:hAnsi="微软雅黑" w:eastAsia="微软雅黑" w:cs="微软雅黑"/>
                <w:szCs w:val="21"/>
                <w:highlight w:val="none"/>
              </w:rPr>
              <w:t>解释：本竞争性磋商文件的解释权属于招标采购单位。</w:t>
            </w:r>
          </w:p>
        </w:tc>
      </w:tr>
    </w:tbl>
    <w:p w14:paraId="7723D82A">
      <w:pPr>
        <w:spacing w:after="0" w:line="500" w:lineRule="exact"/>
        <w:rPr>
          <w:rFonts w:ascii="微软雅黑" w:hAnsi="微软雅黑" w:eastAsia="微软雅黑" w:cs="微软雅黑"/>
          <w:szCs w:val="21"/>
          <w:highlight w:val="none"/>
        </w:rPr>
      </w:pPr>
      <w:bookmarkStart w:id="16" w:name="_Toc192313101"/>
      <w:bookmarkStart w:id="17" w:name="_Toc493699292"/>
    </w:p>
    <w:p w14:paraId="1CA493DF">
      <w:pPr>
        <w:pStyle w:val="3"/>
        <w:spacing w:before="0" w:after="0" w:line="500" w:lineRule="exact"/>
        <w:rPr>
          <w:rFonts w:ascii="微软雅黑" w:hAnsi="微软雅黑" w:eastAsia="微软雅黑" w:cs="微软雅黑"/>
          <w:sz w:val="21"/>
          <w:szCs w:val="21"/>
          <w:highlight w:val="none"/>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linePitch="312" w:charSpace="0"/>
        </w:sectPr>
      </w:pPr>
      <w:bookmarkStart w:id="18" w:name="_Toc53062672"/>
      <w:bookmarkStart w:id="19" w:name="_Toc40788010"/>
      <w:bookmarkStart w:id="20" w:name="_Toc89266798"/>
      <w:bookmarkStart w:id="21" w:name="_Toc100764195"/>
    </w:p>
    <w:p w14:paraId="68752400">
      <w:pPr>
        <w:pStyle w:val="3"/>
        <w:spacing w:before="0" w:after="0" w:line="500" w:lineRule="exac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 总则</w:t>
      </w:r>
      <w:bookmarkEnd w:id="16"/>
      <w:bookmarkEnd w:id="17"/>
      <w:bookmarkEnd w:id="18"/>
      <w:bookmarkEnd w:id="19"/>
      <w:bookmarkEnd w:id="20"/>
      <w:bookmarkEnd w:id="21"/>
    </w:p>
    <w:p w14:paraId="24235700">
      <w:pPr>
        <w:snapToGrid w:val="0"/>
        <w:spacing w:after="0" w:line="500" w:lineRule="exact"/>
        <w:ind w:firstLine="420" w:firstLineChars="200"/>
        <w:jc w:val="left"/>
        <w:outlineLvl w:val="1"/>
        <w:rPr>
          <w:rFonts w:ascii="微软雅黑" w:hAnsi="微软雅黑" w:eastAsia="微软雅黑" w:cs="微软雅黑"/>
          <w:b/>
          <w:szCs w:val="21"/>
          <w:highlight w:val="none"/>
        </w:rPr>
      </w:pPr>
      <w:bookmarkStart w:id="22" w:name="_Toc437979771"/>
      <w:bookmarkStart w:id="23" w:name="_Toc192313102"/>
      <w:bookmarkStart w:id="24" w:name="_Toc89266799"/>
      <w:bookmarkStart w:id="25" w:name="_Toc487793381"/>
      <w:bookmarkStart w:id="26" w:name="_Toc487802019"/>
      <w:bookmarkStart w:id="27" w:name="_Toc448487530"/>
      <w:bookmarkStart w:id="28" w:name="_Toc487802088"/>
      <w:bookmarkStart w:id="29" w:name="_Toc493082109"/>
      <w:bookmarkStart w:id="30" w:name="_Toc53062673"/>
      <w:bookmarkStart w:id="31" w:name="_Toc177824872"/>
      <w:bookmarkStart w:id="32" w:name="_Toc40788011"/>
      <w:bookmarkStart w:id="33" w:name="_Toc177825120"/>
      <w:bookmarkStart w:id="34" w:name="_Toc493699293"/>
      <w:bookmarkStart w:id="35" w:name="_Toc177824939"/>
      <w:bookmarkStart w:id="36" w:name="_Toc177870537"/>
      <w:bookmarkStart w:id="37" w:name="_Toc100764196"/>
      <w:r>
        <w:rPr>
          <w:rFonts w:hint="eastAsia" w:ascii="微软雅黑" w:hAnsi="微软雅黑" w:eastAsia="微软雅黑" w:cs="微软雅黑"/>
          <w:b/>
          <w:szCs w:val="21"/>
          <w:highlight w:val="none"/>
        </w:rPr>
        <w:t>1、适用范围</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7D46C772">
      <w:pPr>
        <w:snapToGrid w:val="0"/>
        <w:spacing w:after="0" w:line="500" w:lineRule="exact"/>
        <w:ind w:firstLine="420" w:firstLineChars="200"/>
        <w:jc w:val="left"/>
        <w:outlineLvl w:val="1"/>
        <w:rPr>
          <w:rFonts w:ascii="微软雅黑" w:hAnsi="微软雅黑" w:eastAsia="微软雅黑" w:cs="微软雅黑"/>
          <w:szCs w:val="21"/>
          <w:highlight w:val="none"/>
        </w:rPr>
      </w:pPr>
      <w:bookmarkStart w:id="38" w:name="_Toc53062674"/>
      <w:bookmarkStart w:id="39" w:name="_Toc100764197"/>
      <w:bookmarkStart w:id="40" w:name="_Toc89266800"/>
      <w:bookmarkStart w:id="41" w:name="_Toc40788012"/>
      <w:r>
        <w:rPr>
          <w:rFonts w:hint="eastAsia" w:ascii="微软雅黑" w:hAnsi="微软雅黑" w:eastAsia="微软雅黑" w:cs="微软雅黑"/>
          <w:szCs w:val="21"/>
          <w:highlight w:val="none"/>
        </w:rPr>
        <w:t>1.1、本磋商文件适用于本项目的磋商。</w:t>
      </w:r>
      <w:bookmarkEnd w:id="38"/>
      <w:bookmarkEnd w:id="39"/>
      <w:bookmarkEnd w:id="40"/>
      <w:bookmarkEnd w:id="41"/>
      <w:bookmarkStart w:id="42" w:name="_Toc493699294"/>
      <w:bookmarkStart w:id="43" w:name="_Toc487793382"/>
      <w:bookmarkStart w:id="44" w:name="_Toc437979772"/>
      <w:bookmarkStart w:id="45" w:name="_Toc493082110"/>
      <w:bookmarkStart w:id="46" w:name="_Toc487802020"/>
      <w:bookmarkStart w:id="47" w:name="_Toc177824873"/>
      <w:bookmarkStart w:id="48" w:name="_Toc448487531"/>
      <w:bookmarkStart w:id="49" w:name="_Toc177825121"/>
      <w:bookmarkStart w:id="50" w:name="_Toc192313103"/>
      <w:bookmarkStart w:id="51" w:name="_Toc487802089"/>
      <w:bookmarkStart w:id="52" w:name="_Toc177870538"/>
      <w:bookmarkStart w:id="53" w:name="_Toc177824940"/>
    </w:p>
    <w:p w14:paraId="6F3C54D5">
      <w:pPr>
        <w:snapToGrid w:val="0"/>
        <w:spacing w:after="0" w:line="500" w:lineRule="exact"/>
        <w:ind w:firstLine="420" w:firstLineChars="200"/>
        <w:jc w:val="left"/>
        <w:outlineLvl w:val="1"/>
        <w:rPr>
          <w:rFonts w:ascii="微软雅黑" w:hAnsi="微软雅黑" w:eastAsia="微软雅黑" w:cs="微软雅黑"/>
          <w:b/>
          <w:szCs w:val="21"/>
          <w:highlight w:val="none"/>
        </w:rPr>
      </w:pPr>
      <w:bookmarkStart w:id="54" w:name="_Toc40788013"/>
      <w:bookmarkStart w:id="55" w:name="_Toc53062675"/>
      <w:bookmarkStart w:id="56" w:name="_Toc100764198"/>
      <w:bookmarkStart w:id="57" w:name="_Toc89266801"/>
      <w:r>
        <w:rPr>
          <w:rFonts w:hint="eastAsia" w:ascii="微软雅黑" w:hAnsi="微软雅黑" w:eastAsia="微软雅黑" w:cs="微软雅黑"/>
          <w:b/>
          <w:szCs w:val="21"/>
          <w:highlight w:val="none"/>
        </w:rPr>
        <w:t>2、定义</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B5ECC41">
      <w:pPr>
        <w:snapToGrid w:val="0"/>
        <w:spacing w:after="0" w:line="500" w:lineRule="exact"/>
        <w:ind w:firstLine="420" w:firstLineChars="200"/>
        <w:jc w:val="left"/>
        <w:outlineLvl w:val="1"/>
        <w:rPr>
          <w:rFonts w:ascii="微软雅黑" w:hAnsi="微软雅黑" w:eastAsia="微软雅黑" w:cs="微软雅黑"/>
          <w:szCs w:val="21"/>
          <w:highlight w:val="none"/>
        </w:rPr>
      </w:pPr>
      <w:bookmarkStart w:id="58" w:name="_Toc40788014"/>
      <w:bookmarkStart w:id="59" w:name="_Toc100764199"/>
      <w:bookmarkStart w:id="60" w:name="_Toc89266802"/>
      <w:bookmarkStart w:id="61" w:name="_Toc53062676"/>
      <w:r>
        <w:rPr>
          <w:rFonts w:hint="eastAsia" w:ascii="微软雅黑" w:hAnsi="微软雅黑" w:eastAsia="微软雅黑" w:cs="微软雅黑"/>
          <w:szCs w:val="21"/>
          <w:highlight w:val="none"/>
        </w:rPr>
        <w:t>2.1、“供应商”系指向代理机构提交磋商文件的供应商。</w:t>
      </w:r>
      <w:bookmarkEnd w:id="58"/>
      <w:bookmarkEnd w:id="59"/>
      <w:bookmarkEnd w:id="60"/>
      <w:bookmarkEnd w:id="61"/>
    </w:p>
    <w:p w14:paraId="446E8BAE">
      <w:pPr>
        <w:snapToGrid w:val="0"/>
        <w:spacing w:after="0" w:line="500" w:lineRule="exact"/>
        <w:ind w:firstLine="420" w:firstLineChars="200"/>
        <w:jc w:val="left"/>
        <w:outlineLvl w:val="1"/>
        <w:rPr>
          <w:rFonts w:ascii="微软雅黑" w:hAnsi="微软雅黑" w:eastAsia="微软雅黑" w:cs="微软雅黑"/>
          <w:szCs w:val="21"/>
          <w:highlight w:val="none"/>
        </w:rPr>
      </w:pPr>
      <w:bookmarkStart w:id="62" w:name="_Toc89266803"/>
      <w:bookmarkStart w:id="63" w:name="_Toc53062677"/>
      <w:bookmarkStart w:id="64" w:name="_Toc40788015"/>
      <w:bookmarkStart w:id="65" w:name="_Toc100764200"/>
      <w:r>
        <w:rPr>
          <w:rFonts w:hint="eastAsia" w:ascii="微软雅黑" w:hAnsi="微软雅黑" w:eastAsia="微软雅黑" w:cs="微软雅黑"/>
          <w:szCs w:val="21"/>
          <w:highlight w:val="none"/>
        </w:rPr>
        <w:t>2.2、“产品”系指供方按磋商文件规定，须向采购人提供的一切设备、保险、税金、备品备件、工具、手册及其它有关技术资料和材料。</w:t>
      </w:r>
      <w:bookmarkEnd w:id="62"/>
      <w:bookmarkEnd w:id="63"/>
      <w:bookmarkEnd w:id="64"/>
      <w:bookmarkEnd w:id="65"/>
    </w:p>
    <w:p w14:paraId="59DFD4D3">
      <w:pPr>
        <w:snapToGrid w:val="0"/>
        <w:spacing w:after="0" w:line="500" w:lineRule="exact"/>
        <w:ind w:firstLine="420" w:firstLineChars="200"/>
        <w:jc w:val="left"/>
        <w:outlineLvl w:val="1"/>
        <w:rPr>
          <w:rFonts w:ascii="微软雅黑" w:hAnsi="微软雅黑" w:eastAsia="微软雅黑" w:cs="微软雅黑"/>
          <w:szCs w:val="21"/>
          <w:highlight w:val="none"/>
        </w:rPr>
      </w:pPr>
      <w:bookmarkStart w:id="66" w:name="_Toc53062678"/>
      <w:bookmarkStart w:id="67" w:name="_Toc40788016"/>
      <w:bookmarkStart w:id="68" w:name="_Toc89266804"/>
      <w:bookmarkStart w:id="69" w:name="_Toc100764201"/>
      <w:r>
        <w:rPr>
          <w:rFonts w:hint="eastAsia" w:ascii="微软雅黑" w:hAnsi="微软雅黑" w:eastAsia="微软雅黑" w:cs="微软雅黑"/>
          <w:szCs w:val="21"/>
          <w:highlight w:val="none"/>
        </w:rPr>
        <w:t>2.3、“服务”系指磋商文件规定供应商须承担的安装、调试、技术协助、校准、培训、技术指导以及其他类似的义务。</w:t>
      </w:r>
      <w:bookmarkEnd w:id="66"/>
      <w:bookmarkEnd w:id="67"/>
      <w:bookmarkEnd w:id="68"/>
      <w:bookmarkEnd w:id="69"/>
    </w:p>
    <w:p w14:paraId="10C85CFA">
      <w:pPr>
        <w:snapToGrid w:val="0"/>
        <w:spacing w:after="0" w:line="500" w:lineRule="exact"/>
        <w:ind w:firstLine="420" w:firstLineChars="200"/>
        <w:jc w:val="left"/>
        <w:outlineLvl w:val="1"/>
        <w:rPr>
          <w:rFonts w:ascii="微软雅黑" w:hAnsi="微软雅黑" w:eastAsia="微软雅黑" w:cs="微软雅黑"/>
          <w:szCs w:val="21"/>
          <w:highlight w:val="none"/>
        </w:rPr>
      </w:pPr>
      <w:bookmarkStart w:id="70" w:name="_Toc89266805"/>
      <w:bookmarkStart w:id="71" w:name="_Toc40788017"/>
      <w:bookmarkStart w:id="72" w:name="_Toc53062679"/>
      <w:bookmarkStart w:id="73" w:name="_Toc100764202"/>
      <w:r>
        <w:rPr>
          <w:rFonts w:hint="eastAsia" w:ascii="微软雅黑" w:hAnsi="微软雅黑" w:eastAsia="微软雅黑" w:cs="微软雅黑"/>
          <w:szCs w:val="21"/>
          <w:highlight w:val="none"/>
        </w:rPr>
        <w:t>2.4、“项目”系指供应商按磋商文件规定向采购人提供的产品和服务。</w:t>
      </w:r>
      <w:bookmarkEnd w:id="70"/>
      <w:bookmarkEnd w:id="71"/>
      <w:bookmarkEnd w:id="72"/>
      <w:bookmarkEnd w:id="73"/>
    </w:p>
    <w:p w14:paraId="6756DE2A">
      <w:pPr>
        <w:snapToGrid w:val="0"/>
        <w:spacing w:after="0" w:line="500" w:lineRule="exact"/>
        <w:ind w:firstLine="420" w:firstLineChars="200"/>
        <w:jc w:val="left"/>
        <w:outlineLvl w:val="1"/>
        <w:rPr>
          <w:rFonts w:ascii="微软雅黑" w:hAnsi="微软雅黑" w:eastAsia="微软雅黑" w:cs="微软雅黑"/>
          <w:szCs w:val="21"/>
          <w:highlight w:val="none"/>
        </w:rPr>
      </w:pPr>
      <w:bookmarkStart w:id="74" w:name="_Toc89266806"/>
      <w:bookmarkStart w:id="75" w:name="_Toc100764203"/>
      <w:bookmarkStart w:id="76" w:name="_Toc40788018"/>
      <w:bookmarkStart w:id="77" w:name="_Toc53062680"/>
      <w:r>
        <w:rPr>
          <w:rFonts w:hint="eastAsia" w:ascii="微软雅黑" w:hAnsi="微软雅黑" w:eastAsia="微软雅黑" w:cs="微软雅黑"/>
          <w:szCs w:val="21"/>
          <w:highlight w:val="none"/>
        </w:rPr>
        <w:t>2.5、“书面形式”包括信函、传真、电报、电子文档等。</w:t>
      </w:r>
      <w:bookmarkEnd w:id="74"/>
      <w:bookmarkEnd w:id="75"/>
      <w:bookmarkEnd w:id="76"/>
      <w:bookmarkEnd w:id="77"/>
    </w:p>
    <w:p w14:paraId="21380124">
      <w:pPr>
        <w:snapToGrid w:val="0"/>
        <w:spacing w:after="0" w:line="500" w:lineRule="exact"/>
        <w:ind w:firstLine="420" w:firstLineChars="200"/>
        <w:jc w:val="left"/>
        <w:outlineLvl w:val="1"/>
        <w:rPr>
          <w:rFonts w:ascii="微软雅黑" w:hAnsi="微软雅黑" w:eastAsia="微软雅黑" w:cs="微软雅黑"/>
          <w:szCs w:val="21"/>
          <w:highlight w:val="none"/>
        </w:rPr>
      </w:pPr>
      <w:bookmarkStart w:id="78" w:name="_Toc40788019"/>
      <w:bookmarkStart w:id="79" w:name="_Toc100764204"/>
      <w:bookmarkStart w:id="80" w:name="_Toc89266807"/>
      <w:bookmarkStart w:id="81" w:name="_Toc53062681"/>
      <w:r>
        <w:rPr>
          <w:rFonts w:hint="eastAsia" w:ascii="微软雅黑" w:hAnsi="微软雅黑" w:eastAsia="微软雅黑" w:cs="微软雅黑"/>
          <w:szCs w:val="21"/>
          <w:highlight w:val="none"/>
        </w:rPr>
        <w:t>2.6、“▲”系指实质性要求条款。</w:t>
      </w:r>
      <w:bookmarkEnd w:id="78"/>
      <w:bookmarkEnd w:id="79"/>
      <w:bookmarkEnd w:id="80"/>
      <w:bookmarkEnd w:id="81"/>
      <w:bookmarkStart w:id="82" w:name="_Toc437979773"/>
      <w:bookmarkStart w:id="83" w:name="_Toc192313104"/>
      <w:bookmarkStart w:id="84" w:name="_Toc487793383"/>
      <w:bookmarkStart w:id="85" w:name="_Toc177870539"/>
      <w:bookmarkStart w:id="86" w:name="_Toc448487532"/>
      <w:bookmarkStart w:id="87" w:name="_Toc493082111"/>
      <w:bookmarkStart w:id="88" w:name="_Toc487802090"/>
      <w:bookmarkStart w:id="89" w:name="_Toc487802021"/>
      <w:bookmarkStart w:id="90" w:name="_Toc493699295"/>
    </w:p>
    <w:p w14:paraId="02B4DF70">
      <w:pPr>
        <w:snapToGrid w:val="0"/>
        <w:spacing w:after="0" w:line="500" w:lineRule="exact"/>
        <w:ind w:firstLine="420" w:firstLineChars="200"/>
        <w:jc w:val="left"/>
        <w:outlineLvl w:val="1"/>
        <w:rPr>
          <w:rFonts w:ascii="微软雅黑" w:hAnsi="微软雅黑" w:eastAsia="微软雅黑" w:cs="微软雅黑"/>
          <w:b/>
          <w:szCs w:val="21"/>
          <w:highlight w:val="none"/>
        </w:rPr>
      </w:pPr>
      <w:bookmarkStart w:id="91" w:name="_Toc53062682"/>
      <w:bookmarkStart w:id="92" w:name="_Toc89266808"/>
      <w:bookmarkStart w:id="93" w:name="_Toc100764205"/>
      <w:bookmarkStart w:id="94" w:name="_Toc40788020"/>
      <w:r>
        <w:rPr>
          <w:rFonts w:hint="eastAsia" w:ascii="微软雅黑" w:hAnsi="微软雅黑" w:eastAsia="微软雅黑" w:cs="微软雅黑"/>
          <w:b/>
          <w:szCs w:val="21"/>
          <w:highlight w:val="none"/>
        </w:rPr>
        <w:t>3、磋商方式</w:t>
      </w:r>
      <w:bookmarkEnd w:id="82"/>
      <w:bookmarkEnd w:id="83"/>
      <w:bookmarkEnd w:id="84"/>
      <w:bookmarkEnd w:id="85"/>
      <w:bookmarkEnd w:id="86"/>
      <w:bookmarkEnd w:id="87"/>
      <w:bookmarkEnd w:id="88"/>
      <w:bookmarkEnd w:id="89"/>
      <w:bookmarkEnd w:id="90"/>
      <w:bookmarkEnd w:id="91"/>
      <w:bookmarkEnd w:id="92"/>
      <w:bookmarkEnd w:id="93"/>
      <w:bookmarkEnd w:id="94"/>
    </w:p>
    <w:p w14:paraId="6BF2F2A6">
      <w:pPr>
        <w:snapToGrid w:val="0"/>
        <w:spacing w:after="0" w:line="500" w:lineRule="exact"/>
        <w:ind w:firstLine="420" w:firstLineChars="200"/>
        <w:jc w:val="left"/>
        <w:outlineLvl w:val="1"/>
        <w:rPr>
          <w:rFonts w:ascii="微软雅黑" w:hAnsi="微软雅黑" w:eastAsia="微软雅黑" w:cs="微软雅黑"/>
          <w:szCs w:val="21"/>
          <w:highlight w:val="none"/>
        </w:rPr>
      </w:pPr>
      <w:bookmarkStart w:id="95" w:name="_Toc40788021"/>
      <w:bookmarkStart w:id="96" w:name="_Toc53062683"/>
      <w:bookmarkStart w:id="97" w:name="_Toc89266809"/>
      <w:bookmarkStart w:id="98" w:name="_Toc100764206"/>
      <w:r>
        <w:rPr>
          <w:rFonts w:hint="eastAsia" w:ascii="微软雅黑" w:hAnsi="微软雅黑" w:eastAsia="微软雅黑" w:cs="微软雅黑"/>
          <w:szCs w:val="21"/>
          <w:highlight w:val="none"/>
        </w:rPr>
        <w:t>3.1、本次磋商采用竞争性磋商方式进行。</w:t>
      </w:r>
      <w:bookmarkEnd w:id="95"/>
      <w:bookmarkEnd w:id="96"/>
      <w:bookmarkEnd w:id="97"/>
      <w:bookmarkEnd w:id="98"/>
    </w:p>
    <w:p w14:paraId="329E9F8A">
      <w:pPr>
        <w:snapToGrid w:val="0"/>
        <w:spacing w:after="0" w:line="500" w:lineRule="exact"/>
        <w:ind w:firstLine="420" w:firstLineChars="200"/>
        <w:jc w:val="left"/>
        <w:outlineLvl w:val="1"/>
        <w:rPr>
          <w:rFonts w:ascii="微软雅黑" w:hAnsi="微软雅黑" w:eastAsia="微软雅黑" w:cs="微软雅黑"/>
          <w:szCs w:val="21"/>
          <w:highlight w:val="none"/>
        </w:rPr>
      </w:pPr>
      <w:bookmarkStart w:id="99" w:name="_Toc89266810"/>
      <w:bookmarkStart w:id="100" w:name="_Toc100764207"/>
      <w:bookmarkStart w:id="101" w:name="_Toc53062684"/>
      <w:bookmarkStart w:id="102" w:name="_Toc40788022"/>
      <w:r>
        <w:rPr>
          <w:rFonts w:hint="eastAsia" w:ascii="微软雅黑" w:hAnsi="微软雅黑" w:eastAsia="微软雅黑" w:cs="微软雅黑"/>
          <w:szCs w:val="21"/>
          <w:highlight w:val="none"/>
        </w:rPr>
        <w:t>3.2、本次磋商设定上限价详见招标文件。</w:t>
      </w:r>
      <w:bookmarkEnd w:id="99"/>
      <w:bookmarkEnd w:id="100"/>
      <w:bookmarkEnd w:id="101"/>
      <w:bookmarkEnd w:id="102"/>
      <w:bookmarkStart w:id="103" w:name="_Toc177824874"/>
      <w:bookmarkStart w:id="104" w:name="_Toc448487533"/>
      <w:bookmarkStart w:id="105" w:name="_Toc493699296"/>
      <w:bookmarkStart w:id="106" w:name="_Toc487793384"/>
      <w:bookmarkStart w:id="107" w:name="_Toc177825122"/>
      <w:bookmarkStart w:id="108" w:name="_Toc177824941"/>
      <w:bookmarkStart w:id="109" w:name="_Toc487802091"/>
      <w:bookmarkStart w:id="110" w:name="_Toc192313105"/>
      <w:bookmarkStart w:id="111" w:name="_Toc493082112"/>
      <w:bookmarkStart w:id="112" w:name="_Toc177870540"/>
      <w:bookmarkStart w:id="113" w:name="_Toc437979774"/>
      <w:bookmarkStart w:id="114" w:name="_Toc487802022"/>
    </w:p>
    <w:p w14:paraId="228F3703">
      <w:pPr>
        <w:snapToGrid w:val="0"/>
        <w:spacing w:after="0" w:line="500" w:lineRule="exact"/>
        <w:ind w:firstLine="420" w:firstLineChars="200"/>
        <w:jc w:val="left"/>
        <w:outlineLvl w:val="1"/>
        <w:rPr>
          <w:rFonts w:ascii="微软雅黑" w:hAnsi="微软雅黑" w:eastAsia="微软雅黑" w:cs="微软雅黑"/>
          <w:b/>
          <w:szCs w:val="21"/>
          <w:highlight w:val="none"/>
        </w:rPr>
      </w:pPr>
      <w:bookmarkStart w:id="115" w:name="_Toc53062685"/>
      <w:bookmarkStart w:id="116" w:name="_Toc89266811"/>
      <w:bookmarkStart w:id="117" w:name="_Toc40788023"/>
      <w:bookmarkStart w:id="118" w:name="_Toc100764208"/>
      <w:r>
        <w:rPr>
          <w:rFonts w:hint="eastAsia" w:ascii="微软雅黑" w:hAnsi="微软雅黑" w:eastAsia="微软雅黑" w:cs="微软雅黑"/>
          <w:b/>
          <w:szCs w:val="21"/>
          <w:highlight w:val="none"/>
        </w:rPr>
        <w:t>4、磋商委托</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Start w:id="119" w:name="_Toc89266812"/>
      <w:bookmarkStart w:id="120" w:name="_Toc40788024"/>
      <w:bookmarkStart w:id="121" w:name="_Toc53062686"/>
    </w:p>
    <w:p w14:paraId="41FF43BA">
      <w:pPr>
        <w:spacing w:after="0" w:line="50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    如供应商代表不是法定代表人，须有法定代表人出具的授权委托书。</w:t>
      </w:r>
      <w:bookmarkEnd w:id="119"/>
      <w:bookmarkEnd w:id="120"/>
      <w:bookmarkEnd w:id="121"/>
      <w:bookmarkStart w:id="122" w:name="_Toc487802092"/>
      <w:bookmarkStart w:id="123" w:name="_Toc177870541"/>
      <w:bookmarkStart w:id="124" w:name="_Toc177825123"/>
      <w:bookmarkStart w:id="125" w:name="_Toc177824942"/>
      <w:bookmarkStart w:id="126" w:name="_Toc493699297"/>
      <w:bookmarkStart w:id="127" w:name="_Toc177824875"/>
      <w:bookmarkStart w:id="128" w:name="_Toc493082113"/>
      <w:bookmarkStart w:id="129" w:name="_Toc448487534"/>
      <w:bookmarkStart w:id="130" w:name="_Toc487802023"/>
      <w:bookmarkStart w:id="131" w:name="_Toc437979775"/>
      <w:bookmarkStart w:id="132" w:name="_Toc192313106"/>
      <w:bookmarkStart w:id="133" w:name="_Toc487793385"/>
    </w:p>
    <w:p w14:paraId="6455DACF">
      <w:pPr>
        <w:snapToGrid w:val="0"/>
        <w:spacing w:after="0" w:line="500" w:lineRule="exact"/>
        <w:ind w:firstLine="420" w:firstLineChars="200"/>
        <w:jc w:val="left"/>
        <w:outlineLvl w:val="1"/>
        <w:rPr>
          <w:rFonts w:ascii="微软雅黑" w:hAnsi="微软雅黑" w:eastAsia="微软雅黑" w:cs="微软雅黑"/>
          <w:b/>
          <w:szCs w:val="21"/>
          <w:highlight w:val="none"/>
        </w:rPr>
      </w:pPr>
      <w:bookmarkStart w:id="134" w:name="_Toc100764209"/>
      <w:bookmarkStart w:id="135" w:name="_Toc40788025"/>
      <w:bookmarkStart w:id="136" w:name="_Toc53062687"/>
      <w:bookmarkStart w:id="137" w:name="_Toc89266813"/>
      <w:r>
        <w:rPr>
          <w:rFonts w:hint="eastAsia" w:ascii="微软雅黑" w:hAnsi="微软雅黑" w:eastAsia="微软雅黑" w:cs="微软雅黑"/>
          <w:b/>
          <w:szCs w:val="21"/>
          <w:highlight w:val="none"/>
        </w:rPr>
        <w:t>5、磋商费用</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02C1D604">
      <w:pPr>
        <w:snapToGrid w:val="0"/>
        <w:spacing w:after="0" w:line="500" w:lineRule="exact"/>
        <w:ind w:firstLine="420" w:firstLineChars="20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不论磋商结果如何，供应商均应自行承担与磋商有关的全部费用。</w:t>
      </w:r>
    </w:p>
    <w:p w14:paraId="725435BC">
      <w:pPr>
        <w:snapToGrid w:val="0"/>
        <w:spacing w:after="0" w:line="500" w:lineRule="exact"/>
        <w:ind w:firstLine="420" w:firstLineChars="200"/>
        <w:jc w:val="left"/>
        <w:outlineLvl w:val="1"/>
        <w:rPr>
          <w:rFonts w:ascii="微软雅黑" w:hAnsi="微软雅黑" w:eastAsia="微软雅黑" w:cs="微软雅黑"/>
          <w:b/>
          <w:szCs w:val="21"/>
          <w:highlight w:val="none"/>
        </w:rPr>
      </w:pPr>
      <w:bookmarkStart w:id="138" w:name="_Toc100764210"/>
      <w:r>
        <w:rPr>
          <w:rFonts w:hint="eastAsia" w:ascii="微软雅黑" w:hAnsi="微软雅黑" w:eastAsia="微软雅黑" w:cs="微软雅黑"/>
          <w:b/>
          <w:szCs w:val="21"/>
          <w:highlight w:val="none"/>
        </w:rPr>
        <w:t>6、联合体参与磋商</w:t>
      </w:r>
      <w:bookmarkEnd w:id="138"/>
    </w:p>
    <w:p w14:paraId="52D6A548">
      <w:pPr>
        <w:snapToGrid w:val="0"/>
        <w:spacing w:after="0" w:line="500" w:lineRule="exact"/>
        <w:ind w:firstLine="420" w:firstLineChars="20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本项目不接受联合体参与磋商。</w:t>
      </w:r>
    </w:p>
    <w:p w14:paraId="40CC3F72">
      <w:pPr>
        <w:snapToGrid w:val="0"/>
        <w:spacing w:after="0" w:line="500" w:lineRule="exact"/>
        <w:ind w:firstLine="420" w:firstLineChars="200"/>
        <w:jc w:val="left"/>
        <w:outlineLvl w:val="1"/>
        <w:rPr>
          <w:rFonts w:ascii="微软雅黑" w:hAnsi="微软雅黑" w:eastAsia="微软雅黑" w:cs="微软雅黑"/>
          <w:b/>
          <w:szCs w:val="21"/>
          <w:highlight w:val="none"/>
        </w:rPr>
      </w:pPr>
      <w:bookmarkStart w:id="139" w:name="_Toc100764211"/>
      <w:r>
        <w:rPr>
          <w:rFonts w:hint="eastAsia" w:ascii="微软雅黑" w:hAnsi="微软雅黑" w:eastAsia="微软雅黑" w:cs="微软雅黑"/>
          <w:b/>
          <w:szCs w:val="21"/>
          <w:highlight w:val="none"/>
        </w:rPr>
        <w:t>7、关联企业参与磋商</w:t>
      </w:r>
      <w:bookmarkEnd w:id="139"/>
    </w:p>
    <w:p w14:paraId="257DDE40">
      <w:pPr>
        <w:snapToGrid w:val="0"/>
        <w:spacing w:after="0" w:line="500" w:lineRule="exact"/>
        <w:ind w:firstLine="420" w:firstLineChars="20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7.1、本磋商文件所称关联企业,是指存在“关联关系”的企业;“关联关系”的界定适用《中华人民共和国公司法》217条之规定。</w:t>
      </w:r>
    </w:p>
    <w:p w14:paraId="07A5A177">
      <w:pPr>
        <w:snapToGrid w:val="0"/>
        <w:spacing w:after="0" w:line="500" w:lineRule="exact"/>
        <w:ind w:firstLine="420" w:firstLineChars="20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7.2、▲关联企业中,法定代表人为同一个的两个及两个以上法人，母公司、全资子公司及其控股公司，都不得同时参加磋商;一经发现，将导致磋商响应同时被拒绝。</w:t>
      </w:r>
    </w:p>
    <w:p w14:paraId="5095A440">
      <w:pPr>
        <w:snapToGrid w:val="0"/>
        <w:spacing w:after="0" w:line="500" w:lineRule="exact"/>
        <w:ind w:firstLine="420" w:firstLineChars="200"/>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7.3、多家代理商或经销商参加采购活动，如其中两家或两家以上供应商存在分级代理或代销关系，且提供的是其所代理品牌的产品的，评审时，取其中通过资格审查后的报价最低一家为有效供应商；当报价相同时，则以技术标最优一家为有效供应商；均相同时，由评标委员会集体决定。</w:t>
      </w:r>
    </w:p>
    <w:p w14:paraId="0DE74E71">
      <w:pPr>
        <w:snapToGrid w:val="0"/>
        <w:spacing w:after="0" w:line="500" w:lineRule="exact"/>
        <w:ind w:firstLine="420" w:firstLineChars="200"/>
        <w:jc w:val="left"/>
        <w:outlineLvl w:val="1"/>
        <w:rPr>
          <w:rFonts w:ascii="微软雅黑" w:hAnsi="微软雅黑" w:eastAsia="微软雅黑" w:cs="微软雅黑"/>
          <w:b/>
          <w:szCs w:val="21"/>
          <w:highlight w:val="none"/>
        </w:rPr>
      </w:pPr>
      <w:bookmarkStart w:id="140" w:name="_Toc100764212"/>
      <w:r>
        <w:rPr>
          <w:rFonts w:hint="eastAsia" w:ascii="微软雅黑" w:hAnsi="微软雅黑" w:eastAsia="微软雅黑" w:cs="微软雅黑"/>
          <w:b/>
          <w:szCs w:val="21"/>
          <w:highlight w:val="none"/>
        </w:rPr>
        <w:t>8、转包与分包</w:t>
      </w:r>
      <w:bookmarkEnd w:id="140"/>
    </w:p>
    <w:p w14:paraId="326297AC">
      <w:pPr>
        <w:snapToGrid w:val="0"/>
        <w:spacing w:after="0" w:line="500" w:lineRule="exact"/>
        <w:ind w:firstLine="420" w:firstLineChars="200"/>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8.1、本项目不允许转包。</w:t>
      </w:r>
    </w:p>
    <w:p w14:paraId="33B4255B">
      <w:pPr>
        <w:snapToGrid w:val="0"/>
        <w:spacing w:after="0" w:line="500" w:lineRule="exact"/>
        <w:ind w:firstLine="420" w:firstLineChars="200"/>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8.2、本项目不可以分包。</w:t>
      </w:r>
      <w:bookmarkStart w:id="141" w:name="_Toc437979776"/>
      <w:bookmarkStart w:id="142" w:name="_Toc487793386"/>
      <w:bookmarkStart w:id="143" w:name="_Toc493082114"/>
      <w:bookmarkStart w:id="144" w:name="_Toc192313107"/>
      <w:bookmarkStart w:id="145" w:name="_Toc448487535"/>
      <w:bookmarkStart w:id="146" w:name="_Toc493699298"/>
      <w:bookmarkStart w:id="147" w:name="_Toc487802093"/>
      <w:bookmarkStart w:id="148" w:name="_Toc177870542"/>
      <w:bookmarkStart w:id="149" w:name="_Toc487802024"/>
    </w:p>
    <w:p w14:paraId="4A545A78">
      <w:pPr>
        <w:snapToGrid w:val="0"/>
        <w:spacing w:after="0" w:line="500" w:lineRule="exact"/>
        <w:ind w:firstLine="420" w:firstLineChars="200"/>
        <w:jc w:val="left"/>
        <w:outlineLvl w:val="1"/>
        <w:rPr>
          <w:rFonts w:ascii="微软雅黑" w:hAnsi="微软雅黑" w:eastAsia="微软雅黑" w:cs="微软雅黑"/>
          <w:b/>
          <w:szCs w:val="21"/>
          <w:highlight w:val="none"/>
        </w:rPr>
      </w:pPr>
      <w:bookmarkStart w:id="150" w:name="_Toc100764213"/>
      <w:r>
        <w:rPr>
          <w:rFonts w:hint="eastAsia" w:ascii="微软雅黑" w:hAnsi="微软雅黑" w:eastAsia="微软雅黑" w:cs="微软雅黑"/>
          <w:b/>
          <w:szCs w:val="21"/>
          <w:highlight w:val="none"/>
        </w:rPr>
        <w:t>9、特别说明：</w:t>
      </w:r>
      <w:bookmarkEnd w:id="141"/>
      <w:bookmarkEnd w:id="142"/>
      <w:bookmarkEnd w:id="143"/>
      <w:bookmarkEnd w:id="144"/>
      <w:bookmarkEnd w:id="145"/>
      <w:bookmarkEnd w:id="146"/>
      <w:bookmarkEnd w:id="147"/>
      <w:bookmarkEnd w:id="148"/>
      <w:bookmarkEnd w:id="149"/>
      <w:bookmarkEnd w:id="150"/>
    </w:p>
    <w:p w14:paraId="106508E8">
      <w:pPr>
        <w:snapToGrid w:val="0"/>
        <w:spacing w:after="0" w:line="500" w:lineRule="exact"/>
        <w:ind w:firstLine="420" w:firstLineChars="20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9.1、▲供应商磋商所使用的资格、信誉、荣誉、业绩与企业认证必须为本法人所拥有。</w:t>
      </w:r>
    </w:p>
    <w:p w14:paraId="24680D27">
      <w:pPr>
        <w:snapToGrid w:val="0"/>
        <w:spacing w:after="0" w:line="500" w:lineRule="exact"/>
        <w:ind w:firstLine="420" w:firstLineChars="20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9.2、▲供应商磋商不得含有任何虚假材料,否则作无效处理;成交后发现的, 成交供应商须依照《中华人民共和国消费者权益保护法》第49条之规定双倍赔偿采购人。民事上之赔偿不免除作假供应商之行政与刑事责任。</w:t>
      </w:r>
      <w:bookmarkStart w:id="151" w:name="_Toc487802025"/>
      <w:bookmarkStart w:id="152" w:name="_Toc437979777"/>
      <w:bookmarkStart w:id="153" w:name="_Toc177870543"/>
      <w:bookmarkStart w:id="154" w:name="_Toc487793387"/>
      <w:bookmarkStart w:id="155" w:name="_Toc493699299"/>
      <w:bookmarkStart w:id="156" w:name="_Toc192313108"/>
      <w:bookmarkStart w:id="157" w:name="_Toc487802094"/>
      <w:bookmarkStart w:id="158" w:name="_Toc448487536"/>
      <w:bookmarkStart w:id="159" w:name="_Toc493082115"/>
    </w:p>
    <w:p w14:paraId="3AEC965E">
      <w:pPr>
        <w:snapToGrid w:val="0"/>
        <w:spacing w:after="0" w:line="500" w:lineRule="exact"/>
        <w:ind w:firstLine="420" w:firstLineChars="200"/>
        <w:jc w:val="left"/>
        <w:outlineLvl w:val="1"/>
        <w:rPr>
          <w:rFonts w:ascii="微软雅黑" w:hAnsi="微软雅黑" w:eastAsia="微软雅黑" w:cs="微软雅黑"/>
          <w:b/>
          <w:szCs w:val="21"/>
          <w:highlight w:val="none"/>
        </w:rPr>
      </w:pPr>
      <w:bookmarkStart w:id="160" w:name="_Toc100764214"/>
      <w:r>
        <w:rPr>
          <w:rFonts w:hint="eastAsia" w:ascii="微软雅黑" w:hAnsi="微软雅黑" w:eastAsia="微软雅黑" w:cs="微软雅黑"/>
          <w:b/>
          <w:szCs w:val="21"/>
          <w:highlight w:val="none"/>
        </w:rPr>
        <w:t>10、质疑</w:t>
      </w:r>
      <w:bookmarkEnd w:id="151"/>
      <w:bookmarkEnd w:id="152"/>
      <w:bookmarkEnd w:id="153"/>
      <w:bookmarkEnd w:id="154"/>
      <w:bookmarkEnd w:id="155"/>
      <w:bookmarkEnd w:id="156"/>
      <w:bookmarkEnd w:id="157"/>
      <w:bookmarkEnd w:id="158"/>
      <w:bookmarkEnd w:id="159"/>
      <w:bookmarkEnd w:id="160"/>
    </w:p>
    <w:p w14:paraId="013B18BE">
      <w:pPr>
        <w:snapToGrid w:val="0"/>
        <w:spacing w:after="0" w:line="500" w:lineRule="exact"/>
        <w:ind w:firstLine="420" w:firstLineChars="200"/>
        <w:jc w:val="left"/>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rPr>
        <w:t>10.1、供应商认为磋商文件、磋商过程和成交结果使自己的合法权益受到损害的，应当在知道或者应知其权益受到损害之日起七个工作日内，以书面形式向采购人、采购代理机构提出质疑。</w:t>
      </w:r>
    </w:p>
    <w:p w14:paraId="492732F4">
      <w:pPr>
        <w:snapToGrid w:val="0"/>
        <w:spacing w:after="0" w:line="500" w:lineRule="exact"/>
        <w:ind w:firstLine="420" w:firstLineChars="200"/>
        <w:jc w:val="left"/>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rPr>
        <w:t>10.2、供应商认可代理机构在质疑答复程序中启用的调查和复评等程序，在该程序操作过程未明显违反法律禁止性规定时，不得提出疑义。</w:t>
      </w:r>
      <w:bookmarkStart w:id="161" w:name="_Toc493699300"/>
      <w:bookmarkStart w:id="162" w:name="_Toc192313109"/>
      <w:bookmarkStart w:id="163" w:name="_Toc487802095"/>
    </w:p>
    <w:p w14:paraId="652ED002">
      <w:pPr>
        <w:pStyle w:val="3"/>
        <w:spacing w:before="0" w:after="0" w:line="500" w:lineRule="exact"/>
        <w:rPr>
          <w:rFonts w:ascii="微软雅黑" w:hAnsi="微软雅黑" w:eastAsia="微软雅黑" w:cs="微软雅黑"/>
          <w:sz w:val="21"/>
          <w:szCs w:val="21"/>
          <w:highlight w:val="none"/>
        </w:rPr>
      </w:pPr>
      <w:bookmarkStart w:id="164" w:name="_Toc89266814"/>
      <w:bookmarkStart w:id="165" w:name="_Toc53062688"/>
      <w:bookmarkStart w:id="166" w:name="_Toc100764215"/>
      <w:bookmarkStart w:id="167" w:name="_Toc40788026"/>
      <w:r>
        <w:rPr>
          <w:rFonts w:hint="eastAsia" w:ascii="微软雅黑" w:hAnsi="微软雅黑" w:eastAsia="微软雅黑" w:cs="微软雅黑"/>
          <w:sz w:val="21"/>
          <w:szCs w:val="21"/>
          <w:highlight w:val="none"/>
        </w:rPr>
        <w:t>二 磋商文件</w:t>
      </w:r>
      <w:bookmarkEnd w:id="161"/>
      <w:bookmarkEnd w:id="162"/>
      <w:bookmarkEnd w:id="163"/>
      <w:bookmarkEnd w:id="164"/>
      <w:bookmarkEnd w:id="165"/>
      <w:bookmarkEnd w:id="166"/>
      <w:bookmarkEnd w:id="167"/>
    </w:p>
    <w:p w14:paraId="5E55600A">
      <w:pPr>
        <w:snapToGrid w:val="0"/>
        <w:spacing w:after="0" w:line="500" w:lineRule="exact"/>
        <w:ind w:firstLine="420" w:firstLineChars="200"/>
        <w:jc w:val="left"/>
        <w:outlineLvl w:val="1"/>
        <w:rPr>
          <w:rFonts w:ascii="微软雅黑" w:hAnsi="微软雅黑" w:eastAsia="微软雅黑" w:cs="微软雅黑"/>
          <w:b/>
          <w:szCs w:val="21"/>
          <w:highlight w:val="none"/>
        </w:rPr>
      </w:pPr>
      <w:bookmarkStart w:id="168" w:name="_Toc100764216"/>
      <w:r>
        <w:rPr>
          <w:rFonts w:hint="eastAsia" w:ascii="微软雅黑" w:hAnsi="微软雅黑" w:eastAsia="微软雅黑" w:cs="微软雅黑"/>
          <w:b/>
          <w:szCs w:val="21"/>
          <w:highlight w:val="none"/>
        </w:rPr>
        <w:t>1、磋商文件的构成</w:t>
      </w:r>
      <w:bookmarkEnd w:id="168"/>
    </w:p>
    <w:p w14:paraId="06B5FA3C">
      <w:pPr>
        <w:spacing w:after="0" w:line="500" w:lineRule="exact"/>
        <w:ind w:firstLine="420" w:firstLineChars="20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1.1、磋商公告</w:t>
      </w:r>
    </w:p>
    <w:p w14:paraId="7D0403D7">
      <w:pPr>
        <w:spacing w:after="0" w:line="500" w:lineRule="exact"/>
        <w:ind w:firstLine="420" w:firstLineChars="20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1.2、供应商须知</w:t>
      </w:r>
    </w:p>
    <w:p w14:paraId="4A5DD145">
      <w:pPr>
        <w:spacing w:after="0" w:line="500" w:lineRule="exact"/>
        <w:ind w:firstLine="420" w:firstLineChars="20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1.3、磋商项目需求</w:t>
      </w:r>
    </w:p>
    <w:p w14:paraId="29B3085B">
      <w:pPr>
        <w:spacing w:after="0" w:line="500" w:lineRule="exact"/>
        <w:ind w:firstLine="420" w:firstLineChars="20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1.4、评审办法及标准</w:t>
      </w:r>
    </w:p>
    <w:p w14:paraId="124374B9">
      <w:pPr>
        <w:spacing w:after="0" w:line="500" w:lineRule="exact"/>
        <w:ind w:firstLine="420" w:firstLineChars="20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1.5、合同主要条款</w:t>
      </w:r>
    </w:p>
    <w:p w14:paraId="206D7B78">
      <w:pPr>
        <w:spacing w:after="0" w:line="500" w:lineRule="exact"/>
        <w:ind w:firstLine="420" w:firstLineChars="20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1.6、磋商文件相关文件格式</w:t>
      </w:r>
    </w:p>
    <w:p w14:paraId="00085714">
      <w:pPr>
        <w:snapToGrid w:val="0"/>
        <w:spacing w:after="0" w:line="500" w:lineRule="exact"/>
        <w:ind w:firstLine="420" w:firstLineChars="200"/>
        <w:jc w:val="left"/>
        <w:outlineLvl w:val="1"/>
        <w:rPr>
          <w:rFonts w:ascii="微软雅黑" w:hAnsi="微软雅黑" w:eastAsia="微软雅黑" w:cs="微软雅黑"/>
          <w:b/>
          <w:szCs w:val="21"/>
          <w:highlight w:val="none"/>
        </w:rPr>
      </w:pPr>
      <w:bookmarkStart w:id="169" w:name="_Toc100764217"/>
      <w:r>
        <w:rPr>
          <w:rFonts w:hint="eastAsia" w:ascii="微软雅黑" w:hAnsi="微软雅黑" w:eastAsia="微软雅黑" w:cs="微软雅黑"/>
          <w:b/>
          <w:szCs w:val="21"/>
          <w:highlight w:val="none"/>
        </w:rPr>
        <w:t>2、存在的风险</w:t>
      </w:r>
      <w:bookmarkEnd w:id="169"/>
    </w:p>
    <w:p w14:paraId="1D216C7E">
      <w:pPr>
        <w:spacing w:after="0" w:line="500" w:lineRule="exact"/>
        <w:ind w:firstLine="420" w:firstLineChars="20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供应商没有按照磋商文件要求提供全部资料，或者供应商没有对磋商文件在各方面都作出实质性响应是供应商的风险，并可能导致其磋商被拒绝。</w:t>
      </w:r>
    </w:p>
    <w:p w14:paraId="0493AE62">
      <w:pPr>
        <w:snapToGrid w:val="0"/>
        <w:spacing w:after="0" w:line="500" w:lineRule="exact"/>
        <w:ind w:firstLine="420" w:firstLineChars="200"/>
        <w:jc w:val="left"/>
        <w:outlineLvl w:val="1"/>
        <w:rPr>
          <w:rFonts w:ascii="微软雅黑" w:hAnsi="微软雅黑" w:eastAsia="微软雅黑" w:cs="微软雅黑"/>
          <w:b/>
          <w:szCs w:val="21"/>
          <w:highlight w:val="none"/>
        </w:rPr>
      </w:pPr>
      <w:bookmarkStart w:id="170" w:name="_Toc100764218"/>
      <w:r>
        <w:rPr>
          <w:rFonts w:hint="eastAsia" w:ascii="微软雅黑" w:hAnsi="微软雅黑" w:eastAsia="微软雅黑" w:cs="微软雅黑"/>
          <w:b/>
          <w:szCs w:val="21"/>
          <w:highlight w:val="none"/>
        </w:rPr>
        <w:t>3、磋商文件的澄清与修改</w:t>
      </w:r>
      <w:bookmarkEnd w:id="170"/>
    </w:p>
    <w:p w14:paraId="3829D4F6">
      <w:pPr>
        <w:spacing w:after="0" w:line="500" w:lineRule="exact"/>
        <w:ind w:firstLine="420" w:firstLineChars="20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3.1、</w:t>
      </w:r>
      <w:r>
        <w:rPr>
          <w:rFonts w:hint="eastAsia" w:ascii="微软雅黑" w:hAnsi="微软雅黑" w:eastAsia="微软雅黑" w:cs="微软雅黑"/>
          <w:bCs/>
          <w:szCs w:val="21"/>
          <w:highlight w:val="none"/>
        </w:rPr>
        <w:t>供应商应认真阅读本磋商文件，发现其中有误或有要求不合理的，供应商必须在在知道或者应当知道之日起三个工作日内以书面形式要求采购代理机构澄清，否则，由此产生的后果由供应商负责</w:t>
      </w:r>
      <w:r>
        <w:rPr>
          <w:rFonts w:hint="eastAsia" w:ascii="微软雅黑" w:hAnsi="微软雅黑" w:eastAsia="微软雅黑" w:cs="微软雅黑"/>
          <w:szCs w:val="21"/>
          <w:highlight w:val="none"/>
        </w:rPr>
        <w:t>。</w:t>
      </w:r>
    </w:p>
    <w:p w14:paraId="4D242CAC">
      <w:pPr>
        <w:spacing w:after="0" w:line="500" w:lineRule="exact"/>
        <w:ind w:firstLine="420" w:firstLineChars="20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3.2、采购代理机构对已发出的磋商文件进行必要澄清或者修改的，应当在财政部门指定的政府采购信息发布媒体上发布更正公告。该澄清或者修改的内容为磋商文件的组成部分。</w:t>
      </w:r>
    </w:p>
    <w:p w14:paraId="5503142F">
      <w:pPr>
        <w:spacing w:after="0" w:line="500" w:lineRule="exact"/>
        <w:ind w:firstLine="420" w:firstLineChars="20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3.3、采购代理机构和采购单位可以视采购具体情况，延长提交磋商文件的截止时间和磋商时间，但至少应当在磋商文件要求提交磋商文件的截止时间三日前，在财政部门指定的政府采购信息发布媒体上发布变更公告。</w:t>
      </w:r>
    </w:p>
    <w:p w14:paraId="74A80F21">
      <w:pPr>
        <w:spacing w:after="0" w:line="500" w:lineRule="exact"/>
        <w:ind w:firstLine="420" w:firstLineChars="20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3.4、磋商文件的澄清或者修改都应该通过本代理机构以法定形式发布，采购人非通过本机构，不得擅自澄清或者修改磋商文件。</w:t>
      </w:r>
      <w:bookmarkStart w:id="171" w:name="_Toc493699301"/>
      <w:bookmarkStart w:id="172" w:name="_Toc192313110"/>
    </w:p>
    <w:p w14:paraId="623E38E2">
      <w:pPr>
        <w:pStyle w:val="3"/>
        <w:spacing w:before="0" w:after="0" w:line="500" w:lineRule="exact"/>
        <w:rPr>
          <w:rFonts w:ascii="微软雅黑" w:hAnsi="微软雅黑" w:eastAsia="微软雅黑" w:cs="微软雅黑"/>
          <w:sz w:val="21"/>
          <w:szCs w:val="21"/>
          <w:highlight w:val="none"/>
        </w:rPr>
      </w:pPr>
      <w:bookmarkStart w:id="173" w:name="_Toc53062689"/>
      <w:bookmarkStart w:id="174" w:name="_Toc40788027"/>
      <w:bookmarkStart w:id="175" w:name="_Toc100764219"/>
      <w:bookmarkStart w:id="176" w:name="_Toc89266815"/>
      <w:r>
        <w:rPr>
          <w:rFonts w:hint="eastAsia" w:ascii="微软雅黑" w:hAnsi="微软雅黑" w:eastAsia="微软雅黑" w:cs="微软雅黑"/>
          <w:sz w:val="21"/>
          <w:szCs w:val="21"/>
          <w:highlight w:val="none"/>
        </w:rPr>
        <w:t>三 磋商响应文件的编制</w:t>
      </w:r>
      <w:bookmarkEnd w:id="171"/>
      <w:bookmarkEnd w:id="172"/>
      <w:bookmarkEnd w:id="173"/>
      <w:bookmarkEnd w:id="174"/>
      <w:bookmarkEnd w:id="175"/>
      <w:bookmarkEnd w:id="176"/>
    </w:p>
    <w:p w14:paraId="290880AB">
      <w:pPr>
        <w:spacing w:after="0" w:line="500" w:lineRule="exact"/>
        <w:rPr>
          <w:rFonts w:ascii="微软雅黑" w:hAnsi="微软雅黑" w:eastAsia="微软雅黑" w:cs="微软雅黑"/>
          <w:b/>
          <w:szCs w:val="21"/>
          <w:highlight w:val="none"/>
        </w:rPr>
      </w:pPr>
      <w:bookmarkStart w:id="177" w:name="_Toc40788028"/>
      <w:bookmarkStart w:id="178" w:name="_Toc53062690"/>
      <w:bookmarkStart w:id="179" w:name="_Toc89266816"/>
      <w:r>
        <w:rPr>
          <w:rFonts w:hint="eastAsia" w:ascii="微软雅黑" w:hAnsi="微软雅黑" w:eastAsia="微软雅黑" w:cs="微软雅黑"/>
          <w:b/>
          <w:szCs w:val="21"/>
          <w:highlight w:val="none"/>
        </w:rPr>
        <w:t xml:space="preserve">   本项目所涉竞争性磋商响应文件格式请详见第六章，未给出的格式请自拟。</w:t>
      </w:r>
      <w:bookmarkEnd w:id="177"/>
      <w:bookmarkEnd w:id="178"/>
      <w:bookmarkEnd w:id="179"/>
    </w:p>
    <w:p w14:paraId="03B1CA67">
      <w:pPr>
        <w:pStyle w:val="29"/>
        <w:snapToGrid w:val="0"/>
        <w:spacing w:after="0" w:line="500" w:lineRule="exact"/>
        <w:ind w:firstLine="412" w:firstLineChars="196"/>
        <w:outlineLvl w:val="1"/>
        <w:rPr>
          <w:rFonts w:ascii="微软雅黑" w:hAnsi="微软雅黑" w:eastAsia="微软雅黑" w:cs="微软雅黑"/>
          <w:b/>
          <w:szCs w:val="21"/>
          <w:highlight w:val="none"/>
        </w:rPr>
      </w:pPr>
      <w:bookmarkStart w:id="180" w:name="_Toc53062691"/>
      <w:bookmarkStart w:id="181" w:name="_Toc89266817"/>
      <w:bookmarkStart w:id="182" w:name="_Toc100764220"/>
      <w:bookmarkStart w:id="183" w:name="_Toc33535357"/>
      <w:bookmarkStart w:id="184" w:name="_Toc40788029"/>
      <w:r>
        <w:rPr>
          <w:rFonts w:hint="eastAsia" w:ascii="微软雅黑" w:hAnsi="微软雅黑" w:eastAsia="微软雅黑" w:cs="微软雅黑"/>
          <w:b/>
          <w:szCs w:val="21"/>
          <w:highlight w:val="none"/>
        </w:rPr>
        <w:t>（一）、总体要求：</w:t>
      </w:r>
      <w:bookmarkEnd w:id="180"/>
      <w:bookmarkEnd w:id="181"/>
      <w:bookmarkEnd w:id="182"/>
      <w:bookmarkEnd w:id="183"/>
      <w:bookmarkEnd w:id="184"/>
    </w:p>
    <w:p w14:paraId="68880B77">
      <w:pPr>
        <w:spacing w:after="0" w:line="500" w:lineRule="exact"/>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1.1、供应商应仔细阅读竞争性磋商文件的所有内容，按本文件的要求提供竞争性磋商响应文件，并保证所提供的全部资料的真实性，以使其竞争性磋商响应文件对竞争性磋商文件作出实质性响应，否则，竞争性磋商响应文件可能视为无效竞争性磋商响应文件。</w:t>
      </w:r>
    </w:p>
    <w:p w14:paraId="7B344D1B">
      <w:pPr>
        <w:spacing w:after="0" w:line="500" w:lineRule="exact"/>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1.2、竞争性磋商响应文件及供应商与采购有关的来往通知，函件和文件均应使用中文。</w:t>
      </w:r>
    </w:p>
    <w:p w14:paraId="3490F336">
      <w:pPr>
        <w:spacing w:after="0" w:line="500" w:lineRule="exact"/>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1.3、供应商应按本文件中提供的文件格式、内容和要求制作竞争性磋商响应文件。</w:t>
      </w:r>
    </w:p>
    <w:p w14:paraId="6F1B3B74">
      <w:pPr>
        <w:spacing w:after="0" w:line="500" w:lineRule="exact"/>
        <w:ind w:firstLine="405"/>
        <w:jc w:val="left"/>
        <w:rPr>
          <w:rFonts w:ascii="微软雅黑" w:hAnsi="微软雅黑" w:eastAsia="微软雅黑" w:cs="微软雅黑"/>
          <w:bCs/>
          <w:szCs w:val="21"/>
          <w:highlight w:val="none"/>
        </w:rPr>
      </w:pPr>
      <w:r>
        <w:rPr>
          <w:rFonts w:hint="eastAsia" w:ascii="微软雅黑" w:hAnsi="微软雅黑" w:eastAsia="微软雅黑" w:cs="微软雅黑"/>
          <w:b/>
          <w:szCs w:val="21"/>
          <w:highlight w:val="none"/>
        </w:rPr>
        <w:t>1.4、竞争性磋商响应文件的效力：竞争性磋商响应文件的启用，按先后顺位分别为电子竞争性磋商响应文件、电子</w:t>
      </w:r>
      <w:r>
        <w:rPr>
          <w:rFonts w:hint="eastAsia" w:ascii="微软雅黑" w:hAnsi="微软雅黑" w:eastAsia="微软雅黑" w:cs="微软雅黑"/>
          <w:bCs/>
          <w:szCs w:val="21"/>
          <w:highlight w:val="none"/>
        </w:rPr>
        <w:t>备份竞争性磋商响应文件</w:t>
      </w:r>
      <w:r>
        <w:rPr>
          <w:rFonts w:hint="eastAsia" w:ascii="微软雅黑" w:hAnsi="微软雅黑" w:eastAsia="微软雅黑" w:cs="微软雅黑"/>
          <w:b/>
          <w:szCs w:val="21"/>
          <w:highlight w:val="none"/>
        </w:rPr>
        <w:t>。</w:t>
      </w:r>
      <w:r>
        <w:rPr>
          <w:rFonts w:hint="eastAsia" w:ascii="微软雅黑" w:hAnsi="微软雅黑" w:eastAsia="微软雅黑" w:cs="微软雅黑"/>
          <w:bCs/>
          <w:szCs w:val="21"/>
          <w:highlight w:val="none"/>
        </w:rPr>
        <w:t>通过“政府采购云平台”成功上传递交的“电子加密竞争性磋商响应文件”无法按时解密，投标供应商如按规定递交了“备份竞争性磋商响应文件”的，以“备份竞争性磋商响应文件”为依据（由采购组织机构按“政府采购云平台”操作规范将“备份竞争性磋商响应文件”上传至“政府采购云平台”，上传成功后，“电子加密竞争性磋商响应文件”自动失效），否则视为竞争性磋商响应文件撤回。</w:t>
      </w:r>
      <w:bookmarkStart w:id="185" w:name="_Toc448487539"/>
      <w:bookmarkStart w:id="186" w:name="_Toc192313111"/>
      <w:bookmarkStart w:id="187" w:name="_Toc437979780"/>
      <w:bookmarkStart w:id="188" w:name="_Toc493082118"/>
      <w:bookmarkStart w:id="189" w:name="_Toc177825124"/>
      <w:bookmarkStart w:id="190" w:name="_Toc177870546"/>
      <w:bookmarkStart w:id="191" w:name="_Toc493699302"/>
      <w:bookmarkStart w:id="192" w:name="_Toc177824943"/>
      <w:bookmarkStart w:id="193" w:name="_Toc177824876"/>
    </w:p>
    <w:p w14:paraId="01830B90">
      <w:pPr>
        <w:pStyle w:val="29"/>
        <w:snapToGrid w:val="0"/>
        <w:spacing w:after="0" w:line="500" w:lineRule="exact"/>
        <w:ind w:firstLine="412" w:firstLineChars="196"/>
        <w:outlineLvl w:val="1"/>
        <w:rPr>
          <w:rFonts w:ascii="微软雅黑" w:hAnsi="微软雅黑" w:eastAsia="微软雅黑" w:cs="微软雅黑"/>
          <w:b/>
          <w:szCs w:val="21"/>
          <w:highlight w:val="none"/>
        </w:rPr>
      </w:pPr>
      <w:bookmarkStart w:id="194" w:name="_Toc100764221"/>
      <w:r>
        <w:rPr>
          <w:rFonts w:hint="eastAsia" w:ascii="微软雅黑" w:hAnsi="微软雅黑" w:eastAsia="微软雅黑" w:cs="微软雅黑"/>
          <w:b/>
          <w:szCs w:val="21"/>
          <w:highlight w:val="none"/>
        </w:rPr>
        <w:t>（二）、磋商响应文件的组成</w:t>
      </w:r>
      <w:bookmarkEnd w:id="185"/>
      <w:bookmarkEnd w:id="186"/>
      <w:bookmarkEnd w:id="187"/>
      <w:bookmarkEnd w:id="188"/>
      <w:bookmarkEnd w:id="189"/>
      <w:bookmarkEnd w:id="190"/>
      <w:bookmarkEnd w:id="191"/>
      <w:bookmarkEnd w:id="192"/>
      <w:bookmarkEnd w:id="193"/>
      <w:bookmarkEnd w:id="194"/>
      <w:bookmarkStart w:id="195" w:name="_Toc493511650"/>
    </w:p>
    <w:p w14:paraId="5159DFE3">
      <w:pPr>
        <w:spacing w:after="0" w:line="500" w:lineRule="exact"/>
        <w:ind w:firstLine="405"/>
        <w:jc w:val="left"/>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包括电子竞争性磋商响应文件和电子备份竞争性磋商响应文件（选送），均由资格响应文件、商务技术文件、报价文件三部份组成。其中电子竞争性磋商响应文件中所须加盖公章部分均采用CA签章。</w:t>
      </w:r>
    </w:p>
    <w:p w14:paraId="38CC9CD3">
      <w:pPr>
        <w:numPr>
          <w:ilvl w:val="0"/>
          <w:numId w:val="21"/>
        </w:numPr>
        <w:spacing w:after="0" w:line="500" w:lineRule="exact"/>
        <w:jc w:val="left"/>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资格响应文件：</w:t>
      </w:r>
    </w:p>
    <w:p w14:paraId="2306AF0B">
      <w:pPr>
        <w:pStyle w:val="127"/>
        <w:numPr>
          <w:ilvl w:val="1"/>
          <w:numId w:val="22"/>
        </w:numPr>
        <w:snapToGrid w:val="0"/>
        <w:spacing w:after="0" w:line="500" w:lineRule="exact"/>
        <w:ind w:firstLineChars="0"/>
        <w:rPr>
          <w:rFonts w:ascii="微软雅黑" w:hAnsi="微软雅黑" w:eastAsia="微软雅黑" w:cs="微软雅黑"/>
          <w:highlight w:val="none"/>
        </w:rPr>
      </w:pPr>
      <w:r>
        <w:rPr>
          <w:rFonts w:hint="eastAsia" w:ascii="微软雅黑" w:hAnsi="微软雅黑" w:eastAsia="微软雅黑" w:cs="微软雅黑"/>
          <w:highlight w:val="none"/>
        </w:rPr>
        <w:t>具有独立承担民事责任的能力（供应商营业执照副本复印件）；</w:t>
      </w:r>
    </w:p>
    <w:p w14:paraId="7AAF3BC2">
      <w:pPr>
        <w:pStyle w:val="127"/>
        <w:numPr>
          <w:ilvl w:val="1"/>
          <w:numId w:val="22"/>
        </w:numPr>
        <w:snapToGrid w:val="0"/>
        <w:spacing w:after="0" w:line="500" w:lineRule="exact"/>
        <w:ind w:left="0" w:firstLine="426" w:firstLineChars="0"/>
        <w:rPr>
          <w:rFonts w:ascii="微软雅黑" w:hAnsi="微软雅黑" w:eastAsia="微软雅黑" w:cs="微软雅黑"/>
          <w:highlight w:val="none"/>
        </w:rPr>
      </w:pPr>
      <w:r>
        <w:rPr>
          <w:rFonts w:hint="eastAsia" w:ascii="微软雅黑" w:hAnsi="微软雅黑" w:eastAsia="微软雅黑" w:cs="微软雅黑"/>
          <w:highlight w:val="none"/>
        </w:rPr>
        <w:t>有良好的商业信誉和健全的财务会计制度【供应商最近一年中任意一个月的财务报表或上年度财务报告（截止本项目投标截止日前2个月内新注册的单位为则不需提供）】；</w:t>
      </w:r>
    </w:p>
    <w:p w14:paraId="619BD191">
      <w:pPr>
        <w:pStyle w:val="127"/>
        <w:numPr>
          <w:ilvl w:val="1"/>
          <w:numId w:val="22"/>
        </w:numPr>
        <w:snapToGrid w:val="0"/>
        <w:spacing w:after="0" w:line="500" w:lineRule="exact"/>
        <w:ind w:left="0" w:firstLine="426" w:firstLineChars="0"/>
        <w:rPr>
          <w:rFonts w:ascii="微软雅黑" w:hAnsi="微软雅黑" w:eastAsia="微软雅黑" w:cs="微软雅黑"/>
          <w:highlight w:val="none"/>
        </w:rPr>
      </w:pPr>
      <w:r>
        <w:rPr>
          <w:rFonts w:hint="eastAsia" w:ascii="微软雅黑" w:hAnsi="微软雅黑" w:eastAsia="微软雅黑" w:cs="微软雅黑"/>
          <w:highlight w:val="none"/>
        </w:rPr>
        <w:t>具有履行合同所必需的设备和专业技术能力的承诺函（格式见附件））；</w:t>
      </w:r>
    </w:p>
    <w:p w14:paraId="4B54E1EC">
      <w:pPr>
        <w:pStyle w:val="127"/>
        <w:numPr>
          <w:ilvl w:val="1"/>
          <w:numId w:val="22"/>
        </w:numPr>
        <w:snapToGrid w:val="0"/>
        <w:spacing w:after="0" w:line="500" w:lineRule="exact"/>
        <w:ind w:left="0" w:firstLine="426" w:firstLineChars="0"/>
        <w:rPr>
          <w:rFonts w:ascii="微软雅黑" w:hAnsi="微软雅黑" w:eastAsia="微软雅黑" w:cs="微软雅黑"/>
          <w:highlight w:val="none"/>
        </w:rPr>
      </w:pPr>
      <w:r>
        <w:rPr>
          <w:rFonts w:hint="eastAsia" w:ascii="微软雅黑" w:hAnsi="微软雅黑" w:eastAsia="微软雅黑" w:cs="微软雅黑"/>
          <w:highlight w:val="none"/>
        </w:rPr>
        <w:t>有依法缴纳税收和社会保障资金的良好记录【（供应商最近一年中任意一个月的完税证明或纳税证明或银行缴税付款凭证等）（截止本项目投标截止日前2个月内新注册的单位为则不需提供）】；</w:t>
      </w:r>
    </w:p>
    <w:p w14:paraId="384362D6">
      <w:pPr>
        <w:pStyle w:val="127"/>
        <w:numPr>
          <w:ilvl w:val="1"/>
          <w:numId w:val="22"/>
        </w:numPr>
        <w:snapToGrid w:val="0"/>
        <w:spacing w:after="0" w:line="500" w:lineRule="exact"/>
        <w:ind w:left="0" w:firstLine="426" w:firstLineChars="0"/>
        <w:rPr>
          <w:rFonts w:ascii="微软雅黑" w:hAnsi="微软雅黑" w:eastAsia="微软雅黑" w:cs="微软雅黑"/>
          <w:highlight w:val="none"/>
        </w:rPr>
      </w:pPr>
      <w:r>
        <w:rPr>
          <w:rFonts w:hint="eastAsia" w:ascii="微软雅黑" w:hAnsi="微软雅黑" w:eastAsia="微软雅黑" w:cs="微软雅黑"/>
          <w:highlight w:val="none"/>
        </w:rPr>
        <w:t>参加政府采购活动前三年，在经营活动中没有重大违法记录（承诺函（格式见附件））；</w:t>
      </w:r>
    </w:p>
    <w:p w14:paraId="352D3979">
      <w:pPr>
        <w:pStyle w:val="127"/>
        <w:numPr>
          <w:ilvl w:val="1"/>
          <w:numId w:val="22"/>
        </w:numPr>
        <w:snapToGrid w:val="0"/>
        <w:spacing w:after="0" w:line="500" w:lineRule="exact"/>
        <w:ind w:left="0" w:firstLine="426" w:firstLineChars="0"/>
        <w:rPr>
          <w:rFonts w:ascii="微软雅黑" w:hAnsi="微软雅黑" w:eastAsia="微软雅黑" w:cs="微软雅黑"/>
          <w:highlight w:val="none"/>
        </w:rPr>
      </w:pPr>
      <w:r>
        <w:rPr>
          <w:rFonts w:hint="eastAsia" w:ascii="微软雅黑" w:hAnsi="微软雅黑" w:eastAsia="微软雅黑" w:cs="微软雅黑"/>
          <w:highlight w:val="none"/>
        </w:rPr>
        <w:t>提供自招标公告发布之日起至投标截止日内任意时间的“信用中国”网站（www.creditchina.gov.cn）（未被信用中国网站www.creditchina.gov.cn查询网页截图）、中国政府采购网（www.ccgp.gov.cn）（未被中国政府采购网www.ccgp.gov.cn查询网页截图）（以开标当日采购单位或由采购单位委托的评标委员会核实的查询结果为准）。</w:t>
      </w:r>
    </w:p>
    <w:p w14:paraId="4C0D948E">
      <w:pPr>
        <w:pStyle w:val="127"/>
        <w:numPr>
          <w:ilvl w:val="1"/>
          <w:numId w:val="22"/>
        </w:numPr>
        <w:snapToGrid w:val="0"/>
        <w:spacing w:after="0" w:line="500" w:lineRule="exact"/>
        <w:ind w:left="0" w:firstLine="426" w:firstLineChars="0"/>
        <w:rPr>
          <w:rFonts w:ascii="微软雅黑" w:hAnsi="微软雅黑" w:eastAsia="微软雅黑" w:cs="微软雅黑"/>
          <w:highlight w:val="none"/>
        </w:rPr>
      </w:pPr>
      <w:r>
        <w:rPr>
          <w:rFonts w:hint="eastAsia" w:ascii="微软雅黑" w:hAnsi="微软雅黑" w:eastAsia="微软雅黑" w:cs="微软雅黑"/>
          <w:highlight w:val="none"/>
        </w:rPr>
        <w:t>法定代表人授权委托书；</w:t>
      </w:r>
    </w:p>
    <w:p w14:paraId="0091273B">
      <w:pPr>
        <w:pStyle w:val="127"/>
        <w:numPr>
          <w:ilvl w:val="1"/>
          <w:numId w:val="22"/>
        </w:numPr>
        <w:snapToGrid w:val="0"/>
        <w:spacing w:after="0" w:line="500" w:lineRule="exact"/>
        <w:ind w:left="0" w:firstLine="426" w:firstLineChars="0"/>
        <w:rPr>
          <w:rFonts w:ascii="微软雅黑" w:hAnsi="微软雅黑" w:eastAsia="微软雅黑" w:cs="微软雅黑"/>
          <w:highlight w:val="none"/>
        </w:rPr>
      </w:pPr>
      <w:r>
        <w:rPr>
          <w:rFonts w:hint="eastAsia" w:ascii="微软雅黑" w:hAnsi="微软雅黑" w:eastAsia="微软雅黑" w:cs="微软雅黑"/>
          <w:highlight w:val="none"/>
        </w:rPr>
        <w:t>中小企业声明函、残疾人福利性单位声明函及其他符合政策性条件的承诺函或证明材料；</w:t>
      </w:r>
    </w:p>
    <w:p w14:paraId="0BC9379E">
      <w:pPr>
        <w:pStyle w:val="127"/>
        <w:numPr>
          <w:ilvl w:val="1"/>
          <w:numId w:val="22"/>
        </w:numPr>
        <w:snapToGrid w:val="0"/>
        <w:spacing w:after="0" w:line="500" w:lineRule="exact"/>
        <w:ind w:left="0" w:firstLine="426" w:firstLineChars="0"/>
        <w:rPr>
          <w:rFonts w:ascii="微软雅黑" w:hAnsi="微软雅黑" w:eastAsia="微软雅黑" w:cs="微软雅黑"/>
          <w:highlight w:val="none"/>
        </w:rPr>
      </w:pPr>
      <w:r>
        <w:rPr>
          <w:rFonts w:hint="eastAsia" w:ascii="微软雅黑" w:hAnsi="微软雅黑" w:eastAsia="微软雅黑" w:cs="微软雅黑"/>
          <w:highlight w:val="none"/>
        </w:rPr>
        <w:t>特定资格要求证明材料</w:t>
      </w:r>
    </w:p>
    <w:p w14:paraId="0E7F0E6D">
      <w:pPr>
        <w:numPr>
          <w:ilvl w:val="0"/>
          <w:numId w:val="21"/>
        </w:numPr>
        <w:spacing w:after="0" w:line="500" w:lineRule="exact"/>
        <w:jc w:val="left"/>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商务技术文件</w:t>
      </w:r>
    </w:p>
    <w:p w14:paraId="0C143BF9">
      <w:pPr>
        <w:pStyle w:val="127"/>
        <w:numPr>
          <w:ilvl w:val="0"/>
          <w:numId w:val="22"/>
        </w:numPr>
        <w:snapToGrid w:val="0"/>
        <w:spacing w:after="0" w:line="500" w:lineRule="exact"/>
        <w:ind w:firstLineChars="0"/>
        <w:rPr>
          <w:rFonts w:ascii="微软雅黑" w:hAnsi="微软雅黑" w:eastAsia="微软雅黑" w:cs="微软雅黑"/>
          <w:vanish/>
          <w:highlight w:val="none"/>
        </w:rPr>
      </w:pPr>
    </w:p>
    <w:p w14:paraId="78C023BE">
      <w:pPr>
        <w:pStyle w:val="127"/>
        <w:numPr>
          <w:ilvl w:val="1"/>
          <w:numId w:val="22"/>
        </w:numPr>
        <w:snapToGrid w:val="0"/>
        <w:spacing w:after="0" w:line="500" w:lineRule="exact"/>
        <w:ind w:left="0" w:firstLine="426" w:firstLineChars="0"/>
        <w:rPr>
          <w:rFonts w:ascii="微软雅黑" w:hAnsi="微软雅黑" w:eastAsia="微软雅黑" w:cs="微软雅黑"/>
          <w:highlight w:val="none"/>
        </w:rPr>
      </w:pPr>
      <w:r>
        <w:rPr>
          <w:rFonts w:hint="eastAsia" w:ascii="微软雅黑" w:hAnsi="微软雅黑" w:eastAsia="微软雅黑" w:cs="微软雅黑"/>
          <w:highlight w:val="none"/>
        </w:rPr>
        <w:t>▲磋商响应函；</w:t>
      </w:r>
    </w:p>
    <w:p w14:paraId="34C2DF57">
      <w:pPr>
        <w:pStyle w:val="127"/>
        <w:numPr>
          <w:ilvl w:val="1"/>
          <w:numId w:val="22"/>
        </w:numPr>
        <w:snapToGrid w:val="0"/>
        <w:spacing w:after="0" w:line="500" w:lineRule="exact"/>
        <w:ind w:left="0" w:firstLine="426" w:firstLineChars="0"/>
        <w:rPr>
          <w:rFonts w:ascii="微软雅黑" w:hAnsi="微软雅黑" w:eastAsia="微软雅黑" w:cs="微软雅黑"/>
          <w:highlight w:val="none"/>
        </w:rPr>
      </w:pPr>
      <w:r>
        <w:rPr>
          <w:rFonts w:hint="eastAsia" w:ascii="微软雅黑" w:hAnsi="微软雅黑" w:eastAsia="微软雅黑" w:cs="微软雅黑"/>
          <w:highlight w:val="none"/>
        </w:rPr>
        <w:t>类似案例成功的业绩（合同复印件）；</w:t>
      </w:r>
    </w:p>
    <w:p w14:paraId="1F9F96FE">
      <w:pPr>
        <w:pStyle w:val="127"/>
        <w:numPr>
          <w:ilvl w:val="1"/>
          <w:numId w:val="22"/>
        </w:numPr>
        <w:snapToGrid w:val="0"/>
        <w:spacing w:after="0" w:line="500" w:lineRule="exact"/>
        <w:ind w:left="0" w:firstLine="426" w:firstLineChars="0"/>
        <w:rPr>
          <w:rFonts w:ascii="微软雅黑" w:hAnsi="微软雅黑" w:eastAsia="微软雅黑" w:cs="微软雅黑"/>
          <w:highlight w:val="none"/>
        </w:rPr>
      </w:pPr>
      <w:r>
        <w:rPr>
          <w:rFonts w:hint="eastAsia" w:ascii="微软雅黑" w:hAnsi="微软雅黑" w:eastAsia="微软雅黑" w:cs="微软雅黑"/>
          <w:highlight w:val="none"/>
        </w:rPr>
        <w:t>与本项目实施相关的供应商各类资质证书、认证证书、许可证等（如信誉荣誉等。提供复印件）；</w:t>
      </w:r>
    </w:p>
    <w:p w14:paraId="385CA032">
      <w:pPr>
        <w:pStyle w:val="127"/>
        <w:numPr>
          <w:ilvl w:val="1"/>
          <w:numId w:val="22"/>
        </w:numPr>
        <w:snapToGrid w:val="0"/>
        <w:spacing w:after="0" w:line="500" w:lineRule="exact"/>
        <w:ind w:left="0" w:firstLine="426" w:firstLineChars="0"/>
        <w:rPr>
          <w:rFonts w:ascii="微软雅黑" w:hAnsi="微软雅黑" w:eastAsia="微软雅黑" w:cs="微软雅黑"/>
          <w:highlight w:val="none"/>
        </w:rPr>
      </w:pPr>
      <w:r>
        <w:rPr>
          <w:rFonts w:hint="eastAsia" w:ascii="微软雅黑" w:hAnsi="微软雅黑" w:eastAsia="微软雅黑" w:cs="微软雅黑"/>
          <w:highlight w:val="none"/>
        </w:rPr>
        <w:t>供应商情况介绍；</w:t>
      </w:r>
    </w:p>
    <w:p w14:paraId="59B6CE29">
      <w:pPr>
        <w:pStyle w:val="127"/>
        <w:numPr>
          <w:ilvl w:val="1"/>
          <w:numId w:val="22"/>
        </w:numPr>
        <w:snapToGrid w:val="0"/>
        <w:spacing w:after="0" w:line="360" w:lineRule="auto"/>
        <w:ind w:left="0" w:firstLine="420"/>
        <w:jc w:val="left"/>
        <w:rPr>
          <w:rFonts w:ascii="微软雅黑" w:hAnsi="微软雅黑" w:eastAsia="微软雅黑"/>
          <w:highlight w:val="none"/>
        </w:rPr>
      </w:pPr>
      <w:r>
        <w:rPr>
          <w:rFonts w:hint="eastAsia" w:ascii="微软雅黑" w:hAnsi="微软雅黑" w:eastAsia="微软雅黑" w:cs="微软雅黑"/>
          <w:highlight w:val="none"/>
        </w:rPr>
        <w:t>商务响应表；</w:t>
      </w:r>
    </w:p>
    <w:p w14:paraId="477AB0D2">
      <w:pPr>
        <w:pStyle w:val="127"/>
        <w:numPr>
          <w:ilvl w:val="1"/>
          <w:numId w:val="22"/>
        </w:numPr>
        <w:snapToGrid w:val="0"/>
        <w:spacing w:after="0" w:line="360" w:lineRule="auto"/>
        <w:ind w:left="0" w:firstLine="420"/>
        <w:jc w:val="left"/>
        <w:rPr>
          <w:rFonts w:ascii="微软雅黑" w:hAnsi="微软雅黑" w:eastAsia="微软雅黑"/>
          <w:highlight w:val="none"/>
        </w:rPr>
      </w:pPr>
      <w:r>
        <w:rPr>
          <w:rFonts w:ascii="微软雅黑" w:hAnsi="微软雅黑" w:eastAsia="微软雅黑"/>
          <w:highlight w:val="none"/>
        </w:rPr>
        <w:t>技术</w:t>
      </w:r>
      <w:r>
        <w:rPr>
          <w:rFonts w:hint="eastAsia" w:ascii="微软雅黑" w:hAnsi="微软雅黑" w:eastAsia="微软雅黑"/>
          <w:highlight w:val="none"/>
        </w:rPr>
        <w:t>规范偏离</w:t>
      </w:r>
      <w:r>
        <w:rPr>
          <w:rFonts w:ascii="微软雅黑" w:hAnsi="微软雅黑" w:eastAsia="微软雅黑"/>
          <w:highlight w:val="none"/>
        </w:rPr>
        <w:t>表</w:t>
      </w:r>
      <w:r>
        <w:rPr>
          <w:rFonts w:hint="eastAsia" w:ascii="微软雅黑" w:hAnsi="微软雅黑" w:eastAsia="微软雅黑"/>
          <w:highlight w:val="none"/>
        </w:rPr>
        <w:t>（格式见附件）</w:t>
      </w:r>
      <w:r>
        <w:rPr>
          <w:rFonts w:ascii="微软雅黑" w:hAnsi="微软雅黑" w:eastAsia="微软雅黑"/>
          <w:highlight w:val="none"/>
        </w:rPr>
        <w:t>；</w:t>
      </w:r>
    </w:p>
    <w:p w14:paraId="5C186921">
      <w:pPr>
        <w:pStyle w:val="127"/>
        <w:numPr>
          <w:ilvl w:val="1"/>
          <w:numId w:val="22"/>
        </w:numPr>
        <w:snapToGrid w:val="0"/>
        <w:spacing w:after="0" w:line="360" w:lineRule="auto"/>
        <w:ind w:left="0" w:firstLine="420"/>
        <w:jc w:val="left"/>
        <w:rPr>
          <w:rFonts w:ascii="微软雅黑" w:hAnsi="微软雅黑" w:eastAsia="微软雅黑"/>
          <w:highlight w:val="none"/>
        </w:rPr>
      </w:pPr>
      <w:r>
        <w:rPr>
          <w:rFonts w:hint="eastAsia" w:ascii="微软雅黑" w:hAnsi="微软雅黑" w:eastAsia="微软雅黑"/>
          <w:highlight w:val="none"/>
        </w:rPr>
        <w:t>供应商截止投标时间前三年内的奖惩情况说明，格式自拟.</w:t>
      </w:r>
    </w:p>
    <w:p w14:paraId="28E70C79">
      <w:pPr>
        <w:pStyle w:val="127"/>
        <w:numPr>
          <w:ilvl w:val="1"/>
          <w:numId w:val="22"/>
        </w:numPr>
        <w:snapToGrid w:val="0"/>
        <w:spacing w:after="0" w:line="360" w:lineRule="auto"/>
        <w:ind w:left="0" w:firstLine="420"/>
        <w:jc w:val="left"/>
        <w:rPr>
          <w:rFonts w:ascii="微软雅黑" w:hAnsi="微软雅黑" w:eastAsia="微软雅黑"/>
          <w:highlight w:val="none"/>
        </w:rPr>
      </w:pPr>
      <w:r>
        <w:rPr>
          <w:rFonts w:ascii="微软雅黑" w:hAnsi="微软雅黑" w:eastAsia="微软雅黑"/>
          <w:highlight w:val="none"/>
        </w:rPr>
        <w:t>项目实施人员一览表</w:t>
      </w:r>
    </w:p>
    <w:p w14:paraId="44D5328B">
      <w:pPr>
        <w:pStyle w:val="127"/>
        <w:numPr>
          <w:ilvl w:val="1"/>
          <w:numId w:val="22"/>
        </w:numPr>
        <w:snapToGrid w:val="0"/>
        <w:spacing w:after="0" w:line="360" w:lineRule="auto"/>
        <w:ind w:left="0" w:firstLine="420"/>
        <w:jc w:val="left"/>
        <w:rPr>
          <w:rFonts w:ascii="微软雅黑" w:hAnsi="微软雅黑" w:eastAsia="微软雅黑"/>
          <w:highlight w:val="none"/>
        </w:rPr>
      </w:pPr>
      <w:r>
        <w:rPr>
          <w:rFonts w:ascii="微软雅黑" w:hAnsi="微软雅黑" w:eastAsia="微软雅黑"/>
          <w:highlight w:val="none"/>
        </w:rPr>
        <w:t>优惠条件：投标人承诺给予招标人的各种优惠条件，包括售后服务等方面的优惠；</w:t>
      </w:r>
    </w:p>
    <w:p w14:paraId="169ABC31">
      <w:pPr>
        <w:pStyle w:val="127"/>
        <w:numPr>
          <w:ilvl w:val="1"/>
          <w:numId w:val="22"/>
        </w:numPr>
        <w:snapToGrid w:val="0"/>
        <w:spacing w:after="0" w:line="360" w:lineRule="auto"/>
        <w:ind w:left="0" w:firstLine="420"/>
        <w:jc w:val="left"/>
        <w:rPr>
          <w:rFonts w:ascii="微软雅黑" w:hAnsi="微软雅黑" w:eastAsia="微软雅黑"/>
          <w:highlight w:val="none"/>
        </w:rPr>
      </w:pPr>
      <w:r>
        <w:rPr>
          <w:rFonts w:ascii="微软雅黑" w:hAnsi="微软雅黑" w:eastAsia="微软雅黑"/>
          <w:highlight w:val="none"/>
        </w:rPr>
        <w:t>技术服务、技术培训、售后服务的内容和措施；</w:t>
      </w:r>
    </w:p>
    <w:p w14:paraId="100D89DF">
      <w:pPr>
        <w:pStyle w:val="127"/>
        <w:numPr>
          <w:ilvl w:val="1"/>
          <w:numId w:val="22"/>
        </w:numPr>
        <w:snapToGrid w:val="0"/>
        <w:spacing w:after="0" w:line="360" w:lineRule="auto"/>
        <w:ind w:left="0" w:firstLine="420"/>
        <w:jc w:val="left"/>
        <w:rPr>
          <w:rFonts w:ascii="微软雅黑" w:hAnsi="微软雅黑" w:eastAsia="微软雅黑"/>
          <w:highlight w:val="none"/>
        </w:rPr>
      </w:pPr>
      <w:r>
        <w:rPr>
          <w:rFonts w:ascii="微软雅黑" w:hAnsi="微软雅黑" w:eastAsia="微软雅黑"/>
          <w:highlight w:val="none"/>
        </w:rPr>
        <w:t>投标人对本项目的合理化建议和改进措施；</w:t>
      </w:r>
    </w:p>
    <w:p w14:paraId="2806CF5C">
      <w:pPr>
        <w:pStyle w:val="127"/>
        <w:numPr>
          <w:ilvl w:val="1"/>
          <w:numId w:val="22"/>
        </w:numPr>
        <w:snapToGrid w:val="0"/>
        <w:spacing w:after="0" w:line="360" w:lineRule="auto"/>
        <w:ind w:left="0" w:firstLine="420"/>
        <w:jc w:val="left"/>
        <w:rPr>
          <w:rFonts w:ascii="微软雅黑" w:hAnsi="微软雅黑" w:eastAsia="微软雅黑"/>
          <w:highlight w:val="none"/>
        </w:rPr>
      </w:pPr>
      <w:r>
        <w:rPr>
          <w:rFonts w:ascii="微软雅黑" w:hAnsi="微软雅黑" w:eastAsia="微软雅黑"/>
          <w:highlight w:val="none"/>
        </w:rPr>
        <w:t>投标人需要说明的其他文件和说明（格式</w:t>
      </w:r>
      <w:r>
        <w:rPr>
          <w:rFonts w:hint="eastAsia" w:ascii="微软雅黑" w:hAnsi="微软雅黑" w:eastAsia="微软雅黑"/>
          <w:highlight w:val="none"/>
        </w:rPr>
        <w:t>自拟</w:t>
      </w:r>
      <w:r>
        <w:rPr>
          <w:rFonts w:ascii="微软雅黑" w:hAnsi="微软雅黑" w:eastAsia="微软雅黑"/>
          <w:highlight w:val="none"/>
        </w:rPr>
        <w:t>）。</w:t>
      </w:r>
    </w:p>
    <w:p w14:paraId="0A4EA7F8">
      <w:pPr>
        <w:pStyle w:val="127"/>
        <w:numPr>
          <w:ilvl w:val="1"/>
          <w:numId w:val="22"/>
        </w:numPr>
        <w:snapToGrid w:val="0"/>
        <w:spacing w:after="0" w:line="360" w:lineRule="auto"/>
        <w:ind w:left="0" w:firstLine="420"/>
        <w:jc w:val="left"/>
        <w:rPr>
          <w:rFonts w:ascii="微软雅黑" w:hAnsi="微软雅黑" w:eastAsia="微软雅黑"/>
          <w:highlight w:val="none"/>
        </w:rPr>
      </w:pPr>
      <w:r>
        <w:rPr>
          <w:rFonts w:hint="eastAsia" w:ascii="微软雅黑" w:hAnsi="微软雅黑" w:eastAsia="微软雅黑"/>
          <w:highlight w:val="none"/>
        </w:rPr>
        <w:t>未尽事宜请各供应商按评分细则制作技术部份。</w:t>
      </w:r>
    </w:p>
    <w:p w14:paraId="747129EE">
      <w:pPr>
        <w:numPr>
          <w:ilvl w:val="0"/>
          <w:numId w:val="21"/>
        </w:numPr>
        <w:spacing w:after="0" w:line="500" w:lineRule="exact"/>
        <w:jc w:val="left"/>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投标报价文件：</w:t>
      </w:r>
    </w:p>
    <w:p w14:paraId="6CD2D2D0">
      <w:pPr>
        <w:pStyle w:val="127"/>
        <w:numPr>
          <w:ilvl w:val="0"/>
          <w:numId w:val="23"/>
        </w:numPr>
        <w:snapToGrid w:val="0"/>
        <w:spacing w:after="0" w:line="500" w:lineRule="exact"/>
        <w:ind w:firstLineChars="0"/>
        <w:rPr>
          <w:rFonts w:ascii="微软雅黑" w:hAnsi="微软雅黑" w:eastAsia="微软雅黑" w:cs="微软雅黑"/>
          <w:vanish/>
          <w:highlight w:val="none"/>
        </w:rPr>
      </w:pPr>
    </w:p>
    <w:p w14:paraId="20A4F8F3">
      <w:pPr>
        <w:pStyle w:val="127"/>
        <w:numPr>
          <w:ilvl w:val="1"/>
          <w:numId w:val="23"/>
        </w:numPr>
        <w:snapToGrid w:val="0"/>
        <w:spacing w:after="0" w:line="500" w:lineRule="exact"/>
        <w:ind w:left="993" w:firstLineChars="0"/>
        <w:rPr>
          <w:rFonts w:ascii="微软雅黑" w:hAnsi="微软雅黑" w:eastAsia="微软雅黑" w:cs="微软雅黑"/>
          <w:highlight w:val="none"/>
        </w:rPr>
      </w:pPr>
      <w:r>
        <w:rPr>
          <w:rFonts w:hint="eastAsia" w:ascii="微软雅黑" w:hAnsi="微软雅黑" w:eastAsia="微软雅黑" w:cs="微软雅黑"/>
          <w:highlight w:val="none"/>
        </w:rPr>
        <w:t>▲报价一览表（初次报价）；</w:t>
      </w:r>
    </w:p>
    <w:p w14:paraId="178BB687">
      <w:pPr>
        <w:pStyle w:val="127"/>
        <w:numPr>
          <w:ilvl w:val="1"/>
          <w:numId w:val="23"/>
        </w:numPr>
        <w:snapToGrid w:val="0"/>
        <w:spacing w:after="0" w:line="500" w:lineRule="exact"/>
        <w:ind w:left="0" w:firstLine="426" w:firstLineChars="0"/>
        <w:rPr>
          <w:rFonts w:ascii="微软雅黑" w:hAnsi="微软雅黑" w:eastAsia="微软雅黑" w:cs="微软雅黑"/>
          <w:highlight w:val="none"/>
        </w:rPr>
      </w:pPr>
      <w:r>
        <w:rPr>
          <w:rFonts w:hint="eastAsia" w:ascii="微软雅黑" w:hAnsi="微软雅黑" w:eastAsia="微软雅黑" w:cs="微软雅黑"/>
          <w:highlight w:val="none"/>
        </w:rPr>
        <w:t>供应商针对报价需要说明的其他文件和说明。</w:t>
      </w:r>
      <w:bookmarkEnd w:id="195"/>
      <w:bookmarkStart w:id="196" w:name="_Toc177824877"/>
      <w:bookmarkStart w:id="197" w:name="_Toc493699303"/>
      <w:bookmarkStart w:id="198" w:name="_Toc448487540"/>
      <w:bookmarkStart w:id="199" w:name="_Toc177824944"/>
      <w:bookmarkStart w:id="200" w:name="_Toc437979781"/>
      <w:bookmarkStart w:id="201" w:name="_Toc177870547"/>
      <w:bookmarkStart w:id="202" w:name="_Toc177825125"/>
      <w:bookmarkStart w:id="203" w:name="_Toc192313112"/>
      <w:bookmarkStart w:id="204" w:name="_Toc493082119"/>
    </w:p>
    <w:p w14:paraId="7DE72C3C">
      <w:pPr>
        <w:pStyle w:val="29"/>
        <w:snapToGrid w:val="0"/>
        <w:spacing w:after="0" w:line="500" w:lineRule="exact"/>
        <w:ind w:firstLine="412" w:firstLineChars="196"/>
        <w:outlineLvl w:val="1"/>
        <w:rPr>
          <w:rFonts w:ascii="微软雅黑" w:hAnsi="微软雅黑" w:eastAsia="微软雅黑" w:cs="微软雅黑"/>
          <w:b/>
          <w:szCs w:val="21"/>
          <w:highlight w:val="none"/>
        </w:rPr>
      </w:pPr>
      <w:bookmarkStart w:id="205" w:name="_Toc100764222"/>
      <w:r>
        <w:rPr>
          <w:rFonts w:hint="eastAsia" w:ascii="微软雅黑" w:hAnsi="微软雅黑" w:eastAsia="微软雅黑" w:cs="微软雅黑"/>
          <w:b/>
          <w:szCs w:val="21"/>
          <w:highlight w:val="none"/>
        </w:rPr>
        <w:t>（三）、磋商响应文件的语言及计量</w:t>
      </w:r>
      <w:bookmarkEnd w:id="196"/>
      <w:bookmarkEnd w:id="197"/>
      <w:bookmarkEnd w:id="198"/>
      <w:bookmarkEnd w:id="199"/>
      <w:bookmarkEnd w:id="200"/>
      <w:bookmarkEnd w:id="201"/>
      <w:bookmarkEnd w:id="202"/>
      <w:bookmarkEnd w:id="203"/>
      <w:bookmarkEnd w:id="204"/>
      <w:bookmarkEnd w:id="205"/>
      <w:bookmarkStart w:id="206" w:name="_Toc53062692"/>
      <w:bookmarkStart w:id="207" w:name="_Toc40788030"/>
      <w:bookmarkStart w:id="208" w:name="_Toc89266818"/>
    </w:p>
    <w:p w14:paraId="225B637A">
      <w:pPr>
        <w:spacing w:after="0" w:line="500" w:lineRule="exact"/>
        <w:ind w:firstLine="405"/>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3.1、▲磋商计量单位，除磋商文件中有特殊要求外，应采用中华人民共和国法定计量单位，货币单位：人民币元。</w:t>
      </w:r>
      <w:bookmarkEnd w:id="206"/>
      <w:bookmarkEnd w:id="207"/>
      <w:bookmarkEnd w:id="208"/>
      <w:bookmarkStart w:id="209" w:name="_Toc493699304"/>
      <w:bookmarkStart w:id="210" w:name="_Toc177870548"/>
      <w:bookmarkStart w:id="211" w:name="_Toc437979782"/>
      <w:bookmarkStart w:id="212" w:name="_Toc448487541"/>
      <w:bookmarkStart w:id="213" w:name="_Toc177824878"/>
      <w:bookmarkStart w:id="214" w:name="_Toc177824945"/>
      <w:bookmarkStart w:id="215" w:name="_Toc493082120"/>
      <w:bookmarkStart w:id="216" w:name="_Toc192313113"/>
      <w:bookmarkStart w:id="217" w:name="_Toc177825126"/>
    </w:p>
    <w:p w14:paraId="25D7F8DE">
      <w:pPr>
        <w:snapToGrid w:val="0"/>
        <w:spacing w:after="0" w:line="500" w:lineRule="exact"/>
        <w:ind w:firstLine="420" w:firstLineChars="200"/>
        <w:jc w:val="left"/>
        <w:outlineLvl w:val="1"/>
        <w:rPr>
          <w:rFonts w:ascii="微软雅黑" w:hAnsi="微软雅黑" w:eastAsia="微软雅黑" w:cs="微软雅黑"/>
          <w:b/>
          <w:szCs w:val="21"/>
          <w:highlight w:val="none"/>
        </w:rPr>
      </w:pPr>
      <w:bookmarkStart w:id="218" w:name="_Toc53062693"/>
      <w:bookmarkStart w:id="219" w:name="_Toc89266819"/>
      <w:bookmarkStart w:id="220" w:name="_Toc100764223"/>
      <w:bookmarkStart w:id="221" w:name="_Toc40788031"/>
      <w:r>
        <w:rPr>
          <w:rFonts w:hint="eastAsia" w:ascii="微软雅黑" w:hAnsi="微软雅黑" w:eastAsia="微软雅黑" w:cs="微软雅黑"/>
          <w:b/>
          <w:szCs w:val="21"/>
          <w:highlight w:val="none"/>
        </w:rPr>
        <w:t>（四）、磋商响应报价</w:t>
      </w:r>
      <w:bookmarkEnd w:id="209"/>
      <w:bookmarkEnd w:id="210"/>
      <w:bookmarkEnd w:id="211"/>
      <w:bookmarkEnd w:id="212"/>
      <w:bookmarkEnd w:id="213"/>
      <w:bookmarkEnd w:id="214"/>
      <w:bookmarkEnd w:id="215"/>
      <w:bookmarkEnd w:id="216"/>
      <w:bookmarkEnd w:id="217"/>
      <w:bookmarkEnd w:id="218"/>
      <w:bookmarkEnd w:id="219"/>
      <w:bookmarkEnd w:id="220"/>
      <w:bookmarkEnd w:id="221"/>
      <w:bookmarkStart w:id="222" w:name="_Toc89266820"/>
      <w:bookmarkStart w:id="223" w:name="_Toc40788032"/>
      <w:bookmarkStart w:id="224" w:name="_Toc53062694"/>
    </w:p>
    <w:p w14:paraId="628199BD">
      <w:pPr>
        <w:spacing w:after="0" w:line="500" w:lineRule="exact"/>
        <w:ind w:firstLine="424" w:firstLineChars="202"/>
        <w:rPr>
          <w:rFonts w:ascii="微软雅黑" w:hAnsi="微软雅黑" w:eastAsia="微软雅黑" w:cs="微软雅黑"/>
          <w:szCs w:val="21"/>
          <w:highlight w:val="none"/>
        </w:rPr>
      </w:pPr>
      <w:r>
        <w:rPr>
          <w:rFonts w:hint="eastAsia" w:ascii="微软雅黑" w:hAnsi="微软雅黑" w:eastAsia="微软雅黑" w:cs="微软雅黑"/>
          <w:szCs w:val="21"/>
          <w:highlight w:val="none"/>
        </w:rPr>
        <w:t>4.1、磋商响应报价应按磋商文件中相关附表格式填写。</w:t>
      </w:r>
      <w:bookmarkEnd w:id="222"/>
      <w:bookmarkEnd w:id="223"/>
      <w:bookmarkEnd w:id="224"/>
      <w:bookmarkStart w:id="225" w:name="_Toc53062695"/>
      <w:bookmarkStart w:id="226" w:name="_Toc89266821"/>
      <w:bookmarkStart w:id="227" w:name="_Toc40788033"/>
    </w:p>
    <w:p w14:paraId="322AE552">
      <w:pPr>
        <w:spacing w:after="0" w:line="500" w:lineRule="exact"/>
        <w:ind w:firstLine="424" w:firstLineChars="202"/>
        <w:rPr>
          <w:rFonts w:ascii="微软雅黑" w:hAnsi="微软雅黑" w:eastAsia="微软雅黑" w:cs="微软雅黑"/>
          <w:szCs w:val="21"/>
          <w:highlight w:val="none"/>
        </w:rPr>
      </w:pPr>
      <w:r>
        <w:rPr>
          <w:rFonts w:hint="eastAsia" w:ascii="微软雅黑" w:hAnsi="微软雅黑" w:eastAsia="微软雅黑" w:cs="微软雅黑"/>
          <w:szCs w:val="21"/>
          <w:highlight w:val="none"/>
        </w:rPr>
        <w:t>4.2、▲</w:t>
      </w:r>
      <w:bookmarkEnd w:id="225"/>
      <w:bookmarkEnd w:id="226"/>
      <w:bookmarkEnd w:id="227"/>
      <w:bookmarkStart w:id="228" w:name="_Toc40788034"/>
      <w:bookmarkStart w:id="229" w:name="_Toc53062696"/>
      <w:bookmarkStart w:id="230" w:name="_Toc89266822"/>
      <w:r>
        <w:rPr>
          <w:rFonts w:hint="eastAsia" w:ascii="微软雅黑" w:hAnsi="微软雅黑" w:eastAsia="微软雅黑"/>
          <w:szCs w:val="21"/>
          <w:highlight w:val="none"/>
        </w:rPr>
        <w:t>报价应包括人工费用、设备、劳务、管理、材料、维护、利润、税金及政策性文件规定等各项应有费用， 以及为完成本项目所需要的全部费用</w:t>
      </w:r>
      <w:r>
        <w:rPr>
          <w:rFonts w:hint="eastAsia" w:ascii="微软雅黑" w:hAnsi="微软雅黑" w:eastAsia="微软雅黑" w:cs="微软雅黑"/>
          <w:szCs w:val="21"/>
          <w:highlight w:val="none"/>
        </w:rPr>
        <w:t>。</w:t>
      </w:r>
    </w:p>
    <w:p w14:paraId="060256B4">
      <w:pPr>
        <w:spacing w:after="0" w:line="500" w:lineRule="exact"/>
        <w:ind w:firstLine="424" w:firstLineChars="202"/>
        <w:rPr>
          <w:rFonts w:ascii="微软雅黑" w:hAnsi="微软雅黑" w:eastAsia="微软雅黑" w:cs="微软雅黑"/>
          <w:szCs w:val="21"/>
          <w:highlight w:val="none"/>
        </w:rPr>
      </w:pPr>
      <w:r>
        <w:rPr>
          <w:rFonts w:hint="eastAsia" w:ascii="微软雅黑" w:hAnsi="微软雅黑" w:eastAsia="微软雅黑" w:cs="微软雅黑"/>
          <w:szCs w:val="21"/>
          <w:highlight w:val="none"/>
        </w:rPr>
        <w:t>4.3、▲磋商响应报价只允许有一个报价，有选择的报价将不予接受。</w:t>
      </w:r>
      <w:bookmarkEnd w:id="228"/>
      <w:bookmarkEnd w:id="229"/>
      <w:bookmarkEnd w:id="230"/>
    </w:p>
    <w:p w14:paraId="012111B3">
      <w:pPr>
        <w:snapToGrid w:val="0"/>
        <w:spacing w:after="0" w:line="500" w:lineRule="exact"/>
        <w:ind w:firstLine="420" w:firstLineChars="200"/>
        <w:jc w:val="left"/>
        <w:outlineLvl w:val="1"/>
        <w:rPr>
          <w:rFonts w:ascii="微软雅黑" w:hAnsi="微软雅黑" w:eastAsia="微软雅黑" w:cs="微软雅黑"/>
          <w:b/>
          <w:szCs w:val="21"/>
          <w:highlight w:val="none"/>
        </w:rPr>
      </w:pPr>
      <w:bookmarkStart w:id="231" w:name="_Toc40788035"/>
      <w:bookmarkStart w:id="232" w:name="_Toc53062697"/>
      <w:bookmarkStart w:id="233" w:name="_Toc89266823"/>
      <w:bookmarkStart w:id="234" w:name="_Toc100764224"/>
      <w:r>
        <w:rPr>
          <w:rFonts w:hint="eastAsia" w:ascii="微软雅黑" w:hAnsi="微软雅黑" w:eastAsia="微软雅黑" w:cs="微软雅黑"/>
          <w:b/>
          <w:szCs w:val="21"/>
          <w:highlight w:val="none"/>
        </w:rPr>
        <w:t>（五）、磋商响应文件的有效期</w:t>
      </w:r>
      <w:bookmarkEnd w:id="231"/>
      <w:bookmarkEnd w:id="232"/>
      <w:bookmarkEnd w:id="233"/>
      <w:bookmarkEnd w:id="234"/>
    </w:p>
    <w:p w14:paraId="41C41FE3">
      <w:pPr>
        <w:spacing w:after="0" w:line="500" w:lineRule="exact"/>
        <w:ind w:firstLine="424" w:firstLineChars="202"/>
        <w:rPr>
          <w:rFonts w:ascii="微软雅黑" w:hAnsi="微软雅黑" w:eastAsia="微软雅黑" w:cs="微软雅黑"/>
          <w:szCs w:val="21"/>
          <w:highlight w:val="none"/>
        </w:rPr>
      </w:pPr>
      <w:bookmarkStart w:id="235" w:name="_Toc40788036"/>
      <w:bookmarkStart w:id="236" w:name="_Toc53062698"/>
      <w:bookmarkStart w:id="237" w:name="_Toc89266824"/>
      <w:r>
        <w:rPr>
          <w:rFonts w:hint="eastAsia" w:ascii="微软雅黑" w:hAnsi="微软雅黑" w:eastAsia="微软雅黑" w:cs="微软雅黑"/>
          <w:szCs w:val="21"/>
          <w:highlight w:val="none"/>
        </w:rPr>
        <w:t>5.1、▲自磋商响应截止日起 60天磋商响应文件应保持有效。如采购人认为必要可延长，但至总计最长不超过90 天。有效期短于这个规定期限的磋商响应文件将被拒绝。</w:t>
      </w:r>
      <w:bookmarkEnd w:id="235"/>
      <w:bookmarkEnd w:id="236"/>
      <w:bookmarkEnd w:id="237"/>
    </w:p>
    <w:p w14:paraId="21DD8155">
      <w:pPr>
        <w:spacing w:after="0" w:line="500" w:lineRule="exact"/>
        <w:ind w:firstLine="424" w:firstLineChars="202"/>
        <w:rPr>
          <w:rFonts w:ascii="微软雅黑" w:hAnsi="微软雅黑" w:eastAsia="微软雅黑" w:cs="微软雅黑"/>
          <w:szCs w:val="21"/>
          <w:highlight w:val="none"/>
        </w:rPr>
      </w:pPr>
      <w:bookmarkStart w:id="238" w:name="_Toc53062699"/>
      <w:bookmarkStart w:id="239" w:name="_Toc40788037"/>
      <w:bookmarkStart w:id="240" w:name="_Toc89266825"/>
      <w:r>
        <w:rPr>
          <w:rFonts w:hint="eastAsia" w:ascii="微软雅黑" w:hAnsi="微软雅黑" w:eastAsia="微软雅黑" w:cs="微软雅黑"/>
          <w:szCs w:val="21"/>
          <w:highlight w:val="none"/>
        </w:rPr>
        <w:t>5.2、在特殊情况下，磋商人可与供应商协商延长磋商响应文件的有效期，这种要求和答复均以书面形式进行。</w:t>
      </w:r>
      <w:bookmarkEnd w:id="238"/>
      <w:bookmarkEnd w:id="239"/>
      <w:bookmarkEnd w:id="240"/>
      <w:bookmarkStart w:id="241" w:name="_Toc493699306"/>
      <w:bookmarkStart w:id="242" w:name="_Toc487802108"/>
      <w:bookmarkStart w:id="243" w:name="_Toc487802039"/>
      <w:bookmarkStart w:id="244" w:name="_Toc487793394"/>
      <w:bookmarkStart w:id="245" w:name="_Toc493082122"/>
      <w:bookmarkStart w:id="246" w:name="_Toc170792769"/>
      <w:bookmarkStart w:id="247" w:name="_Toc107820050"/>
    </w:p>
    <w:p w14:paraId="24CF3F5D">
      <w:pPr>
        <w:snapToGrid w:val="0"/>
        <w:spacing w:after="0" w:line="500" w:lineRule="exact"/>
        <w:ind w:firstLine="420" w:firstLineChars="200"/>
        <w:jc w:val="left"/>
        <w:outlineLvl w:val="1"/>
        <w:rPr>
          <w:rFonts w:ascii="微软雅黑" w:hAnsi="微软雅黑" w:eastAsia="微软雅黑" w:cs="微软雅黑"/>
          <w:b/>
          <w:szCs w:val="21"/>
          <w:highlight w:val="none"/>
        </w:rPr>
      </w:pPr>
      <w:bookmarkStart w:id="248" w:name="_Toc53062700"/>
      <w:bookmarkStart w:id="249" w:name="_Toc100764225"/>
      <w:bookmarkStart w:id="250" w:name="_Toc40788038"/>
      <w:bookmarkStart w:id="251" w:name="_Toc89266826"/>
      <w:r>
        <w:rPr>
          <w:rFonts w:hint="eastAsia" w:ascii="微软雅黑" w:hAnsi="微软雅黑" w:eastAsia="微软雅黑" w:cs="微软雅黑"/>
          <w:b/>
          <w:szCs w:val="21"/>
          <w:highlight w:val="none"/>
        </w:rPr>
        <w:t>（六）、下列情况，投标单位将由代理机构上报行政主管部门，接受行政主管部门的处罚：</w:t>
      </w:r>
      <w:bookmarkEnd w:id="241"/>
      <w:bookmarkEnd w:id="242"/>
      <w:bookmarkEnd w:id="243"/>
      <w:bookmarkEnd w:id="244"/>
      <w:bookmarkEnd w:id="245"/>
      <w:bookmarkEnd w:id="248"/>
      <w:bookmarkEnd w:id="249"/>
      <w:bookmarkEnd w:id="250"/>
      <w:bookmarkEnd w:id="251"/>
    </w:p>
    <w:p w14:paraId="558E7767">
      <w:pPr>
        <w:spacing w:after="0" w:line="500" w:lineRule="exact"/>
        <w:ind w:firstLine="424" w:firstLineChars="202"/>
        <w:rPr>
          <w:rFonts w:ascii="微软雅黑" w:hAnsi="微软雅黑" w:eastAsia="微软雅黑" w:cs="微软雅黑"/>
          <w:szCs w:val="21"/>
          <w:highlight w:val="none"/>
        </w:rPr>
      </w:pPr>
      <w:bookmarkStart w:id="252" w:name="_Toc53062701"/>
      <w:bookmarkStart w:id="253" w:name="_Toc40788039"/>
      <w:bookmarkStart w:id="254" w:name="_Toc89266827"/>
      <w:r>
        <w:rPr>
          <w:rFonts w:hint="eastAsia" w:ascii="微软雅黑" w:hAnsi="微软雅黑" w:eastAsia="微软雅黑" w:cs="微软雅黑"/>
          <w:szCs w:val="21"/>
          <w:highlight w:val="none"/>
        </w:rPr>
        <w:t>6.1、供应商在磋商响应文件有效期内撤回磋商响应文件的；</w:t>
      </w:r>
      <w:bookmarkEnd w:id="252"/>
      <w:bookmarkEnd w:id="253"/>
      <w:bookmarkEnd w:id="254"/>
    </w:p>
    <w:p w14:paraId="73E4D891">
      <w:pPr>
        <w:spacing w:after="0" w:line="500" w:lineRule="exact"/>
        <w:ind w:firstLine="424" w:firstLineChars="202"/>
        <w:rPr>
          <w:rFonts w:ascii="微软雅黑" w:hAnsi="微软雅黑" w:eastAsia="微软雅黑" w:cs="微软雅黑"/>
          <w:szCs w:val="21"/>
          <w:highlight w:val="none"/>
        </w:rPr>
      </w:pPr>
      <w:bookmarkStart w:id="255" w:name="_Toc40788040"/>
      <w:bookmarkStart w:id="256" w:name="_Toc89266828"/>
      <w:bookmarkStart w:id="257" w:name="_Toc53062702"/>
      <w:r>
        <w:rPr>
          <w:rFonts w:hint="eastAsia" w:ascii="微软雅黑" w:hAnsi="微软雅黑" w:eastAsia="微软雅黑" w:cs="微软雅黑"/>
          <w:szCs w:val="21"/>
          <w:highlight w:val="none"/>
        </w:rPr>
        <w:t>6.2、中标供应商未按规定的时间、地点与采购人签订合同的；</w:t>
      </w:r>
      <w:bookmarkEnd w:id="255"/>
      <w:bookmarkEnd w:id="256"/>
      <w:bookmarkEnd w:id="257"/>
    </w:p>
    <w:p w14:paraId="39562B89">
      <w:pPr>
        <w:spacing w:after="0" w:line="500" w:lineRule="exact"/>
        <w:ind w:firstLine="424" w:firstLineChars="202"/>
        <w:rPr>
          <w:rFonts w:ascii="微软雅黑" w:hAnsi="微软雅黑" w:eastAsia="微软雅黑" w:cs="微软雅黑"/>
          <w:szCs w:val="21"/>
          <w:highlight w:val="none"/>
        </w:rPr>
      </w:pPr>
      <w:bookmarkStart w:id="258" w:name="_Toc40788041"/>
      <w:bookmarkStart w:id="259" w:name="_Toc89266829"/>
      <w:bookmarkStart w:id="260" w:name="_Toc53062703"/>
      <w:r>
        <w:rPr>
          <w:rFonts w:hint="eastAsia" w:ascii="微软雅黑" w:hAnsi="微软雅黑" w:eastAsia="微软雅黑" w:cs="微软雅黑"/>
          <w:szCs w:val="21"/>
          <w:highlight w:val="none"/>
        </w:rPr>
        <w:t>6.3、供应商在磋商过程中弄虚作假，提供虚假材料；</w:t>
      </w:r>
      <w:bookmarkEnd w:id="258"/>
      <w:bookmarkEnd w:id="259"/>
      <w:bookmarkEnd w:id="260"/>
    </w:p>
    <w:p w14:paraId="555963D6">
      <w:pPr>
        <w:spacing w:after="0" w:line="500" w:lineRule="exact"/>
        <w:ind w:firstLine="424" w:firstLineChars="202"/>
        <w:rPr>
          <w:rFonts w:ascii="微软雅黑" w:hAnsi="微软雅黑" w:eastAsia="微软雅黑" w:cs="微软雅黑"/>
          <w:szCs w:val="21"/>
          <w:highlight w:val="none"/>
        </w:rPr>
      </w:pPr>
      <w:bookmarkStart w:id="261" w:name="_Toc40788042"/>
      <w:bookmarkStart w:id="262" w:name="_Toc53062704"/>
      <w:bookmarkStart w:id="263" w:name="_Toc89266830"/>
      <w:r>
        <w:rPr>
          <w:rFonts w:hint="eastAsia" w:ascii="微软雅黑" w:hAnsi="微软雅黑" w:eastAsia="微软雅黑" w:cs="微软雅黑"/>
          <w:szCs w:val="21"/>
          <w:highlight w:val="none"/>
        </w:rPr>
        <w:t>6.4、其他严重扰乱竞争性磋商程序的；</w:t>
      </w:r>
      <w:bookmarkEnd w:id="261"/>
      <w:bookmarkEnd w:id="262"/>
      <w:bookmarkEnd w:id="263"/>
      <w:bookmarkStart w:id="264" w:name="_Toc177824881"/>
      <w:bookmarkStart w:id="265" w:name="_Toc192313116"/>
      <w:bookmarkStart w:id="266" w:name="_Toc177825129"/>
      <w:bookmarkStart w:id="267" w:name="_Toc177870551"/>
      <w:bookmarkStart w:id="268" w:name="_Toc177824948"/>
    </w:p>
    <w:p w14:paraId="5CE524DC">
      <w:pPr>
        <w:snapToGrid w:val="0"/>
        <w:spacing w:after="0" w:line="500" w:lineRule="exact"/>
        <w:ind w:firstLine="420" w:firstLineChars="200"/>
        <w:jc w:val="left"/>
        <w:outlineLvl w:val="1"/>
        <w:rPr>
          <w:rFonts w:ascii="微软雅黑" w:hAnsi="微软雅黑" w:eastAsia="微软雅黑" w:cs="微软雅黑"/>
          <w:b/>
          <w:szCs w:val="21"/>
          <w:highlight w:val="none"/>
        </w:rPr>
      </w:pPr>
      <w:bookmarkStart w:id="269" w:name="_Toc100764226"/>
      <w:bookmarkStart w:id="270" w:name="_Toc89266831"/>
      <w:bookmarkStart w:id="271" w:name="_Toc40788043"/>
      <w:bookmarkStart w:id="272" w:name="_Toc53062705"/>
      <w:r>
        <w:rPr>
          <w:rFonts w:hint="eastAsia" w:ascii="微软雅黑" w:hAnsi="微软雅黑" w:eastAsia="微软雅黑" w:cs="微软雅黑"/>
          <w:b/>
          <w:szCs w:val="21"/>
          <w:highlight w:val="none"/>
        </w:rPr>
        <w:t>（七）、磋商响应文件的签署和份数</w:t>
      </w:r>
      <w:bookmarkEnd w:id="264"/>
      <w:bookmarkEnd w:id="265"/>
      <w:bookmarkEnd w:id="266"/>
      <w:bookmarkEnd w:id="267"/>
      <w:bookmarkEnd w:id="268"/>
      <w:bookmarkEnd w:id="269"/>
      <w:bookmarkEnd w:id="270"/>
      <w:bookmarkEnd w:id="271"/>
      <w:bookmarkEnd w:id="272"/>
      <w:bookmarkStart w:id="273" w:name="_Toc493082123"/>
      <w:bookmarkStart w:id="274" w:name="_Toc493699307"/>
      <w:bookmarkStart w:id="275" w:name="_Toc487802040"/>
      <w:bookmarkStart w:id="276" w:name="_Toc177870552"/>
      <w:bookmarkStart w:id="277" w:name="_Toc448487544"/>
      <w:bookmarkStart w:id="278" w:name="_Toc192313117"/>
      <w:bookmarkStart w:id="279" w:name="_Toc487793395"/>
      <w:bookmarkStart w:id="280" w:name="_Toc487802109"/>
      <w:bookmarkStart w:id="281" w:name="_Toc437979785"/>
    </w:p>
    <w:p w14:paraId="6EBA0C07">
      <w:pPr>
        <w:spacing w:after="0" w:line="500" w:lineRule="exact"/>
        <w:ind w:firstLine="424" w:firstLineChars="202"/>
        <w:rPr>
          <w:rFonts w:ascii="微软雅黑" w:hAnsi="微软雅黑" w:eastAsia="微软雅黑" w:cs="微软雅黑"/>
          <w:b/>
          <w:bCs/>
          <w:szCs w:val="21"/>
          <w:highlight w:val="none"/>
        </w:rPr>
      </w:pPr>
      <w:bookmarkStart w:id="282" w:name="_Toc89266832"/>
      <w:bookmarkStart w:id="283" w:name="_Toc40788044"/>
      <w:bookmarkStart w:id="284" w:name="_Toc53062706"/>
      <w:r>
        <w:rPr>
          <w:rFonts w:hint="eastAsia" w:ascii="微软雅黑" w:hAnsi="微软雅黑" w:eastAsia="微软雅黑" w:cs="微软雅黑"/>
          <w:szCs w:val="21"/>
          <w:highlight w:val="none"/>
        </w:rPr>
        <w:t>竞争性磋商响应文件的形式：</w:t>
      </w:r>
      <w:r>
        <w:rPr>
          <w:rFonts w:hint="eastAsia" w:ascii="微软雅黑" w:hAnsi="微软雅黑" w:eastAsia="微软雅黑" w:cs="微软雅黑"/>
          <w:b/>
          <w:bCs/>
          <w:szCs w:val="21"/>
          <w:highlight w:val="none"/>
        </w:rPr>
        <w:t>☑电子竞争性磋商响应文件（包括“电子加密竞争性磋商响应文件”和“备份竞争性磋商响应文件”，在竞争性磋商响应文件编制完成后同时生成）；</w:t>
      </w:r>
      <w:bookmarkEnd w:id="282"/>
      <w:bookmarkEnd w:id="283"/>
      <w:bookmarkEnd w:id="284"/>
    </w:p>
    <w:p w14:paraId="6D4EFFEB">
      <w:pPr>
        <w:spacing w:after="0" w:line="500" w:lineRule="exact"/>
        <w:ind w:firstLine="424" w:firstLineChars="202"/>
        <w:rPr>
          <w:rFonts w:ascii="微软雅黑" w:hAnsi="微软雅黑" w:eastAsia="微软雅黑" w:cs="微软雅黑"/>
          <w:b/>
          <w:bCs/>
          <w:szCs w:val="21"/>
          <w:highlight w:val="none"/>
        </w:rPr>
      </w:pPr>
      <w:bookmarkStart w:id="285" w:name="_Toc40788045"/>
      <w:bookmarkStart w:id="286" w:name="_Toc89266833"/>
      <w:bookmarkStart w:id="287" w:name="_Toc53062707"/>
      <w:r>
        <w:rPr>
          <w:rFonts w:hint="eastAsia" w:ascii="微软雅黑" w:hAnsi="微软雅黑" w:eastAsia="微软雅黑" w:cs="微软雅黑"/>
          <w:b/>
          <w:bCs/>
          <w:szCs w:val="21"/>
          <w:highlight w:val="none"/>
        </w:rPr>
        <w:t>（1）“电子加密竞争性磋商响应文件”是指通过“政采云电子交易客户端”完成竞争性磋商响应文件编制后生成并加密的数据电文形式的竞争性磋商响应文件。</w:t>
      </w:r>
      <w:bookmarkEnd w:id="285"/>
      <w:bookmarkEnd w:id="286"/>
      <w:bookmarkEnd w:id="287"/>
    </w:p>
    <w:p w14:paraId="41B4D823">
      <w:pPr>
        <w:spacing w:after="0" w:line="500" w:lineRule="exact"/>
        <w:ind w:firstLine="424" w:firstLineChars="202"/>
        <w:rPr>
          <w:rFonts w:ascii="微软雅黑" w:hAnsi="微软雅黑" w:eastAsia="微软雅黑" w:cs="微软雅黑"/>
          <w:b/>
          <w:bCs/>
          <w:szCs w:val="21"/>
          <w:highlight w:val="none"/>
        </w:rPr>
      </w:pPr>
      <w:bookmarkStart w:id="288" w:name="_Toc40788046"/>
      <w:bookmarkStart w:id="289" w:name="_Toc89266834"/>
      <w:bookmarkStart w:id="290" w:name="_Toc53062708"/>
      <w:r>
        <w:rPr>
          <w:rFonts w:hint="eastAsia" w:ascii="微软雅黑" w:hAnsi="微软雅黑" w:eastAsia="微软雅黑" w:cs="微软雅黑"/>
          <w:b/>
          <w:bCs/>
          <w:szCs w:val="21"/>
          <w:highlight w:val="none"/>
        </w:rPr>
        <w:t>（2）“备份竞争性磋商响应文件”是指与“电子加密竞争性磋商响应文件”同时生成的数据电文形式的电子文件（备份标书），其他方式编制的备份竞争性磋商响应文件视为无效备份竞争性磋商响应文件。</w:t>
      </w:r>
      <w:bookmarkEnd w:id="288"/>
      <w:bookmarkEnd w:id="289"/>
      <w:bookmarkEnd w:id="290"/>
    </w:p>
    <w:p w14:paraId="31B275C8">
      <w:pPr>
        <w:snapToGrid w:val="0"/>
        <w:spacing w:after="0" w:line="500" w:lineRule="exact"/>
        <w:ind w:firstLine="420" w:firstLineChars="200"/>
        <w:jc w:val="left"/>
        <w:outlineLvl w:val="1"/>
        <w:rPr>
          <w:rFonts w:ascii="微软雅黑" w:hAnsi="微软雅黑" w:eastAsia="微软雅黑" w:cs="微软雅黑"/>
          <w:b/>
          <w:bCs/>
          <w:szCs w:val="21"/>
          <w:highlight w:val="none"/>
        </w:rPr>
      </w:pPr>
      <w:bookmarkStart w:id="291" w:name="_Toc53062709"/>
      <w:bookmarkStart w:id="292" w:name="_Toc40788047"/>
      <w:bookmarkStart w:id="293" w:name="_Toc89266835"/>
      <w:bookmarkStart w:id="294" w:name="_Toc100764227"/>
      <w:r>
        <w:rPr>
          <w:rFonts w:hint="eastAsia" w:ascii="微软雅黑" w:hAnsi="微软雅黑" w:eastAsia="微软雅黑" w:cs="微软雅黑"/>
          <w:b/>
          <w:szCs w:val="21"/>
          <w:highlight w:val="none"/>
        </w:rPr>
        <w:t>（八）、</w:t>
      </w:r>
      <w:r>
        <w:rPr>
          <w:rFonts w:hint="eastAsia" w:ascii="微软雅黑" w:hAnsi="微软雅黑" w:eastAsia="微软雅黑" w:cs="微软雅黑"/>
          <w:b/>
          <w:bCs/>
          <w:szCs w:val="21"/>
          <w:highlight w:val="none"/>
        </w:rPr>
        <w:t>竞争性磋商响应文件的上传和递交：</w:t>
      </w:r>
      <w:bookmarkEnd w:id="291"/>
      <w:bookmarkEnd w:id="292"/>
      <w:bookmarkEnd w:id="293"/>
      <w:bookmarkEnd w:id="294"/>
    </w:p>
    <w:p w14:paraId="68C6DEC3">
      <w:pPr>
        <w:spacing w:after="0" w:line="500" w:lineRule="exact"/>
        <w:ind w:left="2" w:firstLine="424" w:firstLineChars="202"/>
        <w:rPr>
          <w:rFonts w:ascii="微软雅黑" w:hAnsi="微软雅黑" w:eastAsia="微软雅黑" w:cs="微软雅黑"/>
          <w:b/>
          <w:bCs/>
          <w:szCs w:val="21"/>
          <w:highlight w:val="none"/>
        </w:rPr>
      </w:pPr>
      <w:bookmarkStart w:id="295" w:name="_Toc89266836"/>
      <w:bookmarkStart w:id="296" w:name="_Toc40788048"/>
      <w:bookmarkStart w:id="297" w:name="_Toc53062710"/>
      <w:r>
        <w:rPr>
          <w:rFonts w:hint="eastAsia" w:ascii="微软雅黑" w:hAnsi="微软雅黑" w:eastAsia="微软雅黑" w:cs="微软雅黑"/>
          <w:b/>
          <w:bCs/>
          <w:szCs w:val="21"/>
          <w:highlight w:val="none"/>
        </w:rPr>
        <w:t>（1）“电子加密竞争性磋商响应文件”的上传、递交：</w:t>
      </w:r>
      <w:bookmarkEnd w:id="295"/>
      <w:bookmarkEnd w:id="296"/>
      <w:bookmarkEnd w:id="297"/>
    </w:p>
    <w:p w14:paraId="00AADC21">
      <w:pPr>
        <w:spacing w:after="0" w:line="500" w:lineRule="exact"/>
        <w:ind w:firstLine="424" w:firstLineChars="202"/>
        <w:rPr>
          <w:rFonts w:ascii="微软雅黑" w:hAnsi="微软雅黑" w:eastAsia="微软雅黑" w:cs="微软雅黑"/>
          <w:b/>
          <w:bCs/>
          <w:szCs w:val="21"/>
          <w:highlight w:val="none"/>
        </w:rPr>
      </w:pPr>
      <w:bookmarkStart w:id="298" w:name="_Toc53062711"/>
      <w:bookmarkStart w:id="299" w:name="_Toc89266837"/>
      <w:bookmarkStart w:id="300" w:name="_Toc40788049"/>
      <w:r>
        <w:rPr>
          <w:rFonts w:hint="eastAsia" w:ascii="微软雅黑" w:hAnsi="微软雅黑" w:eastAsia="微软雅黑" w:cs="微软雅黑"/>
          <w:b/>
          <w:bCs/>
          <w:szCs w:val="21"/>
          <w:highlight w:val="none"/>
        </w:rPr>
        <w:t>A、投标供应商应在投标截止时间前将“电子加密竞争性磋商响应文件”成功上传递交至“政府采购云平台”，否则投标无效。</w:t>
      </w:r>
      <w:bookmarkEnd w:id="298"/>
      <w:bookmarkEnd w:id="299"/>
      <w:bookmarkEnd w:id="300"/>
    </w:p>
    <w:p w14:paraId="0BBF6CD6">
      <w:pPr>
        <w:spacing w:after="0" w:line="500" w:lineRule="exact"/>
        <w:ind w:firstLine="424" w:firstLineChars="202"/>
        <w:rPr>
          <w:rFonts w:ascii="微软雅黑" w:hAnsi="微软雅黑" w:eastAsia="微软雅黑" w:cs="微软雅黑"/>
          <w:b/>
          <w:bCs/>
          <w:szCs w:val="21"/>
          <w:highlight w:val="none"/>
        </w:rPr>
      </w:pPr>
      <w:bookmarkStart w:id="301" w:name="_Toc40788050"/>
      <w:bookmarkStart w:id="302" w:name="_Toc89266838"/>
      <w:bookmarkStart w:id="303" w:name="_Toc53062712"/>
      <w:r>
        <w:rPr>
          <w:rFonts w:hint="eastAsia" w:ascii="微软雅黑" w:hAnsi="微软雅黑" w:eastAsia="微软雅黑" w:cs="微软雅黑"/>
          <w:b/>
          <w:bCs/>
          <w:szCs w:val="21"/>
          <w:highlight w:val="none"/>
        </w:rPr>
        <w:t>B、“电子加密竞争性磋商响应文件”成功上传递交后，供应商可自行打印竞争性磋商响应文件接收回执。</w:t>
      </w:r>
      <w:bookmarkEnd w:id="301"/>
      <w:bookmarkEnd w:id="302"/>
      <w:bookmarkEnd w:id="303"/>
    </w:p>
    <w:p w14:paraId="2DCDB192">
      <w:pPr>
        <w:spacing w:after="0" w:line="500" w:lineRule="exact"/>
        <w:ind w:firstLine="424" w:firstLineChars="202"/>
        <w:rPr>
          <w:rFonts w:ascii="微软雅黑" w:hAnsi="微软雅黑" w:eastAsia="微软雅黑" w:cs="微软雅黑"/>
          <w:b/>
          <w:bCs/>
          <w:szCs w:val="21"/>
          <w:highlight w:val="none"/>
        </w:rPr>
      </w:pPr>
      <w:bookmarkStart w:id="304" w:name="_Toc40788051"/>
      <w:bookmarkStart w:id="305" w:name="_Toc53062713"/>
      <w:bookmarkStart w:id="306" w:name="_Toc89266839"/>
      <w:r>
        <w:rPr>
          <w:rFonts w:hint="eastAsia" w:ascii="微软雅黑" w:hAnsi="微软雅黑" w:eastAsia="微软雅黑" w:cs="微软雅黑"/>
          <w:b/>
          <w:bCs/>
          <w:szCs w:val="21"/>
          <w:highlight w:val="none"/>
        </w:rPr>
        <w:t>（2）“备份竞争性磋商响应文件”的密封包装、递交：</w:t>
      </w:r>
      <w:bookmarkEnd w:id="304"/>
      <w:bookmarkEnd w:id="305"/>
      <w:bookmarkEnd w:id="306"/>
    </w:p>
    <w:p w14:paraId="03A88869">
      <w:pPr>
        <w:spacing w:after="0" w:line="500" w:lineRule="exact"/>
        <w:ind w:firstLine="424" w:firstLineChars="202"/>
        <w:rPr>
          <w:rFonts w:ascii="微软雅黑" w:hAnsi="微软雅黑" w:eastAsia="微软雅黑" w:cs="微软雅黑"/>
          <w:b/>
          <w:bCs/>
          <w:szCs w:val="21"/>
          <w:highlight w:val="none"/>
        </w:rPr>
      </w:pPr>
      <w:bookmarkStart w:id="307" w:name="_Toc40788052"/>
      <w:bookmarkStart w:id="308" w:name="_Toc89266840"/>
      <w:bookmarkStart w:id="309" w:name="_Toc53062714"/>
      <w:r>
        <w:rPr>
          <w:rFonts w:hint="eastAsia" w:ascii="微软雅黑" w:hAnsi="微软雅黑" w:eastAsia="微软雅黑" w:cs="微软雅黑"/>
          <w:b/>
          <w:bCs/>
          <w:szCs w:val="21"/>
          <w:highlight w:val="none"/>
        </w:rPr>
        <w:t>A、投标供应商在“政府采购云平台”完成“电子加密竞争性磋商响应文件”的上传递交后，还可以（邮寄形式）在投标截止时间前递交以介质（U盘）存储的“备份竞争性磋商响应文件”（一份）；</w:t>
      </w:r>
      <w:bookmarkEnd w:id="307"/>
      <w:bookmarkEnd w:id="308"/>
      <w:bookmarkEnd w:id="309"/>
    </w:p>
    <w:p w14:paraId="33C79BFA">
      <w:pPr>
        <w:spacing w:after="0" w:line="500" w:lineRule="exact"/>
        <w:ind w:firstLine="424" w:firstLineChars="202"/>
        <w:rPr>
          <w:rFonts w:ascii="微软雅黑" w:hAnsi="微软雅黑" w:eastAsia="微软雅黑" w:cs="微软雅黑"/>
          <w:b/>
          <w:bCs/>
          <w:szCs w:val="21"/>
          <w:highlight w:val="none"/>
        </w:rPr>
      </w:pPr>
      <w:bookmarkStart w:id="310" w:name="_Toc89266841"/>
      <w:bookmarkStart w:id="311" w:name="_Toc40788053"/>
      <w:bookmarkStart w:id="312" w:name="_Toc53062715"/>
      <w:r>
        <w:rPr>
          <w:rFonts w:hint="eastAsia" w:ascii="微软雅黑" w:hAnsi="微软雅黑" w:eastAsia="微软雅黑" w:cs="微软雅黑"/>
          <w:b/>
          <w:bCs/>
          <w:szCs w:val="21"/>
          <w:highlight w:val="none"/>
        </w:rPr>
        <w:t>B、“备份竞争性磋商响应文件”应当密封包装，并在包装上标注投标项目名称、投标单位名称并加盖公章。没有密封包装或者逾期邮寄送达至邮寄接收地点的“备份竞争性磋商响应文件”将不予接收；</w:t>
      </w:r>
      <w:bookmarkEnd w:id="310"/>
      <w:bookmarkEnd w:id="311"/>
      <w:bookmarkEnd w:id="312"/>
    </w:p>
    <w:p w14:paraId="34C28023">
      <w:pPr>
        <w:spacing w:after="0" w:line="500" w:lineRule="exact"/>
        <w:ind w:left="2" w:firstLine="424" w:firstLineChars="202"/>
        <w:rPr>
          <w:rFonts w:ascii="微软雅黑" w:hAnsi="微软雅黑" w:eastAsia="微软雅黑" w:cs="微软雅黑"/>
          <w:b/>
          <w:bCs/>
          <w:szCs w:val="21"/>
          <w:highlight w:val="none"/>
        </w:rPr>
      </w:pPr>
      <w:bookmarkStart w:id="313" w:name="_Toc89266842"/>
      <w:bookmarkStart w:id="314" w:name="_Toc40788054"/>
      <w:bookmarkStart w:id="315" w:name="_Toc53062716"/>
      <w:r>
        <w:rPr>
          <w:rFonts w:hint="eastAsia" w:ascii="微软雅黑" w:hAnsi="微软雅黑" w:eastAsia="微软雅黑" w:cs="微软雅黑"/>
          <w:b/>
          <w:bCs/>
          <w:szCs w:val="21"/>
          <w:highlight w:val="none"/>
        </w:rPr>
        <w:t>C、通过“政府采购云平台”成功上传递交的“电子加密竞争性磋商响应文件”已按时解密的，“备份竞争性磋商响应文件”自动失效。投标截止时间前，投标供应商仅递交了“备份竞争性磋商响应文件”而未将“电子加密竞争性磋商响应文件”成功上传至“政府采购云平台”的，投标无效。</w:t>
      </w:r>
      <w:bookmarkEnd w:id="313"/>
      <w:bookmarkEnd w:id="314"/>
      <w:bookmarkEnd w:id="315"/>
    </w:p>
    <w:p w14:paraId="3A9D3AAA">
      <w:pPr>
        <w:snapToGrid w:val="0"/>
        <w:spacing w:after="0" w:line="500" w:lineRule="exact"/>
        <w:ind w:firstLine="420" w:firstLineChars="200"/>
        <w:jc w:val="left"/>
        <w:outlineLvl w:val="1"/>
        <w:rPr>
          <w:rFonts w:ascii="微软雅黑" w:hAnsi="微软雅黑" w:eastAsia="微软雅黑" w:cs="微软雅黑"/>
          <w:b/>
          <w:szCs w:val="21"/>
          <w:highlight w:val="none"/>
        </w:rPr>
      </w:pPr>
      <w:bookmarkStart w:id="316" w:name="_Toc40788055"/>
      <w:bookmarkStart w:id="317" w:name="_Toc100764228"/>
      <w:bookmarkStart w:id="318" w:name="_Toc89266843"/>
      <w:bookmarkStart w:id="319" w:name="_Toc53062717"/>
      <w:r>
        <w:rPr>
          <w:rFonts w:hint="eastAsia" w:ascii="微软雅黑" w:hAnsi="微软雅黑" w:eastAsia="微软雅黑" w:cs="微软雅黑"/>
          <w:b/>
          <w:szCs w:val="21"/>
          <w:highlight w:val="none"/>
        </w:rPr>
        <w:t>（九）、无效响应文件条款：</w:t>
      </w:r>
      <w:bookmarkEnd w:id="273"/>
      <w:bookmarkEnd w:id="274"/>
      <w:bookmarkEnd w:id="275"/>
      <w:bookmarkEnd w:id="276"/>
      <w:bookmarkEnd w:id="277"/>
      <w:bookmarkEnd w:id="278"/>
      <w:bookmarkEnd w:id="279"/>
      <w:bookmarkEnd w:id="280"/>
      <w:bookmarkEnd w:id="281"/>
      <w:bookmarkEnd w:id="316"/>
      <w:bookmarkEnd w:id="317"/>
      <w:bookmarkEnd w:id="318"/>
      <w:bookmarkEnd w:id="319"/>
    </w:p>
    <w:p w14:paraId="1BD843E2">
      <w:pPr>
        <w:spacing w:after="0" w:line="500" w:lineRule="exact"/>
        <w:ind w:firstLine="424" w:firstLineChars="202"/>
        <w:rPr>
          <w:rFonts w:ascii="微软雅黑" w:hAnsi="微软雅黑" w:eastAsia="微软雅黑" w:cs="微软雅黑"/>
          <w:szCs w:val="21"/>
          <w:highlight w:val="none"/>
        </w:rPr>
      </w:pPr>
      <w:bookmarkStart w:id="320" w:name="_Toc89266844"/>
      <w:bookmarkStart w:id="321" w:name="_Toc53062718"/>
      <w:bookmarkStart w:id="322" w:name="_Toc40788056"/>
      <w:r>
        <w:rPr>
          <w:rFonts w:hint="eastAsia" w:ascii="微软雅黑" w:hAnsi="微软雅黑" w:eastAsia="微软雅黑" w:cs="微软雅黑"/>
          <w:szCs w:val="21"/>
          <w:highlight w:val="none"/>
        </w:rPr>
        <w:t>存在下列情况之一的,其磋商将响应文件被作无效文件处理:</w:t>
      </w:r>
      <w:bookmarkEnd w:id="320"/>
      <w:bookmarkEnd w:id="321"/>
      <w:bookmarkEnd w:id="322"/>
    </w:p>
    <w:p w14:paraId="3F77ACFD">
      <w:pPr>
        <w:spacing w:after="0" w:line="500" w:lineRule="exact"/>
        <w:ind w:firstLine="424" w:firstLineChars="202"/>
        <w:rPr>
          <w:rFonts w:ascii="微软雅黑" w:hAnsi="微软雅黑" w:eastAsia="微软雅黑" w:cs="微软雅黑"/>
          <w:szCs w:val="21"/>
          <w:highlight w:val="none"/>
        </w:rPr>
      </w:pPr>
      <w:bookmarkStart w:id="323" w:name="_Toc40788057"/>
      <w:bookmarkStart w:id="324" w:name="_Toc89266845"/>
      <w:bookmarkStart w:id="325" w:name="_Toc53062719"/>
      <w:r>
        <w:rPr>
          <w:rFonts w:hint="eastAsia" w:ascii="微软雅黑" w:hAnsi="微软雅黑" w:eastAsia="微软雅黑" w:cs="微软雅黑"/>
          <w:szCs w:val="21"/>
          <w:highlight w:val="none"/>
        </w:rPr>
        <w:t>9.1、超过截止时间送达的或未按规定地点送达的；</w:t>
      </w:r>
      <w:bookmarkEnd w:id="323"/>
      <w:bookmarkEnd w:id="324"/>
      <w:bookmarkEnd w:id="325"/>
    </w:p>
    <w:p w14:paraId="60380A09">
      <w:pPr>
        <w:spacing w:after="0" w:line="500" w:lineRule="exact"/>
        <w:ind w:firstLine="424" w:firstLineChars="202"/>
        <w:rPr>
          <w:rFonts w:ascii="微软雅黑" w:hAnsi="微软雅黑" w:eastAsia="微软雅黑" w:cs="微软雅黑"/>
          <w:szCs w:val="21"/>
          <w:highlight w:val="none"/>
        </w:rPr>
      </w:pPr>
      <w:bookmarkStart w:id="326" w:name="_Toc89266846"/>
      <w:bookmarkStart w:id="327" w:name="_Toc40788058"/>
      <w:bookmarkStart w:id="328" w:name="_Toc53062720"/>
      <w:r>
        <w:rPr>
          <w:rFonts w:hint="eastAsia" w:ascii="微软雅黑" w:hAnsi="微软雅黑" w:eastAsia="微软雅黑" w:cs="微软雅黑"/>
          <w:szCs w:val="21"/>
          <w:highlight w:val="none"/>
        </w:rPr>
        <w:t>9.2、未按规定密封、签章的；</w:t>
      </w:r>
      <w:bookmarkEnd w:id="326"/>
      <w:bookmarkEnd w:id="327"/>
      <w:bookmarkEnd w:id="328"/>
    </w:p>
    <w:p w14:paraId="358DF8AD">
      <w:pPr>
        <w:spacing w:after="0" w:line="500" w:lineRule="exact"/>
        <w:ind w:firstLine="424" w:firstLineChars="202"/>
        <w:rPr>
          <w:rFonts w:ascii="微软雅黑" w:hAnsi="微软雅黑" w:eastAsia="微软雅黑" w:cs="微软雅黑"/>
          <w:szCs w:val="21"/>
          <w:highlight w:val="none"/>
        </w:rPr>
      </w:pPr>
      <w:bookmarkStart w:id="329" w:name="_Toc89266847"/>
      <w:bookmarkStart w:id="330" w:name="_Toc53062721"/>
      <w:bookmarkStart w:id="331" w:name="_Toc40788059"/>
      <w:r>
        <w:rPr>
          <w:rFonts w:hint="eastAsia" w:ascii="微软雅黑" w:hAnsi="微软雅黑" w:eastAsia="微软雅黑" w:cs="微软雅黑"/>
          <w:szCs w:val="21"/>
          <w:highlight w:val="none"/>
        </w:rPr>
        <w:t>9.3、超出经营范围参加磋商的；</w:t>
      </w:r>
      <w:bookmarkEnd w:id="329"/>
      <w:bookmarkEnd w:id="330"/>
      <w:bookmarkEnd w:id="331"/>
    </w:p>
    <w:p w14:paraId="5B1B1E24">
      <w:pPr>
        <w:spacing w:after="0" w:line="500" w:lineRule="exact"/>
        <w:ind w:firstLine="424" w:firstLineChars="202"/>
        <w:rPr>
          <w:rFonts w:ascii="微软雅黑" w:hAnsi="微软雅黑" w:eastAsia="微软雅黑" w:cs="微软雅黑"/>
          <w:b/>
          <w:szCs w:val="21"/>
          <w:highlight w:val="none"/>
        </w:rPr>
      </w:pPr>
      <w:bookmarkStart w:id="332" w:name="_Toc40788060"/>
      <w:bookmarkStart w:id="333" w:name="_Toc53062722"/>
      <w:bookmarkStart w:id="334" w:name="_Toc89266848"/>
      <w:r>
        <w:rPr>
          <w:rFonts w:hint="eastAsia" w:ascii="微软雅黑" w:hAnsi="微软雅黑" w:eastAsia="微软雅黑" w:cs="微软雅黑"/>
          <w:b/>
          <w:szCs w:val="21"/>
          <w:highlight w:val="none"/>
        </w:rPr>
        <w:t>9.4、资格证明文件不全的；</w:t>
      </w:r>
      <w:bookmarkEnd w:id="332"/>
      <w:bookmarkEnd w:id="333"/>
      <w:bookmarkEnd w:id="334"/>
    </w:p>
    <w:p w14:paraId="262B0216">
      <w:pPr>
        <w:spacing w:after="0" w:line="500" w:lineRule="exact"/>
        <w:ind w:firstLine="424" w:firstLineChars="202"/>
        <w:rPr>
          <w:rFonts w:ascii="微软雅黑" w:hAnsi="微软雅黑" w:eastAsia="微软雅黑" w:cs="微软雅黑"/>
          <w:szCs w:val="21"/>
          <w:highlight w:val="none"/>
        </w:rPr>
      </w:pPr>
      <w:bookmarkStart w:id="335" w:name="_Toc40788061"/>
      <w:bookmarkStart w:id="336" w:name="_Toc89266849"/>
      <w:bookmarkStart w:id="337" w:name="_Toc53062723"/>
      <w:r>
        <w:rPr>
          <w:rFonts w:hint="eastAsia" w:ascii="微软雅黑" w:hAnsi="微软雅黑" w:eastAsia="微软雅黑" w:cs="微软雅黑"/>
          <w:szCs w:val="21"/>
          <w:highlight w:val="none"/>
        </w:rPr>
        <w:t>9.5、磋商响应文件无法定代表人签字,或无法定代表人有效授权委托书的; 或磋商代表人未能出具身份证明或与法定代表人授权委托人身份不符的；</w:t>
      </w:r>
      <w:bookmarkEnd w:id="335"/>
      <w:bookmarkEnd w:id="336"/>
      <w:bookmarkEnd w:id="337"/>
    </w:p>
    <w:p w14:paraId="4ACE4CA0">
      <w:pPr>
        <w:spacing w:after="0" w:line="500" w:lineRule="exact"/>
        <w:ind w:firstLine="424" w:firstLineChars="202"/>
        <w:rPr>
          <w:rFonts w:ascii="微软雅黑" w:hAnsi="微软雅黑" w:eastAsia="微软雅黑" w:cs="微软雅黑"/>
          <w:snapToGrid w:val="0"/>
          <w:szCs w:val="21"/>
          <w:highlight w:val="none"/>
        </w:rPr>
      </w:pPr>
      <w:bookmarkStart w:id="338" w:name="_Toc89266850"/>
      <w:bookmarkStart w:id="339" w:name="_Toc53062724"/>
      <w:bookmarkStart w:id="340" w:name="_Toc40788062"/>
      <w:r>
        <w:rPr>
          <w:rFonts w:hint="eastAsia" w:ascii="微软雅黑" w:hAnsi="微软雅黑" w:eastAsia="微软雅黑" w:cs="微软雅黑"/>
          <w:szCs w:val="21"/>
          <w:highlight w:val="none"/>
        </w:rPr>
        <w:t>9.6、</w:t>
      </w:r>
      <w:r>
        <w:rPr>
          <w:rFonts w:hint="eastAsia" w:ascii="微软雅黑" w:hAnsi="微软雅黑" w:eastAsia="微软雅黑" w:cs="微软雅黑"/>
          <w:snapToGrid w:val="0"/>
          <w:szCs w:val="21"/>
          <w:highlight w:val="none"/>
        </w:rPr>
        <w:t>明显不符合技术规格、技术标准的要求；</w:t>
      </w:r>
      <w:bookmarkEnd w:id="338"/>
      <w:bookmarkEnd w:id="339"/>
      <w:bookmarkEnd w:id="340"/>
    </w:p>
    <w:p w14:paraId="032CA4D3">
      <w:pPr>
        <w:spacing w:after="0" w:line="500" w:lineRule="exact"/>
        <w:ind w:firstLine="424" w:firstLineChars="202"/>
        <w:rPr>
          <w:rFonts w:ascii="微软雅黑" w:hAnsi="微软雅黑" w:eastAsia="微软雅黑" w:cs="微软雅黑"/>
          <w:szCs w:val="21"/>
          <w:highlight w:val="none"/>
        </w:rPr>
      </w:pPr>
      <w:bookmarkStart w:id="341" w:name="_Toc53062725"/>
      <w:bookmarkStart w:id="342" w:name="_Toc89266851"/>
      <w:bookmarkStart w:id="343" w:name="_Toc40788063"/>
      <w:r>
        <w:rPr>
          <w:rFonts w:hint="eastAsia" w:ascii="微软雅黑" w:hAnsi="微软雅黑" w:eastAsia="微软雅黑" w:cs="微软雅黑"/>
          <w:snapToGrid w:val="0"/>
          <w:szCs w:val="21"/>
          <w:highlight w:val="none"/>
        </w:rPr>
        <w:t>9.7、最后一轮</w:t>
      </w:r>
      <w:r>
        <w:rPr>
          <w:rFonts w:hint="eastAsia" w:ascii="微软雅黑" w:hAnsi="微软雅黑" w:eastAsia="微软雅黑" w:cs="微软雅黑"/>
          <w:szCs w:val="21"/>
          <w:highlight w:val="none"/>
        </w:rPr>
        <w:t>报价超出采购项目预算范围的;</w:t>
      </w:r>
      <w:bookmarkEnd w:id="341"/>
      <w:bookmarkEnd w:id="342"/>
      <w:bookmarkEnd w:id="343"/>
    </w:p>
    <w:p w14:paraId="51852D11">
      <w:pPr>
        <w:spacing w:after="0" w:line="500" w:lineRule="exact"/>
        <w:ind w:firstLine="424" w:firstLineChars="202"/>
        <w:rPr>
          <w:rFonts w:ascii="微软雅黑" w:hAnsi="微软雅黑" w:eastAsia="微软雅黑" w:cs="微软雅黑"/>
          <w:szCs w:val="21"/>
          <w:highlight w:val="none"/>
        </w:rPr>
      </w:pPr>
      <w:bookmarkStart w:id="344" w:name="_Toc89266852"/>
      <w:bookmarkStart w:id="345" w:name="_Toc53062726"/>
      <w:bookmarkStart w:id="346" w:name="_Toc40788064"/>
      <w:r>
        <w:rPr>
          <w:rFonts w:hint="eastAsia" w:ascii="微软雅黑" w:hAnsi="微软雅黑" w:eastAsia="微软雅黑" w:cs="微软雅黑"/>
          <w:szCs w:val="21"/>
          <w:highlight w:val="none"/>
        </w:rPr>
        <w:t>9.8、磋商供应商提出采购方不能接受之条件的；</w:t>
      </w:r>
      <w:bookmarkEnd w:id="344"/>
      <w:bookmarkEnd w:id="345"/>
      <w:bookmarkEnd w:id="346"/>
    </w:p>
    <w:p w14:paraId="3786BE28">
      <w:pPr>
        <w:spacing w:after="0" w:line="500" w:lineRule="exact"/>
        <w:ind w:firstLine="424" w:firstLineChars="202"/>
        <w:rPr>
          <w:rFonts w:ascii="微软雅黑" w:hAnsi="微软雅黑" w:eastAsia="微软雅黑" w:cs="微软雅黑"/>
          <w:snapToGrid w:val="0"/>
          <w:szCs w:val="21"/>
          <w:highlight w:val="none"/>
        </w:rPr>
      </w:pPr>
      <w:bookmarkStart w:id="347" w:name="_Toc53062727"/>
      <w:bookmarkStart w:id="348" w:name="_Toc89266853"/>
      <w:bookmarkStart w:id="349" w:name="_Toc40788065"/>
      <w:r>
        <w:rPr>
          <w:rFonts w:hint="eastAsia" w:ascii="微软雅黑" w:hAnsi="微软雅黑" w:eastAsia="微软雅黑" w:cs="微软雅黑"/>
          <w:snapToGrid w:val="0"/>
          <w:szCs w:val="21"/>
          <w:highlight w:val="none"/>
        </w:rPr>
        <w:t>9.9、两份磋商</w:t>
      </w:r>
      <w:r>
        <w:rPr>
          <w:rFonts w:hint="eastAsia" w:ascii="微软雅黑" w:hAnsi="微软雅黑" w:eastAsia="微软雅黑" w:cs="微软雅黑"/>
          <w:szCs w:val="21"/>
          <w:highlight w:val="none"/>
        </w:rPr>
        <w:t>响应</w:t>
      </w:r>
      <w:r>
        <w:rPr>
          <w:rFonts w:hint="eastAsia" w:ascii="微软雅黑" w:hAnsi="微软雅黑" w:eastAsia="微软雅黑" w:cs="微软雅黑"/>
          <w:snapToGrid w:val="0"/>
          <w:szCs w:val="21"/>
          <w:highlight w:val="none"/>
        </w:rPr>
        <w:t>文件存在以下情况之一:两处或两处以上差错相同; 两处或两处以上技术文件文字表述相同连续二十行及以上的；</w:t>
      </w:r>
      <w:bookmarkEnd w:id="347"/>
      <w:bookmarkEnd w:id="348"/>
      <w:bookmarkEnd w:id="349"/>
    </w:p>
    <w:p w14:paraId="09DF3226">
      <w:pPr>
        <w:spacing w:after="0" w:line="500" w:lineRule="exact"/>
        <w:ind w:firstLine="424" w:firstLineChars="202"/>
        <w:rPr>
          <w:rFonts w:ascii="微软雅黑" w:hAnsi="微软雅黑" w:eastAsia="微软雅黑" w:cs="微软雅黑"/>
          <w:szCs w:val="21"/>
          <w:highlight w:val="none"/>
        </w:rPr>
      </w:pPr>
      <w:bookmarkStart w:id="350" w:name="_Toc53062728"/>
      <w:bookmarkStart w:id="351" w:name="_Toc40788066"/>
      <w:bookmarkStart w:id="352" w:name="_Toc89266854"/>
      <w:r>
        <w:rPr>
          <w:rFonts w:hint="eastAsia" w:ascii="微软雅黑" w:hAnsi="微软雅黑" w:eastAsia="微软雅黑" w:cs="微软雅黑"/>
          <w:snapToGrid w:val="0"/>
          <w:szCs w:val="21"/>
          <w:highlight w:val="none"/>
        </w:rPr>
        <w:t>9.10、存在带</w:t>
      </w:r>
      <w:r>
        <w:rPr>
          <w:rFonts w:hint="eastAsia" w:ascii="微软雅黑" w:hAnsi="微软雅黑" w:eastAsia="微软雅黑" w:cs="微软雅黑"/>
          <w:szCs w:val="21"/>
          <w:highlight w:val="none"/>
        </w:rPr>
        <w:t>“▲”条款的负偏离的；</w:t>
      </w:r>
      <w:bookmarkEnd w:id="350"/>
      <w:bookmarkEnd w:id="351"/>
      <w:bookmarkEnd w:id="352"/>
    </w:p>
    <w:p w14:paraId="0074222A">
      <w:pPr>
        <w:spacing w:after="0" w:line="500" w:lineRule="exact"/>
        <w:ind w:firstLine="424" w:firstLineChars="202"/>
        <w:rPr>
          <w:rFonts w:ascii="微软雅黑" w:hAnsi="微软雅黑" w:eastAsia="微软雅黑" w:cs="微软雅黑"/>
          <w:szCs w:val="21"/>
          <w:highlight w:val="none"/>
        </w:rPr>
      </w:pPr>
      <w:bookmarkStart w:id="353" w:name="_Toc53062729"/>
      <w:bookmarkStart w:id="354" w:name="_Toc89266855"/>
      <w:bookmarkStart w:id="355" w:name="_Toc40788067"/>
      <w:r>
        <w:rPr>
          <w:rFonts w:hint="eastAsia" w:ascii="微软雅黑" w:hAnsi="微软雅黑" w:eastAsia="微软雅黑" w:cs="微软雅黑"/>
          <w:szCs w:val="21"/>
          <w:highlight w:val="none"/>
        </w:rPr>
        <w:t>9.11、本磋商文件其他部分已规定为无效响应文件的情形;</w:t>
      </w:r>
      <w:bookmarkEnd w:id="353"/>
      <w:bookmarkEnd w:id="354"/>
      <w:bookmarkEnd w:id="355"/>
    </w:p>
    <w:p w14:paraId="30894A13">
      <w:pPr>
        <w:spacing w:after="0" w:line="500" w:lineRule="exact"/>
        <w:ind w:firstLine="424" w:firstLineChars="202"/>
        <w:rPr>
          <w:rFonts w:ascii="微软雅黑" w:hAnsi="微软雅黑" w:eastAsia="微软雅黑" w:cs="微软雅黑"/>
          <w:szCs w:val="21"/>
          <w:highlight w:val="none"/>
        </w:rPr>
      </w:pPr>
      <w:bookmarkStart w:id="356" w:name="_Toc53062730"/>
      <w:bookmarkStart w:id="357" w:name="_Toc89266856"/>
      <w:bookmarkStart w:id="358" w:name="_Toc40788068"/>
      <w:r>
        <w:rPr>
          <w:rFonts w:hint="eastAsia" w:ascii="微软雅黑" w:hAnsi="微软雅黑" w:eastAsia="微软雅黑" w:cs="微软雅黑"/>
          <w:szCs w:val="21"/>
          <w:highlight w:val="none"/>
        </w:rPr>
        <w:t>9.12、评审专家认定的其他必须按无效响应文件处理的。</w:t>
      </w:r>
      <w:bookmarkEnd w:id="356"/>
      <w:bookmarkEnd w:id="357"/>
      <w:bookmarkEnd w:id="358"/>
    </w:p>
    <w:p w14:paraId="001766E0">
      <w:pPr>
        <w:pStyle w:val="3"/>
        <w:spacing w:before="0" w:after="0" w:line="500" w:lineRule="exact"/>
        <w:rPr>
          <w:rFonts w:ascii="微软雅黑" w:hAnsi="微软雅黑" w:eastAsia="微软雅黑" w:cs="微软雅黑"/>
          <w:sz w:val="21"/>
          <w:szCs w:val="21"/>
          <w:highlight w:val="none"/>
        </w:rPr>
      </w:pPr>
      <w:bookmarkStart w:id="359" w:name="_Toc192313118"/>
      <w:bookmarkStart w:id="360" w:name="_Toc89266857"/>
      <w:bookmarkStart w:id="361" w:name="_Toc53062731"/>
      <w:bookmarkStart w:id="362" w:name="_Toc40788069"/>
      <w:bookmarkStart w:id="363" w:name="_Toc493699308"/>
      <w:bookmarkStart w:id="364" w:name="_Toc100764229"/>
      <w:r>
        <w:rPr>
          <w:rFonts w:hint="eastAsia" w:ascii="微软雅黑" w:hAnsi="微软雅黑" w:eastAsia="微软雅黑" w:cs="微软雅黑"/>
          <w:sz w:val="21"/>
          <w:szCs w:val="21"/>
          <w:highlight w:val="none"/>
        </w:rPr>
        <w:t>四</w:t>
      </w:r>
      <w:bookmarkEnd w:id="246"/>
      <w:bookmarkEnd w:id="247"/>
      <w:bookmarkEnd w:id="359"/>
      <w:r>
        <w:rPr>
          <w:rFonts w:hint="eastAsia" w:ascii="微软雅黑" w:hAnsi="微软雅黑" w:eastAsia="微软雅黑" w:cs="微软雅黑"/>
          <w:sz w:val="21"/>
          <w:szCs w:val="21"/>
          <w:highlight w:val="none"/>
        </w:rPr>
        <w:t xml:space="preserve">  磋商前的准备</w:t>
      </w:r>
      <w:bookmarkEnd w:id="360"/>
      <w:bookmarkEnd w:id="361"/>
      <w:bookmarkEnd w:id="362"/>
      <w:bookmarkEnd w:id="363"/>
      <w:bookmarkEnd w:id="364"/>
    </w:p>
    <w:p w14:paraId="6FE66109">
      <w:pPr>
        <w:pStyle w:val="29"/>
        <w:spacing w:after="0" w:line="500" w:lineRule="exact"/>
        <w:ind w:left="2" w:firstLine="420" w:firstLineChars="200"/>
        <w:rPr>
          <w:rFonts w:ascii="微软雅黑" w:hAnsi="微软雅黑" w:eastAsia="微软雅黑" w:cs="微软雅黑"/>
          <w:b/>
          <w:bCs/>
          <w:szCs w:val="21"/>
          <w:highlight w:val="none"/>
        </w:rPr>
      </w:pPr>
      <w:r>
        <w:rPr>
          <w:rFonts w:hint="eastAsia" w:ascii="微软雅黑" w:hAnsi="微软雅黑" w:eastAsia="微软雅黑" w:cs="微软雅黑"/>
          <w:b/>
          <w:szCs w:val="21"/>
          <w:highlight w:val="none"/>
        </w:rPr>
        <w:t>1、</w:t>
      </w:r>
      <w:r>
        <w:rPr>
          <w:rFonts w:hint="eastAsia" w:ascii="微软雅黑" w:hAnsi="微软雅黑" w:eastAsia="微软雅黑" w:cs="微软雅黑"/>
          <w:b/>
          <w:bCs/>
          <w:szCs w:val="21"/>
          <w:highlight w:val="none"/>
        </w:rPr>
        <w:t>开标的准备工作由采购组织机构负责落实；</w:t>
      </w:r>
    </w:p>
    <w:p w14:paraId="5DA7C364">
      <w:pPr>
        <w:pStyle w:val="29"/>
        <w:spacing w:after="0" w:line="500" w:lineRule="exact"/>
        <w:ind w:left="2" w:firstLine="420" w:firstLineChars="200"/>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2、采购组织机构将按照竞争性磋商文件规定的时间通过“政府采购云平台”组织开标、开启竞争性磋商响应文件，所有供应商均应当准时在线参加。投标供应商如不参加开标大会的，视同认可开标结果，事后不得对采购相关人员、开标过程和开标结果提出异议，同时投标供应商因未在线参加开标而导致竞争性磋商响应文件无法按时解密等一切后果由供应商自己承担。</w:t>
      </w:r>
      <w:bookmarkStart w:id="365" w:name="_Toc192313119"/>
      <w:bookmarkStart w:id="366" w:name="_Toc493699309"/>
    </w:p>
    <w:p w14:paraId="10CE5367">
      <w:pPr>
        <w:pStyle w:val="3"/>
        <w:spacing w:before="0" w:after="0" w:line="500" w:lineRule="exact"/>
        <w:rPr>
          <w:rFonts w:ascii="微软雅黑" w:hAnsi="微软雅黑" w:eastAsia="微软雅黑" w:cs="微软雅黑"/>
          <w:sz w:val="21"/>
          <w:szCs w:val="21"/>
          <w:highlight w:val="none"/>
        </w:rPr>
      </w:pPr>
      <w:bookmarkStart w:id="367" w:name="_Toc89266858"/>
      <w:bookmarkStart w:id="368" w:name="_Toc100764230"/>
      <w:bookmarkStart w:id="369" w:name="_Toc40788070"/>
      <w:bookmarkStart w:id="370" w:name="_Toc53062732"/>
      <w:r>
        <w:rPr>
          <w:rFonts w:hint="eastAsia" w:ascii="微软雅黑" w:hAnsi="微软雅黑" w:eastAsia="微软雅黑" w:cs="微软雅黑"/>
          <w:sz w:val="21"/>
          <w:szCs w:val="21"/>
          <w:highlight w:val="none"/>
        </w:rPr>
        <w:t>五</w:t>
      </w:r>
      <w:bookmarkEnd w:id="365"/>
      <w:r>
        <w:rPr>
          <w:rFonts w:hint="eastAsia" w:ascii="微软雅黑" w:hAnsi="微软雅黑" w:eastAsia="微软雅黑" w:cs="微软雅黑"/>
          <w:sz w:val="21"/>
          <w:szCs w:val="21"/>
          <w:highlight w:val="none"/>
        </w:rPr>
        <w:t xml:space="preserve">  磋商程序</w:t>
      </w:r>
      <w:bookmarkEnd w:id="366"/>
      <w:bookmarkEnd w:id="367"/>
      <w:bookmarkEnd w:id="368"/>
      <w:bookmarkEnd w:id="369"/>
      <w:bookmarkEnd w:id="370"/>
    </w:p>
    <w:p w14:paraId="68F3FB1A">
      <w:pPr>
        <w:spacing w:after="0" w:line="500" w:lineRule="exact"/>
        <w:ind w:firstLine="410"/>
        <w:outlineLvl w:val="2"/>
        <w:rPr>
          <w:rFonts w:ascii="微软雅黑" w:hAnsi="微软雅黑" w:eastAsia="微软雅黑" w:cs="微软雅黑"/>
          <w:b/>
          <w:snapToGrid w:val="0"/>
          <w:szCs w:val="21"/>
          <w:highlight w:val="none"/>
        </w:rPr>
      </w:pPr>
      <w:bookmarkStart w:id="371" w:name="_Toc100764231"/>
      <w:bookmarkStart w:id="372" w:name="_Toc192313120"/>
      <w:r>
        <w:rPr>
          <w:rFonts w:hint="eastAsia" w:ascii="微软雅黑" w:hAnsi="微软雅黑" w:eastAsia="微软雅黑" w:cs="微软雅黑"/>
          <w:b/>
          <w:snapToGrid w:val="0"/>
          <w:szCs w:val="21"/>
          <w:highlight w:val="none"/>
        </w:rPr>
        <w:t>1、磋商流程：</w:t>
      </w:r>
      <w:bookmarkEnd w:id="371"/>
    </w:p>
    <w:p w14:paraId="4D5CE1A1">
      <w:pPr>
        <w:pStyle w:val="29"/>
        <w:spacing w:after="0" w:line="500" w:lineRule="exact"/>
        <w:ind w:left="2" w:firstLine="420" w:firstLineChars="2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1.1、磋商小组讨论、通过磋商工作流程和磋商要点。</w:t>
      </w:r>
    </w:p>
    <w:p w14:paraId="1606BB67">
      <w:pPr>
        <w:pStyle w:val="29"/>
        <w:spacing w:after="0" w:line="500" w:lineRule="exact"/>
        <w:ind w:left="2" w:firstLine="420" w:firstLineChars="2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1.2、主持人宣布磋商的有关事项；</w:t>
      </w:r>
    </w:p>
    <w:p w14:paraId="3BF2E230">
      <w:pPr>
        <w:pStyle w:val="29"/>
        <w:spacing w:after="0" w:line="500" w:lineRule="exact"/>
        <w:ind w:left="2" w:firstLine="420" w:firstLineChars="2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1.3、磋商小组对所提交的磋商响应文件进行审查，审查结束后，由主持人公布无效磋商响应方名单、磋商响应无效的原因、标项废标情况；</w:t>
      </w:r>
    </w:p>
    <w:p w14:paraId="31E094E2">
      <w:pPr>
        <w:pStyle w:val="29"/>
        <w:spacing w:after="0" w:line="500" w:lineRule="exact"/>
        <w:ind w:left="2" w:firstLine="420" w:firstLineChars="2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1.4、磋商小组按标项与各磋商响应方就公司情况、项目需求、售后服务、价格构成、供货时间、付款方式等要素分别进行磋商。逐家磋商一次为一个轮次，磋商轮次由磋商小组视情况决定。</w:t>
      </w:r>
    </w:p>
    <w:p w14:paraId="5051B2E1">
      <w:pPr>
        <w:pStyle w:val="29"/>
        <w:spacing w:after="0" w:line="500" w:lineRule="exact"/>
        <w:ind w:left="2" w:firstLine="420" w:firstLineChars="2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1.5、项目磋商结束后，主持人宣布本次最终报价的最高限价，并要求各磋商响应方在规定时间内进行最终报价，密封后统一时间收取保存。在规定时间内没有提交最终报价的磋商供应商，其磋商文件视为无效。</w:t>
      </w:r>
    </w:p>
    <w:p w14:paraId="4A868D3F">
      <w:pPr>
        <w:pStyle w:val="29"/>
        <w:spacing w:after="0" w:line="500" w:lineRule="exact"/>
        <w:ind w:left="2" w:firstLine="420" w:firstLineChars="2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1.6、在各磋商响应方最终报价过程中，同时磋商小组根据第三章评审方法对各磋商响应方的资信及商务、技术情况进行评审打分。工作人员按照磋商小组独立评定结果进行算术平均值计算。</w:t>
      </w:r>
    </w:p>
    <w:p w14:paraId="4B763048">
      <w:pPr>
        <w:pStyle w:val="29"/>
        <w:spacing w:after="0" w:line="500" w:lineRule="exact"/>
        <w:ind w:left="2" w:firstLine="420" w:firstLineChars="2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1.7、主持人宣布磋商最终报价（价格标）评审的有关事项。</w:t>
      </w:r>
    </w:p>
    <w:p w14:paraId="2F143183">
      <w:pPr>
        <w:pStyle w:val="29"/>
        <w:spacing w:after="0" w:line="500" w:lineRule="exact"/>
        <w:ind w:left="2" w:firstLine="420" w:firstLineChars="2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1.8、工作人员查验最终报价的密封情况，确认无误后拆封各磋商响应方提交的按规定进入价格标评审的磋商最终报价，并公开宣读最终报价，最后要求磋商响应方公开确认无误。</w:t>
      </w:r>
    </w:p>
    <w:p w14:paraId="5EC02D97">
      <w:pPr>
        <w:pStyle w:val="29"/>
        <w:spacing w:after="0" w:line="500" w:lineRule="exact"/>
        <w:ind w:left="2" w:firstLine="420" w:firstLineChars="2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1.9、磋商小组对最终报价的合理性进行审核，决定是否结束磋商。若报价合理，磋商小组则根据第三章评审方法计算出总得分并推荐中标商；</w:t>
      </w:r>
    </w:p>
    <w:p w14:paraId="5C7133E5">
      <w:pPr>
        <w:pStyle w:val="29"/>
        <w:spacing w:after="0" w:line="500" w:lineRule="exact"/>
        <w:ind w:left="2" w:firstLine="420" w:firstLineChars="2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1.10、磋商结束后，主持人公布有效磋商响应方的总得分结果和推荐的中标商。</w:t>
      </w:r>
    </w:p>
    <w:p w14:paraId="053A279C">
      <w:pPr>
        <w:pStyle w:val="29"/>
        <w:spacing w:after="0" w:line="500" w:lineRule="exact"/>
        <w:ind w:left="2" w:firstLine="420" w:firstLineChars="2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1.11、磋商原则：磋商小组必须公平、公正、客观，不带任何倾向性和启发性；不得向外界透露任何与磋商有关的内容；任何单位和个人不得干扰、影响磋商的正常进行；磋商小组及有关工作人员不得私下与磋商响应方接触。</w:t>
      </w:r>
    </w:p>
    <w:p w14:paraId="7B76FE65">
      <w:pPr>
        <w:spacing w:after="0" w:line="500" w:lineRule="exact"/>
        <w:ind w:firstLine="410"/>
        <w:outlineLvl w:val="2"/>
        <w:rPr>
          <w:rFonts w:ascii="微软雅黑" w:hAnsi="微软雅黑" w:eastAsia="微软雅黑" w:cs="微软雅黑"/>
          <w:b/>
          <w:snapToGrid w:val="0"/>
          <w:szCs w:val="21"/>
          <w:highlight w:val="none"/>
        </w:rPr>
      </w:pPr>
      <w:bookmarkStart w:id="373" w:name="_Toc493082127"/>
      <w:bookmarkStart w:id="374" w:name="_Toc437979788"/>
      <w:bookmarkStart w:id="375" w:name="_Toc448487547"/>
      <w:bookmarkStart w:id="376" w:name="_Toc100764232"/>
      <w:bookmarkStart w:id="377" w:name="_Toc332724041"/>
      <w:bookmarkStart w:id="378" w:name="_Toc493699311"/>
      <w:r>
        <w:rPr>
          <w:rFonts w:hint="eastAsia" w:ascii="微软雅黑" w:hAnsi="微软雅黑" w:eastAsia="微软雅黑" w:cs="微软雅黑"/>
          <w:b/>
          <w:snapToGrid w:val="0"/>
          <w:szCs w:val="21"/>
          <w:highlight w:val="none"/>
        </w:rPr>
        <w:t>2、磋商文件的澄清</w:t>
      </w:r>
      <w:bookmarkEnd w:id="373"/>
      <w:bookmarkEnd w:id="374"/>
      <w:bookmarkEnd w:id="375"/>
      <w:bookmarkEnd w:id="376"/>
      <w:bookmarkEnd w:id="377"/>
      <w:bookmarkEnd w:id="378"/>
    </w:p>
    <w:p w14:paraId="525F8414">
      <w:pPr>
        <w:spacing w:after="0" w:line="500" w:lineRule="exact"/>
        <w:ind w:firstLine="424" w:firstLineChars="202"/>
        <w:rPr>
          <w:rFonts w:ascii="微软雅黑" w:hAnsi="微软雅黑" w:eastAsia="微软雅黑" w:cs="微软雅黑"/>
          <w:snapToGrid w:val="0"/>
          <w:szCs w:val="21"/>
          <w:highlight w:val="none"/>
        </w:rPr>
      </w:pPr>
      <w:bookmarkStart w:id="379" w:name="_Toc40788071"/>
      <w:bookmarkStart w:id="380" w:name="_Toc89266859"/>
      <w:bookmarkStart w:id="381" w:name="_Toc53062733"/>
      <w:r>
        <w:rPr>
          <w:rFonts w:hint="eastAsia" w:ascii="微软雅黑" w:hAnsi="微软雅黑" w:eastAsia="微软雅黑" w:cs="微软雅黑"/>
          <w:snapToGrid w:val="0"/>
          <w:szCs w:val="21"/>
          <w:highlight w:val="none"/>
        </w:rPr>
        <w:t>2.1、在磋商期间，磋商小组有权要求磋商供应商对其磋商文件含义不明确、同类问题表述不一致或者有明显文字和计算错误的内容进行澄清。磋商供应商应派授权代表和技术人员按磋商小组通知的时间和地点接受询标。</w:t>
      </w:r>
      <w:bookmarkEnd w:id="379"/>
      <w:bookmarkEnd w:id="380"/>
      <w:bookmarkEnd w:id="381"/>
    </w:p>
    <w:p w14:paraId="278B825D">
      <w:pPr>
        <w:spacing w:after="0" w:line="500" w:lineRule="exact"/>
        <w:ind w:firstLine="424" w:firstLineChars="202"/>
        <w:rPr>
          <w:rFonts w:ascii="微软雅黑" w:hAnsi="微软雅黑" w:eastAsia="微软雅黑" w:cs="微软雅黑"/>
          <w:snapToGrid w:val="0"/>
          <w:szCs w:val="21"/>
          <w:highlight w:val="none"/>
        </w:rPr>
      </w:pPr>
      <w:bookmarkStart w:id="382" w:name="_Toc89266860"/>
      <w:bookmarkStart w:id="383" w:name="_Toc40788072"/>
      <w:bookmarkStart w:id="384" w:name="_Toc53062734"/>
      <w:r>
        <w:rPr>
          <w:rFonts w:hint="eastAsia" w:ascii="微软雅黑" w:hAnsi="微软雅黑" w:eastAsia="微软雅黑" w:cs="微软雅黑"/>
          <w:snapToGrid w:val="0"/>
          <w:szCs w:val="21"/>
          <w:highlight w:val="none"/>
        </w:rPr>
        <w:t>2.2、磋商小组认为有必要，可要求磋商供应商对某些问题作出必要的澄清、说明和纠正。投标人的澄清、说明或者补正应当采用书面形式，由其授权的代表签字。投标人的书面澄清材料作为磋商文件的补充。</w:t>
      </w:r>
      <w:bookmarkEnd w:id="382"/>
      <w:bookmarkEnd w:id="383"/>
      <w:bookmarkEnd w:id="384"/>
    </w:p>
    <w:p w14:paraId="7A3B2E3A">
      <w:pPr>
        <w:spacing w:after="0" w:line="500" w:lineRule="exact"/>
        <w:ind w:firstLine="424" w:firstLineChars="202"/>
        <w:rPr>
          <w:rFonts w:ascii="微软雅黑" w:hAnsi="微软雅黑" w:eastAsia="微软雅黑" w:cs="微软雅黑"/>
          <w:snapToGrid w:val="0"/>
          <w:szCs w:val="21"/>
          <w:highlight w:val="none"/>
        </w:rPr>
      </w:pPr>
      <w:bookmarkStart w:id="385" w:name="_Toc89266861"/>
      <w:bookmarkStart w:id="386" w:name="_Toc40788073"/>
      <w:bookmarkStart w:id="387" w:name="_Toc53062735"/>
      <w:r>
        <w:rPr>
          <w:rFonts w:hint="eastAsia" w:ascii="微软雅黑" w:hAnsi="微软雅黑" w:eastAsia="微软雅黑" w:cs="微软雅黑"/>
          <w:snapToGrid w:val="0"/>
          <w:szCs w:val="21"/>
          <w:highlight w:val="none"/>
        </w:rPr>
        <w:t>2.3、磋商供应商不按磋商小组规定的时间和地点作书面澄清，将视为放弃该权利。</w:t>
      </w:r>
      <w:bookmarkEnd w:id="385"/>
      <w:bookmarkEnd w:id="386"/>
      <w:bookmarkEnd w:id="387"/>
    </w:p>
    <w:p w14:paraId="29B0A0FE">
      <w:pPr>
        <w:spacing w:after="0" w:line="500" w:lineRule="exact"/>
        <w:ind w:firstLine="424" w:firstLineChars="202"/>
        <w:rPr>
          <w:rFonts w:ascii="微软雅黑" w:hAnsi="微软雅黑" w:eastAsia="微软雅黑" w:cs="微软雅黑"/>
          <w:snapToGrid w:val="0"/>
          <w:szCs w:val="21"/>
          <w:highlight w:val="none"/>
        </w:rPr>
      </w:pPr>
      <w:bookmarkStart w:id="388" w:name="_Toc89266862"/>
      <w:bookmarkStart w:id="389" w:name="_Toc53062736"/>
      <w:bookmarkStart w:id="390" w:name="_Toc40788074"/>
      <w:r>
        <w:rPr>
          <w:rFonts w:hint="eastAsia" w:ascii="微软雅黑" w:hAnsi="微软雅黑" w:eastAsia="微软雅黑" w:cs="微软雅黑"/>
          <w:snapToGrid w:val="0"/>
          <w:szCs w:val="21"/>
          <w:highlight w:val="none"/>
        </w:rPr>
        <w:t>2.4、并非每个磋商供应商都将被询标。</w:t>
      </w:r>
      <w:bookmarkEnd w:id="388"/>
      <w:bookmarkEnd w:id="389"/>
      <w:bookmarkEnd w:id="390"/>
    </w:p>
    <w:p w14:paraId="1E19F3AF">
      <w:pPr>
        <w:spacing w:after="0" w:line="500" w:lineRule="exact"/>
        <w:ind w:firstLine="410"/>
        <w:outlineLvl w:val="2"/>
        <w:rPr>
          <w:rFonts w:ascii="微软雅黑" w:hAnsi="微软雅黑" w:eastAsia="微软雅黑" w:cs="微软雅黑"/>
          <w:b/>
          <w:snapToGrid w:val="0"/>
          <w:szCs w:val="21"/>
          <w:highlight w:val="none"/>
        </w:rPr>
      </w:pPr>
      <w:bookmarkStart w:id="391" w:name="_Toc53062737"/>
      <w:bookmarkStart w:id="392" w:name="_Toc332724042"/>
      <w:bookmarkStart w:id="393" w:name="_Toc437979789"/>
      <w:bookmarkStart w:id="394" w:name="_Toc40788075"/>
      <w:bookmarkStart w:id="395" w:name="_Toc89266863"/>
      <w:bookmarkStart w:id="396" w:name="_Toc448487548"/>
      <w:bookmarkStart w:id="397" w:name="_Toc493082128"/>
      <w:bookmarkStart w:id="398" w:name="_Toc493699312"/>
      <w:bookmarkStart w:id="399" w:name="_Toc100764233"/>
      <w:r>
        <w:rPr>
          <w:rFonts w:hint="eastAsia" w:ascii="微软雅黑" w:hAnsi="微软雅黑" w:eastAsia="微软雅黑" w:cs="微软雅黑"/>
          <w:b/>
          <w:snapToGrid w:val="0"/>
          <w:szCs w:val="21"/>
          <w:highlight w:val="none"/>
        </w:rPr>
        <w:t>3、确定成交供应商</w:t>
      </w:r>
      <w:bookmarkEnd w:id="391"/>
      <w:bookmarkEnd w:id="392"/>
      <w:bookmarkEnd w:id="393"/>
      <w:bookmarkEnd w:id="394"/>
      <w:bookmarkEnd w:id="395"/>
      <w:bookmarkEnd w:id="396"/>
      <w:bookmarkEnd w:id="397"/>
      <w:bookmarkEnd w:id="398"/>
      <w:bookmarkEnd w:id="399"/>
    </w:p>
    <w:p w14:paraId="4CFF2786">
      <w:pPr>
        <w:spacing w:after="0" w:line="500" w:lineRule="exact"/>
        <w:ind w:firstLine="424" w:firstLineChars="202"/>
        <w:rPr>
          <w:rFonts w:ascii="微软雅黑" w:hAnsi="微软雅黑" w:eastAsia="微软雅黑" w:cs="微软雅黑"/>
          <w:snapToGrid w:val="0"/>
          <w:szCs w:val="21"/>
          <w:highlight w:val="none"/>
        </w:rPr>
      </w:pPr>
      <w:bookmarkStart w:id="400" w:name="_Toc40788076"/>
      <w:bookmarkStart w:id="401" w:name="_Toc89266864"/>
      <w:bookmarkStart w:id="402" w:name="_Toc53062738"/>
      <w:r>
        <w:rPr>
          <w:rFonts w:hint="eastAsia" w:ascii="微软雅黑" w:hAnsi="微软雅黑" w:eastAsia="微软雅黑" w:cs="微软雅黑"/>
          <w:snapToGrid w:val="0"/>
          <w:szCs w:val="21"/>
          <w:highlight w:val="none"/>
        </w:rPr>
        <w:t>3.1、磋商小组将对通过资格性审查和符合性审查的磋商文件进行评价和比较。</w:t>
      </w:r>
      <w:bookmarkEnd w:id="400"/>
      <w:bookmarkEnd w:id="401"/>
      <w:bookmarkEnd w:id="402"/>
    </w:p>
    <w:p w14:paraId="60F274D8">
      <w:pPr>
        <w:spacing w:after="0" w:line="500" w:lineRule="exact"/>
        <w:ind w:firstLine="424" w:firstLineChars="202"/>
        <w:rPr>
          <w:rFonts w:ascii="微软雅黑" w:hAnsi="微软雅黑" w:eastAsia="微软雅黑" w:cs="微软雅黑"/>
          <w:snapToGrid w:val="0"/>
          <w:szCs w:val="21"/>
          <w:highlight w:val="none"/>
        </w:rPr>
      </w:pPr>
      <w:bookmarkStart w:id="403" w:name="_Toc40788077"/>
      <w:bookmarkStart w:id="404" w:name="_Toc53062739"/>
      <w:bookmarkStart w:id="405" w:name="_Toc89266865"/>
      <w:r>
        <w:rPr>
          <w:rFonts w:hint="eastAsia" w:ascii="微软雅黑" w:hAnsi="微软雅黑" w:eastAsia="微软雅黑" w:cs="微软雅黑"/>
          <w:snapToGrid w:val="0"/>
          <w:szCs w:val="21"/>
          <w:highlight w:val="none"/>
        </w:rPr>
        <w:t>3.2、磋商小组按采购文件第三章中公布的评定成交标准对磋商文件进行评审，确定成交候选人。最低报价等任何单项因素的最优不能作为成交的保证。</w:t>
      </w:r>
      <w:bookmarkEnd w:id="403"/>
      <w:bookmarkEnd w:id="404"/>
      <w:bookmarkEnd w:id="405"/>
    </w:p>
    <w:p w14:paraId="0957EDCE">
      <w:pPr>
        <w:spacing w:after="0" w:line="500" w:lineRule="exact"/>
        <w:ind w:firstLine="410"/>
        <w:outlineLvl w:val="2"/>
        <w:rPr>
          <w:rFonts w:ascii="微软雅黑" w:hAnsi="微软雅黑" w:eastAsia="微软雅黑" w:cs="微软雅黑"/>
          <w:b/>
          <w:snapToGrid w:val="0"/>
          <w:szCs w:val="21"/>
          <w:highlight w:val="none"/>
        </w:rPr>
      </w:pPr>
      <w:bookmarkStart w:id="406" w:name="_Toc448487549"/>
      <w:bookmarkStart w:id="407" w:name="_Toc332724043"/>
      <w:bookmarkStart w:id="408" w:name="_Toc53062740"/>
      <w:bookmarkStart w:id="409" w:name="_Toc437979790"/>
      <w:bookmarkStart w:id="410" w:name="_Toc493699313"/>
      <w:bookmarkStart w:id="411" w:name="_Toc40788078"/>
      <w:bookmarkStart w:id="412" w:name="_Toc100764234"/>
      <w:bookmarkStart w:id="413" w:name="_Toc493082129"/>
      <w:bookmarkStart w:id="414" w:name="_Toc89266866"/>
      <w:r>
        <w:rPr>
          <w:rFonts w:hint="eastAsia" w:ascii="微软雅黑" w:hAnsi="微软雅黑" w:eastAsia="微软雅黑" w:cs="微软雅黑"/>
          <w:b/>
          <w:snapToGrid w:val="0"/>
          <w:szCs w:val="21"/>
          <w:highlight w:val="none"/>
        </w:rPr>
        <w:t>4、磋商过程保密</w:t>
      </w:r>
      <w:bookmarkEnd w:id="406"/>
      <w:bookmarkEnd w:id="407"/>
      <w:bookmarkEnd w:id="408"/>
      <w:bookmarkEnd w:id="409"/>
      <w:bookmarkEnd w:id="410"/>
      <w:bookmarkEnd w:id="411"/>
      <w:bookmarkEnd w:id="412"/>
      <w:bookmarkEnd w:id="413"/>
      <w:bookmarkEnd w:id="414"/>
    </w:p>
    <w:p w14:paraId="08B5B349">
      <w:pPr>
        <w:spacing w:after="0" w:line="500" w:lineRule="exact"/>
        <w:ind w:firstLine="424" w:firstLineChars="202"/>
        <w:rPr>
          <w:rFonts w:ascii="微软雅黑" w:hAnsi="微软雅黑" w:eastAsia="微软雅黑" w:cs="微软雅黑"/>
          <w:snapToGrid w:val="0"/>
          <w:szCs w:val="21"/>
          <w:highlight w:val="none"/>
        </w:rPr>
      </w:pPr>
      <w:bookmarkStart w:id="415" w:name="_Toc53062741"/>
      <w:bookmarkStart w:id="416" w:name="_Toc89266867"/>
      <w:bookmarkStart w:id="417" w:name="_Toc40788079"/>
      <w:r>
        <w:rPr>
          <w:rFonts w:hint="eastAsia" w:ascii="微软雅黑" w:hAnsi="微软雅黑" w:eastAsia="微软雅黑" w:cs="微软雅黑"/>
          <w:snapToGrid w:val="0"/>
          <w:szCs w:val="21"/>
          <w:highlight w:val="none"/>
        </w:rPr>
        <w:t>4.1、在宣布成交结果之前，凡属于审查、澄清、评价、比较磋商文件等有关信息，相关当事人均不得泄露给任何磋商供应商或与磋商工作无关的人员。</w:t>
      </w:r>
      <w:bookmarkEnd w:id="415"/>
      <w:bookmarkEnd w:id="416"/>
      <w:bookmarkEnd w:id="417"/>
    </w:p>
    <w:p w14:paraId="7FE77F87">
      <w:pPr>
        <w:spacing w:after="0" w:line="500" w:lineRule="exact"/>
        <w:ind w:firstLine="424" w:firstLineChars="202"/>
        <w:rPr>
          <w:rFonts w:ascii="微软雅黑" w:hAnsi="微软雅黑" w:eastAsia="微软雅黑" w:cs="微软雅黑"/>
          <w:snapToGrid w:val="0"/>
          <w:szCs w:val="21"/>
          <w:highlight w:val="none"/>
        </w:rPr>
      </w:pPr>
      <w:bookmarkStart w:id="418" w:name="_Toc89266868"/>
      <w:bookmarkStart w:id="419" w:name="_Toc40788080"/>
      <w:bookmarkStart w:id="420" w:name="_Toc53062742"/>
      <w:r>
        <w:rPr>
          <w:rFonts w:hint="eastAsia" w:ascii="微软雅黑" w:hAnsi="微软雅黑" w:eastAsia="微软雅黑" w:cs="微软雅黑"/>
          <w:snapToGrid w:val="0"/>
          <w:szCs w:val="21"/>
          <w:highlight w:val="none"/>
        </w:rPr>
        <w:t>4.2、磋商供应商不得探听上述信息，不得以任何行为影响磋商过程，否则其磋商文件将被作为无效磋商文件。</w:t>
      </w:r>
      <w:bookmarkEnd w:id="418"/>
      <w:bookmarkEnd w:id="419"/>
      <w:bookmarkEnd w:id="420"/>
    </w:p>
    <w:p w14:paraId="624B7463">
      <w:pPr>
        <w:spacing w:after="0" w:line="500" w:lineRule="exact"/>
        <w:ind w:firstLine="424" w:firstLineChars="202"/>
        <w:rPr>
          <w:rFonts w:ascii="微软雅黑" w:hAnsi="微软雅黑" w:eastAsia="微软雅黑" w:cs="微软雅黑"/>
          <w:snapToGrid w:val="0"/>
          <w:szCs w:val="21"/>
          <w:highlight w:val="none"/>
        </w:rPr>
      </w:pPr>
      <w:bookmarkStart w:id="421" w:name="_Toc53062743"/>
      <w:bookmarkStart w:id="422" w:name="_Toc89266869"/>
      <w:bookmarkStart w:id="423" w:name="_Toc40788081"/>
      <w:r>
        <w:rPr>
          <w:rFonts w:hint="eastAsia" w:ascii="微软雅黑" w:hAnsi="微软雅黑" w:eastAsia="微软雅黑" w:cs="微软雅黑"/>
          <w:snapToGrid w:val="0"/>
          <w:szCs w:val="21"/>
          <w:highlight w:val="none"/>
        </w:rPr>
        <w:t>4.3、在磋商期间，采购中心将有专门人员与磋商供应商进行联络。</w:t>
      </w:r>
      <w:bookmarkEnd w:id="421"/>
      <w:bookmarkEnd w:id="422"/>
      <w:bookmarkEnd w:id="423"/>
    </w:p>
    <w:p w14:paraId="10BE2AD2">
      <w:pPr>
        <w:spacing w:after="0" w:line="500" w:lineRule="exact"/>
        <w:ind w:firstLine="424" w:firstLineChars="202"/>
        <w:rPr>
          <w:rFonts w:ascii="微软雅黑" w:hAnsi="微软雅黑" w:eastAsia="微软雅黑" w:cs="微软雅黑"/>
          <w:snapToGrid w:val="0"/>
          <w:szCs w:val="21"/>
          <w:highlight w:val="none"/>
        </w:rPr>
      </w:pPr>
      <w:bookmarkStart w:id="424" w:name="_Toc40788082"/>
      <w:bookmarkStart w:id="425" w:name="_Toc89266870"/>
      <w:bookmarkStart w:id="426" w:name="_Toc53062744"/>
      <w:r>
        <w:rPr>
          <w:rFonts w:hint="eastAsia" w:ascii="微软雅黑" w:hAnsi="微软雅黑" w:eastAsia="微软雅黑" w:cs="微软雅黑"/>
          <w:snapToGrid w:val="0"/>
          <w:szCs w:val="21"/>
          <w:highlight w:val="none"/>
        </w:rPr>
        <w:t>4.4、采购中心和磋商小组不向未成交的磋商供应商解释未成交原因，也不对磋商过程中的细节问题进行公布。</w:t>
      </w:r>
      <w:bookmarkEnd w:id="424"/>
      <w:bookmarkEnd w:id="425"/>
      <w:bookmarkEnd w:id="426"/>
    </w:p>
    <w:p w14:paraId="77CB03C7">
      <w:pPr>
        <w:spacing w:after="0" w:line="500" w:lineRule="exact"/>
        <w:ind w:firstLine="410"/>
        <w:outlineLvl w:val="2"/>
        <w:rPr>
          <w:rFonts w:ascii="微软雅黑" w:hAnsi="微软雅黑" w:eastAsia="微软雅黑" w:cs="微软雅黑"/>
          <w:b/>
          <w:snapToGrid w:val="0"/>
          <w:szCs w:val="21"/>
          <w:highlight w:val="none"/>
        </w:rPr>
      </w:pPr>
      <w:bookmarkStart w:id="427" w:name="_Toc332724044"/>
      <w:bookmarkStart w:id="428" w:name="_Toc493082130"/>
      <w:bookmarkStart w:id="429" w:name="_Toc89266871"/>
      <w:bookmarkStart w:id="430" w:name="_Toc493699314"/>
      <w:bookmarkStart w:id="431" w:name="_Toc100764235"/>
      <w:bookmarkStart w:id="432" w:name="_Toc437979791"/>
      <w:bookmarkStart w:id="433" w:name="_Toc448487550"/>
      <w:bookmarkStart w:id="434" w:name="_Toc40788083"/>
      <w:bookmarkStart w:id="435" w:name="_Toc53062745"/>
      <w:r>
        <w:rPr>
          <w:rFonts w:hint="eastAsia" w:ascii="微软雅黑" w:hAnsi="微软雅黑" w:eastAsia="微软雅黑" w:cs="微软雅黑"/>
          <w:b/>
          <w:snapToGrid w:val="0"/>
          <w:szCs w:val="21"/>
          <w:highlight w:val="none"/>
        </w:rPr>
        <w:t>5、磋商供应商不足三家的处理</w:t>
      </w:r>
      <w:bookmarkEnd w:id="427"/>
      <w:bookmarkEnd w:id="428"/>
      <w:bookmarkEnd w:id="429"/>
      <w:bookmarkEnd w:id="430"/>
      <w:bookmarkEnd w:id="431"/>
      <w:bookmarkEnd w:id="432"/>
      <w:bookmarkEnd w:id="433"/>
      <w:bookmarkEnd w:id="434"/>
      <w:bookmarkEnd w:id="435"/>
    </w:p>
    <w:p w14:paraId="64611399">
      <w:pPr>
        <w:spacing w:after="0" w:line="500" w:lineRule="exact"/>
        <w:ind w:firstLine="424" w:firstLineChars="202"/>
        <w:rPr>
          <w:rFonts w:ascii="微软雅黑" w:hAnsi="微软雅黑" w:eastAsia="微软雅黑" w:cs="微软雅黑"/>
          <w:snapToGrid w:val="0"/>
          <w:szCs w:val="21"/>
          <w:highlight w:val="none"/>
        </w:rPr>
      </w:pPr>
      <w:bookmarkStart w:id="436" w:name="_Toc487793403"/>
      <w:bookmarkStart w:id="437" w:name="_Toc40788084"/>
      <w:bookmarkStart w:id="438" w:name="_Toc487802117"/>
      <w:bookmarkStart w:id="439" w:name="_Toc487802048"/>
      <w:bookmarkStart w:id="440" w:name="_Toc89266872"/>
      <w:bookmarkStart w:id="441" w:name="_Toc53062746"/>
      <w:bookmarkStart w:id="442" w:name="_Toc487802118"/>
      <w:bookmarkStart w:id="443" w:name="_Toc493699315"/>
      <w:r>
        <w:rPr>
          <w:rFonts w:hint="eastAsia" w:ascii="微软雅黑" w:hAnsi="微软雅黑" w:eastAsia="微软雅黑" w:cs="微软雅黑"/>
          <w:snapToGrid w:val="0"/>
          <w:szCs w:val="21"/>
          <w:highlight w:val="none"/>
        </w:rPr>
        <w:t>根据财库[2015] 124号，规定采用竞争性磋商采购方式采购的政府购买服务项目（含政府和社会资本合作项目），在采购过程中符合要求的供应商（社会资本）只有2家的，竞争性磋商采购活动可以继续进行采用竞争性磋商采购方式采购的政府购买服务项目（含政府和社会资本合作项目），采购过程中符合要求的供应商（社会资本）只有1家的，采购人（项目实施机构）或者采购代理机构应当终止竞争性磋商采购活动，发布项目终止公告并说明原因，重新开展采购活动。</w:t>
      </w:r>
      <w:bookmarkEnd w:id="436"/>
      <w:bookmarkEnd w:id="437"/>
      <w:bookmarkEnd w:id="438"/>
      <w:bookmarkEnd w:id="439"/>
      <w:bookmarkEnd w:id="440"/>
      <w:bookmarkEnd w:id="441"/>
    </w:p>
    <w:p w14:paraId="277B0CA6">
      <w:pPr>
        <w:pStyle w:val="3"/>
        <w:spacing w:before="0" w:after="0" w:line="500" w:lineRule="exact"/>
        <w:rPr>
          <w:rFonts w:ascii="微软雅黑" w:hAnsi="微软雅黑" w:eastAsia="微软雅黑" w:cs="微软雅黑"/>
          <w:sz w:val="21"/>
          <w:szCs w:val="21"/>
          <w:highlight w:val="none"/>
        </w:rPr>
      </w:pPr>
      <w:bookmarkStart w:id="444" w:name="_Toc89266873"/>
      <w:bookmarkStart w:id="445" w:name="_Toc53062747"/>
      <w:bookmarkStart w:id="446" w:name="_Toc100764236"/>
      <w:bookmarkStart w:id="447" w:name="_Toc40788085"/>
      <w:r>
        <w:rPr>
          <w:rFonts w:hint="eastAsia" w:ascii="微软雅黑" w:hAnsi="微软雅黑" w:eastAsia="微软雅黑" w:cs="微软雅黑"/>
          <w:sz w:val="21"/>
          <w:szCs w:val="21"/>
          <w:highlight w:val="none"/>
        </w:rPr>
        <w:t>六 评标</w:t>
      </w:r>
      <w:bookmarkEnd w:id="442"/>
      <w:bookmarkEnd w:id="443"/>
      <w:bookmarkEnd w:id="444"/>
      <w:bookmarkEnd w:id="445"/>
      <w:bookmarkEnd w:id="446"/>
      <w:bookmarkEnd w:id="447"/>
    </w:p>
    <w:p w14:paraId="188F5E51">
      <w:pPr>
        <w:spacing w:after="0" w:line="500" w:lineRule="exact"/>
        <w:ind w:firstLine="410"/>
        <w:outlineLvl w:val="2"/>
        <w:rPr>
          <w:rFonts w:ascii="微软雅黑" w:hAnsi="微软雅黑" w:eastAsia="微软雅黑" w:cs="微软雅黑"/>
          <w:b/>
          <w:snapToGrid w:val="0"/>
          <w:szCs w:val="21"/>
          <w:highlight w:val="none"/>
        </w:rPr>
      </w:pPr>
      <w:bookmarkStart w:id="448" w:name="_Toc53062748"/>
      <w:bookmarkStart w:id="449" w:name="_Toc89266874"/>
      <w:bookmarkStart w:id="450" w:name="_Toc100764237"/>
      <w:bookmarkStart w:id="451" w:name="_Toc40788086"/>
      <w:r>
        <w:rPr>
          <w:rFonts w:hint="eastAsia" w:ascii="微软雅黑" w:hAnsi="微软雅黑" w:eastAsia="微软雅黑" w:cs="微软雅黑"/>
          <w:b/>
          <w:snapToGrid w:val="0"/>
          <w:szCs w:val="21"/>
          <w:highlight w:val="none"/>
        </w:rPr>
        <w:t>1、组建磋商小组</w:t>
      </w:r>
      <w:bookmarkEnd w:id="448"/>
      <w:bookmarkEnd w:id="449"/>
      <w:bookmarkEnd w:id="450"/>
      <w:bookmarkEnd w:id="451"/>
    </w:p>
    <w:p w14:paraId="450B10C8">
      <w:pPr>
        <w:spacing w:after="0" w:line="500" w:lineRule="exact"/>
        <w:ind w:firstLine="424" w:firstLineChars="202"/>
        <w:rPr>
          <w:rFonts w:ascii="微软雅黑" w:hAnsi="微软雅黑" w:eastAsia="微软雅黑" w:cs="微软雅黑"/>
          <w:snapToGrid w:val="0"/>
          <w:szCs w:val="21"/>
          <w:highlight w:val="none"/>
        </w:rPr>
      </w:pPr>
      <w:bookmarkStart w:id="452" w:name="_Toc40788087"/>
      <w:bookmarkStart w:id="453" w:name="_Toc53062749"/>
      <w:bookmarkStart w:id="454" w:name="_Toc89266875"/>
      <w:r>
        <w:rPr>
          <w:rFonts w:hint="eastAsia" w:ascii="微软雅黑" w:hAnsi="微软雅黑" w:eastAsia="微软雅黑" w:cs="微软雅黑"/>
          <w:snapToGrid w:val="0"/>
          <w:szCs w:val="21"/>
          <w:highlight w:val="none"/>
        </w:rPr>
        <w:t>本项目磋商小组由政府采购评审专家2人，采购单位代表1</w:t>
      </w:r>
      <w:r>
        <w:rPr>
          <w:rFonts w:hint="eastAsia" w:ascii="微软雅黑" w:hAnsi="微软雅黑" w:eastAsia="微软雅黑" w:cs="微软雅黑"/>
          <w:snapToGrid w:val="0"/>
          <w:szCs w:val="21"/>
          <w:highlight w:val="none"/>
          <w:lang w:val="en-US" w:eastAsia="zh-CN"/>
        </w:rPr>
        <w:t>人</w:t>
      </w:r>
      <w:r>
        <w:rPr>
          <w:rFonts w:hint="eastAsia" w:ascii="微软雅黑" w:hAnsi="微软雅黑" w:eastAsia="微软雅黑" w:cs="微软雅黑"/>
          <w:snapToGrid w:val="0"/>
          <w:szCs w:val="21"/>
          <w:highlight w:val="none"/>
        </w:rPr>
        <w:t>，共3</w:t>
      </w:r>
      <w:r>
        <w:rPr>
          <w:rFonts w:hint="eastAsia" w:ascii="微软雅黑" w:hAnsi="微软雅黑" w:eastAsia="微软雅黑" w:cs="微软雅黑"/>
          <w:snapToGrid w:val="0"/>
          <w:szCs w:val="21"/>
          <w:highlight w:val="none"/>
          <w:lang w:eastAsia="zh-CN"/>
        </w:rPr>
        <w:t>人</w:t>
      </w:r>
      <w:r>
        <w:rPr>
          <w:rFonts w:hint="eastAsia" w:ascii="微软雅黑" w:hAnsi="微软雅黑" w:eastAsia="微软雅黑" w:cs="微软雅黑"/>
          <w:snapToGrid w:val="0"/>
          <w:szCs w:val="21"/>
          <w:highlight w:val="none"/>
        </w:rPr>
        <w:t>组成。</w:t>
      </w:r>
      <w:bookmarkEnd w:id="452"/>
      <w:bookmarkEnd w:id="453"/>
      <w:bookmarkEnd w:id="454"/>
    </w:p>
    <w:p w14:paraId="22C80F96">
      <w:pPr>
        <w:spacing w:after="0" w:line="500" w:lineRule="exact"/>
        <w:ind w:firstLine="410"/>
        <w:outlineLvl w:val="2"/>
        <w:rPr>
          <w:rFonts w:ascii="微软雅黑" w:hAnsi="微软雅黑" w:eastAsia="微软雅黑" w:cs="微软雅黑"/>
          <w:b/>
          <w:snapToGrid w:val="0"/>
          <w:szCs w:val="21"/>
          <w:highlight w:val="none"/>
        </w:rPr>
      </w:pPr>
      <w:bookmarkStart w:id="455" w:name="_Toc89266876"/>
      <w:bookmarkStart w:id="456" w:name="_Toc40788088"/>
      <w:bookmarkStart w:id="457" w:name="_Toc53062750"/>
      <w:bookmarkStart w:id="458" w:name="_Toc100764238"/>
      <w:r>
        <w:rPr>
          <w:rFonts w:hint="eastAsia" w:ascii="微软雅黑" w:hAnsi="微软雅黑" w:eastAsia="微软雅黑" w:cs="微软雅黑"/>
          <w:b/>
          <w:snapToGrid w:val="0"/>
          <w:szCs w:val="21"/>
          <w:highlight w:val="none"/>
        </w:rPr>
        <w:t>2、磋商的方式</w:t>
      </w:r>
      <w:bookmarkEnd w:id="455"/>
      <w:bookmarkEnd w:id="456"/>
      <w:bookmarkEnd w:id="457"/>
      <w:bookmarkEnd w:id="458"/>
    </w:p>
    <w:p w14:paraId="2C37EF39">
      <w:pPr>
        <w:spacing w:after="0" w:line="500" w:lineRule="exact"/>
        <w:ind w:firstLine="424" w:firstLineChars="202"/>
        <w:rPr>
          <w:rFonts w:ascii="微软雅黑" w:hAnsi="微软雅黑" w:eastAsia="微软雅黑" w:cs="微软雅黑"/>
          <w:snapToGrid w:val="0"/>
          <w:szCs w:val="21"/>
          <w:highlight w:val="none"/>
        </w:rPr>
      </w:pPr>
      <w:bookmarkStart w:id="459" w:name="_Toc53062751"/>
      <w:bookmarkStart w:id="460" w:name="_Toc40788089"/>
      <w:bookmarkStart w:id="461" w:name="_Toc89266877"/>
      <w:r>
        <w:rPr>
          <w:rFonts w:hint="eastAsia" w:ascii="微软雅黑" w:hAnsi="微软雅黑" w:eastAsia="微软雅黑" w:cs="微软雅黑"/>
          <w:snapToGrid w:val="0"/>
          <w:szCs w:val="21"/>
          <w:highlight w:val="none"/>
        </w:rPr>
        <w:t>本项目采用不公开方式磋商，磋商的依据为竞争性磋商文件和竞争性磋商响应文件。</w:t>
      </w:r>
      <w:bookmarkEnd w:id="459"/>
      <w:bookmarkEnd w:id="460"/>
      <w:bookmarkEnd w:id="461"/>
    </w:p>
    <w:p w14:paraId="0F40CA69">
      <w:pPr>
        <w:spacing w:after="0" w:line="500" w:lineRule="exact"/>
        <w:ind w:firstLine="410"/>
        <w:outlineLvl w:val="2"/>
        <w:rPr>
          <w:rFonts w:ascii="微软雅黑" w:hAnsi="微软雅黑" w:eastAsia="微软雅黑" w:cs="微软雅黑"/>
          <w:b/>
          <w:snapToGrid w:val="0"/>
          <w:szCs w:val="21"/>
          <w:highlight w:val="none"/>
        </w:rPr>
      </w:pPr>
      <w:bookmarkStart w:id="462" w:name="_Toc40788090"/>
      <w:bookmarkStart w:id="463" w:name="_Toc53062752"/>
      <w:bookmarkStart w:id="464" w:name="_Toc100764239"/>
      <w:bookmarkStart w:id="465" w:name="_Toc89266878"/>
      <w:r>
        <w:rPr>
          <w:rFonts w:hint="eastAsia" w:ascii="微软雅黑" w:hAnsi="微软雅黑" w:eastAsia="微软雅黑" w:cs="微软雅黑"/>
          <w:b/>
          <w:snapToGrid w:val="0"/>
          <w:szCs w:val="21"/>
          <w:highlight w:val="none"/>
        </w:rPr>
        <w:t>3、磋商程序</w:t>
      </w:r>
      <w:bookmarkEnd w:id="462"/>
      <w:bookmarkEnd w:id="463"/>
      <w:bookmarkEnd w:id="464"/>
      <w:bookmarkEnd w:id="465"/>
    </w:p>
    <w:p w14:paraId="35DEF5FC">
      <w:pPr>
        <w:spacing w:after="0" w:line="500" w:lineRule="exact"/>
        <w:ind w:firstLine="424" w:firstLineChars="202"/>
        <w:rPr>
          <w:rFonts w:ascii="微软雅黑" w:hAnsi="微软雅黑" w:eastAsia="微软雅黑" w:cs="微软雅黑"/>
          <w:snapToGrid w:val="0"/>
          <w:szCs w:val="21"/>
          <w:highlight w:val="none"/>
        </w:rPr>
      </w:pPr>
      <w:bookmarkStart w:id="466" w:name="_Toc89266879"/>
      <w:bookmarkStart w:id="467" w:name="_Toc53062753"/>
      <w:bookmarkStart w:id="468" w:name="_Toc40788091"/>
      <w:r>
        <w:rPr>
          <w:rFonts w:hint="eastAsia" w:ascii="微软雅黑" w:hAnsi="微软雅黑" w:eastAsia="微软雅黑" w:cs="微软雅黑"/>
          <w:snapToGrid w:val="0"/>
          <w:szCs w:val="21"/>
          <w:highlight w:val="none"/>
        </w:rPr>
        <w:t>3.1、形式审查</w:t>
      </w:r>
      <w:bookmarkEnd w:id="466"/>
      <w:bookmarkEnd w:id="467"/>
      <w:bookmarkEnd w:id="468"/>
    </w:p>
    <w:p w14:paraId="2353797C">
      <w:pPr>
        <w:spacing w:after="0" w:line="500" w:lineRule="exact"/>
        <w:ind w:firstLine="424" w:firstLineChars="202"/>
        <w:rPr>
          <w:rFonts w:ascii="微软雅黑" w:hAnsi="微软雅黑" w:eastAsia="微软雅黑" w:cs="微软雅黑"/>
          <w:snapToGrid w:val="0"/>
          <w:szCs w:val="21"/>
          <w:highlight w:val="none"/>
        </w:rPr>
      </w:pPr>
      <w:bookmarkStart w:id="469" w:name="_Toc53062754"/>
      <w:bookmarkStart w:id="470" w:name="_Toc40788092"/>
      <w:bookmarkStart w:id="471" w:name="_Toc89266880"/>
      <w:r>
        <w:rPr>
          <w:rFonts w:hint="eastAsia" w:ascii="微软雅黑" w:hAnsi="微软雅黑" w:eastAsia="微软雅黑" w:cs="微软雅黑"/>
          <w:snapToGrid w:val="0"/>
          <w:szCs w:val="21"/>
          <w:highlight w:val="none"/>
        </w:rPr>
        <w:t>磋商小组对磋商供应商的资格和竞争性磋商响应文件的完整性、合法性等进行审查。</w:t>
      </w:r>
      <w:bookmarkEnd w:id="469"/>
      <w:bookmarkEnd w:id="470"/>
      <w:bookmarkEnd w:id="471"/>
    </w:p>
    <w:p w14:paraId="41632C85">
      <w:pPr>
        <w:spacing w:after="0" w:line="500" w:lineRule="exact"/>
        <w:ind w:firstLine="424" w:firstLineChars="202"/>
        <w:rPr>
          <w:rFonts w:ascii="微软雅黑" w:hAnsi="微软雅黑" w:eastAsia="微软雅黑" w:cs="微软雅黑"/>
          <w:snapToGrid w:val="0"/>
          <w:szCs w:val="21"/>
          <w:highlight w:val="none"/>
        </w:rPr>
      </w:pPr>
      <w:bookmarkStart w:id="472" w:name="_Toc40788093"/>
      <w:bookmarkStart w:id="473" w:name="_Toc53062755"/>
      <w:bookmarkStart w:id="474" w:name="_Toc89266881"/>
      <w:r>
        <w:rPr>
          <w:rFonts w:hint="eastAsia" w:ascii="微软雅黑" w:hAnsi="微软雅黑" w:eastAsia="微软雅黑" w:cs="微软雅黑"/>
          <w:snapToGrid w:val="0"/>
          <w:szCs w:val="21"/>
          <w:highlight w:val="none"/>
        </w:rPr>
        <w:t>3.2、实质审查与比较</w:t>
      </w:r>
      <w:bookmarkEnd w:id="472"/>
      <w:bookmarkEnd w:id="473"/>
      <w:bookmarkEnd w:id="474"/>
    </w:p>
    <w:p w14:paraId="17013B7E">
      <w:pPr>
        <w:spacing w:after="0" w:line="500" w:lineRule="exact"/>
        <w:ind w:firstLine="424" w:firstLineChars="202"/>
        <w:rPr>
          <w:rFonts w:ascii="微软雅黑" w:hAnsi="微软雅黑" w:eastAsia="微软雅黑" w:cs="微软雅黑"/>
          <w:snapToGrid w:val="0"/>
          <w:szCs w:val="21"/>
          <w:highlight w:val="none"/>
        </w:rPr>
      </w:pPr>
      <w:bookmarkStart w:id="475" w:name="_Toc53062756"/>
      <w:bookmarkStart w:id="476" w:name="_Toc40788094"/>
      <w:bookmarkStart w:id="477" w:name="_Toc89266882"/>
      <w:r>
        <w:rPr>
          <w:rFonts w:hint="eastAsia" w:ascii="微软雅黑" w:hAnsi="微软雅黑" w:eastAsia="微软雅黑" w:cs="微软雅黑"/>
          <w:snapToGrid w:val="0"/>
          <w:szCs w:val="21"/>
          <w:highlight w:val="none"/>
        </w:rPr>
        <w:t>3.2.1、磋商小组审查竞争性磋商响应文件的实质性内容是否符合竞争性磋商文件的实质性要求。</w:t>
      </w:r>
      <w:bookmarkEnd w:id="475"/>
      <w:bookmarkEnd w:id="476"/>
      <w:bookmarkEnd w:id="477"/>
    </w:p>
    <w:p w14:paraId="17A22ED2">
      <w:pPr>
        <w:spacing w:after="0" w:line="500" w:lineRule="exact"/>
        <w:ind w:firstLine="424" w:firstLineChars="202"/>
        <w:rPr>
          <w:rFonts w:ascii="微软雅黑" w:hAnsi="微软雅黑" w:eastAsia="微软雅黑" w:cs="微软雅黑"/>
          <w:snapToGrid w:val="0"/>
          <w:szCs w:val="21"/>
          <w:highlight w:val="none"/>
        </w:rPr>
      </w:pPr>
      <w:bookmarkStart w:id="478" w:name="_Toc53062757"/>
      <w:bookmarkStart w:id="479" w:name="_Toc40788095"/>
      <w:bookmarkStart w:id="480" w:name="_Toc89266883"/>
      <w:r>
        <w:rPr>
          <w:rFonts w:hint="eastAsia" w:ascii="微软雅黑" w:hAnsi="微软雅黑" w:eastAsia="微软雅黑" w:cs="微软雅黑"/>
          <w:snapToGrid w:val="0"/>
          <w:szCs w:val="21"/>
          <w:highlight w:val="none"/>
        </w:rPr>
        <w:t>3.2.2、磋商小组将根据磋商供应商的竞争性磋商响应文件进行审查、核对,如有疑问,将对磋商供应商进行询标,磋商供应商要向磋商小组澄清有关问题,并最终以书面形式进行答复。</w:t>
      </w:r>
      <w:bookmarkEnd w:id="478"/>
      <w:bookmarkEnd w:id="479"/>
      <w:bookmarkEnd w:id="480"/>
    </w:p>
    <w:p w14:paraId="388A5CCB">
      <w:pPr>
        <w:spacing w:after="0" w:line="500" w:lineRule="exact"/>
        <w:ind w:firstLine="424" w:firstLineChars="202"/>
        <w:rPr>
          <w:rFonts w:ascii="微软雅黑" w:hAnsi="微软雅黑" w:eastAsia="微软雅黑" w:cs="微软雅黑"/>
          <w:snapToGrid w:val="0"/>
          <w:szCs w:val="21"/>
          <w:highlight w:val="none"/>
        </w:rPr>
      </w:pPr>
      <w:bookmarkStart w:id="481" w:name="_Toc89266884"/>
      <w:bookmarkStart w:id="482" w:name="_Toc53062758"/>
      <w:bookmarkStart w:id="483" w:name="_Toc40788096"/>
      <w:r>
        <w:rPr>
          <w:rFonts w:hint="eastAsia" w:ascii="微软雅黑" w:hAnsi="微软雅黑" w:eastAsia="微软雅黑" w:cs="微软雅黑"/>
          <w:snapToGrid w:val="0"/>
          <w:szCs w:val="21"/>
          <w:highlight w:val="none"/>
        </w:rPr>
        <w:t>询标时，磋商供应商代表未到场或者拒绝澄清或者澄清的内容改变了竞争性磋商响应文件的实质性内容的，磋商小组有权对该竞争性磋商响应文件作出不利于磋商供应商的评判。</w:t>
      </w:r>
      <w:bookmarkEnd w:id="481"/>
      <w:bookmarkEnd w:id="482"/>
      <w:bookmarkEnd w:id="483"/>
    </w:p>
    <w:p w14:paraId="398D2E7B">
      <w:pPr>
        <w:spacing w:after="0" w:line="500" w:lineRule="exact"/>
        <w:ind w:firstLine="424" w:firstLineChars="202"/>
        <w:rPr>
          <w:rFonts w:ascii="微软雅黑" w:hAnsi="微软雅黑" w:eastAsia="微软雅黑" w:cs="微软雅黑"/>
          <w:snapToGrid w:val="0"/>
          <w:szCs w:val="21"/>
          <w:highlight w:val="none"/>
        </w:rPr>
      </w:pPr>
      <w:bookmarkStart w:id="484" w:name="_Toc40788097"/>
      <w:bookmarkStart w:id="485" w:name="_Toc53062759"/>
      <w:bookmarkStart w:id="486" w:name="_Toc89266885"/>
      <w:r>
        <w:rPr>
          <w:rFonts w:hint="eastAsia" w:ascii="微软雅黑" w:hAnsi="微软雅黑" w:eastAsia="微软雅黑" w:cs="微软雅黑"/>
          <w:snapToGrid w:val="0"/>
          <w:szCs w:val="21"/>
          <w:highlight w:val="none"/>
        </w:rPr>
        <w:t>3.2.3、各磋商供应商的资信商务及技术分按照磋商小组成员的独立评分汇总后的算术平均分计算。</w:t>
      </w:r>
      <w:bookmarkEnd w:id="484"/>
      <w:bookmarkEnd w:id="485"/>
      <w:bookmarkEnd w:id="486"/>
    </w:p>
    <w:p w14:paraId="09697675">
      <w:pPr>
        <w:spacing w:after="0" w:line="500" w:lineRule="exact"/>
        <w:ind w:firstLine="424" w:firstLineChars="202"/>
        <w:rPr>
          <w:rFonts w:ascii="微软雅黑" w:hAnsi="微软雅黑" w:eastAsia="微软雅黑" w:cs="微软雅黑"/>
          <w:snapToGrid w:val="0"/>
          <w:szCs w:val="21"/>
          <w:highlight w:val="none"/>
        </w:rPr>
      </w:pPr>
      <w:bookmarkStart w:id="487" w:name="_Toc53062760"/>
      <w:bookmarkStart w:id="488" w:name="_Toc89266886"/>
      <w:bookmarkStart w:id="489" w:name="_Toc40788098"/>
      <w:r>
        <w:rPr>
          <w:rFonts w:hint="eastAsia" w:ascii="微软雅黑" w:hAnsi="微软雅黑" w:eastAsia="微软雅黑" w:cs="微软雅黑"/>
          <w:snapToGrid w:val="0"/>
          <w:szCs w:val="21"/>
          <w:highlight w:val="none"/>
        </w:rPr>
        <w:t>3.2.4、代理公司工作人员协助磋商小组根据本项目的评分标准操作政府采购业务系统，由系统计算各磋商供应商的商务报价得分。</w:t>
      </w:r>
      <w:bookmarkEnd w:id="487"/>
      <w:bookmarkEnd w:id="488"/>
      <w:bookmarkEnd w:id="489"/>
    </w:p>
    <w:p w14:paraId="045FD0C9">
      <w:pPr>
        <w:spacing w:after="0" w:line="500" w:lineRule="exact"/>
        <w:ind w:firstLine="424" w:firstLineChars="202"/>
        <w:rPr>
          <w:rFonts w:ascii="微软雅黑" w:hAnsi="微软雅黑" w:eastAsia="微软雅黑" w:cs="微软雅黑"/>
          <w:snapToGrid w:val="0"/>
          <w:szCs w:val="21"/>
          <w:highlight w:val="none"/>
        </w:rPr>
      </w:pPr>
      <w:bookmarkStart w:id="490" w:name="_Toc89266887"/>
      <w:bookmarkStart w:id="491" w:name="_Toc53062761"/>
      <w:bookmarkStart w:id="492" w:name="_Toc40788099"/>
      <w:r>
        <w:rPr>
          <w:rFonts w:hint="eastAsia" w:ascii="微软雅黑" w:hAnsi="微软雅黑" w:eastAsia="微软雅黑" w:cs="微软雅黑"/>
          <w:snapToGrid w:val="0"/>
          <w:szCs w:val="21"/>
          <w:highlight w:val="none"/>
        </w:rPr>
        <w:t>3.2.5、磋商小组完成评标后,评委对各部分得分汇总,计算出本项目最终得分、性价比、评标价等。磋商小组按评标原则推荐中标候选人同时起草评标报告。</w:t>
      </w:r>
      <w:bookmarkEnd w:id="490"/>
      <w:bookmarkEnd w:id="491"/>
      <w:bookmarkEnd w:id="492"/>
    </w:p>
    <w:p w14:paraId="16147F60">
      <w:pPr>
        <w:spacing w:after="0" w:line="500" w:lineRule="exact"/>
        <w:ind w:firstLine="410"/>
        <w:outlineLvl w:val="2"/>
        <w:rPr>
          <w:rFonts w:ascii="微软雅黑" w:hAnsi="微软雅黑" w:eastAsia="微软雅黑" w:cs="微软雅黑"/>
          <w:b/>
          <w:snapToGrid w:val="0"/>
          <w:szCs w:val="21"/>
          <w:highlight w:val="none"/>
        </w:rPr>
      </w:pPr>
      <w:bookmarkStart w:id="493" w:name="_Toc89266888"/>
      <w:bookmarkStart w:id="494" w:name="_Toc100764240"/>
      <w:bookmarkStart w:id="495" w:name="_Toc53062762"/>
      <w:bookmarkStart w:id="496" w:name="_Toc40788100"/>
      <w:r>
        <w:rPr>
          <w:rFonts w:hint="eastAsia" w:ascii="微软雅黑" w:hAnsi="微软雅黑" w:eastAsia="微软雅黑" w:cs="微软雅黑"/>
          <w:b/>
          <w:snapToGrid w:val="0"/>
          <w:szCs w:val="21"/>
          <w:highlight w:val="none"/>
        </w:rPr>
        <w:t>4、澄清问题的形式</w:t>
      </w:r>
      <w:bookmarkEnd w:id="493"/>
      <w:bookmarkEnd w:id="494"/>
      <w:bookmarkEnd w:id="495"/>
      <w:bookmarkEnd w:id="496"/>
    </w:p>
    <w:p w14:paraId="16B40630">
      <w:pPr>
        <w:spacing w:after="0" w:line="500" w:lineRule="exact"/>
        <w:ind w:firstLine="424" w:firstLineChars="202"/>
        <w:rPr>
          <w:rFonts w:ascii="微软雅黑" w:hAnsi="微软雅黑" w:eastAsia="微软雅黑" w:cs="微软雅黑"/>
          <w:snapToGrid w:val="0"/>
          <w:szCs w:val="21"/>
          <w:highlight w:val="none"/>
        </w:rPr>
      </w:pPr>
      <w:bookmarkStart w:id="497" w:name="_Toc89266889"/>
      <w:bookmarkStart w:id="498" w:name="_Toc53062763"/>
      <w:bookmarkStart w:id="499" w:name="_Toc40788101"/>
      <w:r>
        <w:rPr>
          <w:rFonts w:hint="eastAsia" w:ascii="微软雅黑" w:hAnsi="微软雅黑" w:eastAsia="微软雅黑" w:cs="微软雅黑"/>
          <w:snapToGrid w:val="0"/>
          <w:szCs w:val="21"/>
          <w:highlight w:val="none"/>
        </w:rPr>
        <w:t>对竞争性磋商响应文件中含义不明确、同类问题表述不一致或者有明显文字和计算错误的内容，磋商小组可要求磋商供应商作出必要的澄清、说明或者纠正。磋商供应商的澄清、说明或者补正应当采用书面（或通过“政府采购云平台”在线询标）的形式要求投标供应商在规定的时间内作出必要的澄清、说明或者补正，投标供应商澄清、说明或补正时间为不超过30分钟。</w:t>
      </w:r>
      <w:bookmarkEnd w:id="497"/>
      <w:bookmarkEnd w:id="498"/>
      <w:bookmarkEnd w:id="499"/>
    </w:p>
    <w:p w14:paraId="73AA7256">
      <w:pPr>
        <w:spacing w:after="0" w:line="500" w:lineRule="exact"/>
        <w:ind w:firstLine="410"/>
        <w:outlineLvl w:val="2"/>
        <w:rPr>
          <w:rFonts w:ascii="微软雅黑" w:hAnsi="微软雅黑" w:eastAsia="微软雅黑" w:cs="微软雅黑"/>
          <w:b/>
          <w:snapToGrid w:val="0"/>
          <w:szCs w:val="21"/>
          <w:highlight w:val="none"/>
        </w:rPr>
      </w:pPr>
      <w:bookmarkStart w:id="500" w:name="_Toc100764241"/>
      <w:bookmarkStart w:id="501" w:name="_Toc53062764"/>
      <w:bookmarkStart w:id="502" w:name="_Toc40788102"/>
      <w:bookmarkStart w:id="503" w:name="_Toc89266890"/>
      <w:r>
        <w:rPr>
          <w:rFonts w:hint="eastAsia" w:ascii="微软雅黑" w:hAnsi="微软雅黑" w:eastAsia="微软雅黑" w:cs="微软雅黑"/>
          <w:b/>
          <w:snapToGrid w:val="0"/>
          <w:szCs w:val="21"/>
          <w:highlight w:val="none"/>
        </w:rPr>
        <w:t>5、错误修正</w:t>
      </w:r>
      <w:bookmarkEnd w:id="500"/>
      <w:bookmarkEnd w:id="501"/>
      <w:bookmarkEnd w:id="502"/>
      <w:bookmarkEnd w:id="503"/>
    </w:p>
    <w:p w14:paraId="2337F613">
      <w:pPr>
        <w:spacing w:after="0" w:line="500" w:lineRule="exact"/>
        <w:ind w:firstLine="424" w:firstLineChars="202"/>
        <w:rPr>
          <w:rFonts w:ascii="微软雅黑" w:hAnsi="微软雅黑" w:eastAsia="微软雅黑" w:cs="微软雅黑"/>
          <w:snapToGrid w:val="0"/>
          <w:szCs w:val="21"/>
          <w:highlight w:val="none"/>
        </w:rPr>
      </w:pPr>
      <w:bookmarkStart w:id="504" w:name="_Toc40788103"/>
      <w:bookmarkStart w:id="505" w:name="_Toc53062765"/>
      <w:bookmarkStart w:id="506" w:name="_Toc89266891"/>
      <w:r>
        <w:rPr>
          <w:rFonts w:hint="eastAsia" w:ascii="微软雅黑" w:hAnsi="微软雅黑" w:eastAsia="微软雅黑" w:cs="微软雅黑"/>
          <w:snapToGrid w:val="0"/>
          <w:szCs w:val="21"/>
          <w:highlight w:val="none"/>
        </w:rPr>
        <w:t>竞争性磋商响应文件如果出现计算或表达上的错误，修正错误的原则如下：</w:t>
      </w:r>
      <w:bookmarkEnd w:id="504"/>
      <w:bookmarkEnd w:id="505"/>
      <w:bookmarkEnd w:id="506"/>
    </w:p>
    <w:p w14:paraId="1FFFAA8B">
      <w:pPr>
        <w:spacing w:after="0" w:line="500" w:lineRule="exact"/>
        <w:ind w:firstLine="424" w:firstLineChars="202"/>
        <w:rPr>
          <w:rFonts w:ascii="微软雅黑" w:hAnsi="微软雅黑" w:eastAsia="微软雅黑" w:cs="微软雅黑"/>
          <w:snapToGrid w:val="0"/>
          <w:szCs w:val="21"/>
          <w:highlight w:val="none"/>
        </w:rPr>
      </w:pPr>
      <w:bookmarkStart w:id="507" w:name="_Toc89266892"/>
      <w:bookmarkStart w:id="508" w:name="_Toc53062766"/>
      <w:bookmarkStart w:id="509" w:name="_Toc40788104"/>
      <w:r>
        <w:rPr>
          <w:rFonts w:hint="eastAsia" w:ascii="微软雅黑" w:hAnsi="微软雅黑" w:eastAsia="微软雅黑" w:cs="微软雅黑"/>
          <w:snapToGrid w:val="0"/>
          <w:szCs w:val="21"/>
          <w:highlight w:val="none"/>
        </w:rPr>
        <w:t>5.1、开标一览表总价与投标报价明细表汇总数不一致的，以开标一览表为准；</w:t>
      </w:r>
      <w:bookmarkEnd w:id="507"/>
      <w:bookmarkEnd w:id="508"/>
      <w:bookmarkEnd w:id="509"/>
    </w:p>
    <w:p w14:paraId="2F6B598B">
      <w:pPr>
        <w:spacing w:after="0" w:line="500" w:lineRule="exact"/>
        <w:ind w:firstLine="424" w:firstLineChars="202"/>
        <w:rPr>
          <w:rFonts w:ascii="微软雅黑" w:hAnsi="微软雅黑" w:eastAsia="微软雅黑" w:cs="微软雅黑"/>
          <w:snapToGrid w:val="0"/>
          <w:szCs w:val="21"/>
          <w:highlight w:val="none"/>
        </w:rPr>
      </w:pPr>
      <w:bookmarkStart w:id="510" w:name="_Toc40788105"/>
      <w:bookmarkStart w:id="511" w:name="_Toc89266893"/>
      <w:bookmarkStart w:id="512" w:name="_Toc53062767"/>
      <w:r>
        <w:rPr>
          <w:rFonts w:hint="eastAsia" w:ascii="微软雅黑" w:hAnsi="微软雅黑" w:eastAsia="微软雅黑" w:cs="微软雅黑"/>
          <w:snapToGrid w:val="0"/>
          <w:szCs w:val="21"/>
          <w:highlight w:val="none"/>
        </w:rPr>
        <w:t>5.2、竞争性磋商响应文件的大写金额和小写金额不一致的，以大写金额为准；</w:t>
      </w:r>
      <w:bookmarkEnd w:id="510"/>
      <w:bookmarkEnd w:id="511"/>
      <w:bookmarkEnd w:id="512"/>
    </w:p>
    <w:p w14:paraId="7BEFBBEE">
      <w:pPr>
        <w:spacing w:after="0" w:line="500" w:lineRule="exact"/>
        <w:ind w:firstLine="424" w:firstLineChars="202"/>
        <w:rPr>
          <w:rFonts w:ascii="微软雅黑" w:hAnsi="微软雅黑" w:eastAsia="微软雅黑" w:cs="微软雅黑"/>
          <w:snapToGrid w:val="0"/>
          <w:szCs w:val="21"/>
          <w:highlight w:val="none"/>
        </w:rPr>
      </w:pPr>
      <w:bookmarkStart w:id="513" w:name="_Toc53062768"/>
      <w:bookmarkStart w:id="514" w:name="_Toc89266894"/>
      <w:bookmarkStart w:id="515" w:name="_Toc40788106"/>
      <w:r>
        <w:rPr>
          <w:rFonts w:hint="eastAsia" w:ascii="微软雅黑" w:hAnsi="微软雅黑" w:eastAsia="微软雅黑" w:cs="微软雅黑"/>
          <w:snapToGrid w:val="0"/>
          <w:szCs w:val="21"/>
          <w:highlight w:val="none"/>
        </w:rPr>
        <w:t>5.3、总价金额与按单价汇总金额不一致的，以单价金额计算结果为准；</w:t>
      </w:r>
      <w:bookmarkEnd w:id="513"/>
      <w:bookmarkEnd w:id="514"/>
      <w:bookmarkEnd w:id="515"/>
    </w:p>
    <w:p w14:paraId="55706512">
      <w:pPr>
        <w:spacing w:after="0" w:line="500" w:lineRule="exact"/>
        <w:ind w:firstLine="424" w:firstLineChars="202"/>
        <w:rPr>
          <w:rFonts w:ascii="微软雅黑" w:hAnsi="微软雅黑" w:eastAsia="微软雅黑" w:cs="微软雅黑"/>
          <w:snapToGrid w:val="0"/>
          <w:szCs w:val="21"/>
          <w:highlight w:val="none"/>
        </w:rPr>
      </w:pPr>
      <w:bookmarkStart w:id="516" w:name="_Toc40788107"/>
      <w:bookmarkStart w:id="517" w:name="_Toc89266895"/>
      <w:bookmarkStart w:id="518" w:name="_Toc53062769"/>
      <w:r>
        <w:rPr>
          <w:rFonts w:hint="eastAsia" w:ascii="微软雅黑" w:hAnsi="微软雅黑" w:eastAsia="微软雅黑" w:cs="微软雅黑"/>
          <w:snapToGrid w:val="0"/>
          <w:szCs w:val="21"/>
          <w:highlight w:val="none"/>
        </w:rPr>
        <w:t>5.4、对不同文字文本竞争性磋商响应文件的解释发生异议的，以中文文本为准。</w:t>
      </w:r>
      <w:bookmarkEnd w:id="516"/>
      <w:bookmarkEnd w:id="517"/>
      <w:bookmarkEnd w:id="518"/>
    </w:p>
    <w:p w14:paraId="74931BD9">
      <w:pPr>
        <w:spacing w:after="0" w:line="500" w:lineRule="exact"/>
        <w:ind w:firstLine="424" w:firstLineChars="202"/>
        <w:rPr>
          <w:rFonts w:ascii="微软雅黑" w:hAnsi="微软雅黑" w:eastAsia="微软雅黑" w:cs="微软雅黑"/>
          <w:snapToGrid w:val="0"/>
          <w:szCs w:val="21"/>
          <w:highlight w:val="none"/>
        </w:rPr>
      </w:pPr>
      <w:bookmarkStart w:id="519" w:name="_Toc89266896"/>
      <w:bookmarkStart w:id="520" w:name="_Toc40788108"/>
      <w:bookmarkStart w:id="521" w:name="_Toc53062770"/>
      <w:r>
        <w:rPr>
          <w:rFonts w:hint="eastAsia" w:ascii="微软雅黑" w:hAnsi="微软雅黑" w:eastAsia="微软雅黑" w:cs="微软雅黑"/>
          <w:snapToGrid w:val="0"/>
          <w:szCs w:val="21"/>
          <w:highlight w:val="none"/>
        </w:rPr>
        <w:t>按上述修正错误的原则及方法调整或修正竞争性磋商响应文件的投标报价，磋商供应商同意确认后，调整后的投标报价对磋商供应商具有约束作用。如果磋商供应商不接受修正后的报价，则其投标将作为无效投标处理。</w:t>
      </w:r>
      <w:bookmarkEnd w:id="519"/>
      <w:bookmarkEnd w:id="520"/>
      <w:bookmarkEnd w:id="521"/>
    </w:p>
    <w:p w14:paraId="6C8404AB">
      <w:pPr>
        <w:spacing w:after="0" w:line="500" w:lineRule="exact"/>
        <w:ind w:firstLine="410"/>
        <w:outlineLvl w:val="2"/>
        <w:rPr>
          <w:rFonts w:ascii="微软雅黑" w:hAnsi="微软雅黑" w:eastAsia="微软雅黑" w:cs="微软雅黑"/>
          <w:b/>
          <w:snapToGrid w:val="0"/>
          <w:szCs w:val="21"/>
          <w:highlight w:val="none"/>
        </w:rPr>
      </w:pPr>
      <w:bookmarkStart w:id="522" w:name="_Toc100764242"/>
      <w:bookmarkStart w:id="523" w:name="_Toc53062771"/>
      <w:bookmarkStart w:id="524" w:name="_Toc89266897"/>
      <w:bookmarkStart w:id="525" w:name="_Toc40788109"/>
      <w:r>
        <w:rPr>
          <w:rFonts w:hint="eastAsia" w:ascii="微软雅黑" w:hAnsi="微软雅黑" w:eastAsia="微软雅黑" w:cs="微软雅黑"/>
          <w:b/>
          <w:snapToGrid w:val="0"/>
          <w:szCs w:val="21"/>
          <w:highlight w:val="none"/>
        </w:rPr>
        <w:t>6、评标原则和评标办法</w:t>
      </w:r>
      <w:bookmarkEnd w:id="522"/>
      <w:bookmarkEnd w:id="523"/>
      <w:bookmarkEnd w:id="524"/>
      <w:bookmarkEnd w:id="525"/>
    </w:p>
    <w:p w14:paraId="5E3F33AF">
      <w:pPr>
        <w:spacing w:after="0" w:line="500" w:lineRule="exact"/>
        <w:ind w:firstLine="424" w:firstLineChars="202"/>
        <w:rPr>
          <w:rFonts w:ascii="微软雅黑" w:hAnsi="微软雅黑" w:eastAsia="微软雅黑" w:cs="微软雅黑"/>
          <w:snapToGrid w:val="0"/>
          <w:szCs w:val="21"/>
          <w:highlight w:val="none"/>
        </w:rPr>
      </w:pPr>
      <w:bookmarkStart w:id="526" w:name="_Toc89266898"/>
      <w:bookmarkStart w:id="527" w:name="_Toc40788110"/>
      <w:bookmarkStart w:id="528" w:name="_Toc53062772"/>
      <w:r>
        <w:rPr>
          <w:rFonts w:hint="eastAsia" w:ascii="微软雅黑" w:hAnsi="微软雅黑" w:eastAsia="微软雅黑" w:cs="微软雅黑"/>
          <w:snapToGrid w:val="0"/>
          <w:szCs w:val="21"/>
          <w:highlight w:val="none"/>
        </w:rPr>
        <w:t>6.1、评标原则。磋商小组必须公平、公正、客观，不带任何倾向性和启发性；不得向外界透露任何与评标有关的内容；任何单位和个人不得干扰、影响评标的正常进行；磋商小组及有关工作人员不得私下与磋商供应商接触。</w:t>
      </w:r>
      <w:bookmarkEnd w:id="526"/>
      <w:bookmarkEnd w:id="527"/>
      <w:bookmarkEnd w:id="528"/>
    </w:p>
    <w:p w14:paraId="0BE0CE51">
      <w:pPr>
        <w:spacing w:after="0" w:line="500" w:lineRule="exact"/>
        <w:ind w:firstLine="424" w:firstLineChars="202"/>
        <w:rPr>
          <w:rFonts w:ascii="微软雅黑" w:hAnsi="微软雅黑" w:eastAsia="微软雅黑" w:cs="微软雅黑"/>
          <w:snapToGrid w:val="0"/>
          <w:szCs w:val="21"/>
          <w:highlight w:val="none"/>
        </w:rPr>
      </w:pPr>
      <w:bookmarkStart w:id="529" w:name="_Toc89266899"/>
      <w:bookmarkStart w:id="530" w:name="_Toc40788111"/>
      <w:bookmarkStart w:id="531" w:name="_Toc53062773"/>
      <w:r>
        <w:rPr>
          <w:rFonts w:hint="eastAsia" w:ascii="微软雅黑" w:hAnsi="微软雅黑" w:eastAsia="微软雅黑" w:cs="微软雅黑"/>
          <w:snapToGrid w:val="0"/>
          <w:szCs w:val="21"/>
          <w:highlight w:val="none"/>
        </w:rPr>
        <w:t>6.2、评标办法。本项目评标办法是综合评标法，具体评标内容及评分标准等详见《第四章：评标办法及评分标准》。</w:t>
      </w:r>
      <w:bookmarkEnd w:id="529"/>
      <w:bookmarkEnd w:id="530"/>
      <w:bookmarkEnd w:id="531"/>
    </w:p>
    <w:p w14:paraId="53BFEE2A">
      <w:pPr>
        <w:spacing w:after="0" w:line="500" w:lineRule="exact"/>
        <w:ind w:firstLine="410"/>
        <w:outlineLvl w:val="2"/>
        <w:rPr>
          <w:rFonts w:ascii="微软雅黑" w:hAnsi="微软雅黑" w:eastAsia="微软雅黑" w:cs="微软雅黑"/>
          <w:b/>
          <w:snapToGrid w:val="0"/>
          <w:szCs w:val="21"/>
          <w:highlight w:val="none"/>
        </w:rPr>
      </w:pPr>
      <w:bookmarkStart w:id="532" w:name="_Toc40788112"/>
      <w:bookmarkStart w:id="533" w:name="_Toc53062774"/>
      <w:bookmarkStart w:id="534" w:name="_Toc100764243"/>
      <w:bookmarkStart w:id="535" w:name="_Toc89266900"/>
      <w:r>
        <w:rPr>
          <w:rFonts w:hint="eastAsia" w:ascii="微软雅黑" w:hAnsi="微软雅黑" w:eastAsia="微软雅黑" w:cs="微软雅黑"/>
          <w:b/>
          <w:snapToGrid w:val="0"/>
          <w:szCs w:val="21"/>
          <w:highlight w:val="none"/>
        </w:rPr>
        <w:t>7、评标过程的监控</w:t>
      </w:r>
      <w:bookmarkEnd w:id="532"/>
      <w:bookmarkEnd w:id="533"/>
      <w:bookmarkEnd w:id="534"/>
      <w:bookmarkEnd w:id="535"/>
    </w:p>
    <w:p w14:paraId="37CECD74">
      <w:pPr>
        <w:spacing w:after="0" w:line="500" w:lineRule="exact"/>
        <w:ind w:firstLine="424" w:firstLineChars="202"/>
        <w:rPr>
          <w:rFonts w:ascii="微软雅黑" w:hAnsi="微软雅黑" w:eastAsia="微软雅黑" w:cs="微软雅黑"/>
          <w:snapToGrid w:val="0"/>
          <w:szCs w:val="21"/>
          <w:highlight w:val="none"/>
        </w:rPr>
      </w:pPr>
      <w:bookmarkStart w:id="536" w:name="_Toc40788113"/>
      <w:bookmarkStart w:id="537" w:name="_Toc53062775"/>
      <w:bookmarkStart w:id="538" w:name="_Toc89266901"/>
      <w:r>
        <w:rPr>
          <w:rFonts w:hint="eastAsia" w:ascii="微软雅黑" w:hAnsi="微软雅黑" w:eastAsia="微软雅黑" w:cs="微软雅黑"/>
          <w:snapToGrid w:val="0"/>
          <w:szCs w:val="21"/>
          <w:highlight w:val="none"/>
        </w:rPr>
        <w:t>本项目评标过程实行全程录音、录像监控。磋商供应商在评标过程中所进行的试图影响评标结果的不公正活动，可能导致其投标被拒绝。</w:t>
      </w:r>
      <w:bookmarkEnd w:id="536"/>
      <w:bookmarkEnd w:id="537"/>
      <w:bookmarkEnd w:id="538"/>
    </w:p>
    <w:bookmarkEnd w:id="372"/>
    <w:p w14:paraId="5B80C827">
      <w:pPr>
        <w:pStyle w:val="3"/>
        <w:spacing w:before="0" w:after="0" w:line="500" w:lineRule="exact"/>
        <w:rPr>
          <w:rFonts w:ascii="微软雅黑" w:hAnsi="微软雅黑" w:eastAsia="微软雅黑" w:cs="微软雅黑"/>
          <w:sz w:val="21"/>
          <w:szCs w:val="21"/>
          <w:highlight w:val="none"/>
        </w:rPr>
      </w:pPr>
      <w:bookmarkStart w:id="539" w:name="_Toc493699316"/>
      <w:bookmarkStart w:id="540" w:name="_Toc89266902"/>
      <w:bookmarkStart w:id="541" w:name="_Toc100764244"/>
      <w:bookmarkStart w:id="542" w:name="_Toc40788114"/>
      <w:bookmarkStart w:id="543" w:name="_Toc53062776"/>
      <w:r>
        <w:rPr>
          <w:rFonts w:hint="eastAsia" w:ascii="微软雅黑" w:hAnsi="微软雅黑" w:eastAsia="微软雅黑" w:cs="微软雅黑"/>
          <w:sz w:val="21"/>
          <w:szCs w:val="21"/>
          <w:highlight w:val="none"/>
        </w:rPr>
        <w:t>七  磋商结果的确定</w:t>
      </w:r>
      <w:bookmarkEnd w:id="539"/>
      <w:bookmarkEnd w:id="540"/>
      <w:bookmarkEnd w:id="541"/>
      <w:bookmarkEnd w:id="542"/>
      <w:bookmarkEnd w:id="543"/>
    </w:p>
    <w:p w14:paraId="2DFB7F72">
      <w:pPr>
        <w:spacing w:after="0" w:line="500" w:lineRule="exact"/>
        <w:ind w:firstLine="410"/>
        <w:outlineLvl w:val="2"/>
        <w:rPr>
          <w:rFonts w:ascii="微软雅黑" w:hAnsi="微软雅黑" w:eastAsia="微软雅黑" w:cs="微软雅黑"/>
          <w:b/>
          <w:snapToGrid w:val="0"/>
          <w:szCs w:val="21"/>
          <w:highlight w:val="none"/>
        </w:rPr>
      </w:pPr>
      <w:bookmarkStart w:id="544" w:name="_Toc100764245"/>
      <w:r>
        <w:rPr>
          <w:rFonts w:hint="eastAsia" w:ascii="微软雅黑" w:hAnsi="微软雅黑" w:eastAsia="微软雅黑" w:cs="微软雅黑"/>
          <w:b/>
          <w:snapToGrid w:val="0"/>
          <w:szCs w:val="21"/>
          <w:highlight w:val="none"/>
        </w:rPr>
        <w:t>1、磋商结果确定</w:t>
      </w:r>
      <w:bookmarkEnd w:id="544"/>
    </w:p>
    <w:p w14:paraId="726D47B6">
      <w:pPr>
        <w:spacing w:after="0" w:line="500" w:lineRule="exact"/>
        <w:ind w:firstLine="424" w:firstLineChars="202"/>
        <w:rPr>
          <w:rFonts w:ascii="微软雅黑" w:hAnsi="微软雅黑" w:eastAsia="微软雅黑" w:cs="微软雅黑"/>
          <w:snapToGrid w:val="0"/>
          <w:szCs w:val="21"/>
          <w:highlight w:val="none"/>
        </w:rPr>
      </w:pPr>
      <w:bookmarkStart w:id="545" w:name="_Toc40788115"/>
      <w:bookmarkStart w:id="546" w:name="_Toc89266903"/>
      <w:bookmarkStart w:id="547" w:name="_Toc53062777"/>
      <w:r>
        <w:rPr>
          <w:rFonts w:hint="eastAsia" w:ascii="微软雅黑" w:hAnsi="微软雅黑" w:eastAsia="微软雅黑" w:cs="微软雅黑"/>
          <w:snapToGrid w:val="0"/>
          <w:szCs w:val="21"/>
          <w:highlight w:val="none"/>
        </w:rPr>
        <w:t>1.1、采购单位事先授权磋商小组直接确定成交供应商，磋商小组可直接确定成交供应商。</w:t>
      </w:r>
      <w:bookmarkEnd w:id="545"/>
      <w:bookmarkEnd w:id="546"/>
      <w:bookmarkEnd w:id="547"/>
      <w:bookmarkStart w:id="548" w:name="_Toc170792772"/>
      <w:bookmarkStart w:id="549" w:name="_Toc107820051"/>
    </w:p>
    <w:p w14:paraId="6CC404E5">
      <w:pPr>
        <w:spacing w:after="0" w:line="500" w:lineRule="exact"/>
        <w:ind w:firstLine="424" w:firstLineChars="202"/>
        <w:rPr>
          <w:rFonts w:ascii="微软雅黑" w:hAnsi="微软雅黑" w:eastAsia="微软雅黑" w:cs="微软雅黑"/>
          <w:snapToGrid w:val="0"/>
          <w:szCs w:val="21"/>
          <w:highlight w:val="none"/>
        </w:rPr>
      </w:pPr>
      <w:bookmarkStart w:id="550" w:name="_Toc89266904"/>
      <w:bookmarkStart w:id="551" w:name="_Toc40788116"/>
      <w:bookmarkStart w:id="552" w:name="_Toc53062778"/>
      <w:r>
        <w:rPr>
          <w:rFonts w:hint="eastAsia" w:ascii="微软雅黑" w:hAnsi="微软雅黑" w:eastAsia="微软雅黑" w:cs="微软雅黑"/>
          <w:snapToGrid w:val="0"/>
          <w:szCs w:val="21"/>
          <w:highlight w:val="none"/>
        </w:rPr>
        <w:t>1.2、没有事先授权的，采购代理机构在磋商结束后2个工作日内将磋商结果交采购人确认。采购人应在收到后5个工作日内对磋商结果进行确认。</w:t>
      </w:r>
      <w:bookmarkEnd w:id="550"/>
      <w:bookmarkEnd w:id="551"/>
      <w:bookmarkEnd w:id="552"/>
    </w:p>
    <w:p w14:paraId="70D5C469">
      <w:pPr>
        <w:spacing w:after="0" w:line="500" w:lineRule="exact"/>
        <w:ind w:firstLine="410"/>
        <w:outlineLvl w:val="2"/>
        <w:rPr>
          <w:rFonts w:ascii="微软雅黑" w:hAnsi="微软雅黑" w:eastAsia="微软雅黑" w:cs="微软雅黑"/>
          <w:b/>
          <w:snapToGrid w:val="0"/>
          <w:szCs w:val="21"/>
          <w:highlight w:val="none"/>
        </w:rPr>
      </w:pPr>
      <w:bookmarkStart w:id="553" w:name="_Toc100764246"/>
      <w:r>
        <w:rPr>
          <w:rFonts w:hint="eastAsia" w:ascii="微软雅黑" w:hAnsi="微软雅黑" w:eastAsia="微软雅黑" w:cs="微软雅黑"/>
          <w:b/>
          <w:snapToGrid w:val="0"/>
          <w:szCs w:val="21"/>
          <w:highlight w:val="none"/>
        </w:rPr>
        <w:t>2、成交公告：公告1个工作日。</w:t>
      </w:r>
      <w:bookmarkEnd w:id="553"/>
    </w:p>
    <w:p w14:paraId="0912F0BC">
      <w:pPr>
        <w:pStyle w:val="3"/>
        <w:spacing w:before="0" w:after="0" w:line="500" w:lineRule="exact"/>
        <w:rPr>
          <w:rFonts w:ascii="微软雅黑" w:hAnsi="微软雅黑" w:eastAsia="微软雅黑" w:cs="微软雅黑"/>
          <w:sz w:val="21"/>
          <w:szCs w:val="21"/>
          <w:highlight w:val="none"/>
        </w:rPr>
      </w:pPr>
      <w:bookmarkStart w:id="554" w:name="_Toc100764247"/>
      <w:bookmarkStart w:id="555" w:name="_Toc53062779"/>
      <w:bookmarkStart w:id="556" w:name="_Toc89266905"/>
      <w:bookmarkStart w:id="557" w:name="_Toc493699317"/>
      <w:bookmarkStart w:id="558" w:name="_Toc192313121"/>
      <w:bookmarkStart w:id="559" w:name="_Toc40788117"/>
      <w:r>
        <w:rPr>
          <w:rFonts w:hint="eastAsia" w:ascii="微软雅黑" w:hAnsi="微软雅黑" w:eastAsia="微软雅黑" w:cs="微软雅黑"/>
          <w:sz w:val="21"/>
          <w:szCs w:val="21"/>
          <w:highlight w:val="none"/>
        </w:rPr>
        <w:t>八  合同</w:t>
      </w:r>
      <w:bookmarkEnd w:id="548"/>
      <w:bookmarkEnd w:id="549"/>
      <w:r>
        <w:rPr>
          <w:rFonts w:hint="eastAsia" w:ascii="微软雅黑" w:hAnsi="微软雅黑" w:eastAsia="微软雅黑" w:cs="微软雅黑"/>
          <w:sz w:val="21"/>
          <w:szCs w:val="21"/>
          <w:highlight w:val="none"/>
        </w:rPr>
        <w:t>授予</w:t>
      </w:r>
      <w:bookmarkEnd w:id="554"/>
      <w:bookmarkEnd w:id="555"/>
      <w:bookmarkEnd w:id="556"/>
      <w:bookmarkEnd w:id="557"/>
      <w:bookmarkEnd w:id="558"/>
      <w:bookmarkEnd w:id="559"/>
    </w:p>
    <w:p w14:paraId="333AFD5A">
      <w:pPr>
        <w:spacing w:after="0" w:line="500" w:lineRule="exact"/>
        <w:ind w:firstLine="410"/>
        <w:outlineLvl w:val="2"/>
        <w:rPr>
          <w:rFonts w:ascii="微软雅黑" w:hAnsi="微软雅黑" w:eastAsia="微软雅黑" w:cs="微软雅黑"/>
          <w:b/>
          <w:snapToGrid w:val="0"/>
          <w:szCs w:val="21"/>
          <w:highlight w:val="none"/>
        </w:rPr>
      </w:pPr>
      <w:bookmarkStart w:id="560" w:name="_Toc100764248"/>
      <w:r>
        <w:rPr>
          <w:rFonts w:hint="eastAsia" w:ascii="微软雅黑" w:hAnsi="微软雅黑" w:eastAsia="微软雅黑" w:cs="微软雅黑"/>
          <w:b/>
          <w:snapToGrid w:val="0"/>
          <w:szCs w:val="21"/>
          <w:highlight w:val="none"/>
        </w:rPr>
        <w:t>1、签订合同</w:t>
      </w:r>
      <w:bookmarkEnd w:id="560"/>
    </w:p>
    <w:p w14:paraId="1432642B">
      <w:pPr>
        <w:spacing w:after="0" w:line="500" w:lineRule="exact"/>
        <w:ind w:firstLine="424" w:firstLineChars="202"/>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1.1、成交供应商自接到成交通知书后30天内与采购人签订合同。同时采购代理机构对合同内容进行审查，如发现与采购结果和磋商承诺内容不一致的，应予以纠正。</w:t>
      </w:r>
    </w:p>
    <w:p w14:paraId="1429E217">
      <w:pPr>
        <w:spacing w:after="0" w:line="500" w:lineRule="exact"/>
        <w:ind w:firstLine="424" w:firstLineChars="202"/>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1.2、成交供应商拖延、拒签合同的,将被扣罚磋商保证金并取消成交供应商资格。</w:t>
      </w:r>
    </w:p>
    <w:p w14:paraId="5D19A70F">
      <w:pPr>
        <w:spacing w:after="0" w:line="500" w:lineRule="exact"/>
        <w:ind w:firstLine="410"/>
        <w:outlineLvl w:val="2"/>
        <w:rPr>
          <w:rFonts w:ascii="微软雅黑" w:hAnsi="微软雅黑" w:eastAsia="微软雅黑" w:cs="微软雅黑"/>
          <w:b/>
          <w:snapToGrid w:val="0"/>
          <w:szCs w:val="21"/>
          <w:highlight w:val="none"/>
        </w:rPr>
      </w:pPr>
      <w:bookmarkStart w:id="561" w:name="_Toc100764249"/>
      <w:r>
        <w:rPr>
          <w:rFonts w:hint="eastAsia" w:ascii="微软雅黑" w:hAnsi="微软雅黑" w:eastAsia="微软雅黑" w:cs="微软雅黑"/>
          <w:b/>
          <w:snapToGrid w:val="0"/>
          <w:szCs w:val="21"/>
          <w:highlight w:val="none"/>
        </w:rPr>
        <w:t>2、履约保证金及质保金</w:t>
      </w:r>
      <w:bookmarkEnd w:id="561"/>
    </w:p>
    <w:p w14:paraId="28466B85">
      <w:pPr>
        <w:spacing w:after="0" w:line="500" w:lineRule="exact"/>
        <w:ind w:firstLine="424" w:firstLineChars="202"/>
        <w:rPr>
          <w:rFonts w:ascii="微软雅黑" w:hAnsi="微软雅黑" w:eastAsia="微软雅黑" w:cs="微软雅黑"/>
          <w:szCs w:val="21"/>
          <w:highlight w:val="none"/>
        </w:rPr>
      </w:pPr>
      <w:bookmarkStart w:id="562" w:name="_Toc40788118"/>
      <w:bookmarkStart w:id="563" w:name="_Toc53062780"/>
      <w:bookmarkStart w:id="564" w:name="_Toc89266906"/>
      <w:bookmarkStart w:id="565" w:name="_Toc493699318"/>
      <w:bookmarkStart w:id="566" w:name="_Toc170792774"/>
      <w:bookmarkStart w:id="567" w:name="_Toc192313122"/>
      <w:r>
        <w:rPr>
          <w:rFonts w:hint="eastAsia" w:ascii="微软雅黑" w:hAnsi="微软雅黑" w:eastAsia="微软雅黑" w:cs="微软雅黑"/>
          <w:szCs w:val="21"/>
          <w:highlight w:val="none"/>
        </w:rPr>
        <w:t>2.1、</w:t>
      </w:r>
      <w:bookmarkEnd w:id="562"/>
      <w:r>
        <w:rPr>
          <w:rFonts w:hint="eastAsia" w:ascii="微软雅黑" w:hAnsi="微软雅黑" w:eastAsia="微软雅黑" w:cs="微软雅黑"/>
          <w:szCs w:val="21"/>
          <w:highlight w:val="none"/>
        </w:rPr>
        <w:t>履约保证金详见竞争性磋商文件前附表</w:t>
      </w:r>
      <w:bookmarkEnd w:id="563"/>
      <w:bookmarkEnd w:id="564"/>
      <w:r>
        <w:rPr>
          <w:rFonts w:hint="eastAsia" w:ascii="微软雅黑" w:hAnsi="微软雅黑" w:eastAsia="微软雅黑" w:cs="微软雅黑"/>
          <w:szCs w:val="21"/>
          <w:highlight w:val="none"/>
        </w:rPr>
        <w:t>；</w:t>
      </w:r>
    </w:p>
    <w:p w14:paraId="44FC653F">
      <w:pPr>
        <w:spacing w:after="0" w:line="500" w:lineRule="exact"/>
        <w:ind w:firstLine="424" w:firstLineChars="202"/>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2.2、质保金：无。</w:t>
      </w:r>
    </w:p>
    <w:p w14:paraId="45986B36">
      <w:pPr>
        <w:pStyle w:val="3"/>
        <w:spacing w:before="0" w:after="0" w:line="460" w:lineRule="exact"/>
        <w:rPr>
          <w:rFonts w:ascii="微软雅黑" w:hAnsi="微软雅黑" w:eastAsia="微软雅黑"/>
          <w:sz w:val="21"/>
          <w:szCs w:val="21"/>
          <w:highlight w:val="none"/>
        </w:rPr>
      </w:pPr>
      <w:bookmarkStart w:id="568" w:name="_Toc53062781"/>
      <w:bookmarkStart w:id="569" w:name="_Toc40788119"/>
      <w:r>
        <w:rPr>
          <w:rFonts w:hint="eastAsia" w:ascii="微软雅黑" w:hAnsi="微软雅黑" w:eastAsia="微软雅黑"/>
          <w:sz w:val="21"/>
          <w:szCs w:val="21"/>
          <w:highlight w:val="none"/>
        </w:rPr>
        <w:t>九   招标代理费</w:t>
      </w:r>
      <w:bookmarkEnd w:id="568"/>
      <w:bookmarkEnd w:id="569"/>
    </w:p>
    <w:p w14:paraId="3F1848DA">
      <w:pPr>
        <w:snapToGrid w:val="0"/>
        <w:spacing w:line="460" w:lineRule="exact"/>
        <w:ind w:firstLine="420" w:firstLineChars="200"/>
        <w:jc w:val="left"/>
        <w:rPr>
          <w:rFonts w:ascii="微软雅黑" w:hAnsi="微软雅黑" w:eastAsia="微软雅黑"/>
          <w:b/>
          <w:bCs/>
          <w:szCs w:val="21"/>
          <w:highlight w:val="none"/>
          <w:lang w:val="zh-CN"/>
        </w:rPr>
      </w:pPr>
      <w:r>
        <w:rPr>
          <w:rFonts w:hint="eastAsia" w:ascii="微软雅黑" w:hAnsi="微软雅黑" w:eastAsia="微软雅黑"/>
          <w:b/>
          <w:bCs/>
          <w:szCs w:val="21"/>
          <w:highlight w:val="none"/>
        </w:rPr>
        <w:t>1</w:t>
      </w:r>
      <w:r>
        <w:rPr>
          <w:rFonts w:hint="eastAsia" w:ascii="微软雅黑" w:hAnsi="微软雅黑" w:eastAsia="微软雅黑"/>
          <w:b/>
          <w:bCs/>
          <w:szCs w:val="21"/>
          <w:highlight w:val="none"/>
          <w:lang w:eastAsia="zh-CN"/>
        </w:rPr>
        <w:t>、</w:t>
      </w:r>
      <w:r>
        <w:rPr>
          <w:rFonts w:hint="eastAsia" w:ascii="微软雅黑" w:hAnsi="微软雅黑" w:eastAsia="微软雅黑"/>
          <w:b/>
          <w:bCs/>
          <w:szCs w:val="21"/>
          <w:highlight w:val="none"/>
          <w:lang w:val="zh-CN"/>
        </w:rPr>
        <w:t>招标代理服务费</w:t>
      </w:r>
      <w:r>
        <w:rPr>
          <w:rFonts w:hint="eastAsia" w:ascii="微软雅黑" w:hAnsi="微软雅黑" w:eastAsia="微软雅黑"/>
          <w:b/>
          <w:bCs/>
          <w:szCs w:val="21"/>
          <w:highlight w:val="none"/>
          <w:lang w:val="en-US" w:eastAsia="zh-CN"/>
        </w:rPr>
        <w:t>3500</w:t>
      </w:r>
      <w:r>
        <w:rPr>
          <w:rFonts w:hint="eastAsia" w:ascii="微软雅黑" w:hAnsi="微软雅黑" w:eastAsia="微软雅黑"/>
          <w:b/>
          <w:bCs/>
          <w:szCs w:val="21"/>
          <w:highlight w:val="none"/>
          <w:lang w:val="zh-CN"/>
        </w:rPr>
        <w:t>元</w:t>
      </w:r>
      <w:r>
        <w:rPr>
          <w:rFonts w:hint="eastAsia" w:ascii="微软雅黑" w:hAnsi="微软雅黑" w:eastAsia="微软雅黑"/>
          <w:b/>
          <w:bCs/>
          <w:szCs w:val="21"/>
          <w:highlight w:val="none"/>
          <w:lang w:val="en-US" w:eastAsia="zh-CN"/>
        </w:rPr>
        <w:t>/标项</w:t>
      </w:r>
      <w:r>
        <w:rPr>
          <w:rFonts w:hint="eastAsia" w:ascii="微软雅黑" w:hAnsi="微软雅黑" w:eastAsia="微软雅黑"/>
          <w:b/>
          <w:bCs/>
          <w:szCs w:val="21"/>
          <w:highlight w:val="none"/>
          <w:lang w:val="zh-CN"/>
        </w:rPr>
        <w:t>。</w:t>
      </w:r>
    </w:p>
    <w:p w14:paraId="2D5F7A36">
      <w:pPr>
        <w:snapToGrid w:val="0"/>
        <w:spacing w:line="460" w:lineRule="exact"/>
        <w:ind w:firstLine="420" w:firstLineChars="200"/>
        <w:jc w:val="left"/>
        <w:rPr>
          <w:rFonts w:ascii="微软雅黑" w:hAnsi="微软雅黑" w:eastAsia="微软雅黑"/>
          <w:szCs w:val="21"/>
          <w:highlight w:val="none"/>
        </w:rPr>
      </w:pPr>
      <w:r>
        <w:rPr>
          <w:rFonts w:hint="eastAsia" w:ascii="微软雅黑" w:hAnsi="微软雅黑" w:eastAsia="微软雅黑"/>
          <w:szCs w:val="21"/>
          <w:highlight w:val="none"/>
          <w:lang w:val="en-US" w:eastAsia="zh-CN"/>
        </w:rPr>
        <w:t>2</w:t>
      </w:r>
      <w:r>
        <w:rPr>
          <w:rFonts w:hint="eastAsia" w:ascii="微软雅黑" w:hAnsi="微软雅黑" w:eastAsia="微软雅黑"/>
          <w:szCs w:val="21"/>
          <w:highlight w:val="none"/>
        </w:rPr>
        <w:t>、服务费的货币为人民币。</w:t>
      </w:r>
    </w:p>
    <w:p w14:paraId="35C5E635">
      <w:pPr>
        <w:snapToGrid w:val="0"/>
        <w:spacing w:line="460" w:lineRule="exact"/>
        <w:ind w:firstLine="420" w:firstLineChars="200"/>
        <w:jc w:val="left"/>
        <w:rPr>
          <w:rFonts w:ascii="微软雅黑" w:hAnsi="微软雅黑" w:eastAsia="微软雅黑"/>
          <w:szCs w:val="21"/>
          <w:highlight w:val="none"/>
        </w:rPr>
      </w:pPr>
      <w:r>
        <w:rPr>
          <w:rFonts w:hint="eastAsia" w:ascii="微软雅黑" w:hAnsi="微软雅黑" w:eastAsia="微软雅黑"/>
          <w:szCs w:val="21"/>
          <w:highlight w:val="none"/>
          <w:lang w:val="en-US" w:eastAsia="zh-CN"/>
        </w:rPr>
        <w:t>3</w:t>
      </w:r>
      <w:r>
        <w:rPr>
          <w:rFonts w:hint="eastAsia" w:ascii="微软雅黑" w:hAnsi="微软雅黑" w:eastAsia="微软雅黑"/>
          <w:szCs w:val="21"/>
          <w:highlight w:val="none"/>
        </w:rPr>
        <w:t>、服务费支付方式：一次性以银行划账、电汇、汇票或支票的形式支付。</w:t>
      </w:r>
    </w:p>
    <w:p w14:paraId="554E3CAA">
      <w:pPr>
        <w:snapToGrid w:val="0"/>
        <w:spacing w:line="460" w:lineRule="exact"/>
        <w:ind w:firstLine="420" w:firstLineChars="200"/>
        <w:jc w:val="left"/>
        <w:rPr>
          <w:rFonts w:ascii="微软雅黑" w:hAnsi="微软雅黑" w:eastAsia="微软雅黑"/>
          <w:szCs w:val="21"/>
          <w:highlight w:val="none"/>
        </w:rPr>
      </w:pPr>
      <w:r>
        <w:rPr>
          <w:rFonts w:hint="eastAsia" w:ascii="微软雅黑" w:hAnsi="微软雅黑" w:eastAsia="微软雅黑"/>
          <w:szCs w:val="21"/>
          <w:highlight w:val="none"/>
          <w:lang w:val="en-US" w:eastAsia="zh-CN"/>
        </w:rPr>
        <w:t>4</w:t>
      </w:r>
      <w:r>
        <w:rPr>
          <w:rFonts w:hint="eastAsia" w:ascii="微软雅黑" w:hAnsi="微软雅黑" w:eastAsia="微软雅黑"/>
          <w:szCs w:val="21"/>
          <w:highlight w:val="none"/>
        </w:rPr>
        <w:t>、服务费以银行划账方式按下列要求提交：</w:t>
      </w:r>
    </w:p>
    <w:p w14:paraId="3E3182A2">
      <w:pPr>
        <w:adjustRightInd w:val="0"/>
        <w:snapToGrid w:val="0"/>
        <w:spacing w:line="360" w:lineRule="auto"/>
        <w:ind w:firstLine="420" w:firstLineChars="200"/>
        <w:rPr>
          <w:rFonts w:hint="eastAsia" w:ascii="微软雅黑" w:hAnsi="微软雅黑" w:eastAsia="微软雅黑" w:cs="微软雅黑"/>
          <w:color w:val="000000"/>
          <w:highlight w:val="none"/>
        </w:rPr>
      </w:pPr>
      <w:r>
        <w:rPr>
          <w:rFonts w:hint="eastAsia" w:ascii="微软雅黑" w:hAnsi="微软雅黑" w:eastAsia="微软雅黑"/>
          <w:szCs w:val="21"/>
          <w:highlight w:val="none"/>
        </w:rPr>
        <w:t>收款人：</w:t>
      </w:r>
      <w:r>
        <w:rPr>
          <w:rFonts w:hint="eastAsia" w:ascii="微软雅黑" w:hAnsi="微软雅黑" w:eastAsia="微软雅黑" w:cs="微软雅黑"/>
          <w:color w:val="000000"/>
          <w:highlight w:val="none"/>
        </w:rPr>
        <w:t>浙江中际工程项目管理有限公司嘉兴分公司</w:t>
      </w:r>
    </w:p>
    <w:p w14:paraId="174D5280">
      <w:pPr>
        <w:adjustRightInd w:val="0"/>
        <w:snapToGrid w:val="0"/>
        <w:spacing w:line="360" w:lineRule="auto"/>
        <w:ind w:firstLine="420" w:firstLineChars="200"/>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账号：802101201900031730</w:t>
      </w:r>
    </w:p>
    <w:p w14:paraId="580DFDB8">
      <w:pPr>
        <w:adjustRightInd w:val="0"/>
        <w:snapToGrid w:val="0"/>
        <w:spacing w:line="360" w:lineRule="auto"/>
        <w:ind w:firstLine="420" w:firstLineChars="200"/>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开户行：嘉兴银行秀洲支行</w:t>
      </w:r>
    </w:p>
    <w:p w14:paraId="336D7455">
      <w:pPr>
        <w:snapToGrid w:val="0"/>
        <w:spacing w:line="460" w:lineRule="exact"/>
        <w:ind w:firstLine="420" w:firstLineChars="200"/>
        <w:jc w:val="left"/>
        <w:rPr>
          <w:rFonts w:ascii="微软雅黑" w:hAnsi="微软雅黑" w:eastAsia="微软雅黑"/>
          <w:szCs w:val="21"/>
          <w:highlight w:val="none"/>
        </w:rPr>
      </w:pP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、服务费支付时间：服务费必须在中标人领取《中标通知书》时一次性付清，如果中标人未能按时交纳服务费，采购代理机构/采购人保留取消其中标资格并追究其法律责任的权利。</w:t>
      </w:r>
    </w:p>
    <w:p w14:paraId="709A17A4">
      <w:pPr>
        <w:pStyle w:val="73"/>
        <w:ind w:firstLine="400"/>
        <w:rPr>
          <w:highlight w:val="none"/>
        </w:rPr>
      </w:pPr>
      <w:r>
        <w:rPr>
          <w:rFonts w:hint="eastAsia" w:ascii="微软雅黑" w:hAnsi="微软雅黑" w:eastAsia="微软雅黑"/>
          <w:szCs w:val="21"/>
          <w:highlight w:val="none"/>
          <w:lang w:val="en-US" w:eastAsia="zh-CN"/>
        </w:rPr>
        <w:t>6</w:t>
      </w:r>
      <w:r>
        <w:rPr>
          <w:rFonts w:hint="eastAsia" w:ascii="微软雅黑" w:hAnsi="微软雅黑" w:eastAsia="微软雅黑"/>
          <w:szCs w:val="21"/>
          <w:highlight w:val="none"/>
        </w:rPr>
        <w:t>、服务费不在投标报价中单列。</w:t>
      </w:r>
    </w:p>
    <w:bookmarkEnd w:id="565"/>
    <w:p w14:paraId="28B68650">
      <w:pPr>
        <w:spacing w:line="460" w:lineRule="exact"/>
        <w:ind w:firstLine="411" w:firstLineChars="196"/>
        <w:rPr>
          <w:rFonts w:ascii="微软雅黑" w:hAnsi="微软雅黑" w:eastAsia="微软雅黑" w:cs="微软雅黑"/>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linePitch="312" w:charSpace="0"/>
        </w:sectPr>
      </w:pPr>
      <w:bookmarkStart w:id="570" w:name="_Toc493699319"/>
    </w:p>
    <w:p w14:paraId="696DF876">
      <w:pPr>
        <w:pStyle w:val="2"/>
        <w:numPr>
          <w:ilvl w:val="0"/>
          <w:numId w:val="19"/>
        </w:numPr>
        <w:spacing w:beforeLines="0" w:after="0" w:line="600" w:lineRule="exact"/>
        <w:jc w:val="center"/>
        <w:rPr>
          <w:rStyle w:val="90"/>
          <w:rFonts w:ascii="微软雅黑" w:hAnsi="微软雅黑" w:eastAsia="微软雅黑" w:cs="微软雅黑"/>
          <w:b/>
          <w:bCs w:val="0"/>
          <w:kern w:val="44"/>
          <w:sz w:val="21"/>
          <w:szCs w:val="21"/>
          <w:highlight w:val="none"/>
        </w:rPr>
      </w:pPr>
      <w:bookmarkStart w:id="571" w:name="_Toc100764251"/>
      <w:bookmarkStart w:id="572" w:name="_Toc7218"/>
      <w:r>
        <w:rPr>
          <w:rStyle w:val="90"/>
          <w:rFonts w:hint="eastAsia" w:ascii="微软雅黑" w:hAnsi="微软雅黑" w:cs="微软雅黑"/>
          <w:b/>
          <w:bCs w:val="0"/>
          <w:kern w:val="44"/>
          <w:sz w:val="21"/>
          <w:szCs w:val="21"/>
          <w:highlight w:val="none"/>
        </w:rPr>
        <w:t xml:space="preserve">  </w:t>
      </w:r>
      <w:r>
        <w:rPr>
          <w:rStyle w:val="90"/>
          <w:rFonts w:hint="eastAsia" w:ascii="微软雅黑" w:hAnsi="微软雅黑" w:eastAsia="微软雅黑" w:cs="微软雅黑"/>
          <w:b/>
          <w:bCs w:val="0"/>
          <w:kern w:val="44"/>
          <w:sz w:val="21"/>
          <w:szCs w:val="21"/>
          <w:highlight w:val="none"/>
        </w:rPr>
        <w:t>磋商项目要求</w:t>
      </w:r>
      <w:bookmarkEnd w:id="566"/>
      <w:bookmarkEnd w:id="567"/>
      <w:bookmarkEnd w:id="570"/>
      <w:bookmarkEnd w:id="571"/>
      <w:bookmarkEnd w:id="572"/>
      <w:bookmarkStart w:id="573" w:name="_Toc119481961"/>
      <w:bookmarkStart w:id="574" w:name="_Toc72069792"/>
      <w:bookmarkStart w:id="575" w:name="_Toc71033410"/>
      <w:bookmarkStart w:id="576" w:name="_Toc170792778"/>
    </w:p>
    <w:bookmarkEnd w:id="573"/>
    <w:bookmarkEnd w:id="574"/>
    <w:bookmarkEnd w:id="575"/>
    <w:bookmarkEnd w:id="576"/>
    <w:p w14:paraId="200C9291">
      <w:pPr>
        <w:pStyle w:val="3"/>
        <w:keepNext w:val="0"/>
        <w:spacing w:before="0" w:after="0"/>
        <w:rPr>
          <w:rFonts w:hint="eastAsia" w:ascii="宋体" w:hAnsi="宋体" w:eastAsia="宋体"/>
          <w:kern w:val="2"/>
          <w:sz w:val="21"/>
          <w:szCs w:val="21"/>
          <w:highlight w:val="none"/>
        </w:rPr>
      </w:pPr>
      <w:bookmarkStart w:id="577" w:name="_Toc76376872"/>
      <w:bookmarkStart w:id="578" w:name="_Toc44426800"/>
      <w:bookmarkStart w:id="579" w:name="_Toc12302"/>
      <w:bookmarkStart w:id="580" w:name="_Toc493699335"/>
      <w:bookmarkStart w:id="581" w:name="_Toc100764257"/>
      <w:bookmarkStart w:id="582" w:name="_Toc192313124"/>
      <w:bookmarkStart w:id="583" w:name="_Toc296611790"/>
      <w:r>
        <w:rPr>
          <w:rFonts w:hint="eastAsia" w:ascii="宋体" w:hAnsi="宋体" w:eastAsia="宋体"/>
          <w:kern w:val="2"/>
          <w:sz w:val="21"/>
          <w:szCs w:val="21"/>
          <w:highlight w:val="none"/>
        </w:rPr>
        <w:t>一、项目概况</w:t>
      </w:r>
      <w:bookmarkEnd w:id="577"/>
    </w:p>
    <w:tbl>
      <w:tblPr>
        <w:tblStyle w:val="53"/>
        <w:tblW w:w="892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15"/>
        <w:gridCol w:w="731"/>
        <w:gridCol w:w="1329"/>
        <w:gridCol w:w="1640"/>
        <w:gridCol w:w="776"/>
        <w:gridCol w:w="1101"/>
        <w:gridCol w:w="969"/>
        <w:gridCol w:w="1267"/>
      </w:tblGrid>
      <w:tr w14:paraId="0E8191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67" w:hRule="atLeast"/>
          <w:jc w:val="center"/>
        </w:trPr>
        <w:tc>
          <w:tcPr>
            <w:tcW w:w="1115" w:type="dxa"/>
            <w:noWrap w:val="0"/>
            <w:vAlign w:val="center"/>
          </w:tcPr>
          <w:p w14:paraId="2F166A65">
            <w:pPr>
              <w:widowControl/>
              <w:jc w:val="center"/>
              <w:rPr>
                <w:rFonts w:ascii="宋体" w:hAnsi="宋体" w:cs="宋体"/>
                <w:color w:val="auto"/>
                <w:kern w:val="0"/>
                <w:szCs w:val="21"/>
              </w:rPr>
            </w:pPr>
            <w:bookmarkStart w:id="584" w:name="_Toc76376873"/>
            <w:r>
              <w:rPr>
                <w:rFonts w:hint="eastAsia" w:ascii="宋体" w:hAnsi="宋体" w:cs="宋体"/>
                <w:color w:val="auto"/>
                <w:kern w:val="0"/>
                <w:szCs w:val="21"/>
              </w:rPr>
              <w:t>项目名称</w:t>
            </w:r>
          </w:p>
        </w:tc>
        <w:tc>
          <w:tcPr>
            <w:tcW w:w="731" w:type="dxa"/>
            <w:noWrap w:val="0"/>
            <w:vAlign w:val="center"/>
          </w:tcPr>
          <w:p w14:paraId="5BB6D84C">
            <w:pPr>
              <w:widowControl/>
              <w:jc w:val="center"/>
              <w:rPr>
                <w:rFonts w:ascii="宋体" w:hAnsi="宋体" w:cs="宋体"/>
                <w:color w:val="auto"/>
                <w:kern w:val="0"/>
                <w:szCs w:val="21"/>
              </w:rPr>
            </w:pPr>
            <w:r>
              <w:rPr>
                <w:rFonts w:hint="eastAsia" w:ascii="宋体" w:hAnsi="宋体" w:cs="宋体"/>
                <w:color w:val="auto"/>
                <w:kern w:val="0"/>
                <w:szCs w:val="21"/>
              </w:rPr>
              <w:t>标</w:t>
            </w:r>
            <w:r>
              <w:rPr>
                <w:rFonts w:hint="eastAsia" w:ascii="宋体" w:hAnsi="宋体" w:cs="宋体"/>
                <w:color w:val="auto"/>
                <w:kern w:val="0"/>
                <w:szCs w:val="21"/>
                <w:lang w:val="en-US" w:eastAsia="zh-CN"/>
              </w:rPr>
              <w:t>项</w:t>
            </w:r>
          </w:p>
        </w:tc>
        <w:tc>
          <w:tcPr>
            <w:tcW w:w="1329" w:type="dxa"/>
            <w:noWrap w:val="0"/>
            <w:vAlign w:val="center"/>
          </w:tcPr>
          <w:p w14:paraId="0FEC4137">
            <w:pPr>
              <w:widowControl/>
              <w:jc w:val="center"/>
              <w:rPr>
                <w:rFonts w:ascii="宋体" w:hAnsi="宋体" w:cs="宋体"/>
                <w:color w:val="auto"/>
                <w:kern w:val="0"/>
                <w:szCs w:val="21"/>
              </w:rPr>
            </w:pPr>
            <w:r>
              <w:rPr>
                <w:rFonts w:hint="eastAsia" w:ascii="宋体" w:hAnsi="宋体" w:cs="宋体"/>
                <w:color w:val="auto"/>
                <w:kern w:val="0"/>
                <w:szCs w:val="21"/>
              </w:rPr>
              <w:t>疗休养线路</w:t>
            </w:r>
          </w:p>
        </w:tc>
        <w:tc>
          <w:tcPr>
            <w:tcW w:w="1640" w:type="dxa"/>
            <w:noWrap w:val="0"/>
            <w:vAlign w:val="center"/>
          </w:tcPr>
          <w:p w14:paraId="4BBD9AD2">
            <w:pPr>
              <w:widowControl/>
              <w:jc w:val="center"/>
              <w:rPr>
                <w:rFonts w:ascii="宋体" w:hAnsi="宋体" w:cs="宋体"/>
                <w:color w:val="auto"/>
                <w:kern w:val="0"/>
                <w:szCs w:val="21"/>
              </w:rPr>
            </w:pPr>
            <w:r>
              <w:rPr>
                <w:rFonts w:hint="eastAsia" w:ascii="宋体" w:hAnsi="宋体" w:cs="宋体"/>
                <w:color w:val="auto"/>
                <w:kern w:val="0"/>
                <w:szCs w:val="21"/>
              </w:rPr>
              <w:t>预计出发时间</w:t>
            </w:r>
          </w:p>
        </w:tc>
        <w:tc>
          <w:tcPr>
            <w:tcW w:w="776" w:type="dxa"/>
            <w:noWrap w:val="0"/>
            <w:vAlign w:val="center"/>
          </w:tcPr>
          <w:p w14:paraId="2AB17A84">
            <w:pPr>
              <w:widowControl/>
              <w:jc w:val="center"/>
              <w:rPr>
                <w:rFonts w:ascii="宋体" w:hAnsi="宋体" w:cs="宋体"/>
                <w:color w:val="auto"/>
                <w:kern w:val="0"/>
                <w:szCs w:val="21"/>
              </w:rPr>
            </w:pPr>
            <w:r>
              <w:rPr>
                <w:rFonts w:hint="eastAsia" w:ascii="宋体" w:hAnsi="宋体" w:cs="宋体"/>
                <w:color w:val="auto"/>
                <w:kern w:val="0"/>
                <w:szCs w:val="21"/>
              </w:rPr>
              <w:t>人数（人）</w:t>
            </w:r>
          </w:p>
        </w:tc>
        <w:tc>
          <w:tcPr>
            <w:tcW w:w="1101" w:type="dxa"/>
            <w:noWrap w:val="0"/>
            <w:vAlign w:val="center"/>
          </w:tcPr>
          <w:p w14:paraId="327D5D6A">
            <w:pPr>
              <w:widowControl/>
              <w:jc w:val="center"/>
              <w:rPr>
                <w:rFonts w:hint="eastAsia" w:ascii="宋体" w:hAnsi="宋体" w:cs="宋体"/>
                <w:color w:val="auto"/>
                <w:kern w:val="0"/>
                <w:szCs w:val="21"/>
              </w:rPr>
            </w:pPr>
            <w:r>
              <w:rPr>
                <w:rFonts w:hint="eastAsia" w:ascii="宋体" w:hAnsi="宋体" w:cs="宋体"/>
                <w:color w:val="auto"/>
                <w:kern w:val="0"/>
                <w:szCs w:val="21"/>
              </w:rPr>
              <w:t>单价</w:t>
            </w:r>
          </w:p>
          <w:p w14:paraId="465679E2">
            <w:pPr>
              <w:widowControl/>
              <w:jc w:val="center"/>
              <w:rPr>
                <w:rFonts w:ascii="宋体" w:hAnsi="宋体" w:cs="宋体"/>
                <w:color w:val="auto"/>
                <w:kern w:val="0"/>
                <w:szCs w:val="21"/>
              </w:rPr>
            </w:pPr>
            <w:r>
              <w:rPr>
                <w:rFonts w:hint="eastAsia" w:ascii="宋体" w:hAnsi="宋体" w:cs="宋体"/>
                <w:color w:val="auto"/>
                <w:kern w:val="0"/>
                <w:szCs w:val="21"/>
              </w:rPr>
              <w:t>（元/人）</w:t>
            </w:r>
          </w:p>
        </w:tc>
        <w:tc>
          <w:tcPr>
            <w:tcW w:w="969" w:type="dxa"/>
            <w:noWrap w:val="0"/>
            <w:vAlign w:val="center"/>
          </w:tcPr>
          <w:p w14:paraId="2A9C01E7">
            <w:pPr>
              <w:widowControl/>
              <w:jc w:val="center"/>
              <w:rPr>
                <w:rFonts w:ascii="宋体" w:hAnsi="宋体" w:cs="宋体"/>
                <w:color w:val="auto"/>
                <w:kern w:val="0"/>
                <w:szCs w:val="21"/>
              </w:rPr>
            </w:pPr>
            <w:r>
              <w:rPr>
                <w:rFonts w:hint="eastAsia" w:ascii="宋体" w:hAnsi="宋体" w:cs="宋体"/>
                <w:color w:val="auto"/>
                <w:kern w:val="0"/>
                <w:szCs w:val="21"/>
              </w:rPr>
              <w:t>小计（元）</w:t>
            </w:r>
          </w:p>
        </w:tc>
        <w:tc>
          <w:tcPr>
            <w:tcW w:w="1267" w:type="dxa"/>
            <w:noWrap w:val="0"/>
            <w:vAlign w:val="center"/>
          </w:tcPr>
          <w:p w14:paraId="0996AB87">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合计</w:t>
            </w:r>
          </w:p>
          <w:p w14:paraId="118DF2DD">
            <w:pPr>
              <w:widowControl/>
              <w:jc w:val="center"/>
              <w:rPr>
                <w:rFonts w:ascii="宋体" w:hAnsi="宋体" w:cs="宋体"/>
                <w:color w:val="auto"/>
                <w:kern w:val="0"/>
                <w:szCs w:val="21"/>
              </w:rPr>
            </w:pPr>
            <w:r>
              <w:rPr>
                <w:rFonts w:hint="eastAsia" w:ascii="宋体" w:hAnsi="宋体" w:cs="宋体"/>
                <w:color w:val="auto"/>
                <w:kern w:val="0"/>
                <w:szCs w:val="21"/>
                <w:lang w:val="en-US" w:eastAsia="zh-CN"/>
              </w:rPr>
              <w:t>（元）</w:t>
            </w:r>
          </w:p>
        </w:tc>
      </w:tr>
      <w:tr w14:paraId="7A4181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6" w:hRule="atLeast"/>
          <w:jc w:val="center"/>
        </w:trPr>
        <w:tc>
          <w:tcPr>
            <w:tcW w:w="1115" w:type="dxa"/>
            <w:vMerge w:val="restart"/>
            <w:noWrap w:val="0"/>
            <w:vAlign w:val="center"/>
          </w:tcPr>
          <w:p w14:paraId="29BCE830">
            <w:pPr>
              <w:snapToGrid w:val="0"/>
              <w:ind w:firstLine="105" w:firstLineChars="50"/>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嘉兴市南湖区大桥镇中心小学2025年度教师疗休养项目</w:t>
            </w:r>
          </w:p>
        </w:tc>
        <w:tc>
          <w:tcPr>
            <w:tcW w:w="731" w:type="dxa"/>
            <w:noWrap w:val="0"/>
            <w:vAlign w:val="center"/>
          </w:tcPr>
          <w:p w14:paraId="3B35A080">
            <w:pPr>
              <w:snapToGrid w:val="0"/>
              <w:jc w:val="both"/>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标项</w:t>
            </w:r>
            <w:r>
              <w:rPr>
                <w:rFonts w:hint="eastAsia" w:ascii="宋体" w:hAnsi="宋体" w:cs="宋体"/>
                <w:bCs/>
                <w:color w:val="auto"/>
                <w:szCs w:val="21"/>
                <w:lang w:val="en-US" w:eastAsia="zh-CN"/>
              </w:rPr>
              <w:t>一</w:t>
            </w:r>
          </w:p>
        </w:tc>
        <w:tc>
          <w:tcPr>
            <w:tcW w:w="1329" w:type="dxa"/>
            <w:noWrap w:val="0"/>
            <w:vAlign w:val="center"/>
          </w:tcPr>
          <w:p w14:paraId="4612983A">
            <w:pPr>
              <w:snapToGrid w:val="0"/>
              <w:ind w:firstLine="105" w:firstLineChars="50"/>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线路一：</w:t>
            </w:r>
            <w:r>
              <w:rPr>
                <w:rFonts w:hint="eastAsia" w:ascii="宋体" w:hAnsi="宋体" w:eastAsia="宋体" w:cs="宋体"/>
                <w:bCs/>
                <w:color w:val="auto"/>
                <w:szCs w:val="21"/>
                <w:lang w:val="en-US" w:eastAsia="zh-CN"/>
              </w:rPr>
              <w:t>嘉兴</w:t>
            </w:r>
            <w:r>
              <w:rPr>
                <w:rFonts w:hint="eastAsia" w:ascii="宋体" w:hAnsi="宋体" w:cs="宋体"/>
                <w:bCs/>
                <w:color w:val="auto"/>
                <w:szCs w:val="21"/>
                <w:lang w:val="en-US" w:eastAsia="zh-CN"/>
              </w:rPr>
              <w:t>5</w:t>
            </w:r>
            <w:r>
              <w:rPr>
                <w:rFonts w:hint="eastAsia" w:ascii="宋体" w:hAnsi="宋体" w:eastAsia="宋体" w:cs="宋体"/>
                <w:bCs/>
                <w:color w:val="auto"/>
                <w:szCs w:val="21"/>
                <w:lang w:val="en-US" w:eastAsia="zh-CN"/>
              </w:rPr>
              <w:t>日游</w:t>
            </w:r>
          </w:p>
        </w:tc>
        <w:tc>
          <w:tcPr>
            <w:tcW w:w="1640" w:type="dxa"/>
            <w:noWrap w:val="0"/>
            <w:vAlign w:val="center"/>
          </w:tcPr>
          <w:p w14:paraId="028B6DF3">
            <w:pPr>
              <w:snapToGrid w:val="0"/>
              <w:ind w:firstLine="105" w:firstLineChars="50"/>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7</w:t>
            </w:r>
            <w:r>
              <w:rPr>
                <w:rFonts w:hint="eastAsia" w:ascii="宋体" w:hAnsi="宋体" w:eastAsia="宋体" w:cs="宋体"/>
                <w:bCs/>
                <w:color w:val="auto"/>
                <w:szCs w:val="21"/>
                <w:lang w:val="en-US" w:eastAsia="zh-CN"/>
              </w:rPr>
              <w:t>月</w:t>
            </w:r>
            <w:r>
              <w:rPr>
                <w:rFonts w:hint="eastAsia" w:ascii="宋体" w:hAnsi="宋体" w:cs="宋体"/>
                <w:bCs/>
                <w:color w:val="auto"/>
                <w:szCs w:val="21"/>
                <w:lang w:val="en-US" w:eastAsia="zh-CN"/>
              </w:rPr>
              <w:t>7</w:t>
            </w:r>
            <w:r>
              <w:rPr>
                <w:rFonts w:hint="default" w:ascii="宋体" w:hAnsi="宋体" w:eastAsia="宋体" w:cs="宋体"/>
                <w:bCs/>
                <w:color w:val="auto"/>
                <w:szCs w:val="21"/>
                <w:lang w:val="en-US" w:eastAsia="zh-CN"/>
              </w:rPr>
              <w:t>日</w:t>
            </w:r>
          </w:p>
        </w:tc>
        <w:tc>
          <w:tcPr>
            <w:tcW w:w="776" w:type="dxa"/>
            <w:noWrap w:val="0"/>
            <w:vAlign w:val="center"/>
          </w:tcPr>
          <w:p w14:paraId="7DD4CD05">
            <w:pPr>
              <w:snapToGrid w:val="0"/>
              <w:ind w:firstLine="105" w:firstLineChars="50"/>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27</w:t>
            </w:r>
          </w:p>
        </w:tc>
        <w:tc>
          <w:tcPr>
            <w:tcW w:w="1101" w:type="dxa"/>
            <w:noWrap w:val="0"/>
            <w:vAlign w:val="center"/>
          </w:tcPr>
          <w:p w14:paraId="76C93967">
            <w:pPr>
              <w:snapToGrid w:val="0"/>
              <w:ind w:firstLine="105" w:firstLineChars="5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3000</w:t>
            </w:r>
          </w:p>
        </w:tc>
        <w:tc>
          <w:tcPr>
            <w:tcW w:w="969" w:type="dxa"/>
            <w:noWrap w:val="0"/>
            <w:vAlign w:val="center"/>
          </w:tcPr>
          <w:p w14:paraId="45A10DE3">
            <w:pPr>
              <w:keepNext w:val="0"/>
              <w:keepLines w:val="0"/>
              <w:widowControl/>
              <w:suppressLineNumbers w:val="0"/>
              <w:jc w:val="center"/>
              <w:textAlignment w:val="center"/>
              <w:rPr>
                <w:rFonts w:hint="default" w:ascii="宋体" w:hAnsi="宋体" w:eastAsia="宋体" w:cs="宋体"/>
                <w:bCs/>
                <w:color w:val="auto"/>
                <w:szCs w:val="21"/>
                <w:highlight w:val="none"/>
                <w:lang w:val="en-US" w:eastAsia="zh-CN"/>
              </w:rPr>
            </w:pPr>
            <w:r>
              <w:rPr>
                <w:rFonts w:hint="eastAsia" w:ascii="宋体" w:hAnsi="宋体" w:cs="宋体"/>
                <w:i w:val="0"/>
                <w:iCs w:val="0"/>
                <w:color w:val="000000"/>
                <w:kern w:val="0"/>
                <w:sz w:val="22"/>
                <w:szCs w:val="22"/>
                <w:highlight w:val="none"/>
                <w:u w:val="none"/>
                <w:lang w:val="en-US" w:eastAsia="zh-CN" w:bidi="ar"/>
              </w:rPr>
              <w:t>81000</w:t>
            </w:r>
          </w:p>
        </w:tc>
        <w:tc>
          <w:tcPr>
            <w:tcW w:w="1267" w:type="dxa"/>
            <w:vMerge w:val="restart"/>
            <w:noWrap w:val="0"/>
            <w:vAlign w:val="center"/>
          </w:tcPr>
          <w:p w14:paraId="6A0140CD">
            <w:pPr>
              <w:snapToGrid w:val="0"/>
              <w:ind w:firstLine="105" w:firstLineChars="50"/>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291000</w:t>
            </w:r>
          </w:p>
        </w:tc>
      </w:tr>
      <w:tr w14:paraId="2DE3E2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6" w:hRule="atLeast"/>
          <w:jc w:val="center"/>
        </w:trPr>
        <w:tc>
          <w:tcPr>
            <w:tcW w:w="1115" w:type="dxa"/>
            <w:vMerge w:val="continue"/>
            <w:noWrap w:val="0"/>
            <w:vAlign w:val="center"/>
          </w:tcPr>
          <w:p w14:paraId="693CA2EC">
            <w:pPr>
              <w:snapToGrid w:val="0"/>
              <w:ind w:firstLine="105" w:firstLineChars="50"/>
              <w:jc w:val="center"/>
              <w:rPr>
                <w:rFonts w:hint="eastAsia" w:ascii="宋体" w:hAnsi="宋体" w:eastAsia="宋体" w:cs="宋体"/>
                <w:bCs/>
                <w:szCs w:val="21"/>
                <w:lang w:val="en-US" w:eastAsia="zh-CN"/>
              </w:rPr>
            </w:pPr>
          </w:p>
        </w:tc>
        <w:tc>
          <w:tcPr>
            <w:tcW w:w="731" w:type="dxa"/>
            <w:noWrap w:val="0"/>
            <w:vAlign w:val="center"/>
          </w:tcPr>
          <w:p w14:paraId="52075EB2">
            <w:pPr>
              <w:snapToGrid w:val="0"/>
              <w:jc w:val="both"/>
              <w:rPr>
                <w:rFonts w:hint="eastAsia" w:ascii="宋体" w:hAnsi="宋体" w:eastAsia="宋体" w:cs="宋体"/>
                <w:bCs/>
                <w:szCs w:val="21"/>
                <w:lang w:val="en-US" w:eastAsia="zh-CN"/>
              </w:rPr>
            </w:pPr>
            <w:r>
              <w:rPr>
                <w:rFonts w:hint="eastAsia" w:ascii="宋体" w:hAnsi="宋体" w:eastAsia="宋体" w:cs="宋体"/>
                <w:bCs/>
                <w:color w:val="auto"/>
                <w:szCs w:val="21"/>
                <w:lang w:val="en-US" w:eastAsia="zh-CN"/>
              </w:rPr>
              <w:t>标项</w:t>
            </w:r>
            <w:r>
              <w:rPr>
                <w:rFonts w:hint="eastAsia" w:ascii="宋体" w:hAnsi="宋体" w:cs="宋体"/>
                <w:bCs/>
                <w:color w:val="auto"/>
                <w:szCs w:val="21"/>
                <w:lang w:val="en-US" w:eastAsia="zh-CN"/>
              </w:rPr>
              <w:t>二</w:t>
            </w:r>
          </w:p>
        </w:tc>
        <w:tc>
          <w:tcPr>
            <w:tcW w:w="1329" w:type="dxa"/>
            <w:noWrap w:val="0"/>
            <w:vAlign w:val="center"/>
          </w:tcPr>
          <w:p w14:paraId="04C6A9B0">
            <w:pPr>
              <w:snapToGrid w:val="0"/>
              <w:ind w:firstLine="105" w:firstLineChars="50"/>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线路二：杭州千岛湖5日游</w:t>
            </w:r>
          </w:p>
        </w:tc>
        <w:tc>
          <w:tcPr>
            <w:tcW w:w="1640" w:type="dxa"/>
            <w:noWrap w:val="0"/>
            <w:vAlign w:val="center"/>
          </w:tcPr>
          <w:p w14:paraId="10B456EB">
            <w:pPr>
              <w:snapToGrid w:val="0"/>
              <w:ind w:firstLine="105" w:firstLineChars="50"/>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7</w:t>
            </w:r>
            <w:r>
              <w:rPr>
                <w:rFonts w:hint="eastAsia" w:ascii="宋体" w:hAnsi="宋体" w:eastAsia="宋体" w:cs="宋体"/>
                <w:bCs/>
                <w:color w:val="auto"/>
                <w:szCs w:val="21"/>
                <w:lang w:val="en-US" w:eastAsia="zh-CN"/>
              </w:rPr>
              <w:t>月14</w:t>
            </w:r>
            <w:r>
              <w:rPr>
                <w:rFonts w:hint="default" w:ascii="宋体" w:hAnsi="宋体" w:eastAsia="宋体" w:cs="宋体"/>
                <w:bCs/>
                <w:color w:val="auto"/>
                <w:szCs w:val="21"/>
                <w:lang w:val="en-US" w:eastAsia="zh-CN"/>
              </w:rPr>
              <w:t>日</w:t>
            </w:r>
          </w:p>
        </w:tc>
        <w:tc>
          <w:tcPr>
            <w:tcW w:w="776" w:type="dxa"/>
            <w:noWrap w:val="0"/>
            <w:vAlign w:val="center"/>
          </w:tcPr>
          <w:p w14:paraId="262733C8">
            <w:pPr>
              <w:snapToGrid w:val="0"/>
              <w:ind w:firstLine="105" w:firstLineChars="50"/>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36</w:t>
            </w:r>
          </w:p>
        </w:tc>
        <w:tc>
          <w:tcPr>
            <w:tcW w:w="1101" w:type="dxa"/>
            <w:noWrap w:val="0"/>
            <w:vAlign w:val="center"/>
          </w:tcPr>
          <w:p w14:paraId="2FB1FDDC">
            <w:pPr>
              <w:snapToGrid w:val="0"/>
              <w:ind w:firstLine="105" w:firstLineChars="50"/>
              <w:jc w:val="center"/>
              <w:rPr>
                <w:rFonts w:hint="default" w:ascii="宋体" w:hAnsi="宋体" w:eastAsia="宋体" w:cs="宋体"/>
                <w:bCs/>
                <w:szCs w:val="21"/>
                <w:lang w:val="en-US" w:eastAsia="zh-CN"/>
              </w:rPr>
            </w:pPr>
            <w:r>
              <w:rPr>
                <w:rFonts w:hint="eastAsia" w:ascii="宋体" w:hAnsi="宋体" w:eastAsia="宋体" w:cs="宋体"/>
                <w:bCs/>
                <w:color w:val="auto"/>
                <w:szCs w:val="21"/>
                <w:lang w:val="en-US" w:eastAsia="zh-CN"/>
              </w:rPr>
              <w:t>3000</w:t>
            </w:r>
          </w:p>
        </w:tc>
        <w:tc>
          <w:tcPr>
            <w:tcW w:w="969" w:type="dxa"/>
            <w:noWrap w:val="0"/>
            <w:vAlign w:val="center"/>
          </w:tcPr>
          <w:p w14:paraId="1EE88480">
            <w:pPr>
              <w:keepNext w:val="0"/>
              <w:keepLines w:val="0"/>
              <w:widowControl/>
              <w:suppressLineNumbers w:val="0"/>
              <w:jc w:val="center"/>
              <w:textAlignment w:val="center"/>
              <w:rPr>
                <w:rFonts w:hint="default" w:ascii="宋体" w:hAnsi="宋体" w:eastAsia="宋体" w:cs="宋体"/>
                <w:bCs/>
                <w:color w:val="auto"/>
                <w:szCs w:val="21"/>
                <w:highlight w:val="none"/>
                <w:lang w:val="en-US" w:eastAsia="zh-CN"/>
              </w:rPr>
            </w:pPr>
            <w:r>
              <w:rPr>
                <w:rFonts w:hint="eastAsia" w:ascii="宋体" w:hAnsi="宋体" w:cs="宋体"/>
                <w:i w:val="0"/>
                <w:iCs w:val="0"/>
                <w:color w:val="000000"/>
                <w:kern w:val="0"/>
                <w:sz w:val="22"/>
                <w:szCs w:val="22"/>
                <w:highlight w:val="none"/>
                <w:u w:val="none"/>
                <w:lang w:val="en-US" w:eastAsia="zh-CN" w:bidi="ar"/>
              </w:rPr>
              <w:t>108000</w:t>
            </w:r>
          </w:p>
        </w:tc>
        <w:tc>
          <w:tcPr>
            <w:tcW w:w="1267" w:type="dxa"/>
            <w:vMerge w:val="continue"/>
            <w:noWrap w:val="0"/>
            <w:vAlign w:val="center"/>
          </w:tcPr>
          <w:p w14:paraId="36512D69">
            <w:pPr>
              <w:snapToGrid w:val="0"/>
              <w:ind w:firstLine="105" w:firstLineChars="50"/>
              <w:jc w:val="center"/>
              <w:rPr>
                <w:rFonts w:hint="default" w:ascii="宋体" w:hAnsi="宋体" w:eastAsia="宋体" w:cs="宋体"/>
                <w:bCs/>
                <w:color w:val="auto"/>
                <w:szCs w:val="21"/>
                <w:lang w:val="en-US" w:eastAsia="zh-CN"/>
              </w:rPr>
            </w:pPr>
          </w:p>
        </w:tc>
      </w:tr>
      <w:tr w14:paraId="603CB5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6" w:hRule="atLeast"/>
          <w:jc w:val="center"/>
        </w:trPr>
        <w:tc>
          <w:tcPr>
            <w:tcW w:w="1115" w:type="dxa"/>
            <w:vMerge w:val="continue"/>
            <w:noWrap w:val="0"/>
            <w:vAlign w:val="center"/>
          </w:tcPr>
          <w:p w14:paraId="516E8103">
            <w:pPr>
              <w:snapToGrid w:val="0"/>
              <w:ind w:firstLine="105" w:firstLineChars="50"/>
              <w:jc w:val="center"/>
              <w:rPr>
                <w:rFonts w:hint="eastAsia" w:ascii="宋体" w:hAnsi="宋体" w:eastAsia="宋体" w:cs="宋体"/>
                <w:bCs/>
                <w:szCs w:val="21"/>
                <w:lang w:val="en-US" w:eastAsia="zh-CN"/>
              </w:rPr>
            </w:pPr>
          </w:p>
        </w:tc>
        <w:tc>
          <w:tcPr>
            <w:tcW w:w="731" w:type="dxa"/>
            <w:noWrap w:val="0"/>
            <w:vAlign w:val="center"/>
          </w:tcPr>
          <w:p w14:paraId="2C3AA30F">
            <w:pPr>
              <w:snapToGrid w:val="0"/>
              <w:ind w:firstLine="105" w:firstLineChars="50"/>
              <w:jc w:val="center"/>
              <w:rPr>
                <w:rFonts w:hint="default" w:ascii="宋体" w:hAnsi="宋体" w:eastAsia="宋体" w:cs="宋体"/>
                <w:bCs/>
                <w:color w:val="auto"/>
                <w:szCs w:val="21"/>
                <w:lang w:val="en-US" w:eastAsia="zh-CN"/>
              </w:rPr>
            </w:pPr>
            <w:r>
              <w:rPr>
                <w:rFonts w:hint="eastAsia" w:ascii="宋体" w:hAnsi="宋体" w:eastAsia="宋体" w:cs="宋体"/>
                <w:bCs/>
                <w:color w:val="auto"/>
                <w:szCs w:val="21"/>
                <w:lang w:val="en-US" w:eastAsia="zh-CN"/>
              </w:rPr>
              <w:t>标项</w:t>
            </w:r>
            <w:r>
              <w:rPr>
                <w:rFonts w:hint="eastAsia" w:ascii="宋体" w:hAnsi="宋体" w:cs="宋体"/>
                <w:bCs/>
                <w:color w:val="auto"/>
                <w:szCs w:val="21"/>
                <w:lang w:val="en-US" w:eastAsia="zh-CN"/>
              </w:rPr>
              <w:t>三</w:t>
            </w:r>
          </w:p>
        </w:tc>
        <w:tc>
          <w:tcPr>
            <w:tcW w:w="1329" w:type="dxa"/>
            <w:noWrap w:val="0"/>
            <w:vAlign w:val="center"/>
          </w:tcPr>
          <w:p w14:paraId="2D64D8BC">
            <w:pPr>
              <w:snapToGrid w:val="0"/>
              <w:ind w:firstLine="105" w:firstLineChars="5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线路三：福建霞浦平潭岛</w:t>
            </w:r>
            <w:r>
              <w:rPr>
                <w:rFonts w:hint="eastAsia" w:ascii="宋体" w:hAnsi="宋体" w:cs="宋体"/>
                <w:bCs/>
                <w:color w:val="auto"/>
                <w:szCs w:val="21"/>
                <w:lang w:val="en-US" w:eastAsia="zh-CN"/>
              </w:rPr>
              <w:t>5</w:t>
            </w:r>
            <w:r>
              <w:rPr>
                <w:rFonts w:hint="eastAsia" w:ascii="宋体" w:hAnsi="宋体" w:eastAsia="宋体" w:cs="宋体"/>
                <w:bCs/>
                <w:color w:val="auto"/>
                <w:szCs w:val="21"/>
                <w:lang w:val="en-US" w:eastAsia="zh-CN"/>
              </w:rPr>
              <w:t>日游</w:t>
            </w:r>
          </w:p>
        </w:tc>
        <w:tc>
          <w:tcPr>
            <w:tcW w:w="1640" w:type="dxa"/>
            <w:noWrap w:val="0"/>
            <w:vAlign w:val="center"/>
          </w:tcPr>
          <w:p w14:paraId="4ACA96F1">
            <w:pPr>
              <w:snapToGrid w:val="0"/>
              <w:ind w:firstLine="105" w:firstLineChars="50"/>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7</w:t>
            </w:r>
            <w:r>
              <w:rPr>
                <w:rFonts w:hint="eastAsia" w:ascii="宋体" w:hAnsi="宋体" w:eastAsia="宋体" w:cs="宋体"/>
                <w:bCs/>
                <w:color w:val="auto"/>
                <w:szCs w:val="21"/>
                <w:lang w:val="en-US" w:eastAsia="zh-CN"/>
              </w:rPr>
              <w:t>月14</w:t>
            </w:r>
            <w:r>
              <w:rPr>
                <w:rFonts w:hint="default" w:ascii="宋体" w:hAnsi="宋体" w:eastAsia="宋体" w:cs="宋体"/>
                <w:bCs/>
                <w:color w:val="auto"/>
                <w:szCs w:val="21"/>
                <w:lang w:val="en-US" w:eastAsia="zh-CN"/>
              </w:rPr>
              <w:t>日</w:t>
            </w:r>
          </w:p>
        </w:tc>
        <w:tc>
          <w:tcPr>
            <w:tcW w:w="776" w:type="dxa"/>
            <w:noWrap w:val="0"/>
            <w:vAlign w:val="center"/>
          </w:tcPr>
          <w:p w14:paraId="51999FFB">
            <w:pPr>
              <w:snapToGrid w:val="0"/>
              <w:ind w:firstLine="105" w:firstLineChars="50"/>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34</w:t>
            </w:r>
          </w:p>
        </w:tc>
        <w:tc>
          <w:tcPr>
            <w:tcW w:w="1101" w:type="dxa"/>
            <w:noWrap w:val="0"/>
            <w:vAlign w:val="center"/>
          </w:tcPr>
          <w:p w14:paraId="54199BC5">
            <w:pPr>
              <w:snapToGrid w:val="0"/>
              <w:ind w:firstLine="105" w:firstLineChars="5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3000</w:t>
            </w:r>
          </w:p>
        </w:tc>
        <w:tc>
          <w:tcPr>
            <w:tcW w:w="969" w:type="dxa"/>
            <w:noWrap w:val="0"/>
            <w:vAlign w:val="center"/>
          </w:tcPr>
          <w:p w14:paraId="2A2B021A">
            <w:pPr>
              <w:keepNext w:val="0"/>
              <w:keepLines w:val="0"/>
              <w:widowControl/>
              <w:suppressLineNumbers w:val="0"/>
              <w:jc w:val="center"/>
              <w:textAlignment w:val="center"/>
              <w:rPr>
                <w:rFonts w:hint="eastAsia" w:ascii="宋体" w:hAnsi="宋体" w:eastAsia="宋体" w:cs="宋体"/>
                <w:bCs/>
                <w:color w:val="auto"/>
                <w:szCs w:val="21"/>
                <w:highlight w:val="none"/>
                <w:lang w:val="en-US" w:eastAsia="zh-CN"/>
              </w:rPr>
            </w:pPr>
            <w:r>
              <w:rPr>
                <w:rFonts w:hint="eastAsia" w:ascii="宋体" w:hAnsi="宋体" w:cs="宋体"/>
                <w:i w:val="0"/>
                <w:iCs w:val="0"/>
                <w:color w:val="000000"/>
                <w:kern w:val="0"/>
                <w:sz w:val="22"/>
                <w:szCs w:val="22"/>
                <w:highlight w:val="none"/>
                <w:u w:val="none"/>
                <w:lang w:val="en-US" w:eastAsia="zh-CN" w:bidi="ar"/>
              </w:rPr>
              <w:t>102000</w:t>
            </w:r>
          </w:p>
        </w:tc>
        <w:tc>
          <w:tcPr>
            <w:tcW w:w="1267" w:type="dxa"/>
            <w:vMerge w:val="continue"/>
            <w:noWrap w:val="0"/>
            <w:vAlign w:val="center"/>
          </w:tcPr>
          <w:p w14:paraId="2F56461F">
            <w:pPr>
              <w:snapToGrid w:val="0"/>
              <w:ind w:firstLine="105" w:firstLineChars="50"/>
              <w:jc w:val="center"/>
              <w:rPr>
                <w:rFonts w:hint="eastAsia" w:ascii="宋体" w:hAnsi="宋体" w:eastAsia="宋体" w:cs="宋体"/>
                <w:bCs/>
                <w:color w:val="auto"/>
                <w:szCs w:val="21"/>
                <w:lang w:val="en-US" w:eastAsia="zh-CN"/>
              </w:rPr>
            </w:pPr>
          </w:p>
        </w:tc>
      </w:tr>
      <w:bookmarkEnd w:id="584"/>
    </w:tbl>
    <w:p w14:paraId="16376182">
      <w:pPr>
        <w:spacing w:line="400" w:lineRule="exact"/>
        <w:rPr>
          <w:rFonts w:hint="eastAsia" w:ascii="宋体" w:hAnsi="宋体"/>
          <w:szCs w:val="21"/>
        </w:rPr>
      </w:pPr>
      <w:r>
        <w:rPr>
          <w:rFonts w:hint="eastAsia" w:ascii="宋体" w:hAnsi="宋体"/>
          <w:szCs w:val="21"/>
        </w:rPr>
        <w:t>注：1、采购内容：</w:t>
      </w:r>
      <w:r>
        <w:rPr>
          <w:rFonts w:hint="eastAsia" w:ascii="宋体" w:hAnsi="宋体"/>
          <w:szCs w:val="21"/>
          <w:lang w:eastAsia="zh-CN"/>
        </w:rPr>
        <w:t>嘉兴市南湖区大桥镇中心小学2025年度教师疗休养项目</w:t>
      </w:r>
      <w:r>
        <w:rPr>
          <w:rFonts w:hint="eastAsia" w:ascii="宋体" w:hAnsi="宋体"/>
          <w:szCs w:val="21"/>
        </w:rPr>
        <w:t>。</w:t>
      </w:r>
    </w:p>
    <w:p w14:paraId="095A2D4D">
      <w:pPr>
        <w:spacing w:line="400" w:lineRule="exact"/>
        <w:ind w:firstLine="420" w:firstLineChars="200"/>
        <w:rPr>
          <w:rFonts w:ascii="宋体" w:hAnsi="宋体"/>
          <w:szCs w:val="21"/>
        </w:rPr>
      </w:pPr>
      <w:r>
        <w:rPr>
          <w:rFonts w:hint="eastAsia" w:ascii="宋体" w:hAnsi="宋体"/>
          <w:szCs w:val="21"/>
        </w:rPr>
        <w:t>2、人数约为</w:t>
      </w:r>
      <w:r>
        <w:rPr>
          <w:rFonts w:hint="eastAsia" w:ascii="宋体" w:hAnsi="宋体"/>
          <w:szCs w:val="21"/>
          <w:lang w:val="en-US" w:eastAsia="zh-CN"/>
        </w:rPr>
        <w:t>97</w:t>
      </w:r>
      <w:r>
        <w:rPr>
          <w:rFonts w:hint="eastAsia" w:ascii="宋体" w:hAnsi="宋体"/>
          <w:szCs w:val="21"/>
        </w:rPr>
        <w:t>人（以实际参加人数为准）</w:t>
      </w:r>
    </w:p>
    <w:p w14:paraId="72BA7E85">
      <w:pPr>
        <w:spacing w:line="400" w:lineRule="exact"/>
        <w:ind w:firstLine="420" w:firstLineChars="200"/>
        <w:rPr>
          <w:rFonts w:hint="eastAsia" w:ascii="宋体" w:hAnsi="宋体"/>
          <w:szCs w:val="21"/>
        </w:rPr>
      </w:pPr>
      <w:r>
        <w:rPr>
          <w:rFonts w:hint="eastAsia" w:ascii="宋体" w:hAnsi="宋体"/>
          <w:szCs w:val="21"/>
        </w:rPr>
        <w:t>3、根据有关规定标准进行补助，如实际行程中出现超出部分将自行承担（超出部分在出行前由职工缴纳给旅行社）。每条线路如旅游途中有职工因故放弃某个景点或就餐服务等其他情况时，其景点门票费或就餐费等费用，旅行社可通过提升服务品质及内容来实现（规定允许的范围内）（磋商响应方案中提供详细方案，如提升住宿、餐标、景点等）。</w:t>
      </w:r>
    </w:p>
    <w:p w14:paraId="3CD99211">
      <w:pPr>
        <w:spacing w:line="400" w:lineRule="exact"/>
        <w:ind w:firstLine="420" w:firstLineChars="200"/>
        <w:rPr>
          <w:rFonts w:hint="eastAsia" w:ascii="宋体" w:hAnsi="宋体"/>
          <w:szCs w:val="21"/>
          <w:highlight w:val="none"/>
        </w:rPr>
      </w:pPr>
      <w:r>
        <w:rPr>
          <w:rFonts w:hint="eastAsia" w:ascii="宋体" w:hAnsi="宋体"/>
          <w:szCs w:val="21"/>
        </w:rPr>
        <w:t>4、全程优秀导游，投标报价包括供应商完成本项目所需的一切费用，包括但不限于：交通费（含燃油费、机场建设费、航空交通保险</w:t>
      </w:r>
      <w:r>
        <w:rPr>
          <w:rFonts w:hint="eastAsia" w:ascii="宋体" w:hAnsi="宋体"/>
          <w:szCs w:val="21"/>
          <w:highlight w:val="none"/>
        </w:rPr>
        <w:t>费、过路费、机票、火车票、景点交通费等）、住宿费、伙食费、景点门票（含必须的电瓶车、环保车、缆车费用）、导游费、保险费及涉及的其他所有费用、税金等。</w:t>
      </w:r>
    </w:p>
    <w:p w14:paraId="580B008C">
      <w:pPr>
        <w:spacing w:line="400" w:lineRule="exact"/>
        <w:ind w:firstLine="422" w:firstLineChars="200"/>
        <w:rPr>
          <w:rFonts w:hint="eastAsia" w:ascii="宋体" w:hAnsi="宋体"/>
          <w:color w:val="auto"/>
          <w:szCs w:val="21"/>
          <w:highlight w:val="none"/>
        </w:rPr>
      </w:pPr>
      <w:r>
        <w:rPr>
          <w:rFonts w:hint="eastAsia" w:ascii="宋体" w:hAnsi="宋体"/>
          <w:b/>
          <w:bCs/>
          <w:color w:val="auto"/>
          <w:szCs w:val="21"/>
          <w:highlight w:val="none"/>
        </w:rPr>
        <w:t>5、</w:t>
      </w:r>
      <w:r>
        <w:rPr>
          <w:rFonts w:hint="eastAsia" w:ascii="宋体" w:hAnsi="宋体" w:cs="宋体"/>
          <w:b/>
          <w:bCs/>
          <w:color w:val="auto"/>
          <w:kern w:val="0"/>
          <w:szCs w:val="21"/>
          <w:highlight w:val="none"/>
          <w:lang w:eastAsia="zh-CN"/>
        </w:rPr>
        <w:t>标项</w:t>
      </w:r>
      <w:r>
        <w:rPr>
          <w:rFonts w:hint="eastAsia" w:ascii="宋体" w:hAnsi="宋体" w:cs="宋体"/>
          <w:b/>
          <w:bCs/>
          <w:color w:val="auto"/>
          <w:kern w:val="0"/>
          <w:szCs w:val="21"/>
          <w:highlight w:val="none"/>
          <w:lang w:val="en-US" w:eastAsia="zh-CN"/>
        </w:rPr>
        <w:t>三</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线路</w:t>
      </w:r>
      <w:r>
        <w:rPr>
          <w:rFonts w:hint="eastAsia" w:ascii="宋体" w:hAnsi="宋体" w:cs="宋体"/>
          <w:b/>
          <w:bCs/>
          <w:color w:val="auto"/>
          <w:kern w:val="0"/>
          <w:szCs w:val="21"/>
          <w:highlight w:val="none"/>
          <w:lang w:val="en-US" w:eastAsia="zh-CN"/>
        </w:rPr>
        <w:t>三</w:t>
      </w:r>
      <w:r>
        <w:rPr>
          <w:rFonts w:hint="eastAsia" w:ascii="宋体" w:hAnsi="宋体" w:cs="宋体"/>
          <w:b/>
          <w:bCs/>
          <w:color w:val="auto"/>
          <w:kern w:val="0"/>
          <w:szCs w:val="21"/>
          <w:highlight w:val="none"/>
        </w:rPr>
        <w:t>：福建霞浦平潭岛5日游报价</w:t>
      </w:r>
      <w:r>
        <w:rPr>
          <w:rFonts w:hint="eastAsia" w:ascii="宋体" w:hAnsi="宋体"/>
          <w:b/>
          <w:bCs/>
          <w:color w:val="auto"/>
          <w:szCs w:val="21"/>
          <w:highlight w:val="none"/>
        </w:rPr>
        <w:t>按单价3000元/人·次进行报价，方案按</w:t>
      </w:r>
      <w:r>
        <w:rPr>
          <w:rFonts w:hint="eastAsia" w:ascii="宋体" w:hAnsi="宋体"/>
          <w:b/>
          <w:bCs/>
          <w:color w:val="auto"/>
          <w:szCs w:val="21"/>
          <w:highlight w:val="none"/>
          <w:lang w:val="en-US" w:eastAsia="zh-CN"/>
        </w:rPr>
        <w:t>3400</w:t>
      </w:r>
      <w:r>
        <w:rPr>
          <w:rFonts w:hint="eastAsia" w:ascii="宋体" w:hAnsi="宋体"/>
          <w:b/>
          <w:bCs/>
          <w:color w:val="auto"/>
          <w:szCs w:val="21"/>
          <w:highlight w:val="none"/>
        </w:rPr>
        <w:t>元人·次做，超出部分在出行前由职工缴纳给旅行社。</w:t>
      </w:r>
    </w:p>
    <w:bookmarkEnd w:id="578"/>
    <w:p w14:paraId="04578077">
      <w:pPr>
        <w:spacing w:line="360" w:lineRule="auto"/>
        <w:rPr>
          <w:rFonts w:hint="eastAsia" w:ascii="宋体" w:hAnsi="宋体"/>
          <w:b/>
          <w:szCs w:val="21"/>
          <w:highlight w:val="none"/>
        </w:rPr>
      </w:pPr>
      <w:r>
        <w:rPr>
          <w:rFonts w:hint="eastAsia" w:ascii="宋体" w:hAnsi="宋体"/>
          <w:b/>
          <w:highlight w:val="none"/>
        </w:rPr>
        <w:t>二</w:t>
      </w:r>
      <w:r>
        <w:rPr>
          <w:rFonts w:hint="eastAsia" w:ascii="宋体" w:hAnsi="宋体"/>
          <w:b/>
          <w:szCs w:val="21"/>
          <w:highlight w:val="none"/>
        </w:rPr>
        <w:t>、项目具体要求</w:t>
      </w:r>
    </w:p>
    <w:p w14:paraId="1EBA0261">
      <w:pPr>
        <w:pStyle w:val="127"/>
        <w:spacing w:line="400" w:lineRule="exact"/>
        <w:rPr>
          <w:rFonts w:hint="eastAsia" w:ascii="宋体" w:hAnsi="宋体"/>
          <w:highlight w:val="none"/>
        </w:rPr>
      </w:pPr>
      <w:r>
        <w:rPr>
          <w:rFonts w:hint="eastAsia" w:ascii="宋体" w:hAnsi="宋体"/>
          <w:highlight w:val="none"/>
        </w:rPr>
        <w:t>1、旅行社提供服务标准</w:t>
      </w:r>
    </w:p>
    <w:p w14:paraId="597F9039">
      <w:pPr>
        <w:pStyle w:val="127"/>
        <w:spacing w:line="400" w:lineRule="exact"/>
        <w:ind w:firstLine="630" w:firstLineChars="300"/>
        <w:rPr>
          <w:rFonts w:hint="eastAsia" w:ascii="宋体" w:hAnsi="宋体"/>
          <w:highlight w:val="none"/>
        </w:rPr>
      </w:pPr>
      <w:r>
        <w:rPr>
          <w:rFonts w:hint="eastAsia" w:ascii="宋体" w:hAnsi="宋体"/>
          <w:highlight w:val="none"/>
        </w:rPr>
        <w:t>(1) 交通：空调旅游车（大交通根据需要选择动车或高铁或飞机），（磋商响应文件中需列出交通费清单）</w:t>
      </w:r>
    </w:p>
    <w:p w14:paraId="3EEA1704">
      <w:pPr>
        <w:spacing w:line="400" w:lineRule="exact"/>
        <w:ind w:firstLine="525" w:firstLineChars="250"/>
        <w:rPr>
          <w:rFonts w:hint="eastAsia" w:ascii="宋体" w:hAnsi="宋体"/>
          <w:szCs w:val="21"/>
          <w:highlight w:val="none"/>
        </w:rPr>
      </w:pPr>
      <w:r>
        <w:rPr>
          <w:rFonts w:hint="eastAsia" w:ascii="宋体" w:hAnsi="宋体"/>
          <w:szCs w:val="21"/>
          <w:highlight w:val="none"/>
        </w:rPr>
        <w:t xml:space="preserve">（2）门票：主要景点门票（磋商响应文件中需列出门票清单）                 </w:t>
      </w:r>
    </w:p>
    <w:p w14:paraId="2DD22BEA">
      <w:pPr>
        <w:spacing w:line="400" w:lineRule="exact"/>
        <w:ind w:firstLine="525" w:firstLineChars="250"/>
        <w:rPr>
          <w:rFonts w:hint="eastAsia" w:ascii="宋体" w:hAnsi="宋体"/>
          <w:szCs w:val="21"/>
          <w:highlight w:val="none"/>
        </w:rPr>
      </w:pPr>
      <w:r>
        <w:rPr>
          <w:rFonts w:hint="eastAsia" w:ascii="宋体" w:hAnsi="宋体"/>
          <w:szCs w:val="21"/>
          <w:highlight w:val="none"/>
        </w:rPr>
        <w:t>（3）用餐：1、四早九正（早餐：酒店自助早餐；正餐标准：</w:t>
      </w:r>
      <w:r>
        <w:rPr>
          <w:rFonts w:hint="default" w:ascii="宋体" w:hAnsi="宋体"/>
          <w:szCs w:val="21"/>
          <w:highlight w:val="none"/>
        </w:rPr>
        <w:t>6</w:t>
      </w:r>
      <w:r>
        <w:rPr>
          <w:rFonts w:hint="eastAsia" w:ascii="宋体" w:hAnsi="宋体"/>
          <w:szCs w:val="21"/>
          <w:highlight w:val="none"/>
        </w:rPr>
        <w:t>0</w:t>
      </w:r>
      <w:r>
        <w:rPr>
          <w:rFonts w:hint="default" w:ascii="宋体" w:hAnsi="宋体"/>
          <w:szCs w:val="21"/>
          <w:highlight w:val="none"/>
        </w:rPr>
        <w:t>（午）</w:t>
      </w:r>
      <w:r>
        <w:rPr>
          <w:rFonts w:hint="eastAsia" w:ascii="宋体" w:hAnsi="宋体"/>
          <w:szCs w:val="21"/>
          <w:highlight w:val="none"/>
        </w:rPr>
        <w:t>-1</w:t>
      </w:r>
      <w:r>
        <w:rPr>
          <w:rFonts w:hint="default" w:ascii="宋体" w:hAnsi="宋体"/>
          <w:szCs w:val="21"/>
          <w:highlight w:val="none"/>
        </w:rPr>
        <w:t>2</w:t>
      </w:r>
      <w:r>
        <w:rPr>
          <w:rFonts w:hint="eastAsia" w:ascii="宋体" w:hAnsi="宋体"/>
          <w:szCs w:val="21"/>
          <w:highlight w:val="none"/>
        </w:rPr>
        <w:t>0</w:t>
      </w:r>
      <w:r>
        <w:rPr>
          <w:rFonts w:hint="default" w:ascii="宋体" w:hAnsi="宋体"/>
          <w:szCs w:val="21"/>
          <w:highlight w:val="none"/>
        </w:rPr>
        <w:t>（晚）</w:t>
      </w:r>
      <w:r>
        <w:rPr>
          <w:rFonts w:hint="eastAsia" w:ascii="宋体" w:hAnsi="宋体"/>
          <w:szCs w:val="21"/>
          <w:highlight w:val="none"/>
        </w:rPr>
        <w:t>元/人，若实际行程超过五天的在五天基础上每增加一天则增加一早两正）。</w:t>
      </w:r>
    </w:p>
    <w:p w14:paraId="4EAB7274">
      <w:pPr>
        <w:pStyle w:val="127"/>
        <w:spacing w:line="400" w:lineRule="exact"/>
        <w:rPr>
          <w:rFonts w:ascii="宋体" w:hAnsi="宋体"/>
        </w:rPr>
      </w:pPr>
      <w:r>
        <w:rPr>
          <w:rFonts w:hint="eastAsia" w:ascii="宋体" w:hAnsi="宋体"/>
        </w:rPr>
        <w:t xml:space="preserve">（4）住宿：四星（及四星以上）标准酒店双标房（单房差不补），要求交通便利、环境较好、干净卫生、服务优质，有较强的接待能力，同时配套设施齐全、使用方便安全。涉及外省的酒店要求为干净卫生、服务优质、有较强的接待能力。需保证住宿地点周围有县级（含）以上综合医院，医院离住宿地址车程20分钟以内。如果疗休养人员觉得宾馆住宿环境不满意，有权要求调整酒店，供应方应予以调整并不得降低标准。 </w:t>
      </w:r>
    </w:p>
    <w:p w14:paraId="7B64A2E3">
      <w:pPr>
        <w:pStyle w:val="127"/>
        <w:spacing w:line="400" w:lineRule="exact"/>
        <w:rPr>
          <w:rFonts w:ascii="宋体" w:hAnsi="宋体"/>
        </w:rPr>
      </w:pPr>
      <w:r>
        <w:rPr>
          <w:rFonts w:hint="eastAsia" w:ascii="宋体" w:hAnsi="宋体"/>
        </w:rPr>
        <w:t xml:space="preserve"> (5)导游：全程陪同及当地优秀资质公司有导游资格的专业导游讲解服务。服务团队人员未经使用单位同意，不得随意更换，如未经使用单位同意随意更换，采购人有权取消其服务资格，提前解除合同。 </w:t>
      </w:r>
    </w:p>
    <w:p w14:paraId="0110E4DB">
      <w:pPr>
        <w:pStyle w:val="127"/>
        <w:spacing w:line="400" w:lineRule="exact"/>
        <w:rPr>
          <w:rFonts w:ascii="宋体" w:hAnsi="宋体"/>
        </w:rPr>
      </w:pPr>
      <w:r>
        <w:rPr>
          <w:rFonts w:hint="eastAsia" w:ascii="宋体" w:hAnsi="宋体"/>
        </w:rPr>
        <w:t>关于用车。旅游路线内接送用车为标准空调旅游车（金龙车或高于其性能的车），车况良好；旅游车须用空调期间，司机应在每次上车前提前15分钟打开空调；司机应保持车辆整洁，每天要对车子进行清扫工作。接送车需提前至招标人指定地点接送。</w:t>
      </w:r>
    </w:p>
    <w:p w14:paraId="1DC1D73F">
      <w:pPr>
        <w:pStyle w:val="127"/>
        <w:spacing w:line="400" w:lineRule="exact"/>
        <w:rPr>
          <w:rFonts w:ascii="宋体" w:hAnsi="宋体"/>
        </w:rPr>
      </w:pPr>
      <w:r>
        <w:rPr>
          <w:rFonts w:hint="eastAsia" w:ascii="宋体" w:hAnsi="宋体"/>
        </w:rPr>
        <w:t>关于保险。成交供应商应按《旅行社责任保险管理办法》规定投保旅行社责任保险。险种与保额由行程确定。成交供应商须为参加团队旅游的旅游者投保人身意外伤害保险。旅游人身意外保险（保额不少于100万/人）、旅行社责任险（保额不少于150万/人）</w:t>
      </w:r>
    </w:p>
    <w:p w14:paraId="0B146204">
      <w:pPr>
        <w:pStyle w:val="127"/>
        <w:spacing w:line="400" w:lineRule="exact"/>
        <w:rPr>
          <w:rFonts w:ascii="宋体" w:hAnsi="宋体"/>
        </w:rPr>
      </w:pPr>
      <w:r>
        <w:rPr>
          <w:rFonts w:hint="eastAsia" w:ascii="宋体" w:hAnsi="宋体"/>
        </w:rPr>
        <w:t>购物：全程不主动进购物点，不推荐自费景点。</w:t>
      </w:r>
    </w:p>
    <w:p w14:paraId="401A9871">
      <w:pPr>
        <w:pStyle w:val="127"/>
        <w:spacing w:line="400" w:lineRule="exact"/>
        <w:rPr>
          <w:rFonts w:ascii="宋体" w:hAnsi="宋体"/>
        </w:rPr>
      </w:pPr>
      <w:r>
        <w:rPr>
          <w:rFonts w:hint="eastAsia" w:ascii="宋体" w:hAnsi="宋体"/>
        </w:rPr>
        <w:t>每批每人配发帽子1顶、雨伞1把、矿泉水不少于二瓶/天/人、一次性医用口罩不少于2个/天/人，每批次准备旅行常备药品一份、额温枪1把。</w:t>
      </w:r>
    </w:p>
    <w:p w14:paraId="61994D9F">
      <w:pPr>
        <w:pStyle w:val="127"/>
        <w:spacing w:line="400" w:lineRule="exact"/>
        <w:rPr>
          <w:rFonts w:ascii="宋体" w:hAnsi="宋体"/>
        </w:rPr>
      </w:pPr>
      <w:r>
        <w:rPr>
          <w:rFonts w:hint="eastAsia" w:ascii="宋体" w:hAnsi="宋体"/>
        </w:rPr>
        <w:t>要求举行行前会议，制定应急预案，发放《行程安排明细表》及相关行程服务内容的小册子。要求每个</w:t>
      </w:r>
      <w:r>
        <w:rPr>
          <w:rFonts w:hint="eastAsia" w:ascii="宋体" w:hAnsi="宋体"/>
          <w:lang w:eastAsia="zh-CN"/>
        </w:rPr>
        <w:t>标项</w:t>
      </w:r>
      <w:r>
        <w:rPr>
          <w:rFonts w:hint="eastAsia" w:ascii="宋体" w:hAnsi="宋体"/>
        </w:rPr>
        <w:t>的旅行社在出行的每辆车上安排一名导游全称陪同（旅游服务工作5年以上）。</w:t>
      </w:r>
    </w:p>
    <w:p w14:paraId="08AB4EE3">
      <w:pPr>
        <w:pStyle w:val="127"/>
        <w:spacing w:line="400" w:lineRule="exact"/>
        <w:rPr>
          <w:rFonts w:ascii="宋体" w:hAnsi="宋体"/>
        </w:rPr>
      </w:pPr>
      <w:r>
        <w:rPr>
          <w:rFonts w:hint="eastAsia" w:ascii="宋体" w:hAnsi="宋体"/>
        </w:rPr>
        <w:t>旅行社需做好保密工作，参加疗休养人员名单和个人信息不得外泄。</w:t>
      </w:r>
    </w:p>
    <w:p w14:paraId="3F3935EC">
      <w:pPr>
        <w:spacing w:line="360" w:lineRule="auto"/>
        <w:rPr>
          <w:rFonts w:ascii="宋体" w:hAnsi="宋体"/>
          <w:b/>
          <w:szCs w:val="21"/>
        </w:rPr>
      </w:pPr>
      <w:r>
        <w:rPr>
          <w:rFonts w:hint="eastAsia" w:ascii="宋体" w:hAnsi="宋体"/>
          <w:b/>
          <w:szCs w:val="21"/>
        </w:rPr>
        <w:t>三、服务要求</w:t>
      </w:r>
    </w:p>
    <w:p w14:paraId="1FD54CC3">
      <w:pPr>
        <w:spacing w:line="360" w:lineRule="auto"/>
        <w:ind w:firstLine="420" w:firstLineChars="200"/>
        <w:rPr>
          <w:rFonts w:ascii="宋体" w:hAnsi="宋体" w:cs="Calibri"/>
          <w:szCs w:val="21"/>
        </w:rPr>
      </w:pPr>
      <w:r>
        <w:rPr>
          <w:rFonts w:hint="eastAsia" w:ascii="宋体" w:hAnsi="宋体" w:cs="Calibri"/>
          <w:szCs w:val="21"/>
        </w:rPr>
        <w:t>1、疗休养项目及各提供的相关服务单位、营运环节、业务流程均应符合国家法律法规，符合国家、行业、地方标准的要求，维护疗休养人员的合法权益。</w:t>
      </w:r>
    </w:p>
    <w:p w14:paraId="07FAEEA4">
      <w:pPr>
        <w:spacing w:line="360" w:lineRule="auto"/>
        <w:ind w:firstLine="420" w:firstLineChars="200"/>
        <w:rPr>
          <w:rFonts w:ascii="宋体" w:hAnsi="宋体" w:cs="Calibri"/>
          <w:szCs w:val="21"/>
        </w:rPr>
      </w:pPr>
      <w:r>
        <w:rPr>
          <w:rFonts w:hint="eastAsia" w:ascii="宋体" w:hAnsi="宋体" w:cs="Calibri"/>
          <w:szCs w:val="21"/>
        </w:rPr>
        <w:t>2、能确保疗休养的安全、质量、诚信；确保全面履约，发生意外情况时有应急预案。</w:t>
      </w:r>
    </w:p>
    <w:p w14:paraId="7DF00943">
      <w:pPr>
        <w:spacing w:line="360" w:lineRule="auto"/>
        <w:ind w:firstLine="420" w:firstLineChars="200"/>
        <w:rPr>
          <w:rFonts w:ascii="宋体" w:hAnsi="宋体" w:cs="Calibri"/>
          <w:szCs w:val="21"/>
        </w:rPr>
      </w:pPr>
      <w:r>
        <w:rPr>
          <w:rFonts w:hint="eastAsia" w:ascii="宋体" w:hAnsi="宋体" w:cs="Calibri"/>
          <w:szCs w:val="21"/>
        </w:rPr>
        <w:t>3、规范组织管理、提供优质服务。选择资质高，信誉好的地接社，饭店、餐厅、景点、旅游汽车公司、商店等提供疗休养服务，并对其各项资质进行调查、核实、备案。</w:t>
      </w:r>
    </w:p>
    <w:p w14:paraId="7BD9C05C">
      <w:pPr>
        <w:spacing w:line="360" w:lineRule="auto"/>
        <w:ind w:firstLine="420" w:firstLineChars="200"/>
        <w:rPr>
          <w:rFonts w:ascii="宋体" w:hAnsi="宋体" w:cs="Calibri"/>
          <w:szCs w:val="21"/>
        </w:rPr>
      </w:pPr>
      <w:r>
        <w:rPr>
          <w:rFonts w:hint="eastAsia" w:ascii="宋体" w:hAnsi="宋体" w:cs="Calibri"/>
          <w:szCs w:val="21"/>
        </w:rPr>
        <w:t>4、在疗休养过程中，不得擅自增减疗休养项目，压缩疗休养时间，中止疗休养活动，因意外情况需变更行程、增减项目的，应及时征求疗休养人员意见并甲方单位同意后方可实施。</w:t>
      </w:r>
    </w:p>
    <w:p w14:paraId="1027B24C">
      <w:pPr>
        <w:spacing w:line="360" w:lineRule="auto"/>
        <w:ind w:firstLine="420" w:firstLineChars="200"/>
        <w:rPr>
          <w:rFonts w:ascii="宋体" w:hAnsi="宋体" w:cs="Calibri"/>
          <w:szCs w:val="21"/>
        </w:rPr>
      </w:pPr>
      <w:r>
        <w:rPr>
          <w:rFonts w:hint="eastAsia" w:ascii="宋体" w:hAnsi="宋体" w:cs="Calibri"/>
          <w:szCs w:val="21"/>
        </w:rPr>
        <w:t>5、做好疗休养前、中、后的各项服务工作。</w:t>
      </w:r>
    </w:p>
    <w:p w14:paraId="62B38A1E">
      <w:pPr>
        <w:spacing w:line="360" w:lineRule="auto"/>
        <w:ind w:firstLine="420" w:firstLineChars="200"/>
        <w:rPr>
          <w:rFonts w:ascii="宋体" w:hAnsi="宋体" w:cs="Calibri"/>
          <w:szCs w:val="21"/>
          <w:highlight w:val="none"/>
        </w:rPr>
      </w:pPr>
      <w:r>
        <w:rPr>
          <w:rFonts w:hint="eastAsia" w:ascii="宋体" w:hAnsi="宋体" w:cs="Calibri"/>
          <w:szCs w:val="21"/>
        </w:rPr>
        <w:t>6、疗休养项目组团时不得与外单位进</w:t>
      </w:r>
      <w:r>
        <w:rPr>
          <w:rFonts w:hint="eastAsia" w:ascii="宋体" w:hAnsi="宋体" w:cs="Calibri"/>
          <w:szCs w:val="21"/>
          <w:highlight w:val="none"/>
        </w:rPr>
        <w:t>行拼团，如果确实需要，必须在保障职工权益不受影响的前提下，经甲方单位同意方可实施。</w:t>
      </w:r>
    </w:p>
    <w:p w14:paraId="3558FCB7">
      <w:pPr>
        <w:spacing w:line="360" w:lineRule="auto"/>
        <w:ind w:firstLine="420" w:firstLineChars="200"/>
        <w:rPr>
          <w:rFonts w:ascii="宋体" w:hAnsi="宋体" w:cs="Calibri"/>
          <w:szCs w:val="21"/>
          <w:highlight w:val="none"/>
        </w:rPr>
      </w:pPr>
      <w:r>
        <w:rPr>
          <w:rFonts w:hint="eastAsia" w:ascii="宋体" w:hAnsi="宋体" w:cs="Calibri"/>
          <w:szCs w:val="21"/>
          <w:highlight w:val="none"/>
        </w:rPr>
        <w:t>7、中标供应商在行程结束时做好游客满意度调查工作，满意度不足75%的，采购人可在付款时扣除不满意线路总金额的</w:t>
      </w:r>
      <w:r>
        <w:rPr>
          <w:rFonts w:hint="default" w:ascii="宋体" w:hAnsi="宋体" w:cs="Calibri"/>
          <w:color w:val="000000"/>
          <w:szCs w:val="21"/>
          <w:highlight w:val="none"/>
        </w:rPr>
        <w:t>5%--10</w:t>
      </w:r>
      <w:r>
        <w:rPr>
          <w:rFonts w:hint="eastAsia" w:ascii="宋体" w:hAnsi="宋体" w:cs="Calibri"/>
          <w:color w:val="000000"/>
          <w:szCs w:val="21"/>
          <w:highlight w:val="none"/>
        </w:rPr>
        <w:t>%。</w:t>
      </w:r>
    </w:p>
    <w:p w14:paraId="1DED8C15">
      <w:pPr>
        <w:spacing w:line="360" w:lineRule="auto"/>
        <w:ind w:firstLine="105" w:firstLineChars="50"/>
        <w:rPr>
          <w:rFonts w:ascii="宋体" w:hAnsi="宋体"/>
          <w:b/>
          <w:szCs w:val="21"/>
          <w:highlight w:val="none"/>
        </w:rPr>
      </w:pPr>
      <w:r>
        <w:rPr>
          <w:rFonts w:hint="eastAsia" w:ascii="宋体" w:hAnsi="宋体"/>
          <w:b/>
          <w:szCs w:val="21"/>
          <w:highlight w:val="none"/>
        </w:rPr>
        <w:t>四、付款方式：</w:t>
      </w:r>
    </w:p>
    <w:p w14:paraId="7DA15D4A">
      <w:pPr>
        <w:spacing w:line="360" w:lineRule="auto"/>
        <w:ind w:firstLine="420" w:firstLineChars="200"/>
        <w:rPr>
          <w:rFonts w:hint="eastAsia" w:ascii="宋体" w:hAnsi="宋体"/>
          <w:szCs w:val="21"/>
          <w:highlight w:val="none"/>
        </w:rPr>
      </w:pPr>
      <w:r>
        <w:rPr>
          <w:rFonts w:hint="eastAsia" w:ascii="宋体" w:hAnsi="宋体"/>
          <w:szCs w:val="21"/>
          <w:highlight w:val="none"/>
        </w:rPr>
        <w:t>1、预付款政策告知：</w:t>
      </w:r>
    </w:p>
    <w:p w14:paraId="13C054B6">
      <w:pPr>
        <w:spacing w:line="360" w:lineRule="auto"/>
        <w:ind w:firstLine="420" w:firstLineChars="200"/>
        <w:rPr>
          <w:rFonts w:hint="eastAsia" w:ascii="宋体" w:hAnsi="宋体"/>
          <w:szCs w:val="21"/>
        </w:rPr>
      </w:pPr>
      <w:r>
        <w:rPr>
          <w:rFonts w:hint="eastAsia" w:ascii="宋体" w:hAnsi="宋体"/>
          <w:szCs w:val="21"/>
          <w:highlight w:val="none"/>
        </w:rPr>
        <w:t>根据《浙江省财政厅关于进一步发挥政府采购政策功能全力推动经济稳进提质的通知》[浙财采监〔2022〕3号]规定：进一步提高政府采购预付款比例。采购单位应当在政府采购合同中约定预付款，对中小企业合同预付款比例原则上不低于合同金额的40%，不高于合同金额的70%；项目分年安排预算的，每年预付款比例不低于项目年底计</w:t>
      </w:r>
      <w:r>
        <w:rPr>
          <w:rFonts w:hint="eastAsia" w:ascii="宋体" w:hAnsi="宋体"/>
          <w:szCs w:val="21"/>
        </w:rPr>
        <w:t>划支付资金额的40%，不高于年度计划支付资金额的70%；采购项目实施以人工投入为主的，可适当降低预付款比例，但不得低于20%。对供应商为大型企业的项目或者以人工投入为主且实行按月定期结算支付款项的项目，预付款比例可低于上述比例或者不约定预付款。在签订合同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760C5D3F">
      <w:pPr>
        <w:spacing w:line="360" w:lineRule="auto"/>
        <w:ind w:firstLine="420" w:firstLineChars="200"/>
        <w:rPr>
          <w:rFonts w:hint="eastAsia" w:ascii="宋体" w:hAnsi="宋体"/>
          <w:szCs w:val="21"/>
        </w:rPr>
      </w:pPr>
      <w:r>
        <w:rPr>
          <w:rFonts w:hint="eastAsia" w:ascii="宋体" w:hAnsi="宋体"/>
          <w:szCs w:val="21"/>
        </w:rPr>
        <w:t>2、项目进度款：</w:t>
      </w:r>
    </w:p>
    <w:p w14:paraId="52763A3A">
      <w:pPr>
        <w:spacing w:line="360" w:lineRule="auto"/>
        <w:ind w:firstLine="420" w:firstLineChars="200"/>
        <w:rPr>
          <w:rFonts w:ascii="宋体" w:hAnsi="宋体"/>
          <w:szCs w:val="21"/>
        </w:rPr>
      </w:pPr>
      <w:r>
        <w:rPr>
          <w:rFonts w:hint="eastAsia" w:ascii="宋体" w:hAnsi="宋体"/>
          <w:szCs w:val="21"/>
        </w:rPr>
        <w:t>按实际人员结算，最终结算价按照实际参加人数*中标单价，按实结算。行程结束意见反馈合格后，转账支付。路线金额超出采购预算单价的部分由职工自行支付。</w:t>
      </w:r>
    </w:p>
    <w:p w14:paraId="3A3C74ED">
      <w:pPr>
        <w:spacing w:line="360" w:lineRule="auto"/>
        <w:ind w:firstLine="420" w:firstLineChars="200"/>
        <w:rPr>
          <w:rFonts w:hint="eastAsia" w:ascii="宋体" w:hAnsi="宋体" w:eastAsia="宋体" w:cs="Times New Roman"/>
          <w:szCs w:val="21"/>
          <w:highlight w:val="none"/>
        </w:rPr>
      </w:pPr>
    </w:p>
    <w:bookmarkEnd w:id="579"/>
    <w:p w14:paraId="351439B0">
      <w:pPr>
        <w:spacing w:line="360" w:lineRule="auto"/>
        <w:ind w:firstLine="420" w:firstLineChars="200"/>
        <w:rPr>
          <w:rFonts w:hint="eastAsia" w:ascii="宋体" w:hAnsi="宋体" w:eastAsia="宋体" w:cs="Times New Roman"/>
          <w:szCs w:val="21"/>
          <w:highlight w:val="none"/>
        </w:rPr>
        <w:sectPr>
          <w:headerReference r:id="rId18" w:type="first"/>
          <w:footerReference r:id="rId19" w:type="default"/>
          <w:headerReference r:id="rId17" w:type="even"/>
          <w:pgSz w:w="11906" w:h="16838"/>
          <w:pgMar w:top="1440" w:right="1800" w:bottom="1440" w:left="1800" w:header="851" w:footer="851" w:gutter="0"/>
          <w:pgBorders>
            <w:top w:val="none" w:sz="0" w:space="0"/>
            <w:left w:val="none" w:sz="0" w:space="0"/>
            <w:bottom w:val="none" w:sz="0" w:space="0"/>
            <w:right w:val="none" w:sz="0" w:space="0"/>
          </w:pgBorders>
          <w:cols w:space="720" w:num="1"/>
          <w:docGrid w:linePitch="312" w:charSpace="0"/>
        </w:sectPr>
      </w:pPr>
    </w:p>
    <w:p w14:paraId="4B231F30">
      <w:pPr>
        <w:pStyle w:val="2"/>
        <w:spacing w:before="360"/>
        <w:jc w:val="center"/>
        <w:rPr>
          <w:rFonts w:ascii="微软雅黑" w:hAnsi="微软雅黑" w:cs="微软雅黑"/>
          <w:szCs w:val="21"/>
          <w:highlight w:val="none"/>
        </w:rPr>
      </w:pPr>
      <w:bookmarkStart w:id="585" w:name="_Toc7584"/>
      <w:r>
        <w:rPr>
          <w:rFonts w:hint="eastAsia" w:ascii="微软雅黑" w:hAnsi="微软雅黑" w:cs="微软雅黑"/>
          <w:szCs w:val="21"/>
          <w:highlight w:val="none"/>
        </w:rPr>
        <w:t>第四章  嘉兴市政府采购合同（指引）</w:t>
      </w:r>
      <w:bookmarkEnd w:id="580"/>
      <w:bookmarkEnd w:id="581"/>
      <w:bookmarkEnd w:id="585"/>
    </w:p>
    <w:p w14:paraId="28BD47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hint="eastAsia" w:ascii="微软雅黑" w:hAnsi="微软雅黑" w:eastAsia="微软雅黑" w:cs="微软雅黑"/>
          <w:kern w:val="0"/>
          <w:szCs w:val="21"/>
          <w:highlight w:val="none"/>
          <w:lang w:eastAsia="zh-CN"/>
        </w:rPr>
      </w:pPr>
      <w:r>
        <w:rPr>
          <w:rFonts w:hint="eastAsia" w:ascii="微软雅黑" w:hAnsi="微软雅黑" w:eastAsia="微软雅黑" w:cs="微软雅黑"/>
          <w:b/>
          <w:kern w:val="0"/>
          <w:szCs w:val="21"/>
          <w:highlight w:val="none"/>
        </w:rPr>
        <w:t>招标编号：</w:t>
      </w:r>
      <w:r>
        <w:rPr>
          <w:rFonts w:hint="eastAsia" w:ascii="微软雅黑" w:hAnsi="微软雅黑" w:eastAsia="微软雅黑" w:cs="微软雅黑"/>
          <w:kern w:val="0"/>
          <w:szCs w:val="21"/>
          <w:highlight w:val="none"/>
          <w:lang w:eastAsia="zh-CN"/>
        </w:rPr>
        <w:t>中际-ZJZJGC（2025）嘉11号</w:t>
      </w:r>
    </w:p>
    <w:p w14:paraId="474E03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hint="eastAsia" w:ascii="微软雅黑" w:hAnsi="微软雅黑" w:eastAsia="微软雅黑" w:cs="微软雅黑"/>
          <w:kern w:val="0"/>
          <w:szCs w:val="21"/>
          <w:highlight w:val="none"/>
          <w:lang w:eastAsia="zh-CN"/>
        </w:rPr>
      </w:pPr>
      <w:r>
        <w:rPr>
          <w:rFonts w:hint="eastAsia" w:ascii="微软雅黑" w:hAnsi="微软雅黑" w:eastAsia="微软雅黑" w:cs="微软雅黑"/>
          <w:b/>
          <w:kern w:val="0"/>
          <w:szCs w:val="21"/>
          <w:highlight w:val="none"/>
        </w:rPr>
        <w:t>合同编号：</w:t>
      </w:r>
      <w:r>
        <w:rPr>
          <w:rFonts w:hint="eastAsia" w:ascii="微软雅黑" w:hAnsi="微软雅黑" w:eastAsia="微软雅黑" w:cs="微软雅黑"/>
          <w:kern w:val="0"/>
          <w:szCs w:val="21"/>
          <w:highlight w:val="none"/>
          <w:lang w:eastAsia="zh-CN"/>
        </w:rPr>
        <w:t>中际-ZJZJGC（2025）嘉11号</w:t>
      </w:r>
    </w:p>
    <w:p w14:paraId="628FD2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hint="default" w:ascii="微软雅黑" w:hAnsi="微软雅黑" w:eastAsia="微软雅黑" w:cs="微软雅黑"/>
          <w:b/>
          <w:kern w:val="0"/>
          <w:szCs w:val="21"/>
          <w:highlight w:val="none"/>
          <w:lang w:val="en-US" w:eastAsia="zh-CN"/>
        </w:rPr>
      </w:pPr>
      <w:r>
        <w:rPr>
          <w:rFonts w:hint="eastAsia" w:ascii="微软雅黑" w:hAnsi="微软雅黑" w:eastAsia="微软雅黑" w:cs="微软雅黑"/>
          <w:b/>
          <w:kern w:val="0"/>
          <w:szCs w:val="21"/>
          <w:highlight w:val="none"/>
        </w:rPr>
        <w:t>政府采购计划（预算）确认书号：</w:t>
      </w:r>
    </w:p>
    <w:p w14:paraId="0E199C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hAnsi="微软雅黑" w:eastAsia="微软雅黑" w:cs="微软雅黑"/>
          <w:b/>
          <w:kern w:val="0"/>
          <w:szCs w:val="21"/>
          <w:highlight w:val="none"/>
        </w:rPr>
      </w:pPr>
      <w:r>
        <w:rPr>
          <w:rFonts w:hint="eastAsia" w:ascii="微软雅黑" w:hAnsi="微软雅黑" w:eastAsia="微软雅黑" w:cs="微软雅黑"/>
          <w:b/>
          <w:kern w:val="0"/>
          <w:szCs w:val="21"/>
          <w:highlight w:val="none"/>
        </w:rPr>
        <w:t>采购人（以下称甲方）：</w:t>
      </w:r>
    </w:p>
    <w:p w14:paraId="2293B7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hAnsi="微软雅黑" w:eastAsia="微软雅黑" w:cs="微软雅黑"/>
          <w:b/>
          <w:kern w:val="0"/>
          <w:szCs w:val="21"/>
          <w:highlight w:val="none"/>
        </w:rPr>
      </w:pPr>
      <w:r>
        <w:rPr>
          <w:rFonts w:hint="eastAsia" w:ascii="微软雅黑" w:hAnsi="微软雅黑" w:eastAsia="微软雅黑" w:cs="微软雅黑"/>
          <w:b/>
          <w:kern w:val="0"/>
          <w:szCs w:val="21"/>
          <w:highlight w:val="none"/>
        </w:rPr>
        <w:t>供应商（以下称乙方）：</w:t>
      </w:r>
    </w:p>
    <w:p w14:paraId="392EE8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hint="eastAsia" w:ascii="微软雅黑" w:hAnsi="微软雅黑" w:eastAsia="微软雅黑" w:cs="微软雅黑"/>
          <w:kern w:val="0"/>
          <w:szCs w:val="21"/>
          <w:highlight w:val="none"/>
          <w:lang w:eastAsia="zh-CN"/>
        </w:rPr>
      </w:pPr>
      <w:r>
        <w:rPr>
          <w:rFonts w:hint="eastAsia" w:ascii="微软雅黑" w:hAnsi="微软雅黑" w:eastAsia="微软雅黑" w:cs="微软雅黑"/>
          <w:b/>
          <w:kern w:val="0"/>
          <w:szCs w:val="21"/>
          <w:highlight w:val="none"/>
        </w:rPr>
        <w:t>采购代理机构：</w:t>
      </w:r>
      <w:r>
        <w:rPr>
          <w:rFonts w:hint="eastAsia" w:ascii="微软雅黑" w:hAnsi="微软雅黑" w:eastAsia="微软雅黑" w:cs="微软雅黑"/>
          <w:kern w:val="0"/>
          <w:szCs w:val="21"/>
          <w:highlight w:val="none"/>
          <w:lang w:eastAsia="zh-CN"/>
        </w:rPr>
        <w:t>浙江中际工程项目管理有限公司</w:t>
      </w:r>
    </w:p>
    <w:p w14:paraId="301C7C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hAnsi="微软雅黑" w:eastAsia="微软雅黑" w:cs="微软雅黑"/>
          <w:kern w:val="0"/>
          <w:szCs w:val="21"/>
          <w:highlight w:val="none"/>
        </w:rPr>
      </w:pPr>
      <w:r>
        <w:rPr>
          <w:rFonts w:hint="eastAsia" w:ascii="微软雅黑" w:hAnsi="微软雅黑" w:eastAsia="微软雅黑" w:cs="微软雅黑"/>
          <w:b/>
          <w:kern w:val="0"/>
          <w:szCs w:val="21"/>
          <w:highlight w:val="none"/>
        </w:rPr>
        <w:t>采购方式：</w:t>
      </w:r>
      <w:r>
        <w:rPr>
          <w:rFonts w:hint="eastAsia" w:ascii="微软雅黑" w:hAnsi="微软雅黑" w:eastAsia="微软雅黑" w:cs="微软雅黑"/>
          <w:kern w:val="0"/>
          <w:szCs w:val="21"/>
          <w:highlight w:val="none"/>
        </w:rPr>
        <w:t>竞争性磋商</w:t>
      </w:r>
    </w:p>
    <w:p w14:paraId="2CE1CC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根据《中华人民共和国政府采购法》、《中华人民共和国民法典》等法律法规的规定，甲乙双方按照采购结果签订本合同。</w:t>
      </w:r>
    </w:p>
    <w:bookmarkEnd w:id="582"/>
    <w:bookmarkEnd w:id="583"/>
    <w:p w14:paraId="24A82F21">
      <w:pPr>
        <w:shd w:val="clear" w:color="auto" w:fill="FFFFFF"/>
        <w:tabs>
          <w:tab w:val="left" w:pos="916"/>
          <w:tab w:val="left" w:pos="1832"/>
          <w:tab w:val="left" w:pos="2748"/>
        </w:tabs>
        <w:spacing w:after="0" w:line="500" w:lineRule="exact"/>
        <w:ind w:firstLine="420" w:firstLineChars="200"/>
        <w:jc w:val="left"/>
        <w:rPr>
          <w:rFonts w:ascii="微软雅黑" w:hAnsi="微软雅黑" w:eastAsia="微软雅黑" w:cs="微软雅黑"/>
          <w:b/>
          <w:szCs w:val="21"/>
          <w:highlight w:val="none"/>
        </w:rPr>
      </w:pPr>
      <w:bookmarkStart w:id="586" w:name="_Toc493699337"/>
      <w:bookmarkStart w:id="587" w:name="_Toc296611791"/>
      <w:bookmarkStart w:id="588" w:name="_Toc192313125"/>
      <w:bookmarkStart w:id="589" w:name="_Toc170792802"/>
      <w:r>
        <w:rPr>
          <w:rFonts w:hint="eastAsia" w:ascii="微软雅黑" w:hAnsi="微软雅黑" w:eastAsia="微软雅黑" w:cs="微软雅黑"/>
          <w:b/>
          <w:szCs w:val="21"/>
          <w:highlight w:val="none"/>
        </w:rPr>
        <w:t>第一条合同组成</w:t>
      </w:r>
      <w:r>
        <w:rPr>
          <w:rFonts w:hint="eastAsia" w:ascii="微软雅黑" w:hAnsi="微软雅黑" w:eastAsia="微软雅黑" w:cs="微软雅黑"/>
          <w:b/>
          <w:szCs w:val="21"/>
          <w:highlight w:val="none"/>
        </w:rPr>
        <w:tab/>
      </w:r>
    </w:p>
    <w:p w14:paraId="4F340E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本次政府采购活动的相关文件为本合同的组成部分，这些文件包括但不限于：</w:t>
      </w:r>
    </w:p>
    <w:p w14:paraId="1A8E6B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1、本合同文本；</w:t>
      </w:r>
    </w:p>
    <w:p w14:paraId="1F8A48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2、采购文件与采购响应文件；</w:t>
      </w:r>
    </w:p>
    <w:p w14:paraId="3978DD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3、中标或成交通知书；</w:t>
      </w:r>
    </w:p>
    <w:p w14:paraId="5AFBC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组成本合同的所有文件必须为书面形式。</w:t>
      </w:r>
    </w:p>
    <w:p w14:paraId="38989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第二条合同标的与相关属性</w:t>
      </w:r>
    </w:p>
    <w:p w14:paraId="2D487240">
      <w:pPr>
        <w:snapToGrid w:val="0"/>
        <w:spacing w:after="0" w:line="500" w:lineRule="exact"/>
        <w:ind w:firstLine="525" w:firstLineChars="25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1、本次采购的是</w:t>
      </w:r>
    </w:p>
    <w:p w14:paraId="697EE4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2、乙方是否属于中小微企业：□是□否</w:t>
      </w:r>
    </w:p>
    <w:p w14:paraId="46508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3、本合同项下产品属于（可多选）：□环保产品；□节能产品；□进口产品</w:t>
      </w:r>
    </w:p>
    <w:p w14:paraId="1E92F2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第三条合同价款</w:t>
      </w:r>
    </w:p>
    <w:p w14:paraId="307AC8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1、本合同项下总价款为（大写）人民币，分项价款见“价格清单”（如有）”。</w:t>
      </w:r>
    </w:p>
    <w:p w14:paraId="285A2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2、本合同总价款含所有税费(包括货款、标准附件、备品备件、专用工具、包装、运输、装卸、保险、税金、货到就位以及安装、调试、培训、保修等一切税金和费用。)</w:t>
      </w:r>
    </w:p>
    <w:p w14:paraId="3F73B8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3、本合同付款方式为以下第项：</w:t>
      </w:r>
    </w:p>
    <w:p w14:paraId="44DB9A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（1）本合同项下的采购资金系甲方自行支付，付款程序为；</w:t>
      </w:r>
    </w:p>
    <w:p w14:paraId="7AC09C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（2）本合同项下的采购资金须财政直接支付，付款程序为；</w:t>
      </w:r>
    </w:p>
    <w:p w14:paraId="7A62E9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（3）其他方式：</w:t>
      </w:r>
    </w:p>
    <w:p w14:paraId="624292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4、本合同项下的采购资金付款进度按招竞争性磋商响应文件规定，未规定时按以下第项支付：</w:t>
      </w:r>
    </w:p>
    <w:p w14:paraId="521E00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（1）一次性付款：乙方合同履行达到（条件）时，一次性付款；</w:t>
      </w:r>
    </w:p>
    <w:p w14:paraId="4BB64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（2）分期付款时支付；时支付；时支付；</w:t>
      </w:r>
    </w:p>
    <w:p w14:paraId="16D1F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若收取了履约保证金，则不应重复设置尾款支付条件。</w:t>
      </w:r>
    </w:p>
    <w:p w14:paraId="04B341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第四条履约保证金</w:t>
      </w:r>
    </w:p>
    <w:p w14:paraId="6B5BA5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按以下第项处理：</w:t>
      </w:r>
    </w:p>
    <w:p w14:paraId="4B2E79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1、本项目设置履约保证金，乙方应于（时间）向甲方提交履约保证金元（不得高于本合同金额的2.5%）。履约保证金在（时间）退还乙方。</w:t>
      </w:r>
    </w:p>
    <w:p w14:paraId="00AB36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2、本项目不设置履约保证金</w:t>
      </w:r>
    </w:p>
    <w:p w14:paraId="180C67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第五条合同的变更和终止</w:t>
      </w:r>
    </w:p>
    <w:p w14:paraId="437D3F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除《政府采购法》第49条、第50条第二款规定的情形外，本合同一经签订，甲乙双方不得擅自终止合同或对合同实质性条款进行变更。确有特殊情况的，须经同级财政部门备案同意。</w:t>
      </w:r>
    </w:p>
    <w:p w14:paraId="10EB5E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第六条合同的转让与分包</w:t>
      </w:r>
    </w:p>
    <w:p w14:paraId="70A018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乙方不得擅自部分或全部转让其应履行的合同义务。乙方分包的，应经过甲方书面同意。</w:t>
      </w:r>
    </w:p>
    <w:p w14:paraId="10A2AF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第七条争议的解决</w:t>
      </w:r>
    </w:p>
    <w:p w14:paraId="4A4509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1、因履行本合同引起的或与本合同有关的争议，甲、乙双方应首先通过友好协商解决，如果协商不能解决争议，则采取以下第种方式解决争议：</w:t>
      </w:r>
    </w:p>
    <w:p w14:paraId="397A98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（1）向甲方所在地有管辖权的人民法院提起诉讼；</w:t>
      </w:r>
    </w:p>
    <w:p w14:paraId="735BDF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（2）向仲裁委员申请仲裁。</w:t>
      </w:r>
    </w:p>
    <w:p w14:paraId="297D5E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第八条合同备案及其他</w:t>
      </w:r>
    </w:p>
    <w:p w14:paraId="38AD55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本合同一式五份，甲乙双方各执二份，一份送招标代理机构存档。</w:t>
      </w:r>
    </w:p>
    <w:p w14:paraId="0489C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center"/>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二、特殊专用条款部份</w:t>
      </w:r>
    </w:p>
    <w:p w14:paraId="3D6396C9">
      <w:pPr>
        <w:numPr>
          <w:ilvl w:val="0"/>
          <w:numId w:val="24"/>
        </w:numPr>
        <w:autoSpaceDE w:val="0"/>
        <w:autoSpaceDN w:val="0"/>
        <w:adjustRightInd w:val="0"/>
        <w:spacing w:after="0" w:line="500" w:lineRule="exact"/>
        <w:rPr>
          <w:rFonts w:ascii="微软雅黑" w:hAnsi="微软雅黑" w:eastAsia="微软雅黑" w:cs="微软雅黑"/>
          <w:b/>
          <w:kern w:val="36"/>
          <w:szCs w:val="21"/>
          <w:highlight w:val="none"/>
        </w:rPr>
      </w:pPr>
      <w:r>
        <w:rPr>
          <w:rFonts w:hint="eastAsia" w:ascii="微软雅黑" w:hAnsi="微软雅黑" w:eastAsia="微软雅黑" w:cs="微软雅黑"/>
          <w:b/>
          <w:kern w:val="36"/>
          <w:szCs w:val="21"/>
          <w:highlight w:val="none"/>
        </w:rPr>
        <w:t>服务内容</w:t>
      </w:r>
    </w:p>
    <w:p w14:paraId="427D2B46">
      <w:pPr>
        <w:autoSpaceDE w:val="0"/>
        <w:autoSpaceDN w:val="0"/>
        <w:adjustRightInd w:val="0"/>
        <w:spacing w:after="0" w:line="500" w:lineRule="exact"/>
        <w:rPr>
          <w:rFonts w:ascii="微软雅黑" w:hAnsi="微软雅黑" w:eastAsia="微软雅黑" w:cs="微软雅黑"/>
          <w:b/>
          <w:kern w:val="36"/>
          <w:szCs w:val="21"/>
          <w:highlight w:val="none"/>
        </w:rPr>
      </w:pPr>
      <w:r>
        <w:rPr>
          <w:rFonts w:hint="eastAsia" w:ascii="微软雅黑" w:hAnsi="微软雅黑" w:eastAsia="微软雅黑" w:cs="微软雅黑"/>
          <w:b/>
          <w:kern w:val="36"/>
          <w:szCs w:val="21"/>
          <w:highlight w:val="none"/>
        </w:rPr>
        <w:t>……</w:t>
      </w:r>
    </w:p>
    <w:p w14:paraId="43982D8B">
      <w:pPr>
        <w:pStyle w:val="29"/>
        <w:snapToGrid w:val="0"/>
        <w:spacing w:after="0" w:line="500" w:lineRule="exact"/>
        <w:ind w:firstLine="412" w:firstLineChars="196"/>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第二条合同履行时间、履行方式及履行地点</w:t>
      </w:r>
    </w:p>
    <w:p w14:paraId="5A449483">
      <w:pPr>
        <w:pStyle w:val="29"/>
        <w:snapToGrid w:val="0"/>
        <w:spacing w:after="0" w:line="500" w:lineRule="exact"/>
        <w:ind w:firstLine="411" w:firstLineChars="196"/>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rPr>
        <w:t>1、</w:t>
      </w:r>
      <w:r>
        <w:rPr>
          <w:rFonts w:hint="eastAsia" w:ascii="微软雅黑" w:hAnsi="微软雅黑" w:eastAsia="微软雅黑" w:cs="微软雅黑"/>
          <w:szCs w:val="21"/>
          <w:highlight w:val="none"/>
        </w:rPr>
        <w:t>履行时间</w:t>
      </w:r>
      <w:r>
        <w:rPr>
          <w:rFonts w:hint="eastAsia" w:ascii="微软雅黑" w:hAnsi="微软雅黑" w:eastAsia="微软雅黑" w:cs="微软雅黑"/>
          <w:bCs/>
          <w:szCs w:val="21"/>
          <w:highlight w:val="none"/>
        </w:rPr>
        <w:t>：</w:t>
      </w:r>
    </w:p>
    <w:p w14:paraId="4E0ACFD1">
      <w:pPr>
        <w:pStyle w:val="29"/>
        <w:snapToGrid w:val="0"/>
        <w:spacing w:after="0" w:line="500" w:lineRule="exact"/>
        <w:ind w:firstLine="411" w:firstLineChars="196"/>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rPr>
        <w:t>2、</w:t>
      </w:r>
      <w:r>
        <w:rPr>
          <w:rFonts w:hint="eastAsia" w:ascii="微软雅黑" w:hAnsi="微软雅黑" w:eastAsia="微软雅黑" w:cs="微软雅黑"/>
          <w:szCs w:val="21"/>
          <w:highlight w:val="none"/>
        </w:rPr>
        <w:t>履行方式</w:t>
      </w:r>
      <w:r>
        <w:rPr>
          <w:rFonts w:hint="eastAsia" w:ascii="微软雅黑" w:hAnsi="微软雅黑" w:eastAsia="微软雅黑" w:cs="微软雅黑"/>
          <w:bCs/>
          <w:szCs w:val="21"/>
          <w:highlight w:val="none"/>
        </w:rPr>
        <w:t>：</w:t>
      </w:r>
    </w:p>
    <w:p w14:paraId="02B4522F">
      <w:pPr>
        <w:pStyle w:val="29"/>
        <w:snapToGrid w:val="0"/>
        <w:spacing w:after="0" w:line="500" w:lineRule="exact"/>
        <w:ind w:firstLine="420" w:firstLineChars="200"/>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rPr>
        <w:t>3、</w:t>
      </w:r>
      <w:r>
        <w:rPr>
          <w:rFonts w:hint="eastAsia" w:ascii="微软雅黑" w:hAnsi="微软雅黑" w:eastAsia="微软雅黑" w:cs="微软雅黑"/>
          <w:szCs w:val="21"/>
          <w:highlight w:val="none"/>
        </w:rPr>
        <w:t>履行地点</w:t>
      </w:r>
      <w:r>
        <w:rPr>
          <w:rFonts w:hint="eastAsia" w:ascii="微软雅黑" w:hAnsi="微软雅黑" w:eastAsia="微软雅黑" w:cs="微软雅黑"/>
          <w:bCs/>
          <w:szCs w:val="21"/>
          <w:highlight w:val="none"/>
        </w:rPr>
        <w:t>：</w:t>
      </w:r>
    </w:p>
    <w:p w14:paraId="4B0F2F09">
      <w:pPr>
        <w:pStyle w:val="29"/>
        <w:snapToGrid w:val="0"/>
        <w:spacing w:after="0" w:line="500" w:lineRule="exact"/>
        <w:ind w:firstLine="420" w:firstLineChars="2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第三条技术资料</w:t>
      </w:r>
    </w:p>
    <w:p w14:paraId="52FBAF45">
      <w:pPr>
        <w:pStyle w:val="29"/>
        <w:snapToGrid w:val="0"/>
        <w:spacing w:after="0" w:line="500" w:lineRule="exact"/>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1、乙方应按竞争性磋商文件规定的时间向甲方提供有关技术资料。</w:t>
      </w:r>
    </w:p>
    <w:p w14:paraId="72D3CD95">
      <w:pPr>
        <w:pStyle w:val="29"/>
        <w:snapToGrid w:val="0"/>
        <w:spacing w:after="0" w:line="500" w:lineRule="exact"/>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B22C1A9">
      <w:pPr>
        <w:pStyle w:val="29"/>
        <w:snapToGrid w:val="0"/>
        <w:spacing w:after="0" w:line="500" w:lineRule="exact"/>
        <w:ind w:firstLine="420" w:firstLineChars="2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第四条知识产权</w:t>
      </w:r>
    </w:p>
    <w:p w14:paraId="43D8B472">
      <w:pPr>
        <w:pStyle w:val="29"/>
        <w:snapToGrid w:val="0"/>
        <w:spacing w:after="0" w:line="500" w:lineRule="exact"/>
        <w:ind w:firstLine="420" w:firstLineChars="200"/>
        <w:rPr>
          <w:rFonts w:ascii="微软雅黑" w:hAnsi="微软雅黑" w:eastAsia="微软雅黑" w:cs="微软雅黑"/>
          <w:b/>
          <w:bCs/>
          <w:szCs w:val="21"/>
          <w:highlight w:val="none"/>
        </w:rPr>
      </w:pPr>
      <w:r>
        <w:rPr>
          <w:rFonts w:hint="eastAsia" w:ascii="微软雅黑" w:hAnsi="微软雅黑" w:eastAsia="微软雅黑" w:cs="微软雅黑"/>
          <w:szCs w:val="21"/>
          <w:highlight w:val="none"/>
        </w:rPr>
        <w:t>乙方应保证提供服务过程中不会侵犯任何第三方的</w:t>
      </w:r>
      <w:r>
        <w:rPr>
          <w:rFonts w:hint="eastAsia" w:ascii="微软雅黑" w:hAnsi="微软雅黑" w:eastAsia="微软雅黑" w:cs="微软雅黑"/>
          <w:b/>
          <w:szCs w:val="21"/>
          <w:highlight w:val="none"/>
        </w:rPr>
        <w:t>知识产权</w:t>
      </w:r>
      <w:r>
        <w:rPr>
          <w:rFonts w:hint="eastAsia" w:ascii="微软雅黑" w:hAnsi="微软雅黑" w:eastAsia="微软雅黑" w:cs="微软雅黑"/>
          <w:b/>
          <w:bCs/>
          <w:szCs w:val="21"/>
          <w:highlight w:val="none"/>
        </w:rPr>
        <w:t>。</w:t>
      </w:r>
    </w:p>
    <w:p w14:paraId="4B5C5A88">
      <w:pPr>
        <w:pStyle w:val="29"/>
        <w:snapToGrid w:val="0"/>
        <w:spacing w:after="0" w:line="500" w:lineRule="exact"/>
        <w:ind w:firstLine="420" w:firstLineChars="2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第五条履约保证金</w:t>
      </w:r>
    </w:p>
    <w:p w14:paraId="0C662967">
      <w:pPr>
        <w:pStyle w:val="29"/>
        <w:snapToGrid w:val="0"/>
        <w:spacing w:after="0" w:line="500" w:lineRule="exact"/>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乙方交纳人民币△元作为本合同的履约保证金。</w:t>
      </w:r>
    </w:p>
    <w:p w14:paraId="2BF08D6E">
      <w:pPr>
        <w:snapToGrid w:val="0"/>
        <w:spacing w:after="0" w:line="500" w:lineRule="exact"/>
        <w:ind w:firstLine="412" w:firstLineChars="196"/>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第六条税费</w:t>
      </w:r>
    </w:p>
    <w:p w14:paraId="7720AD06">
      <w:pPr>
        <w:snapToGrid w:val="0"/>
        <w:spacing w:after="0" w:line="500" w:lineRule="exact"/>
        <w:ind w:firstLine="411" w:firstLineChars="196"/>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本合同执行中相关的一切税费均由乙方负担。</w:t>
      </w:r>
    </w:p>
    <w:p w14:paraId="169364A9">
      <w:pPr>
        <w:pStyle w:val="29"/>
        <w:snapToGrid w:val="0"/>
        <w:spacing w:after="0" w:line="500" w:lineRule="exact"/>
        <w:ind w:firstLine="412" w:firstLineChars="196"/>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第七条违约责任</w:t>
      </w:r>
    </w:p>
    <w:p w14:paraId="1659203E">
      <w:pPr>
        <w:pStyle w:val="29"/>
        <w:snapToGrid w:val="0"/>
        <w:spacing w:after="0" w:line="500" w:lineRule="exact"/>
        <w:ind w:firstLine="411" w:firstLineChars="196"/>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1、甲方无正当理由拒收接受服务的，甲方向乙方偿付合同款项百分之五作为违约金。</w:t>
      </w:r>
    </w:p>
    <w:p w14:paraId="5B6CFABA">
      <w:pPr>
        <w:pStyle w:val="29"/>
        <w:snapToGrid w:val="0"/>
        <w:spacing w:after="0" w:line="500" w:lineRule="exact"/>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2、甲方无故逾期验收和办理款项支付手续的,甲方应按逾期付款总额每日万分之五向乙方支付违约金。</w:t>
      </w:r>
    </w:p>
    <w:p w14:paraId="4FDF6101">
      <w:pPr>
        <w:pStyle w:val="29"/>
        <w:snapToGrid w:val="0"/>
        <w:spacing w:after="0" w:line="500" w:lineRule="exact"/>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278575AA">
      <w:pPr>
        <w:pStyle w:val="29"/>
        <w:snapToGrid w:val="0"/>
        <w:spacing w:after="0" w:line="500" w:lineRule="exact"/>
        <w:ind w:firstLine="412" w:firstLineChars="196"/>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第八条不可抗力事件处理</w:t>
      </w:r>
    </w:p>
    <w:p w14:paraId="1E996DF7">
      <w:pPr>
        <w:pStyle w:val="29"/>
        <w:snapToGrid w:val="0"/>
        <w:spacing w:after="0" w:line="500" w:lineRule="exact"/>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1、在合同有效期内，任何一方因不可抗力事件导致不能履行合同，则合同履行期可延长，其延长期与不可抗力影响期相同。</w:t>
      </w:r>
    </w:p>
    <w:p w14:paraId="64A4CB1A">
      <w:pPr>
        <w:pStyle w:val="29"/>
        <w:snapToGrid w:val="0"/>
        <w:spacing w:after="0" w:line="500" w:lineRule="exact"/>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2、不可抗力事件发生后，应立即通知对方，并寄送有关权威机构出具的证明。</w:t>
      </w:r>
    </w:p>
    <w:p w14:paraId="665808F7">
      <w:pPr>
        <w:pStyle w:val="29"/>
        <w:snapToGrid w:val="0"/>
        <w:spacing w:after="0" w:line="500" w:lineRule="exact"/>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3、不可抗力事件延续120天以上，双方应通过友好协商，确定是否继续履行合同。</w:t>
      </w:r>
    </w:p>
    <w:p w14:paraId="1ACC8B20">
      <w:pPr>
        <w:pStyle w:val="29"/>
        <w:snapToGrid w:val="0"/>
        <w:spacing w:after="0" w:line="500" w:lineRule="exact"/>
        <w:ind w:firstLine="420" w:firstLineChars="2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第九条诉讼</w:t>
      </w:r>
    </w:p>
    <w:p w14:paraId="72F5FE0B">
      <w:pPr>
        <w:pStyle w:val="29"/>
        <w:snapToGrid w:val="0"/>
        <w:spacing w:after="0" w:line="500" w:lineRule="exact"/>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双方在执行合同中所发生的一切争议，应通过协商解决。如协商不成，可向甲方所在地法院起诉。</w:t>
      </w:r>
    </w:p>
    <w:p w14:paraId="41D9C1AF">
      <w:pPr>
        <w:pStyle w:val="29"/>
        <w:snapToGrid w:val="0"/>
        <w:spacing w:after="0" w:line="500" w:lineRule="exact"/>
        <w:ind w:firstLine="420" w:firstLineChars="2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第十条合同生效及其它</w:t>
      </w:r>
    </w:p>
    <w:p w14:paraId="4FFECA42">
      <w:pPr>
        <w:autoSpaceDE w:val="0"/>
        <w:autoSpaceDN w:val="0"/>
        <w:adjustRightInd w:val="0"/>
        <w:spacing w:after="0" w:line="500" w:lineRule="exact"/>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1、合同经双方法定代表人或授权委托代理人签字并加盖单位公章后生效。</w:t>
      </w:r>
    </w:p>
    <w:p w14:paraId="5551EB6F">
      <w:pPr>
        <w:autoSpaceDE w:val="0"/>
        <w:autoSpaceDN w:val="0"/>
        <w:adjustRightInd w:val="0"/>
        <w:spacing w:after="0" w:line="500" w:lineRule="exact"/>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2、本合同未尽事宜，遵照《</w:t>
      </w:r>
      <w:r>
        <w:rPr>
          <w:rFonts w:hint="eastAsia" w:ascii="微软雅黑" w:hAnsi="微软雅黑" w:eastAsia="微软雅黑" w:cs="微软雅黑"/>
          <w:kern w:val="0"/>
          <w:szCs w:val="21"/>
          <w:highlight w:val="none"/>
        </w:rPr>
        <w:t>中华人民共和国民法典</w:t>
      </w:r>
      <w:r>
        <w:rPr>
          <w:rFonts w:hint="eastAsia" w:ascii="微软雅黑" w:hAnsi="微软雅黑" w:eastAsia="微软雅黑" w:cs="微软雅黑"/>
          <w:szCs w:val="21"/>
          <w:highlight w:val="none"/>
        </w:rPr>
        <w:t>》有关条文执行。</w:t>
      </w:r>
    </w:p>
    <w:p w14:paraId="502E35D5">
      <w:pPr>
        <w:pStyle w:val="29"/>
        <w:snapToGrid w:val="0"/>
        <w:spacing w:after="0" w:line="500" w:lineRule="exact"/>
        <w:ind w:left="420" w:hanging="420" w:hangingChars="200"/>
        <w:rPr>
          <w:rFonts w:ascii="微软雅黑" w:hAnsi="微软雅黑" w:eastAsia="微软雅黑" w:cs="微软雅黑"/>
          <w:szCs w:val="21"/>
          <w:highlight w:val="none"/>
        </w:rPr>
      </w:pPr>
    </w:p>
    <w:p w14:paraId="49AD0CF6">
      <w:pPr>
        <w:pStyle w:val="29"/>
        <w:snapToGrid w:val="0"/>
        <w:spacing w:after="0" w:line="500" w:lineRule="exact"/>
        <w:ind w:left="420" w:hanging="420" w:hanging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甲方：乙方：</w:t>
      </w:r>
    </w:p>
    <w:p w14:paraId="5010726B">
      <w:pPr>
        <w:pStyle w:val="29"/>
        <w:snapToGrid w:val="0"/>
        <w:spacing w:after="0" w:line="50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地址：地址：</w:t>
      </w:r>
    </w:p>
    <w:p w14:paraId="0F7F0718">
      <w:pPr>
        <w:pStyle w:val="29"/>
        <w:snapToGrid w:val="0"/>
        <w:spacing w:after="0" w:line="50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法定（授权）代表人：法定（授权）代表人：</w:t>
      </w:r>
    </w:p>
    <w:p w14:paraId="0C58E0A8">
      <w:pPr>
        <w:pStyle w:val="29"/>
        <w:snapToGrid w:val="0"/>
        <w:spacing w:after="0" w:line="50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联系电话：</w:t>
      </w:r>
    </w:p>
    <w:p w14:paraId="167D2032">
      <w:pPr>
        <w:pStyle w:val="29"/>
        <w:snapToGrid w:val="0"/>
        <w:spacing w:after="0" w:line="50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开户银行及账号：</w:t>
      </w:r>
    </w:p>
    <w:p w14:paraId="7BB473C6">
      <w:pPr>
        <w:pStyle w:val="29"/>
        <w:snapToGrid w:val="0"/>
        <w:spacing w:after="0" w:line="50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签字日期：年月日签字日期：年</w:t>
      </w:r>
      <w:r>
        <w:rPr>
          <w:rFonts w:hint="eastAsia" w:ascii="微软雅黑" w:hAnsi="微软雅黑" w:eastAsia="微软雅黑" w:cs="微软雅黑"/>
          <w:szCs w:val="21"/>
          <w:highlight w:val="none"/>
          <w:lang w:val="en-US" w:eastAsia="zh-CN"/>
        </w:rPr>
        <w:t xml:space="preserve">  </w:t>
      </w:r>
      <w:r>
        <w:rPr>
          <w:rFonts w:hint="eastAsia" w:ascii="微软雅黑" w:hAnsi="微软雅黑" w:eastAsia="微软雅黑" w:cs="微软雅黑"/>
          <w:szCs w:val="21"/>
          <w:highlight w:val="none"/>
        </w:rPr>
        <w:t>月</w:t>
      </w:r>
      <w:r>
        <w:rPr>
          <w:rFonts w:hint="eastAsia" w:ascii="微软雅黑" w:hAnsi="微软雅黑" w:eastAsia="微软雅黑" w:cs="微软雅黑"/>
          <w:szCs w:val="21"/>
          <w:highlight w:val="none"/>
          <w:lang w:val="en-US" w:eastAsia="zh-CN"/>
        </w:rPr>
        <w:t xml:space="preserve">  </w:t>
      </w:r>
      <w:r>
        <w:rPr>
          <w:rFonts w:hint="eastAsia" w:ascii="微软雅黑" w:hAnsi="微软雅黑" w:eastAsia="微软雅黑" w:cs="微软雅黑"/>
          <w:szCs w:val="21"/>
          <w:highlight w:val="none"/>
        </w:rPr>
        <w:t>日</w:t>
      </w:r>
    </w:p>
    <w:p w14:paraId="6F6F36EE">
      <w:pPr>
        <w:pStyle w:val="2"/>
        <w:spacing w:before="360"/>
        <w:jc w:val="center"/>
        <w:rPr>
          <w:rStyle w:val="75"/>
          <w:b/>
          <w:bCs/>
          <w:highlight w:val="none"/>
        </w:rPr>
      </w:pPr>
      <w:r>
        <w:rPr>
          <w:rFonts w:hint="eastAsia" w:ascii="微软雅黑" w:hAnsi="微软雅黑" w:cs="微软雅黑"/>
          <w:szCs w:val="21"/>
          <w:highlight w:val="none"/>
        </w:rPr>
        <w:br w:type="page"/>
      </w:r>
      <w:bookmarkStart w:id="590" w:name="_Toc100764258"/>
      <w:bookmarkStart w:id="591" w:name="_Toc4326"/>
      <w:r>
        <w:rPr>
          <w:rFonts w:hint="eastAsia" w:ascii="微软雅黑" w:hAnsi="微软雅黑" w:cs="微软雅黑"/>
          <w:szCs w:val="21"/>
          <w:highlight w:val="none"/>
        </w:rPr>
        <w:t>第五章</w:t>
      </w:r>
      <w:bookmarkEnd w:id="586"/>
      <w:bookmarkEnd w:id="587"/>
      <w:bookmarkEnd w:id="590"/>
      <w:r>
        <w:rPr>
          <w:rFonts w:hint="eastAsia" w:ascii="微软雅黑" w:hAnsi="微软雅黑" w:cs="微软雅黑"/>
          <w:szCs w:val="21"/>
          <w:highlight w:val="none"/>
        </w:rPr>
        <w:t xml:space="preserve">   </w:t>
      </w:r>
      <w:r>
        <w:rPr>
          <w:rStyle w:val="75"/>
          <w:rFonts w:hint="eastAsia"/>
          <w:b/>
          <w:bCs/>
          <w:highlight w:val="none"/>
        </w:rPr>
        <w:t>评标办法及评分标准</w:t>
      </w:r>
      <w:bookmarkEnd w:id="591"/>
    </w:p>
    <w:bookmarkEnd w:id="588"/>
    <w:p w14:paraId="286C542C">
      <w:pPr>
        <w:ind w:firstLine="420"/>
        <w:rPr>
          <w:rFonts w:ascii="微软雅黑" w:hAnsi="微软雅黑" w:eastAsia="微软雅黑" w:cs="微软雅黑"/>
          <w:szCs w:val="21"/>
          <w:highlight w:val="none"/>
        </w:rPr>
      </w:pPr>
      <w:bookmarkStart w:id="592" w:name="_Toc192313126"/>
      <w:r>
        <w:rPr>
          <w:rFonts w:hint="eastAsia" w:ascii="微软雅黑" w:hAnsi="微软雅黑" w:eastAsia="微软雅黑" w:cs="微软雅黑"/>
          <w:szCs w:val="21"/>
          <w:highlight w:val="none"/>
        </w:rPr>
        <w:t>为公正、公平、科学地选择中标人，根据《中华人民共和国政府采购法》等有关法律法规的规定，并结合本项目的实际，制定本办法。</w:t>
      </w:r>
    </w:p>
    <w:p w14:paraId="560296BB">
      <w:pPr>
        <w:ind w:firstLine="412" w:firstLineChars="196"/>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一、总则</w:t>
      </w:r>
    </w:p>
    <w:p w14:paraId="25993C7C">
      <w:pPr>
        <w:ind w:firstLine="42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本次评标采用综合评分法，总分为100分，其中价格分</w:t>
      </w:r>
      <w:r>
        <w:rPr>
          <w:rFonts w:hint="eastAsia" w:ascii="微软雅黑" w:hAnsi="微软雅黑" w:eastAsia="微软雅黑" w:cs="微软雅黑"/>
          <w:szCs w:val="21"/>
          <w:highlight w:val="none"/>
          <w:lang w:val="en-US" w:eastAsia="zh-CN"/>
        </w:rPr>
        <w:t>10</w:t>
      </w:r>
      <w:r>
        <w:rPr>
          <w:rFonts w:hint="eastAsia" w:ascii="微软雅黑" w:hAnsi="微软雅黑" w:eastAsia="微软雅黑" w:cs="微软雅黑"/>
          <w:szCs w:val="21"/>
          <w:highlight w:val="none"/>
        </w:rPr>
        <w:t>分、技术\资信及其他</w:t>
      </w:r>
      <w:r>
        <w:rPr>
          <w:rFonts w:hint="eastAsia" w:ascii="微软雅黑" w:hAnsi="微软雅黑" w:eastAsia="微软雅黑" w:cs="微软雅黑"/>
          <w:szCs w:val="21"/>
          <w:highlight w:val="none"/>
          <w:lang w:val="en-US" w:eastAsia="zh-CN"/>
        </w:rPr>
        <w:t>90</w:t>
      </w:r>
      <w:r>
        <w:rPr>
          <w:rFonts w:hint="eastAsia" w:ascii="微软雅黑" w:hAnsi="微软雅黑" w:eastAsia="微软雅黑" w:cs="微软雅黑"/>
          <w:szCs w:val="21"/>
          <w:highlight w:val="none"/>
        </w:rPr>
        <w:t>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评分过程中采用四舍五入法，并保留小数2位。</w:t>
      </w:r>
    </w:p>
    <w:p w14:paraId="5F2D1263">
      <w:pPr>
        <w:pStyle w:val="29"/>
        <w:spacing w:line="360" w:lineRule="auto"/>
        <w:ind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投标人评标综合得分=价格分+(技术分+商务分+资信分)</w:t>
      </w:r>
    </w:p>
    <w:p w14:paraId="29149132">
      <w:pPr>
        <w:pStyle w:val="29"/>
        <w:spacing w:line="360" w:lineRule="auto"/>
        <w:ind w:firstLine="420" w:firstLineChars="200"/>
        <w:rPr>
          <w:highlight w:val="none"/>
        </w:rPr>
      </w:pPr>
      <w:r>
        <w:rPr>
          <w:rFonts w:hint="eastAsia" w:ascii="微软雅黑" w:hAnsi="微软雅黑" w:eastAsia="微软雅黑"/>
          <w:b/>
          <w:szCs w:val="21"/>
          <w:highlight w:val="none"/>
        </w:rPr>
        <w:t>本项目允许投标投一个或多个标项，但只允许最多中1个标项，按照标顺序依次开标，如投标单位已中先开评标标项，则自动失去未开标项的中标推荐资格。</w:t>
      </w:r>
    </w:p>
    <w:p w14:paraId="53BF4019">
      <w:pPr>
        <w:spacing w:line="240" w:lineRule="auto"/>
        <w:ind w:firstLine="412" w:firstLineChars="196"/>
        <w:rPr>
          <w:rFonts w:ascii="微软雅黑" w:hAnsi="微软雅黑" w:eastAsia="微软雅黑" w:cs="微软雅黑"/>
          <w:b/>
          <w:szCs w:val="21"/>
          <w:highlight w:val="none"/>
        </w:rPr>
      </w:pPr>
      <w:bookmarkStart w:id="593" w:name="_Toc493699338"/>
      <w:bookmarkStart w:id="594" w:name="_Toc100764259"/>
      <w:r>
        <w:rPr>
          <w:rFonts w:hint="eastAsia" w:ascii="微软雅黑" w:hAnsi="微软雅黑" w:eastAsia="微软雅黑" w:cs="微软雅黑"/>
          <w:b/>
          <w:szCs w:val="21"/>
          <w:highlight w:val="none"/>
        </w:rPr>
        <w:t>二、评标内容及标准</w:t>
      </w:r>
    </w:p>
    <w:p w14:paraId="77216027">
      <w:pPr>
        <w:pStyle w:val="3"/>
        <w:spacing w:line="240" w:lineRule="auto"/>
        <w:ind w:firstLine="42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（一）价格分：</w:t>
      </w:r>
    </w:p>
    <w:p w14:paraId="1875CE6F">
      <w:pPr>
        <w:pStyle w:val="21"/>
        <w:numPr>
          <w:ilvl w:val="0"/>
          <w:numId w:val="25"/>
        </w:numPr>
        <w:spacing w:line="240" w:lineRule="auto"/>
        <w:ind w:left="0" w:firstLine="404"/>
        <w:rPr>
          <w:rFonts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价格分采用低价优先法计算，即满足招标文件要求且投标价格最低的投标报价为评标基准价，其他投标人的价格分按照下列公式计算：</w:t>
      </w:r>
    </w:p>
    <w:p w14:paraId="7DE1F3FF">
      <w:pPr>
        <w:pStyle w:val="29"/>
        <w:spacing w:line="240" w:lineRule="auto"/>
        <w:ind w:firstLine="420" w:firstLineChars="200"/>
        <w:rPr>
          <w:rFonts w:ascii="微软雅黑" w:hAnsi="微软雅黑" w:eastAsia="微软雅黑"/>
          <w:b/>
          <w:szCs w:val="21"/>
          <w:highlight w:val="none"/>
        </w:rPr>
      </w:pPr>
      <w:r>
        <w:rPr>
          <w:rFonts w:hint="eastAsia" w:ascii="微软雅黑" w:hAnsi="微软雅黑" w:eastAsia="微软雅黑"/>
          <w:b/>
          <w:szCs w:val="21"/>
          <w:highlight w:val="none"/>
        </w:rPr>
        <w:t>标项一价格分计算方法</w:t>
      </w:r>
    </w:p>
    <w:p w14:paraId="4EDAE5B6">
      <w:pPr>
        <w:pStyle w:val="29"/>
        <w:spacing w:line="240" w:lineRule="auto"/>
        <w:ind w:firstLine="420" w:firstLineChars="200"/>
        <w:rPr>
          <w:rFonts w:ascii="微软雅黑" w:hAnsi="微软雅黑" w:eastAsia="微软雅黑"/>
          <w:szCs w:val="21"/>
          <w:highlight w:val="none"/>
        </w:rPr>
      </w:pPr>
      <w:r>
        <w:rPr>
          <w:rFonts w:hint="eastAsia" w:ascii="微软雅黑" w:hAnsi="微软雅黑" w:eastAsia="微软雅黑"/>
          <w:kern w:val="0"/>
          <w:szCs w:val="21"/>
          <w:highlight w:val="none"/>
        </w:rPr>
        <w:t>每人额定消费为</w:t>
      </w:r>
      <w:r>
        <w:rPr>
          <w:rFonts w:hint="eastAsia" w:ascii="微软雅黑" w:hAnsi="微软雅黑" w:eastAsia="微软雅黑"/>
          <w:kern w:val="0"/>
          <w:szCs w:val="21"/>
          <w:highlight w:val="none"/>
          <w:lang w:val="en-US" w:eastAsia="zh-CN"/>
        </w:rPr>
        <w:t>3000</w:t>
      </w:r>
      <w:r>
        <w:rPr>
          <w:rFonts w:hint="eastAsia" w:ascii="微软雅黑" w:hAnsi="微软雅黑" w:eastAsia="微软雅黑"/>
          <w:kern w:val="0"/>
          <w:szCs w:val="21"/>
          <w:highlight w:val="none"/>
        </w:rPr>
        <w:t>元(固定单价不下浮) ，格式详见报价表。</w:t>
      </w:r>
    </w:p>
    <w:p w14:paraId="2B5CCB05">
      <w:pPr>
        <w:pStyle w:val="29"/>
        <w:spacing w:line="240" w:lineRule="auto"/>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线路一：3000</w:t>
      </w:r>
      <w:r>
        <w:rPr>
          <w:rFonts w:hint="eastAsia" w:ascii="微软雅黑" w:hAnsi="微软雅黑" w:eastAsia="微软雅黑"/>
          <w:szCs w:val="21"/>
          <w:highlight w:val="none"/>
        </w:rPr>
        <w:t>元价格分=（评标基准价/投标报价）×</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w:t>
      </w:r>
      <w:r>
        <w:rPr>
          <w:rFonts w:hint="eastAsia" w:ascii="微软雅黑" w:hAnsi="微软雅黑" w:eastAsia="微软雅黑"/>
          <w:szCs w:val="21"/>
          <w:highlight w:val="none"/>
          <w:lang w:val="en-US" w:eastAsia="zh-CN"/>
        </w:rPr>
        <w:t>100</w:t>
      </w:r>
    </w:p>
    <w:p w14:paraId="0D01EAA2">
      <w:pPr>
        <w:pStyle w:val="29"/>
        <w:spacing w:line="240" w:lineRule="auto"/>
        <w:ind w:firstLine="420" w:firstLineChars="200"/>
        <w:rPr>
          <w:rFonts w:ascii="微软雅黑" w:hAnsi="微软雅黑" w:eastAsia="微软雅黑"/>
          <w:b/>
          <w:szCs w:val="21"/>
          <w:highlight w:val="none"/>
        </w:rPr>
      </w:pPr>
      <w:r>
        <w:rPr>
          <w:rFonts w:hint="eastAsia" w:ascii="微软雅黑" w:hAnsi="微软雅黑" w:eastAsia="微软雅黑"/>
          <w:b/>
          <w:szCs w:val="21"/>
          <w:highlight w:val="none"/>
        </w:rPr>
        <w:t>标项二价格分计算方法</w:t>
      </w:r>
    </w:p>
    <w:p w14:paraId="62DBC4D9">
      <w:pPr>
        <w:pStyle w:val="29"/>
        <w:spacing w:line="240" w:lineRule="auto"/>
        <w:ind w:firstLine="420" w:firstLineChars="200"/>
        <w:rPr>
          <w:rFonts w:hint="eastAsia" w:ascii="微软雅黑" w:hAnsi="微软雅黑" w:eastAsia="微软雅黑"/>
          <w:kern w:val="0"/>
          <w:szCs w:val="21"/>
          <w:highlight w:val="none"/>
        </w:rPr>
      </w:pPr>
      <w:r>
        <w:rPr>
          <w:rFonts w:hint="eastAsia" w:ascii="微软雅黑" w:hAnsi="微软雅黑" w:eastAsia="微软雅黑"/>
          <w:kern w:val="0"/>
          <w:szCs w:val="21"/>
          <w:highlight w:val="none"/>
        </w:rPr>
        <w:t>每人额定消费为</w:t>
      </w:r>
      <w:r>
        <w:rPr>
          <w:rFonts w:hint="eastAsia" w:ascii="微软雅黑" w:hAnsi="微软雅黑" w:eastAsia="微软雅黑"/>
          <w:kern w:val="0"/>
          <w:szCs w:val="21"/>
          <w:highlight w:val="none"/>
          <w:lang w:val="en-US" w:eastAsia="zh-CN"/>
        </w:rPr>
        <w:t>3000</w:t>
      </w:r>
      <w:r>
        <w:rPr>
          <w:rFonts w:hint="eastAsia" w:ascii="微软雅黑" w:hAnsi="微软雅黑" w:eastAsia="微软雅黑"/>
          <w:kern w:val="0"/>
          <w:szCs w:val="21"/>
          <w:highlight w:val="none"/>
        </w:rPr>
        <w:t>元(固定单价不下浮) ，格式详见报价表。</w:t>
      </w:r>
    </w:p>
    <w:p w14:paraId="225E0A66">
      <w:pPr>
        <w:pStyle w:val="29"/>
        <w:spacing w:line="240" w:lineRule="auto"/>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线路二：3000</w:t>
      </w:r>
      <w:r>
        <w:rPr>
          <w:rFonts w:hint="eastAsia" w:ascii="微软雅黑" w:hAnsi="微软雅黑" w:eastAsia="微软雅黑"/>
          <w:szCs w:val="21"/>
          <w:highlight w:val="none"/>
        </w:rPr>
        <w:t>元价格分=（评标基准价/投标报价）×</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w:t>
      </w:r>
      <w:r>
        <w:rPr>
          <w:rFonts w:hint="eastAsia" w:ascii="微软雅黑" w:hAnsi="微软雅黑" w:eastAsia="微软雅黑"/>
          <w:szCs w:val="21"/>
          <w:highlight w:val="none"/>
          <w:lang w:val="en-US" w:eastAsia="zh-CN"/>
        </w:rPr>
        <w:t>100</w:t>
      </w:r>
    </w:p>
    <w:p w14:paraId="0AE51987">
      <w:pPr>
        <w:pStyle w:val="29"/>
        <w:spacing w:line="240" w:lineRule="auto"/>
        <w:ind w:firstLine="420" w:firstLineChars="200"/>
        <w:rPr>
          <w:rFonts w:ascii="微软雅黑" w:hAnsi="微软雅黑" w:eastAsia="微软雅黑"/>
          <w:b/>
          <w:szCs w:val="21"/>
          <w:highlight w:val="none"/>
        </w:rPr>
      </w:pPr>
      <w:r>
        <w:rPr>
          <w:rFonts w:hint="eastAsia" w:ascii="微软雅黑" w:hAnsi="微软雅黑" w:eastAsia="微软雅黑"/>
          <w:b/>
          <w:szCs w:val="21"/>
          <w:highlight w:val="none"/>
        </w:rPr>
        <w:t>标项</w:t>
      </w:r>
      <w:r>
        <w:rPr>
          <w:rFonts w:hint="eastAsia" w:ascii="微软雅黑" w:hAnsi="微软雅黑" w:eastAsia="微软雅黑"/>
          <w:b/>
          <w:szCs w:val="21"/>
          <w:highlight w:val="none"/>
          <w:lang w:val="en-US" w:eastAsia="zh-CN"/>
        </w:rPr>
        <w:t>三</w:t>
      </w:r>
      <w:r>
        <w:rPr>
          <w:rFonts w:hint="eastAsia" w:ascii="微软雅黑" w:hAnsi="微软雅黑" w:eastAsia="微软雅黑"/>
          <w:b/>
          <w:szCs w:val="21"/>
          <w:highlight w:val="none"/>
        </w:rPr>
        <w:t>价格分计算方法</w:t>
      </w:r>
    </w:p>
    <w:p w14:paraId="70BE576B">
      <w:pPr>
        <w:pStyle w:val="29"/>
        <w:spacing w:line="240" w:lineRule="auto"/>
        <w:ind w:firstLine="420" w:firstLineChars="200"/>
        <w:rPr>
          <w:rFonts w:hint="eastAsia" w:ascii="微软雅黑" w:hAnsi="微软雅黑" w:eastAsia="微软雅黑"/>
          <w:kern w:val="0"/>
          <w:szCs w:val="21"/>
          <w:highlight w:val="none"/>
        </w:rPr>
      </w:pPr>
      <w:r>
        <w:rPr>
          <w:rFonts w:hint="eastAsia" w:ascii="微软雅黑" w:hAnsi="微软雅黑" w:eastAsia="微软雅黑"/>
          <w:kern w:val="0"/>
          <w:szCs w:val="21"/>
          <w:highlight w:val="none"/>
        </w:rPr>
        <w:t>每人额定消费为</w:t>
      </w:r>
      <w:r>
        <w:rPr>
          <w:rFonts w:hint="eastAsia" w:ascii="微软雅黑" w:hAnsi="微软雅黑" w:eastAsia="微软雅黑"/>
          <w:kern w:val="0"/>
          <w:szCs w:val="21"/>
          <w:highlight w:val="none"/>
          <w:lang w:val="en-US" w:eastAsia="zh-CN"/>
        </w:rPr>
        <w:t>3000</w:t>
      </w:r>
      <w:r>
        <w:rPr>
          <w:rFonts w:hint="eastAsia" w:ascii="微软雅黑" w:hAnsi="微软雅黑" w:eastAsia="微软雅黑"/>
          <w:kern w:val="0"/>
          <w:szCs w:val="21"/>
          <w:highlight w:val="none"/>
        </w:rPr>
        <w:t>元(固定单价不下浮) ，格式详见报价表。</w:t>
      </w:r>
    </w:p>
    <w:p w14:paraId="21BAB7DA">
      <w:pPr>
        <w:pStyle w:val="29"/>
        <w:spacing w:line="240" w:lineRule="auto"/>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线路三：3000</w:t>
      </w:r>
      <w:r>
        <w:rPr>
          <w:rFonts w:hint="eastAsia" w:ascii="微软雅黑" w:hAnsi="微软雅黑" w:eastAsia="微软雅黑"/>
          <w:szCs w:val="21"/>
          <w:highlight w:val="none"/>
        </w:rPr>
        <w:t>元价格分=（评标基准价/投标报价）×</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w:t>
      </w:r>
      <w:r>
        <w:rPr>
          <w:rFonts w:hint="eastAsia" w:ascii="微软雅黑" w:hAnsi="微软雅黑" w:eastAsia="微软雅黑"/>
          <w:szCs w:val="21"/>
          <w:highlight w:val="none"/>
          <w:lang w:val="en-US" w:eastAsia="zh-CN"/>
        </w:rPr>
        <w:t>100</w:t>
      </w:r>
    </w:p>
    <w:p w14:paraId="173043AB">
      <w:pPr>
        <w:pStyle w:val="21"/>
        <w:numPr>
          <w:ilvl w:val="0"/>
          <w:numId w:val="25"/>
        </w:numPr>
        <w:spacing w:line="240" w:lineRule="auto"/>
        <w:ind w:left="0" w:firstLine="404"/>
        <w:rPr>
          <w:rFonts w:hint="eastAsia" w:ascii="微软雅黑" w:hAnsi="微软雅黑" w:eastAsia="微软雅黑" w:cs="微软雅黑"/>
          <w:b w:val="0"/>
          <w:bCs w:val="0"/>
          <w:sz w:val="21"/>
          <w:szCs w:val="21"/>
          <w:highlight w:val="none"/>
        </w:rPr>
      </w:pPr>
      <w:r>
        <w:rPr>
          <w:rFonts w:hint="eastAsia" w:ascii="微软雅黑" w:hAnsi="微软雅黑" w:eastAsia="微软雅黑" w:cs="微软雅黑"/>
          <w:b w:val="0"/>
          <w:bCs w:val="0"/>
          <w:sz w:val="21"/>
          <w:szCs w:val="21"/>
          <w:highlight w:val="none"/>
        </w:rPr>
        <w:t>投标人的投标报价超过采购人设定的最高限价，将作为无效标。</w:t>
      </w:r>
    </w:p>
    <w:p w14:paraId="41C1A510">
      <w:pPr>
        <w:pStyle w:val="21"/>
        <w:numPr>
          <w:ilvl w:val="0"/>
          <w:numId w:val="25"/>
        </w:numPr>
        <w:spacing w:line="240" w:lineRule="auto"/>
        <w:ind w:left="0" w:firstLine="404"/>
        <w:rPr>
          <w:rFonts w:hint="eastAsia" w:ascii="微软雅黑" w:hAnsi="微软雅黑" w:eastAsia="微软雅黑" w:cs="微软雅黑"/>
          <w:b w:val="0"/>
          <w:bCs w:val="0"/>
          <w:sz w:val="21"/>
          <w:szCs w:val="21"/>
          <w:highlight w:val="none"/>
        </w:rPr>
      </w:pPr>
      <w:r>
        <w:rPr>
          <w:rFonts w:hint="eastAsia" w:ascii="微软雅黑" w:hAnsi="微软雅黑" w:eastAsia="微软雅黑" w:cs="微软雅黑"/>
          <w:b w:val="0"/>
          <w:bCs w:val="0"/>
          <w:sz w:val="21"/>
          <w:szCs w:val="21"/>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58372089">
      <w:pPr>
        <w:pStyle w:val="21"/>
        <w:numPr>
          <w:ilvl w:val="0"/>
          <w:numId w:val="25"/>
        </w:numPr>
        <w:spacing w:line="240" w:lineRule="auto"/>
        <w:ind w:left="0" w:firstLine="404"/>
        <w:rPr>
          <w:rFonts w:hint="eastAsia" w:ascii="微软雅黑" w:hAnsi="微软雅黑" w:eastAsia="微软雅黑" w:cs="微软雅黑"/>
          <w:b w:val="0"/>
          <w:bCs w:val="0"/>
          <w:sz w:val="21"/>
          <w:szCs w:val="21"/>
          <w:highlight w:val="none"/>
        </w:rPr>
      </w:pPr>
      <w:r>
        <w:rPr>
          <w:rFonts w:hint="eastAsia" w:ascii="微软雅黑" w:hAnsi="微软雅黑" w:eastAsia="微软雅黑" w:cs="微软雅黑"/>
          <w:b w:val="0"/>
          <w:bCs w:val="0"/>
          <w:sz w:val="21"/>
          <w:szCs w:val="21"/>
          <w:highlight w:val="none"/>
        </w:rPr>
        <w:t>促进中小企业发展</w:t>
      </w:r>
      <w:r>
        <w:rPr>
          <w:rFonts w:hint="eastAsia" w:ascii="微软雅黑" w:hAnsi="微软雅黑" w:eastAsia="微软雅黑" w:cs="微软雅黑"/>
          <w:b w:val="0"/>
          <w:bCs w:val="0"/>
          <w:sz w:val="21"/>
          <w:szCs w:val="21"/>
          <w:highlight w:val="none"/>
          <w:lang w:eastAsia="zh-CN"/>
        </w:rPr>
        <w:t>：</w:t>
      </w:r>
      <w:r>
        <w:rPr>
          <w:rFonts w:hint="eastAsia" w:ascii="微软雅黑" w:hAnsi="微软雅黑" w:eastAsia="微软雅黑" w:cs="微软雅黑"/>
          <w:b w:val="0"/>
          <w:bCs w:val="0"/>
          <w:sz w:val="21"/>
          <w:szCs w:val="21"/>
          <w:highlight w:val="none"/>
        </w:rPr>
        <w:t>本次采购为专门面向中小企业预留采购份额的采购项目。</w:t>
      </w:r>
    </w:p>
    <w:p w14:paraId="3867D3F6">
      <w:pPr>
        <w:pStyle w:val="21"/>
        <w:numPr>
          <w:ilvl w:val="0"/>
          <w:numId w:val="25"/>
        </w:numPr>
        <w:spacing w:line="240" w:lineRule="auto"/>
        <w:ind w:left="0" w:firstLine="404"/>
        <w:rPr>
          <w:rFonts w:hint="eastAsia" w:ascii="微软雅黑" w:hAnsi="微软雅黑" w:eastAsia="微软雅黑" w:cs="微软雅黑"/>
          <w:b w:val="0"/>
          <w:bCs w:val="0"/>
          <w:sz w:val="21"/>
          <w:szCs w:val="21"/>
          <w:highlight w:val="none"/>
        </w:rPr>
      </w:pPr>
      <w:r>
        <w:rPr>
          <w:rFonts w:hint="eastAsia" w:ascii="微软雅黑" w:hAnsi="微软雅黑" w:eastAsia="微软雅黑" w:cs="微软雅黑"/>
          <w:b w:val="0"/>
          <w:bCs w:val="0"/>
          <w:sz w:val="21"/>
          <w:szCs w:val="21"/>
          <w:highlight w:val="none"/>
        </w:rPr>
        <w:t>本项目对应的中小企业划分标准所属行业：其他公园和游览景区服务。</w:t>
      </w:r>
    </w:p>
    <w:p w14:paraId="23DECD7E">
      <w:pPr>
        <w:pStyle w:val="21"/>
        <w:numPr>
          <w:ilvl w:val="0"/>
          <w:numId w:val="25"/>
        </w:numPr>
        <w:spacing w:line="240" w:lineRule="auto"/>
        <w:ind w:left="0" w:firstLine="404"/>
        <w:rPr>
          <w:rFonts w:hint="eastAsia" w:ascii="微软雅黑" w:hAnsi="微软雅黑" w:eastAsia="微软雅黑" w:cs="微软雅黑"/>
          <w:b w:val="0"/>
          <w:bCs w:val="0"/>
          <w:sz w:val="21"/>
          <w:szCs w:val="21"/>
          <w:highlight w:val="none"/>
        </w:rPr>
      </w:pPr>
      <w:r>
        <w:rPr>
          <w:rFonts w:hint="eastAsia" w:ascii="微软雅黑" w:hAnsi="微软雅黑" w:eastAsia="微软雅黑" w:cs="微软雅黑"/>
          <w:b w:val="0"/>
          <w:bCs w:val="0"/>
          <w:sz w:val="21"/>
          <w:szCs w:val="21"/>
          <w:highlight w:val="none"/>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CDA3754">
      <w:pPr>
        <w:pStyle w:val="21"/>
        <w:numPr>
          <w:ilvl w:val="0"/>
          <w:numId w:val="25"/>
        </w:numPr>
        <w:spacing w:line="240" w:lineRule="auto"/>
        <w:ind w:left="0" w:firstLine="404"/>
        <w:rPr>
          <w:rFonts w:hint="eastAsia" w:ascii="微软雅黑" w:hAnsi="微软雅黑" w:eastAsia="微软雅黑" w:cs="微软雅黑"/>
          <w:b w:val="0"/>
          <w:bCs w:val="0"/>
          <w:sz w:val="21"/>
          <w:szCs w:val="21"/>
          <w:highlight w:val="none"/>
        </w:rPr>
      </w:pPr>
      <w:r>
        <w:rPr>
          <w:rFonts w:hint="eastAsia" w:ascii="微软雅黑" w:hAnsi="微软雅黑" w:eastAsia="微软雅黑" w:cs="微软雅黑"/>
          <w:b w:val="0"/>
          <w:bCs w:val="0"/>
          <w:sz w:val="21"/>
          <w:szCs w:val="21"/>
          <w:highlight w:val="none"/>
        </w:rPr>
        <w:t>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p w14:paraId="3350FB70">
      <w:pPr>
        <w:pStyle w:val="29"/>
        <w:tabs>
          <w:tab w:val="left" w:pos="630"/>
        </w:tabs>
        <w:spacing w:after="0" w:line="240" w:lineRule="auto"/>
        <w:ind w:firstLine="424" w:firstLineChars="202"/>
        <w:jc w:val="left"/>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7635252C">
      <w:pPr>
        <w:rPr>
          <w:rFonts w:hint="eastAsia" w:ascii="微软雅黑" w:hAnsi="微软雅黑" w:eastAsia="微软雅黑" w:cs="微软雅黑"/>
          <w:sz w:val="21"/>
          <w:szCs w:val="21"/>
        </w:rPr>
      </w:pPr>
      <w:bookmarkStart w:id="595" w:name="_Toc7380"/>
      <w:r>
        <w:rPr>
          <w:rFonts w:hint="eastAsia" w:ascii="微软雅黑" w:hAnsi="微软雅黑" w:eastAsia="微软雅黑" w:cs="微软雅黑"/>
          <w:sz w:val="21"/>
          <w:szCs w:val="21"/>
        </w:rPr>
        <w:br w:type="page"/>
      </w:r>
    </w:p>
    <w:p w14:paraId="4A912B2E">
      <w:pPr>
        <w:pStyle w:val="3"/>
        <w:ind w:firstLine="420"/>
        <w:jc w:val="left"/>
        <w:rPr>
          <w:rFonts w:ascii="微软雅黑" w:hAnsi="微软雅黑" w:eastAsia="微软雅黑" w:cs="微软雅黑"/>
          <w:sz w:val="21"/>
          <w:szCs w:val="21"/>
        </w:rPr>
      </w:pPr>
      <w:r>
        <w:rPr>
          <w:rFonts w:hint="eastAsia" w:ascii="微软雅黑" w:hAnsi="微软雅黑" w:eastAsia="微软雅黑" w:cs="微软雅黑"/>
          <w:sz w:val="21"/>
          <w:szCs w:val="21"/>
        </w:rPr>
        <w:t>（二）技术分：</w:t>
      </w:r>
    </w:p>
    <w:tbl>
      <w:tblPr>
        <w:tblStyle w:val="53"/>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7480"/>
        <w:gridCol w:w="1163"/>
      </w:tblGrid>
      <w:tr w14:paraId="09984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6" w:type="dxa"/>
            <w:vAlign w:val="center"/>
          </w:tcPr>
          <w:p w14:paraId="56E1F8B7">
            <w:pPr>
              <w:pStyle w:val="29"/>
              <w:spacing w:line="300" w:lineRule="exact"/>
              <w:jc w:val="center"/>
              <w:rPr>
                <w:rFonts w:ascii="微软雅黑" w:hAnsi="微软雅黑" w:eastAsia="微软雅黑"/>
                <w:szCs w:val="21"/>
              </w:rPr>
            </w:pPr>
            <w:r>
              <w:rPr>
                <w:rFonts w:hint="eastAsia" w:ascii="微软雅黑" w:hAnsi="微软雅黑" w:eastAsia="微软雅黑"/>
                <w:szCs w:val="21"/>
              </w:rPr>
              <w:t>序号</w:t>
            </w:r>
          </w:p>
        </w:tc>
        <w:tc>
          <w:tcPr>
            <w:tcW w:w="7480" w:type="dxa"/>
            <w:vAlign w:val="center"/>
          </w:tcPr>
          <w:p w14:paraId="791D8D34">
            <w:pPr>
              <w:pStyle w:val="29"/>
              <w:spacing w:line="300" w:lineRule="exact"/>
              <w:ind w:left="420" w:firstLine="420" w:firstLineChars="200"/>
              <w:jc w:val="center"/>
              <w:rPr>
                <w:rFonts w:ascii="微软雅黑" w:hAnsi="微软雅黑" w:eastAsia="微软雅黑"/>
                <w:szCs w:val="21"/>
              </w:rPr>
            </w:pPr>
            <w:r>
              <w:rPr>
                <w:rFonts w:hint="eastAsia" w:ascii="微软雅黑" w:hAnsi="微软雅黑" w:eastAsia="微软雅黑"/>
                <w:szCs w:val="21"/>
              </w:rPr>
              <w:t>评分标准</w:t>
            </w:r>
          </w:p>
        </w:tc>
        <w:tc>
          <w:tcPr>
            <w:tcW w:w="1163" w:type="dxa"/>
            <w:vAlign w:val="center"/>
          </w:tcPr>
          <w:p w14:paraId="7E8823E7">
            <w:pPr>
              <w:pStyle w:val="29"/>
              <w:spacing w:line="300" w:lineRule="exact"/>
              <w:jc w:val="center"/>
              <w:rPr>
                <w:rFonts w:ascii="微软雅黑" w:hAnsi="微软雅黑" w:eastAsia="微软雅黑"/>
                <w:szCs w:val="21"/>
              </w:rPr>
            </w:pPr>
            <w:r>
              <w:rPr>
                <w:rFonts w:hint="eastAsia" w:ascii="微软雅黑" w:hAnsi="微软雅黑" w:eastAsia="微软雅黑"/>
                <w:szCs w:val="21"/>
              </w:rPr>
              <w:t>最高得分</w:t>
            </w:r>
          </w:p>
        </w:tc>
      </w:tr>
      <w:tr w14:paraId="507C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756" w:type="dxa"/>
            <w:vAlign w:val="center"/>
          </w:tcPr>
          <w:p w14:paraId="4D4D44AB">
            <w:pPr>
              <w:pStyle w:val="29"/>
              <w:spacing w:line="300" w:lineRule="exact"/>
              <w:jc w:val="center"/>
              <w:rPr>
                <w:rFonts w:ascii="微软雅黑" w:hAnsi="微软雅黑" w:eastAsia="微软雅黑"/>
                <w:szCs w:val="21"/>
              </w:rPr>
            </w:pPr>
            <w:r>
              <w:rPr>
                <w:rFonts w:hint="eastAsia" w:ascii="微软雅黑" w:hAnsi="微软雅黑" w:eastAsia="微软雅黑"/>
                <w:szCs w:val="21"/>
              </w:rPr>
              <w:t>1</w:t>
            </w:r>
          </w:p>
        </w:tc>
        <w:tc>
          <w:tcPr>
            <w:tcW w:w="7480" w:type="dxa"/>
            <w:vAlign w:val="center"/>
          </w:tcPr>
          <w:p w14:paraId="431A7314">
            <w:pPr>
              <w:snapToGrid w:val="0"/>
              <w:spacing w:line="300" w:lineRule="exact"/>
              <w:rPr>
                <w:rFonts w:ascii="微软雅黑" w:hAnsi="微软雅黑" w:eastAsia="微软雅黑" w:cs="宋体"/>
                <w:szCs w:val="21"/>
              </w:rPr>
            </w:pPr>
            <w:r>
              <w:rPr>
                <w:rFonts w:hint="eastAsia" w:ascii="微软雅黑" w:hAnsi="微软雅黑" w:eastAsia="微软雅黑" w:cs="宋体"/>
                <w:szCs w:val="21"/>
                <w:lang w:val="zh-CN"/>
              </w:rPr>
              <w:t>投标方案的合理性、科学性、全面性，</w:t>
            </w:r>
            <w:r>
              <w:rPr>
                <w:rFonts w:hint="eastAsia" w:ascii="微软雅黑" w:hAnsi="微软雅黑" w:eastAsia="微软雅黑" w:cs="宋体"/>
                <w:szCs w:val="21"/>
              </w:rPr>
              <w:t>详细提供疗休养整体方案包括</w:t>
            </w:r>
          </w:p>
          <w:p w14:paraId="3D778A5B">
            <w:pPr>
              <w:snapToGrid w:val="0"/>
              <w:spacing w:line="300" w:lineRule="exact"/>
              <w:rPr>
                <w:rFonts w:ascii="微软雅黑" w:hAnsi="微软雅黑" w:eastAsia="微软雅黑" w:cs="宋体"/>
                <w:szCs w:val="21"/>
                <w:lang w:val="zh-CN"/>
              </w:rPr>
            </w:pPr>
            <w:r>
              <w:rPr>
                <w:rFonts w:hint="eastAsia" w:ascii="微软雅黑" w:hAnsi="微软雅黑" w:eastAsia="微软雅黑" w:cs="宋体"/>
                <w:szCs w:val="21"/>
              </w:rPr>
              <w:t>1、</w:t>
            </w:r>
            <w:r>
              <w:rPr>
                <w:rFonts w:hint="eastAsia" w:ascii="微软雅黑" w:hAnsi="微软雅黑" w:eastAsia="微软雅黑" w:cs="宋体"/>
                <w:szCs w:val="21"/>
                <w:lang w:val="zh-CN"/>
              </w:rPr>
              <w:t>吃、住、行，每一项（0-5分）（最高15分）；</w:t>
            </w:r>
          </w:p>
          <w:p w14:paraId="3D4396BD">
            <w:pPr>
              <w:snapToGrid w:val="0"/>
              <w:spacing w:line="300" w:lineRule="exact"/>
              <w:rPr>
                <w:rFonts w:ascii="微软雅黑" w:hAnsi="微软雅黑" w:eastAsia="微软雅黑" w:cs="宋体"/>
                <w:szCs w:val="21"/>
                <w:lang w:val="zh-CN"/>
              </w:rPr>
            </w:pPr>
            <w:r>
              <w:rPr>
                <w:rFonts w:hint="eastAsia" w:ascii="微软雅黑" w:hAnsi="微软雅黑" w:eastAsia="微软雅黑" w:cs="宋体"/>
                <w:szCs w:val="21"/>
                <w:lang w:val="zh-CN"/>
              </w:rPr>
              <w:t>2、线路策划（0-5分）；</w:t>
            </w:r>
          </w:p>
          <w:p w14:paraId="141FCAE2">
            <w:pPr>
              <w:snapToGrid w:val="0"/>
              <w:spacing w:line="300" w:lineRule="exact"/>
              <w:rPr>
                <w:rFonts w:ascii="微软雅黑" w:hAnsi="微软雅黑" w:eastAsia="微软雅黑" w:cs="宋体"/>
                <w:szCs w:val="21"/>
                <w:lang w:val="zh-CN"/>
              </w:rPr>
            </w:pPr>
            <w:r>
              <w:rPr>
                <w:rFonts w:hint="eastAsia" w:ascii="微软雅黑" w:hAnsi="微软雅黑" w:eastAsia="微软雅黑" w:cs="宋体"/>
                <w:szCs w:val="21"/>
                <w:lang w:val="zh-CN"/>
              </w:rPr>
              <w:t>3、</w:t>
            </w:r>
            <w:r>
              <w:rPr>
                <w:rFonts w:hint="eastAsia" w:ascii="微软雅黑" w:hAnsi="微软雅黑" w:eastAsia="微软雅黑" w:cs="宋体"/>
                <w:szCs w:val="21"/>
              </w:rPr>
              <w:t>景点游览</w:t>
            </w:r>
            <w:r>
              <w:rPr>
                <w:rFonts w:hint="eastAsia" w:ascii="微软雅黑" w:hAnsi="微软雅黑" w:eastAsia="微软雅黑" w:cs="宋体"/>
                <w:szCs w:val="21"/>
                <w:lang w:val="zh-CN"/>
              </w:rPr>
              <w:t>等（0-5分）。</w:t>
            </w:r>
          </w:p>
          <w:p w14:paraId="66B3A61F">
            <w:pPr>
              <w:snapToGrid w:val="0"/>
              <w:spacing w:line="300" w:lineRule="exact"/>
              <w:rPr>
                <w:rFonts w:ascii="微软雅黑" w:hAnsi="微软雅黑" w:eastAsia="微软雅黑" w:cs="宋体"/>
                <w:szCs w:val="21"/>
              </w:rPr>
            </w:pPr>
            <w:r>
              <w:rPr>
                <w:rFonts w:hint="eastAsia" w:ascii="微软雅黑" w:hAnsi="微软雅黑" w:eastAsia="微软雅黑" w:cs="宋体"/>
                <w:szCs w:val="21"/>
                <w:lang w:val="zh-CN"/>
              </w:rPr>
              <w:t>针对以上方案，进行比较</w:t>
            </w:r>
            <w:r>
              <w:rPr>
                <w:rFonts w:hint="eastAsia" w:ascii="微软雅黑" w:hAnsi="微软雅黑" w:eastAsia="微软雅黑" w:cs="宋体"/>
                <w:szCs w:val="21"/>
              </w:rPr>
              <w:t>打分。</w:t>
            </w:r>
          </w:p>
        </w:tc>
        <w:tc>
          <w:tcPr>
            <w:tcW w:w="1163" w:type="dxa"/>
            <w:vAlign w:val="center"/>
          </w:tcPr>
          <w:p w14:paraId="2475B54C">
            <w:pPr>
              <w:pStyle w:val="29"/>
              <w:spacing w:line="300" w:lineRule="exact"/>
              <w:jc w:val="center"/>
              <w:rPr>
                <w:rFonts w:ascii="微软雅黑" w:hAnsi="微软雅黑" w:eastAsia="微软雅黑"/>
                <w:szCs w:val="21"/>
              </w:rPr>
            </w:pPr>
            <w:r>
              <w:rPr>
                <w:rFonts w:hint="eastAsia" w:ascii="微软雅黑" w:hAnsi="微软雅黑" w:eastAsia="微软雅黑"/>
                <w:szCs w:val="21"/>
              </w:rPr>
              <w:t>25</w:t>
            </w:r>
          </w:p>
        </w:tc>
      </w:tr>
      <w:tr w14:paraId="10075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756" w:type="dxa"/>
            <w:vAlign w:val="center"/>
          </w:tcPr>
          <w:p w14:paraId="1B0D48A1">
            <w:pPr>
              <w:pStyle w:val="29"/>
              <w:spacing w:line="300" w:lineRule="exact"/>
              <w:jc w:val="center"/>
              <w:rPr>
                <w:rFonts w:ascii="微软雅黑" w:hAnsi="微软雅黑" w:eastAsia="微软雅黑"/>
                <w:szCs w:val="21"/>
              </w:rPr>
            </w:pPr>
            <w:r>
              <w:rPr>
                <w:rFonts w:hint="eastAsia" w:ascii="微软雅黑" w:hAnsi="微软雅黑" w:eastAsia="微软雅黑"/>
                <w:szCs w:val="21"/>
              </w:rPr>
              <w:t>2</w:t>
            </w:r>
          </w:p>
        </w:tc>
        <w:tc>
          <w:tcPr>
            <w:tcW w:w="7480" w:type="dxa"/>
          </w:tcPr>
          <w:p w14:paraId="4572EDC8">
            <w:pPr>
              <w:spacing w:line="300" w:lineRule="exact"/>
              <w:jc w:val="left"/>
              <w:rPr>
                <w:rFonts w:ascii="微软雅黑" w:hAnsi="微软雅黑" w:eastAsia="微软雅黑" w:cs="宋体"/>
                <w:bCs/>
                <w:szCs w:val="21"/>
                <w:lang w:val="zh-CN"/>
              </w:rPr>
            </w:pPr>
            <w:r>
              <w:rPr>
                <w:rFonts w:hint="eastAsia" w:ascii="微软雅黑" w:hAnsi="微软雅黑" w:eastAsia="微软雅黑" w:cs="宋体"/>
                <w:bCs/>
                <w:szCs w:val="21"/>
                <w:lang w:val="zh-CN"/>
              </w:rPr>
              <w:t>投标方案中提供或使用主要设备的优劣等</w:t>
            </w:r>
          </w:p>
          <w:p w14:paraId="4F535C09">
            <w:pPr>
              <w:spacing w:line="300" w:lineRule="exact"/>
              <w:jc w:val="left"/>
              <w:rPr>
                <w:rFonts w:ascii="微软雅黑" w:hAnsi="微软雅黑" w:eastAsia="微软雅黑" w:cs="宋体"/>
                <w:bCs/>
                <w:szCs w:val="21"/>
              </w:rPr>
            </w:pPr>
            <w:r>
              <w:rPr>
                <w:rFonts w:hint="eastAsia" w:ascii="微软雅黑" w:hAnsi="微软雅黑" w:eastAsia="微软雅黑" w:cs="宋体"/>
                <w:bCs/>
                <w:szCs w:val="21"/>
              </w:rPr>
              <w:t>根据车队情况（包括车型、车况、座位比、司机驾龄、当地用车情况等），满足招标需求的得基本分5分，优于招标需求的酌情加分，最多加2分。</w:t>
            </w:r>
          </w:p>
          <w:p w14:paraId="74F5D04B">
            <w:pPr>
              <w:spacing w:line="300" w:lineRule="exact"/>
              <w:jc w:val="left"/>
              <w:rPr>
                <w:rFonts w:ascii="微软雅黑" w:hAnsi="微软雅黑" w:eastAsia="微软雅黑" w:cs="宋体"/>
                <w:szCs w:val="21"/>
              </w:rPr>
            </w:pPr>
            <w:r>
              <w:rPr>
                <w:rFonts w:hint="eastAsia" w:ascii="微软雅黑" w:hAnsi="微软雅黑" w:eastAsia="微软雅黑" w:cs="宋体"/>
                <w:szCs w:val="21"/>
              </w:rPr>
              <w:t>有一项负偏离的本项不得分。</w:t>
            </w:r>
          </w:p>
          <w:p w14:paraId="64069DA8">
            <w:pPr>
              <w:spacing w:line="300" w:lineRule="exact"/>
              <w:jc w:val="left"/>
              <w:rPr>
                <w:rFonts w:ascii="微软雅黑" w:hAnsi="微软雅黑" w:eastAsia="微软雅黑"/>
                <w:szCs w:val="21"/>
              </w:rPr>
            </w:pPr>
            <w:r>
              <w:rPr>
                <w:rFonts w:hint="eastAsia" w:ascii="微软雅黑" w:hAnsi="微软雅黑" w:eastAsia="微软雅黑" w:cs="宋体"/>
                <w:bCs/>
                <w:szCs w:val="21"/>
              </w:rPr>
              <w:t>旅行小伴配置情况满足招标需求的得基本分3分，优于招标需求的酌情加分，最多加2分。</w:t>
            </w:r>
            <w:r>
              <w:rPr>
                <w:rFonts w:hint="eastAsia" w:ascii="微软雅黑" w:hAnsi="微软雅黑" w:eastAsia="微软雅黑" w:cs="宋体"/>
                <w:szCs w:val="21"/>
              </w:rPr>
              <w:t>有一项负偏离的本项不得分。</w:t>
            </w:r>
          </w:p>
        </w:tc>
        <w:tc>
          <w:tcPr>
            <w:tcW w:w="1163" w:type="dxa"/>
            <w:vAlign w:val="center"/>
          </w:tcPr>
          <w:p w14:paraId="2B657D0D">
            <w:pPr>
              <w:widowControl/>
              <w:spacing w:line="300" w:lineRule="exact"/>
              <w:jc w:val="center"/>
              <w:rPr>
                <w:rFonts w:ascii="微软雅黑" w:hAnsi="微软雅黑" w:eastAsia="微软雅黑" w:cs="宋体"/>
                <w:bCs/>
                <w:kern w:val="0"/>
                <w:szCs w:val="21"/>
              </w:rPr>
            </w:pPr>
            <w:r>
              <w:rPr>
                <w:rFonts w:hint="eastAsia" w:ascii="微软雅黑" w:hAnsi="微软雅黑" w:eastAsia="微软雅黑" w:cs="宋体"/>
                <w:bCs/>
                <w:kern w:val="0"/>
                <w:szCs w:val="21"/>
              </w:rPr>
              <w:t>12</w:t>
            </w:r>
          </w:p>
        </w:tc>
      </w:tr>
      <w:tr w14:paraId="49A3D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56" w:type="dxa"/>
            <w:vAlign w:val="center"/>
          </w:tcPr>
          <w:p w14:paraId="0B634DDA">
            <w:pPr>
              <w:pStyle w:val="29"/>
              <w:spacing w:line="300" w:lineRule="exact"/>
              <w:jc w:val="center"/>
              <w:rPr>
                <w:rFonts w:ascii="微软雅黑" w:hAnsi="微软雅黑" w:eastAsia="微软雅黑"/>
                <w:szCs w:val="21"/>
              </w:rPr>
            </w:pPr>
            <w:r>
              <w:rPr>
                <w:rFonts w:hint="eastAsia" w:ascii="微软雅黑" w:hAnsi="微软雅黑" w:eastAsia="微软雅黑"/>
                <w:szCs w:val="21"/>
              </w:rPr>
              <w:t>3</w:t>
            </w:r>
          </w:p>
        </w:tc>
        <w:tc>
          <w:tcPr>
            <w:tcW w:w="7480" w:type="dxa"/>
          </w:tcPr>
          <w:p w14:paraId="61E567DC">
            <w:pPr>
              <w:spacing w:line="300" w:lineRule="exact"/>
              <w:rPr>
                <w:rFonts w:ascii="微软雅黑" w:hAnsi="微软雅黑" w:eastAsia="微软雅黑" w:cs="宋体"/>
                <w:szCs w:val="21"/>
                <w:lang w:val="zh-CN"/>
              </w:rPr>
            </w:pPr>
            <w:r>
              <w:rPr>
                <w:rFonts w:hint="eastAsia" w:ascii="微软雅黑" w:hAnsi="微软雅黑" w:eastAsia="微软雅黑" w:cs="宋体"/>
                <w:szCs w:val="21"/>
                <w:lang w:val="zh-CN"/>
              </w:rPr>
              <w:t>保证进度和项目完成的方案和措施等</w:t>
            </w:r>
          </w:p>
          <w:p w14:paraId="1DCBF5FE">
            <w:pPr>
              <w:wordWrap w:val="0"/>
              <w:spacing w:line="300" w:lineRule="exact"/>
              <w:jc w:val="left"/>
              <w:rPr>
                <w:rFonts w:ascii="微软雅黑" w:hAnsi="微软雅黑" w:eastAsia="微软雅黑" w:cs="宋体"/>
                <w:szCs w:val="21"/>
                <w:lang w:val="zh-CN"/>
              </w:rPr>
            </w:pPr>
            <w:r>
              <w:rPr>
                <w:rFonts w:hint="eastAsia" w:ascii="微软雅黑" w:hAnsi="微软雅黑" w:eastAsia="微软雅黑" w:cs="宋体"/>
                <w:szCs w:val="21"/>
              </w:rPr>
              <w:t>1.疗休养实施</w:t>
            </w:r>
            <w:r>
              <w:rPr>
                <w:rFonts w:hint="eastAsia" w:ascii="微软雅黑" w:hAnsi="微软雅黑" w:eastAsia="微软雅黑" w:cs="宋体"/>
                <w:szCs w:val="21"/>
                <w:lang w:val="zh-CN"/>
              </w:rPr>
              <w:t>工作程序和步骤（</w:t>
            </w:r>
            <w:r>
              <w:rPr>
                <w:rFonts w:hint="eastAsia" w:ascii="微软雅黑" w:hAnsi="微软雅黑" w:eastAsia="微软雅黑" w:cs="宋体"/>
                <w:szCs w:val="21"/>
              </w:rPr>
              <w:t>0-2分</w:t>
            </w:r>
            <w:r>
              <w:rPr>
                <w:rFonts w:hint="eastAsia" w:ascii="微软雅黑" w:hAnsi="微软雅黑" w:eastAsia="微软雅黑" w:cs="宋体"/>
                <w:szCs w:val="21"/>
                <w:lang w:val="zh-CN"/>
              </w:rPr>
              <w:t>）；</w:t>
            </w:r>
          </w:p>
          <w:p w14:paraId="45C79886">
            <w:pPr>
              <w:wordWrap w:val="0"/>
              <w:spacing w:line="300" w:lineRule="exact"/>
              <w:jc w:val="left"/>
              <w:rPr>
                <w:rFonts w:ascii="微软雅黑" w:hAnsi="微软雅黑" w:eastAsia="微软雅黑" w:cs="宋体"/>
                <w:szCs w:val="21"/>
              </w:rPr>
            </w:pPr>
            <w:r>
              <w:rPr>
                <w:rFonts w:hint="eastAsia" w:ascii="微软雅黑" w:hAnsi="微软雅黑" w:eastAsia="微软雅黑" w:cs="宋体"/>
                <w:szCs w:val="21"/>
              </w:rPr>
              <w:t>2.</w:t>
            </w:r>
            <w:r>
              <w:rPr>
                <w:rFonts w:hint="eastAsia" w:ascii="微软雅黑" w:hAnsi="微软雅黑" w:eastAsia="微软雅黑" w:cs="宋体"/>
                <w:szCs w:val="21"/>
                <w:lang w:val="zh-CN"/>
              </w:rPr>
              <w:t>管理和协调方法（</w:t>
            </w:r>
            <w:r>
              <w:rPr>
                <w:rFonts w:hint="eastAsia" w:ascii="微软雅黑" w:hAnsi="微软雅黑" w:eastAsia="微软雅黑" w:cs="宋体"/>
                <w:szCs w:val="21"/>
              </w:rPr>
              <w:t>0-2分</w:t>
            </w:r>
            <w:r>
              <w:rPr>
                <w:rFonts w:hint="eastAsia" w:ascii="微软雅黑" w:hAnsi="微软雅黑" w:eastAsia="微软雅黑" w:cs="宋体"/>
                <w:szCs w:val="21"/>
                <w:lang w:val="zh-CN"/>
              </w:rPr>
              <w:t>）；</w:t>
            </w:r>
          </w:p>
          <w:p w14:paraId="7F9EEAA6">
            <w:pPr>
              <w:spacing w:line="300" w:lineRule="exact"/>
              <w:rPr>
                <w:rFonts w:ascii="微软雅黑" w:hAnsi="微软雅黑" w:eastAsia="微软雅黑"/>
                <w:szCs w:val="21"/>
              </w:rPr>
            </w:pPr>
            <w:r>
              <w:rPr>
                <w:rFonts w:hint="eastAsia" w:ascii="微软雅黑" w:hAnsi="微软雅黑" w:eastAsia="微软雅黑" w:cs="宋体"/>
                <w:szCs w:val="21"/>
              </w:rPr>
              <w:t>3.</w:t>
            </w:r>
            <w:r>
              <w:rPr>
                <w:rFonts w:hint="eastAsia" w:ascii="微软雅黑" w:hAnsi="微软雅黑" w:eastAsia="微软雅黑" w:cs="宋体"/>
                <w:szCs w:val="21"/>
                <w:lang w:val="zh-CN"/>
              </w:rPr>
              <w:t>关键步骤和要点（</w:t>
            </w:r>
            <w:r>
              <w:rPr>
                <w:rFonts w:hint="eastAsia" w:ascii="微软雅黑" w:hAnsi="微软雅黑" w:eastAsia="微软雅黑" w:cs="宋体"/>
                <w:szCs w:val="21"/>
              </w:rPr>
              <w:t>0-2分</w:t>
            </w:r>
            <w:r>
              <w:rPr>
                <w:rFonts w:hint="eastAsia" w:ascii="微软雅黑" w:hAnsi="微软雅黑" w:eastAsia="微软雅黑" w:cs="宋体"/>
                <w:szCs w:val="21"/>
                <w:lang w:val="zh-CN"/>
              </w:rPr>
              <w:t>）。</w:t>
            </w:r>
          </w:p>
        </w:tc>
        <w:tc>
          <w:tcPr>
            <w:tcW w:w="1163" w:type="dxa"/>
            <w:vAlign w:val="center"/>
          </w:tcPr>
          <w:p w14:paraId="45D3880B">
            <w:pPr>
              <w:pStyle w:val="29"/>
              <w:spacing w:line="300" w:lineRule="exact"/>
              <w:jc w:val="center"/>
              <w:rPr>
                <w:rFonts w:ascii="微软雅黑" w:hAnsi="微软雅黑" w:eastAsia="微软雅黑"/>
                <w:szCs w:val="21"/>
              </w:rPr>
            </w:pPr>
            <w:r>
              <w:rPr>
                <w:rFonts w:hint="eastAsia" w:ascii="微软雅黑" w:hAnsi="微软雅黑" w:eastAsia="微软雅黑"/>
                <w:szCs w:val="21"/>
              </w:rPr>
              <w:t>6</w:t>
            </w:r>
          </w:p>
        </w:tc>
      </w:tr>
      <w:tr w14:paraId="2F29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756" w:type="dxa"/>
            <w:vAlign w:val="center"/>
          </w:tcPr>
          <w:p w14:paraId="4F77C94D">
            <w:pPr>
              <w:spacing w:line="300" w:lineRule="exact"/>
              <w:jc w:val="center"/>
              <w:rPr>
                <w:rFonts w:ascii="微软雅黑" w:hAnsi="微软雅黑" w:eastAsia="微软雅黑"/>
                <w:b/>
                <w:szCs w:val="21"/>
              </w:rPr>
            </w:pPr>
            <w:r>
              <w:rPr>
                <w:rFonts w:hint="eastAsia" w:ascii="微软雅黑" w:hAnsi="微软雅黑" w:eastAsia="微软雅黑"/>
                <w:b/>
                <w:szCs w:val="21"/>
              </w:rPr>
              <w:t>4</w:t>
            </w:r>
          </w:p>
        </w:tc>
        <w:tc>
          <w:tcPr>
            <w:tcW w:w="7480" w:type="dxa"/>
          </w:tcPr>
          <w:p w14:paraId="4281D517">
            <w:pPr>
              <w:snapToGrid w:val="0"/>
              <w:spacing w:line="300" w:lineRule="exact"/>
              <w:jc w:val="left"/>
              <w:rPr>
                <w:rFonts w:ascii="微软雅黑" w:hAnsi="微软雅黑" w:eastAsia="微软雅黑" w:cs="宋体"/>
                <w:szCs w:val="21"/>
                <w:lang w:val="zh-CN"/>
              </w:rPr>
            </w:pPr>
            <w:r>
              <w:rPr>
                <w:rFonts w:hint="eastAsia" w:ascii="微软雅黑" w:hAnsi="微软雅黑" w:eastAsia="微软雅黑" w:cs="宋体"/>
                <w:szCs w:val="21"/>
                <w:lang w:val="zh-CN"/>
              </w:rPr>
              <w:t>项目负责人及技术力量安排等</w:t>
            </w:r>
          </w:p>
          <w:p w14:paraId="14EDFDA2">
            <w:pPr>
              <w:wordWrap w:val="0"/>
              <w:spacing w:line="300" w:lineRule="exact"/>
              <w:jc w:val="left"/>
              <w:rPr>
                <w:rFonts w:ascii="微软雅黑" w:hAnsi="微软雅黑" w:eastAsia="微软雅黑" w:cs="宋体"/>
                <w:szCs w:val="21"/>
                <w:lang w:val="zh-CN"/>
              </w:rPr>
            </w:pPr>
            <w:r>
              <w:rPr>
                <w:rFonts w:hint="eastAsia" w:ascii="微软雅黑" w:hAnsi="微软雅黑" w:eastAsia="微软雅黑" w:cs="宋体"/>
                <w:szCs w:val="21"/>
                <w:lang w:val="zh-CN"/>
              </w:rPr>
              <w:t>供应商拥有中级及以上导游员或市级及以上优秀或金牌导游员的得</w:t>
            </w:r>
            <w:r>
              <w:rPr>
                <w:rFonts w:hint="eastAsia" w:ascii="微软雅黑" w:hAnsi="微软雅黑" w:eastAsia="微软雅黑" w:cs="宋体"/>
                <w:szCs w:val="21"/>
              </w:rPr>
              <w:t>2</w:t>
            </w:r>
            <w:r>
              <w:rPr>
                <w:rFonts w:hint="eastAsia" w:ascii="微软雅黑" w:hAnsi="微软雅黑" w:eastAsia="微软雅黑" w:cs="宋体"/>
                <w:szCs w:val="21"/>
                <w:lang w:val="zh-CN"/>
              </w:rPr>
              <w:t>分，拥有初级导游员或区县级优秀或金牌导游员的得</w:t>
            </w:r>
            <w:r>
              <w:rPr>
                <w:rFonts w:hint="eastAsia" w:ascii="微软雅黑" w:hAnsi="微软雅黑" w:eastAsia="微软雅黑" w:cs="宋体"/>
                <w:szCs w:val="21"/>
              </w:rPr>
              <w:t>1</w:t>
            </w:r>
            <w:r>
              <w:rPr>
                <w:rFonts w:hint="eastAsia" w:ascii="微软雅黑" w:hAnsi="微软雅黑" w:eastAsia="微软雅黑" w:cs="宋体"/>
                <w:szCs w:val="21"/>
                <w:lang w:val="zh-CN"/>
              </w:rPr>
              <w:t>分。</w:t>
            </w:r>
          </w:p>
          <w:p w14:paraId="7C5F6928">
            <w:pPr>
              <w:snapToGrid w:val="0"/>
              <w:spacing w:line="300" w:lineRule="exact"/>
              <w:jc w:val="left"/>
              <w:rPr>
                <w:rFonts w:ascii="微软雅黑" w:hAnsi="微软雅黑" w:eastAsia="微软雅黑"/>
                <w:szCs w:val="21"/>
              </w:rPr>
            </w:pPr>
            <w:r>
              <w:rPr>
                <w:rFonts w:hint="eastAsia" w:ascii="微软雅黑" w:hAnsi="微软雅黑" w:eastAsia="微软雅黑" w:cs="宋体"/>
                <w:b/>
                <w:bCs/>
                <w:szCs w:val="21"/>
                <w:lang w:val="zh-CN"/>
              </w:rPr>
              <w:t>提供导游员投标截止前1</w:t>
            </w:r>
            <w:r>
              <w:rPr>
                <w:rFonts w:hint="eastAsia" w:ascii="微软雅黑" w:hAnsi="微软雅黑" w:eastAsia="微软雅黑" w:cs="宋体"/>
                <w:b/>
                <w:bCs/>
                <w:szCs w:val="21"/>
              </w:rPr>
              <w:t>个月</w:t>
            </w:r>
            <w:r>
              <w:rPr>
                <w:rFonts w:hint="eastAsia" w:ascii="微软雅黑" w:hAnsi="微软雅黑" w:eastAsia="微软雅黑" w:cs="宋体"/>
                <w:b/>
                <w:bCs/>
                <w:szCs w:val="21"/>
                <w:lang w:val="zh-CN"/>
              </w:rPr>
              <w:t>在本单位的参保证明、导游证、初中高级导游员或优秀导游员或金牌导游员证书材料，</w:t>
            </w:r>
            <w:r>
              <w:rPr>
                <w:rFonts w:hint="eastAsia" w:ascii="微软雅黑" w:hAnsi="微软雅黑" w:eastAsia="微软雅黑" w:cs="宋体"/>
                <w:b/>
                <w:bCs/>
                <w:szCs w:val="21"/>
              </w:rPr>
              <w:t>否则不得分</w:t>
            </w:r>
            <w:r>
              <w:rPr>
                <w:rFonts w:hint="eastAsia" w:ascii="微软雅黑" w:hAnsi="微软雅黑" w:eastAsia="微软雅黑" w:cs="宋体"/>
                <w:b/>
                <w:bCs/>
                <w:szCs w:val="21"/>
                <w:lang w:val="zh-CN"/>
              </w:rPr>
              <w:t>。</w:t>
            </w:r>
          </w:p>
        </w:tc>
        <w:tc>
          <w:tcPr>
            <w:tcW w:w="1163" w:type="dxa"/>
            <w:vAlign w:val="center"/>
          </w:tcPr>
          <w:p w14:paraId="698467D9">
            <w:pPr>
              <w:widowControl/>
              <w:spacing w:line="300" w:lineRule="exact"/>
              <w:jc w:val="center"/>
              <w:rPr>
                <w:rFonts w:ascii="微软雅黑" w:hAnsi="微软雅黑" w:eastAsia="微软雅黑" w:cs="宋体"/>
                <w:bCs/>
                <w:kern w:val="0"/>
                <w:szCs w:val="21"/>
              </w:rPr>
            </w:pPr>
            <w:r>
              <w:rPr>
                <w:rFonts w:hint="eastAsia" w:ascii="微软雅黑" w:hAnsi="微软雅黑" w:eastAsia="微软雅黑" w:cs="宋体"/>
                <w:bCs/>
                <w:kern w:val="0"/>
                <w:szCs w:val="21"/>
              </w:rPr>
              <w:t>2</w:t>
            </w:r>
          </w:p>
        </w:tc>
      </w:tr>
      <w:tr w14:paraId="4DAB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756" w:type="dxa"/>
            <w:vAlign w:val="center"/>
          </w:tcPr>
          <w:p w14:paraId="3772DBD5">
            <w:pPr>
              <w:spacing w:line="300" w:lineRule="exact"/>
              <w:jc w:val="center"/>
              <w:rPr>
                <w:rFonts w:ascii="微软雅黑" w:hAnsi="微软雅黑" w:eastAsia="微软雅黑"/>
                <w:b/>
                <w:szCs w:val="21"/>
              </w:rPr>
            </w:pPr>
            <w:r>
              <w:rPr>
                <w:rFonts w:hint="eastAsia" w:ascii="微软雅黑" w:hAnsi="微软雅黑" w:eastAsia="微软雅黑"/>
                <w:b/>
                <w:szCs w:val="21"/>
              </w:rPr>
              <w:t>5</w:t>
            </w:r>
          </w:p>
        </w:tc>
        <w:tc>
          <w:tcPr>
            <w:tcW w:w="7480" w:type="dxa"/>
          </w:tcPr>
          <w:p w14:paraId="189CC94D">
            <w:pPr>
              <w:snapToGrid w:val="0"/>
              <w:spacing w:line="300" w:lineRule="exact"/>
              <w:jc w:val="left"/>
              <w:rPr>
                <w:rFonts w:ascii="微软雅黑" w:hAnsi="微软雅黑" w:eastAsia="微软雅黑" w:cs="宋体"/>
                <w:szCs w:val="21"/>
                <w:lang w:val="zh-CN"/>
              </w:rPr>
            </w:pPr>
            <w:r>
              <w:rPr>
                <w:rFonts w:hint="eastAsia" w:ascii="微软雅黑" w:hAnsi="微软雅黑" w:eastAsia="微软雅黑" w:cs="宋体"/>
                <w:szCs w:val="21"/>
                <w:lang w:val="zh-CN"/>
              </w:rPr>
              <w:t>对本项目的合理化建议</w:t>
            </w:r>
          </w:p>
          <w:p w14:paraId="3B6A0259">
            <w:pPr>
              <w:snapToGrid w:val="0"/>
              <w:spacing w:line="300" w:lineRule="exact"/>
              <w:jc w:val="left"/>
              <w:rPr>
                <w:rFonts w:ascii="微软雅黑" w:hAnsi="微软雅黑" w:eastAsia="微软雅黑"/>
                <w:szCs w:val="21"/>
              </w:rPr>
            </w:pPr>
            <w:r>
              <w:rPr>
                <w:rFonts w:hint="eastAsia" w:ascii="微软雅黑" w:hAnsi="微软雅黑" w:eastAsia="微软雅黑" w:cs="宋体"/>
                <w:szCs w:val="21"/>
              </w:rPr>
              <w:t>在标书中规定的线路标准的基础上，根据投标方优化方案，提出合理化建议，有效的合理化建议每条得</w:t>
            </w:r>
            <w:r>
              <w:rPr>
                <w:rFonts w:ascii="微软雅黑" w:hAnsi="微软雅黑" w:eastAsia="微软雅黑" w:cs="宋体"/>
                <w:szCs w:val="21"/>
              </w:rPr>
              <w:t>1</w:t>
            </w:r>
            <w:r>
              <w:rPr>
                <w:rFonts w:hint="eastAsia" w:ascii="微软雅黑" w:hAnsi="微软雅黑" w:eastAsia="微软雅黑" w:cs="宋体"/>
                <w:szCs w:val="21"/>
              </w:rPr>
              <w:t>分，最多得</w:t>
            </w:r>
            <w:r>
              <w:rPr>
                <w:rFonts w:ascii="微软雅黑" w:hAnsi="微软雅黑" w:eastAsia="微软雅黑" w:cs="宋体"/>
                <w:szCs w:val="21"/>
              </w:rPr>
              <w:t>2</w:t>
            </w:r>
            <w:r>
              <w:rPr>
                <w:rFonts w:hint="eastAsia" w:ascii="微软雅黑" w:hAnsi="微软雅黑" w:eastAsia="微软雅黑" w:cs="宋体"/>
                <w:szCs w:val="21"/>
              </w:rPr>
              <w:t>分。</w:t>
            </w:r>
          </w:p>
        </w:tc>
        <w:tc>
          <w:tcPr>
            <w:tcW w:w="1163" w:type="dxa"/>
            <w:vAlign w:val="center"/>
          </w:tcPr>
          <w:p w14:paraId="77320B41">
            <w:pPr>
              <w:widowControl/>
              <w:spacing w:line="300" w:lineRule="exact"/>
              <w:jc w:val="center"/>
              <w:rPr>
                <w:rFonts w:ascii="微软雅黑" w:hAnsi="微软雅黑" w:eastAsia="微软雅黑" w:cs="宋体"/>
                <w:bCs/>
                <w:kern w:val="0"/>
                <w:szCs w:val="21"/>
              </w:rPr>
            </w:pPr>
            <w:r>
              <w:rPr>
                <w:rFonts w:ascii="微软雅黑" w:hAnsi="微软雅黑" w:eastAsia="微软雅黑" w:cs="宋体"/>
                <w:bCs/>
                <w:kern w:val="0"/>
                <w:szCs w:val="21"/>
              </w:rPr>
              <w:t>2</w:t>
            </w:r>
          </w:p>
        </w:tc>
      </w:tr>
      <w:tr w14:paraId="52D9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756" w:type="dxa"/>
            <w:vAlign w:val="center"/>
          </w:tcPr>
          <w:p w14:paraId="750B324D">
            <w:pPr>
              <w:spacing w:line="300" w:lineRule="exact"/>
              <w:jc w:val="center"/>
              <w:rPr>
                <w:rFonts w:ascii="微软雅黑" w:hAnsi="微软雅黑" w:eastAsia="微软雅黑"/>
                <w:b/>
                <w:szCs w:val="21"/>
              </w:rPr>
            </w:pPr>
            <w:r>
              <w:rPr>
                <w:rFonts w:hint="eastAsia" w:ascii="微软雅黑" w:hAnsi="微软雅黑" w:eastAsia="微软雅黑"/>
                <w:b/>
                <w:szCs w:val="21"/>
              </w:rPr>
              <w:t>6</w:t>
            </w:r>
          </w:p>
        </w:tc>
        <w:tc>
          <w:tcPr>
            <w:tcW w:w="7480" w:type="dxa"/>
            <w:vAlign w:val="center"/>
          </w:tcPr>
          <w:p w14:paraId="65FD2699">
            <w:pPr>
              <w:autoSpaceDE w:val="0"/>
              <w:autoSpaceDN w:val="0"/>
              <w:spacing w:line="300" w:lineRule="exact"/>
              <w:rPr>
                <w:rFonts w:ascii="微软雅黑" w:hAnsi="微软雅黑" w:eastAsia="微软雅黑" w:cs="宋体"/>
                <w:szCs w:val="21"/>
                <w:lang w:val="zh-CN"/>
              </w:rPr>
            </w:pPr>
            <w:r>
              <w:rPr>
                <w:rFonts w:hint="eastAsia" w:ascii="微软雅黑" w:hAnsi="微软雅黑" w:eastAsia="微软雅黑" w:cs="宋体"/>
                <w:szCs w:val="21"/>
                <w:lang w:val="zh-CN"/>
              </w:rPr>
              <w:t>服务质量保证情况</w:t>
            </w:r>
          </w:p>
          <w:p w14:paraId="7CD14F8E">
            <w:pPr>
              <w:autoSpaceDE w:val="0"/>
              <w:autoSpaceDN w:val="0"/>
              <w:spacing w:line="300" w:lineRule="exact"/>
              <w:rPr>
                <w:rFonts w:ascii="微软雅黑" w:hAnsi="微软雅黑" w:eastAsia="微软雅黑" w:cs="宋体"/>
                <w:kern w:val="0"/>
                <w:szCs w:val="21"/>
              </w:rPr>
            </w:pPr>
            <w:r>
              <w:rPr>
                <w:rFonts w:hint="eastAsia" w:ascii="微软雅黑" w:hAnsi="微软雅黑" w:eastAsia="微软雅黑" w:cs="宋体"/>
                <w:szCs w:val="21"/>
              </w:rPr>
              <w:t>根据出行服务（0-2分）、人性化服务（0-2分）、与地接人员衔接服务（0-2分）、安排入住酒店（0-2分）、用餐服务（0-2分）、与本次疗休养有关的服务质量编制详细计划以及免费超值</w:t>
            </w:r>
            <w:r>
              <w:rPr>
                <w:rFonts w:hint="eastAsia" w:ascii="微软雅黑" w:hAnsi="微软雅黑" w:eastAsia="微软雅黑" w:cs="宋体"/>
                <w:szCs w:val="21"/>
                <w:lang w:val="zh-CN"/>
              </w:rPr>
              <w:t>（特色）</w:t>
            </w:r>
            <w:r>
              <w:rPr>
                <w:rFonts w:hint="eastAsia" w:ascii="微软雅黑" w:hAnsi="微软雅黑" w:eastAsia="微软雅黑" w:cs="宋体"/>
                <w:szCs w:val="21"/>
              </w:rPr>
              <w:t>服务、优惠措施（0-2分），酌情打分。</w:t>
            </w:r>
          </w:p>
        </w:tc>
        <w:tc>
          <w:tcPr>
            <w:tcW w:w="1163" w:type="dxa"/>
            <w:vAlign w:val="center"/>
          </w:tcPr>
          <w:p w14:paraId="2501DBE1">
            <w:pPr>
              <w:pStyle w:val="29"/>
              <w:spacing w:line="300" w:lineRule="exact"/>
              <w:jc w:val="center"/>
              <w:rPr>
                <w:rFonts w:ascii="微软雅黑" w:hAnsi="微软雅黑" w:eastAsia="微软雅黑"/>
                <w:szCs w:val="21"/>
              </w:rPr>
            </w:pPr>
            <w:r>
              <w:rPr>
                <w:rFonts w:hint="eastAsia" w:ascii="微软雅黑" w:hAnsi="微软雅黑" w:eastAsia="微软雅黑"/>
                <w:szCs w:val="21"/>
              </w:rPr>
              <w:t>12</w:t>
            </w:r>
          </w:p>
        </w:tc>
      </w:tr>
      <w:tr w14:paraId="56AD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756" w:type="dxa"/>
            <w:vAlign w:val="center"/>
          </w:tcPr>
          <w:p w14:paraId="6A462D3A">
            <w:pPr>
              <w:spacing w:line="300" w:lineRule="exact"/>
              <w:jc w:val="center"/>
              <w:rPr>
                <w:rFonts w:ascii="微软雅黑" w:hAnsi="微软雅黑" w:eastAsia="微软雅黑"/>
                <w:b/>
                <w:szCs w:val="21"/>
              </w:rPr>
            </w:pPr>
            <w:r>
              <w:rPr>
                <w:rFonts w:hint="eastAsia" w:ascii="微软雅黑" w:hAnsi="微软雅黑" w:eastAsia="微软雅黑"/>
                <w:b/>
                <w:szCs w:val="21"/>
              </w:rPr>
              <w:t>7</w:t>
            </w:r>
          </w:p>
        </w:tc>
        <w:tc>
          <w:tcPr>
            <w:tcW w:w="7480" w:type="dxa"/>
          </w:tcPr>
          <w:p w14:paraId="252A3AB9">
            <w:pPr>
              <w:spacing w:line="300" w:lineRule="exact"/>
              <w:rPr>
                <w:rFonts w:ascii="微软雅黑" w:hAnsi="微软雅黑" w:eastAsia="微软雅黑" w:cs="宋体"/>
                <w:szCs w:val="21"/>
                <w:lang w:val="zh-CN"/>
              </w:rPr>
            </w:pPr>
            <w:r>
              <w:rPr>
                <w:rFonts w:hint="eastAsia" w:ascii="微软雅黑" w:hAnsi="微软雅黑" w:eastAsia="微软雅黑" w:cs="宋体"/>
                <w:szCs w:val="21"/>
                <w:lang w:val="zh-CN"/>
              </w:rPr>
              <w:t>服务承诺</w:t>
            </w:r>
          </w:p>
          <w:p w14:paraId="0B1DBC69">
            <w:pPr>
              <w:spacing w:line="300" w:lineRule="exact"/>
              <w:rPr>
                <w:rFonts w:ascii="微软雅黑" w:hAnsi="微软雅黑" w:eastAsia="微软雅黑" w:cs="宋体"/>
                <w:szCs w:val="21"/>
                <w:lang w:val="zh-CN"/>
              </w:rPr>
            </w:pPr>
            <w:r>
              <w:rPr>
                <w:rFonts w:hint="eastAsia" w:ascii="微软雅黑" w:hAnsi="微软雅黑" w:eastAsia="微软雅黑" w:cs="宋体"/>
                <w:szCs w:val="21"/>
                <w:lang w:val="zh-CN"/>
              </w:rPr>
              <w:t>提供后续服务计划（0-1分）</w:t>
            </w:r>
          </w:p>
          <w:p w14:paraId="597F5EAA">
            <w:pPr>
              <w:spacing w:line="300" w:lineRule="exact"/>
              <w:rPr>
                <w:rFonts w:ascii="微软雅黑" w:hAnsi="微软雅黑" w:eastAsia="微软雅黑"/>
                <w:bCs/>
                <w:szCs w:val="21"/>
              </w:rPr>
            </w:pPr>
            <w:r>
              <w:rPr>
                <w:rFonts w:hint="eastAsia" w:ascii="微软雅黑" w:hAnsi="微软雅黑" w:eastAsia="微软雅黑" w:cs="宋体"/>
                <w:szCs w:val="21"/>
                <w:lang w:val="zh-CN"/>
              </w:rPr>
              <w:t>根据投标人是否能方便、快捷、优质提供服务等情况 （</w:t>
            </w:r>
            <w:r>
              <w:rPr>
                <w:rFonts w:hint="eastAsia" w:ascii="微软雅黑" w:hAnsi="微软雅黑" w:eastAsia="微软雅黑" w:cs="宋体"/>
                <w:szCs w:val="21"/>
              </w:rPr>
              <w:t>0-1分</w:t>
            </w:r>
            <w:r>
              <w:rPr>
                <w:rFonts w:hint="eastAsia" w:ascii="微软雅黑" w:hAnsi="微软雅黑" w:eastAsia="微软雅黑" w:cs="宋体"/>
                <w:szCs w:val="21"/>
                <w:lang w:val="zh-CN"/>
              </w:rPr>
              <w:t>）</w:t>
            </w:r>
          </w:p>
        </w:tc>
        <w:tc>
          <w:tcPr>
            <w:tcW w:w="1163" w:type="dxa"/>
            <w:vAlign w:val="center"/>
          </w:tcPr>
          <w:p w14:paraId="2CBF4172">
            <w:pPr>
              <w:pStyle w:val="29"/>
              <w:spacing w:line="300" w:lineRule="exact"/>
              <w:jc w:val="center"/>
              <w:rPr>
                <w:rFonts w:ascii="微软雅黑" w:hAnsi="微软雅黑" w:eastAsia="微软雅黑"/>
                <w:szCs w:val="21"/>
              </w:rPr>
            </w:pPr>
            <w:r>
              <w:rPr>
                <w:rFonts w:hint="eastAsia" w:ascii="微软雅黑" w:hAnsi="微软雅黑" w:eastAsia="微软雅黑"/>
                <w:szCs w:val="21"/>
              </w:rPr>
              <w:t>2</w:t>
            </w:r>
          </w:p>
        </w:tc>
      </w:tr>
      <w:tr w14:paraId="2AF1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756" w:type="dxa"/>
            <w:vAlign w:val="center"/>
          </w:tcPr>
          <w:p w14:paraId="07BC0E30">
            <w:pPr>
              <w:pStyle w:val="29"/>
              <w:spacing w:line="300" w:lineRule="exact"/>
              <w:jc w:val="center"/>
              <w:rPr>
                <w:rFonts w:ascii="微软雅黑" w:hAnsi="微软雅黑" w:eastAsia="微软雅黑"/>
                <w:szCs w:val="21"/>
              </w:rPr>
            </w:pPr>
            <w:r>
              <w:rPr>
                <w:rFonts w:hint="eastAsia" w:ascii="微软雅黑" w:hAnsi="微软雅黑" w:eastAsia="微软雅黑"/>
                <w:szCs w:val="21"/>
              </w:rPr>
              <w:t>8</w:t>
            </w:r>
          </w:p>
        </w:tc>
        <w:tc>
          <w:tcPr>
            <w:tcW w:w="7480" w:type="dxa"/>
          </w:tcPr>
          <w:p w14:paraId="2DE7F811">
            <w:pPr>
              <w:spacing w:line="300" w:lineRule="exact"/>
              <w:rPr>
                <w:rFonts w:ascii="微软雅黑" w:hAnsi="微软雅黑" w:eastAsia="微软雅黑" w:cs="宋体"/>
                <w:szCs w:val="21"/>
                <w:lang w:val="zh-CN"/>
              </w:rPr>
            </w:pPr>
            <w:r>
              <w:rPr>
                <w:rFonts w:hint="eastAsia" w:ascii="微软雅黑" w:hAnsi="微软雅黑" w:eastAsia="微软雅黑" w:cs="宋体"/>
                <w:szCs w:val="21"/>
                <w:lang w:val="zh-CN"/>
              </w:rPr>
              <w:t>安全保障措施</w:t>
            </w:r>
          </w:p>
          <w:p w14:paraId="6E5562AC">
            <w:pPr>
              <w:spacing w:line="300" w:lineRule="exact"/>
              <w:rPr>
                <w:rFonts w:ascii="微软雅黑" w:hAnsi="微软雅黑" w:eastAsia="微软雅黑"/>
                <w:bCs/>
                <w:szCs w:val="21"/>
              </w:rPr>
            </w:pPr>
            <w:r>
              <w:rPr>
                <w:rFonts w:hint="eastAsia" w:ascii="微软雅黑" w:hAnsi="微软雅黑" w:eastAsia="微软雅黑" w:cs="宋体"/>
                <w:szCs w:val="21"/>
                <w:lang w:val="zh-CN"/>
              </w:rPr>
              <w:t>投标人提供详细的突发事件处理方案（0-</w:t>
            </w:r>
            <w:r>
              <w:rPr>
                <w:rFonts w:hint="eastAsia" w:ascii="微软雅黑" w:hAnsi="微软雅黑" w:eastAsia="微软雅黑" w:cs="宋体"/>
                <w:szCs w:val="21"/>
              </w:rPr>
              <w:t>4</w:t>
            </w:r>
            <w:r>
              <w:rPr>
                <w:rFonts w:hint="eastAsia" w:ascii="微软雅黑" w:hAnsi="微软雅黑" w:eastAsia="微软雅黑" w:cs="宋体"/>
                <w:szCs w:val="21"/>
                <w:lang w:val="zh-CN"/>
              </w:rPr>
              <w:t>分）、安防措施（0-</w:t>
            </w:r>
            <w:r>
              <w:rPr>
                <w:rFonts w:hint="eastAsia" w:ascii="微软雅黑" w:hAnsi="微软雅黑" w:eastAsia="微软雅黑" w:cs="宋体"/>
                <w:szCs w:val="21"/>
              </w:rPr>
              <w:t>5</w:t>
            </w:r>
            <w:r>
              <w:rPr>
                <w:rFonts w:hint="eastAsia" w:ascii="微软雅黑" w:hAnsi="微软雅黑" w:eastAsia="微软雅黑" w:cs="宋体"/>
                <w:szCs w:val="21"/>
                <w:lang w:val="zh-CN"/>
              </w:rPr>
              <w:t>分）、投诉处理（0-</w:t>
            </w:r>
            <w:r>
              <w:rPr>
                <w:rFonts w:hint="eastAsia" w:ascii="微软雅黑" w:hAnsi="微软雅黑" w:eastAsia="微软雅黑" w:cs="宋体"/>
                <w:szCs w:val="21"/>
              </w:rPr>
              <w:t>5</w:t>
            </w:r>
            <w:r>
              <w:rPr>
                <w:rFonts w:hint="eastAsia" w:ascii="微软雅黑" w:hAnsi="微软雅黑" w:eastAsia="微软雅黑" w:cs="宋体"/>
                <w:szCs w:val="21"/>
                <w:lang w:val="zh-CN"/>
              </w:rPr>
              <w:t>分）、纠纷处理方案（0-</w:t>
            </w:r>
            <w:r>
              <w:rPr>
                <w:rFonts w:hint="eastAsia" w:ascii="微软雅黑" w:hAnsi="微软雅黑" w:eastAsia="微软雅黑" w:cs="宋体"/>
                <w:szCs w:val="21"/>
              </w:rPr>
              <w:t>4</w:t>
            </w:r>
            <w:r>
              <w:rPr>
                <w:rFonts w:hint="eastAsia" w:ascii="微软雅黑" w:hAnsi="微软雅黑" w:eastAsia="微软雅黑" w:cs="宋体"/>
                <w:szCs w:val="21"/>
                <w:lang w:val="zh-CN"/>
              </w:rPr>
              <w:t>分）。</w:t>
            </w:r>
          </w:p>
        </w:tc>
        <w:tc>
          <w:tcPr>
            <w:tcW w:w="1163" w:type="dxa"/>
            <w:vAlign w:val="center"/>
          </w:tcPr>
          <w:p w14:paraId="039B8BC3">
            <w:pPr>
              <w:pStyle w:val="29"/>
              <w:spacing w:line="300" w:lineRule="exact"/>
              <w:jc w:val="center"/>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8</w:t>
            </w:r>
          </w:p>
        </w:tc>
      </w:tr>
      <w:tr w14:paraId="29143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756" w:type="dxa"/>
            <w:vAlign w:val="center"/>
          </w:tcPr>
          <w:p w14:paraId="6A083761">
            <w:pPr>
              <w:pStyle w:val="29"/>
              <w:spacing w:line="300" w:lineRule="exact"/>
              <w:jc w:val="center"/>
              <w:rPr>
                <w:rFonts w:ascii="微软雅黑" w:hAnsi="微软雅黑" w:eastAsia="微软雅黑"/>
                <w:szCs w:val="21"/>
              </w:rPr>
            </w:pPr>
            <w:r>
              <w:rPr>
                <w:rFonts w:hint="eastAsia" w:ascii="微软雅黑" w:hAnsi="微软雅黑" w:eastAsia="微软雅黑"/>
                <w:szCs w:val="21"/>
              </w:rPr>
              <w:t>9</w:t>
            </w:r>
          </w:p>
        </w:tc>
        <w:tc>
          <w:tcPr>
            <w:tcW w:w="7480" w:type="dxa"/>
            <w:vAlign w:val="center"/>
          </w:tcPr>
          <w:p w14:paraId="5A254005">
            <w:pPr>
              <w:autoSpaceDE w:val="0"/>
              <w:autoSpaceDN w:val="0"/>
              <w:spacing w:line="300" w:lineRule="exact"/>
              <w:rPr>
                <w:rFonts w:ascii="微软雅黑" w:hAnsi="微软雅黑" w:eastAsia="微软雅黑" w:cs="宋体"/>
                <w:szCs w:val="21"/>
              </w:rPr>
            </w:pPr>
            <w:r>
              <w:rPr>
                <w:rFonts w:hint="eastAsia" w:ascii="微软雅黑" w:hAnsi="微软雅黑" w:eastAsia="微软雅黑" w:cs="宋体"/>
                <w:szCs w:val="21"/>
              </w:rPr>
              <w:t>收费标准</w:t>
            </w:r>
          </w:p>
          <w:p w14:paraId="3518EDC4">
            <w:pPr>
              <w:autoSpaceDE w:val="0"/>
              <w:autoSpaceDN w:val="0"/>
              <w:spacing w:line="300" w:lineRule="exact"/>
              <w:rPr>
                <w:rFonts w:ascii="微软雅黑" w:hAnsi="微软雅黑" w:eastAsia="微软雅黑" w:cs="宋体"/>
                <w:kern w:val="0"/>
                <w:szCs w:val="21"/>
              </w:rPr>
            </w:pPr>
            <w:r>
              <w:rPr>
                <w:rFonts w:hint="eastAsia" w:ascii="微软雅黑" w:hAnsi="微软雅黑" w:eastAsia="微软雅黑" w:cs="宋体"/>
                <w:szCs w:val="21"/>
              </w:rPr>
              <w:t>根据投标人在投标文件中明确未成年游客收费标准及加床、用餐、门票、占座等收费明细进行打分（0-4分）。</w:t>
            </w:r>
          </w:p>
        </w:tc>
        <w:tc>
          <w:tcPr>
            <w:tcW w:w="1163" w:type="dxa"/>
            <w:vAlign w:val="center"/>
          </w:tcPr>
          <w:p w14:paraId="3F8F6012">
            <w:pPr>
              <w:pStyle w:val="29"/>
              <w:spacing w:line="300" w:lineRule="exact"/>
              <w:jc w:val="center"/>
              <w:rPr>
                <w:rFonts w:ascii="微软雅黑" w:hAnsi="微软雅黑" w:eastAsia="微软雅黑"/>
                <w:szCs w:val="21"/>
              </w:rPr>
            </w:pPr>
            <w:r>
              <w:rPr>
                <w:rFonts w:hint="eastAsia" w:ascii="微软雅黑" w:hAnsi="微软雅黑" w:eastAsia="微软雅黑"/>
                <w:szCs w:val="21"/>
              </w:rPr>
              <w:t>4</w:t>
            </w:r>
          </w:p>
        </w:tc>
      </w:tr>
      <w:tr w14:paraId="51C2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56" w:type="dxa"/>
            <w:vAlign w:val="center"/>
          </w:tcPr>
          <w:p w14:paraId="7E327AB2">
            <w:pPr>
              <w:pStyle w:val="29"/>
              <w:spacing w:line="300" w:lineRule="exact"/>
              <w:jc w:val="center"/>
              <w:rPr>
                <w:rFonts w:ascii="微软雅黑" w:hAnsi="微软雅黑" w:eastAsia="微软雅黑"/>
                <w:szCs w:val="21"/>
              </w:rPr>
            </w:pPr>
            <w:r>
              <w:rPr>
                <w:rFonts w:hint="eastAsia" w:ascii="微软雅黑" w:hAnsi="微软雅黑" w:eastAsia="微软雅黑"/>
                <w:szCs w:val="21"/>
              </w:rPr>
              <w:t>10</w:t>
            </w:r>
          </w:p>
        </w:tc>
        <w:tc>
          <w:tcPr>
            <w:tcW w:w="7480" w:type="dxa"/>
            <w:vAlign w:val="center"/>
          </w:tcPr>
          <w:p w14:paraId="1A737F34">
            <w:pPr>
              <w:pStyle w:val="192"/>
              <w:spacing w:line="300" w:lineRule="exact"/>
              <w:jc w:val="left"/>
              <w:rPr>
                <w:rFonts w:hint="default" w:ascii="微软雅黑" w:hAnsi="微软雅黑" w:eastAsia="微软雅黑" w:cs="宋体"/>
                <w:szCs w:val="21"/>
              </w:rPr>
            </w:pPr>
            <w:r>
              <w:rPr>
                <w:rFonts w:ascii="微软雅黑" w:hAnsi="微软雅黑" w:eastAsia="微软雅黑" w:cs="宋体"/>
                <w:szCs w:val="21"/>
              </w:rPr>
              <w:t>增值（特色）服务</w:t>
            </w:r>
          </w:p>
          <w:p w14:paraId="2D2DA952">
            <w:pPr>
              <w:autoSpaceDE w:val="0"/>
              <w:autoSpaceDN w:val="0"/>
              <w:spacing w:line="300" w:lineRule="exact"/>
              <w:rPr>
                <w:rFonts w:ascii="微软雅黑" w:hAnsi="微软雅黑" w:eastAsia="微软雅黑" w:cs="宋体"/>
                <w:szCs w:val="21"/>
              </w:rPr>
            </w:pPr>
            <w:r>
              <w:rPr>
                <w:rFonts w:ascii="微软雅黑" w:hAnsi="微软雅黑" w:eastAsia="微软雅黑" w:cs="宋体"/>
                <w:szCs w:val="21"/>
                <w:lang w:val="zh-TW"/>
              </w:rPr>
              <w:t>根据投标人提供的增值（特色）服务内容进行打分0-</w:t>
            </w:r>
            <w:r>
              <w:rPr>
                <w:rFonts w:hint="eastAsia" w:ascii="微软雅黑" w:hAnsi="微软雅黑" w:eastAsia="微软雅黑" w:cs="宋体"/>
                <w:szCs w:val="21"/>
                <w:lang w:val="zh-TW"/>
              </w:rPr>
              <w:t>3</w:t>
            </w:r>
            <w:r>
              <w:rPr>
                <w:rFonts w:ascii="微软雅黑" w:hAnsi="微软雅黑" w:eastAsia="微软雅黑" w:cs="宋体"/>
                <w:szCs w:val="21"/>
                <w:lang w:val="zh-TW"/>
              </w:rPr>
              <w:t>分。</w:t>
            </w:r>
          </w:p>
        </w:tc>
        <w:tc>
          <w:tcPr>
            <w:tcW w:w="1163" w:type="dxa"/>
            <w:vAlign w:val="center"/>
          </w:tcPr>
          <w:p w14:paraId="12A00FB9">
            <w:pPr>
              <w:pStyle w:val="29"/>
              <w:spacing w:line="300" w:lineRule="exact"/>
              <w:jc w:val="center"/>
              <w:rPr>
                <w:rFonts w:ascii="微软雅黑" w:hAnsi="微软雅黑" w:eastAsia="微软雅黑"/>
                <w:szCs w:val="21"/>
              </w:rPr>
            </w:pPr>
            <w:r>
              <w:rPr>
                <w:rFonts w:hint="eastAsia" w:ascii="微软雅黑" w:hAnsi="微软雅黑" w:eastAsia="微软雅黑"/>
                <w:szCs w:val="21"/>
              </w:rPr>
              <w:t>3</w:t>
            </w:r>
          </w:p>
        </w:tc>
      </w:tr>
      <w:tr w14:paraId="667F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56" w:type="dxa"/>
            <w:vAlign w:val="center"/>
          </w:tcPr>
          <w:p w14:paraId="45BD16C4">
            <w:pPr>
              <w:pStyle w:val="29"/>
              <w:spacing w:line="300" w:lineRule="exact"/>
              <w:jc w:val="center"/>
              <w:rPr>
                <w:rFonts w:ascii="微软雅黑" w:hAnsi="微软雅黑" w:eastAsia="微软雅黑"/>
                <w:szCs w:val="21"/>
              </w:rPr>
            </w:pPr>
            <w:r>
              <w:rPr>
                <w:rFonts w:hint="eastAsia" w:ascii="微软雅黑" w:hAnsi="微软雅黑" w:eastAsia="微软雅黑"/>
                <w:szCs w:val="21"/>
              </w:rPr>
              <w:t>小计</w:t>
            </w:r>
          </w:p>
        </w:tc>
        <w:tc>
          <w:tcPr>
            <w:tcW w:w="7480" w:type="dxa"/>
            <w:vAlign w:val="center"/>
          </w:tcPr>
          <w:p w14:paraId="48768C9D">
            <w:pPr>
              <w:pStyle w:val="29"/>
              <w:spacing w:line="300" w:lineRule="exact"/>
              <w:ind w:left="420" w:firstLine="420" w:firstLineChars="200"/>
              <w:jc w:val="left"/>
              <w:rPr>
                <w:rFonts w:ascii="微软雅黑" w:hAnsi="微软雅黑" w:eastAsia="微软雅黑"/>
                <w:szCs w:val="21"/>
              </w:rPr>
            </w:pPr>
          </w:p>
        </w:tc>
        <w:tc>
          <w:tcPr>
            <w:tcW w:w="1163" w:type="dxa"/>
          </w:tcPr>
          <w:p w14:paraId="6D1C1437">
            <w:pPr>
              <w:widowControl/>
              <w:spacing w:line="300" w:lineRule="exact"/>
              <w:jc w:val="center"/>
              <w:rPr>
                <w:rFonts w:ascii="微软雅黑" w:hAnsi="微软雅黑" w:eastAsia="微软雅黑" w:cs="宋体"/>
                <w:bCs/>
                <w:kern w:val="0"/>
                <w:szCs w:val="21"/>
              </w:rPr>
            </w:pPr>
            <w:r>
              <w:rPr>
                <w:rFonts w:hint="eastAsia" w:ascii="微软雅黑" w:hAnsi="微软雅黑" w:eastAsia="微软雅黑" w:cs="宋体"/>
                <w:bCs/>
                <w:kern w:val="0"/>
                <w:szCs w:val="21"/>
              </w:rPr>
              <w:t>86</w:t>
            </w:r>
          </w:p>
        </w:tc>
      </w:tr>
    </w:tbl>
    <w:p w14:paraId="2518D9E1">
      <w:pPr>
        <w:pStyle w:val="3"/>
        <w:ind w:firstLine="420"/>
        <w:jc w:val="left"/>
        <w:rPr>
          <w:rFonts w:ascii="微软雅黑" w:hAnsi="微软雅黑" w:eastAsia="微软雅黑" w:cs="微软雅黑"/>
          <w:b w:val="0"/>
          <w:bCs/>
          <w:sz w:val="21"/>
          <w:szCs w:val="21"/>
        </w:rPr>
      </w:pPr>
      <w:r>
        <w:rPr>
          <w:rFonts w:hint="eastAsia" w:ascii="微软雅黑" w:hAnsi="微软雅黑" w:eastAsia="微软雅黑" w:cs="微软雅黑"/>
          <w:sz w:val="21"/>
          <w:szCs w:val="21"/>
        </w:rPr>
        <w:t>（三）资信及其他分</w:t>
      </w:r>
    </w:p>
    <w:tbl>
      <w:tblPr>
        <w:tblStyle w:val="53"/>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7228"/>
        <w:gridCol w:w="1112"/>
      </w:tblGrid>
      <w:tr w14:paraId="42A6D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59" w:type="dxa"/>
            <w:vAlign w:val="center"/>
          </w:tcPr>
          <w:p w14:paraId="501FBDDE">
            <w:pPr>
              <w:pStyle w:val="29"/>
              <w:spacing w:line="240" w:lineRule="auto"/>
              <w:rPr>
                <w:rFonts w:ascii="微软雅黑" w:hAnsi="微软雅黑" w:eastAsia="微软雅黑"/>
                <w:szCs w:val="21"/>
              </w:rPr>
            </w:pPr>
            <w:r>
              <w:rPr>
                <w:rFonts w:hint="eastAsia" w:ascii="微软雅黑" w:hAnsi="微软雅黑" w:eastAsia="微软雅黑"/>
                <w:szCs w:val="21"/>
              </w:rPr>
              <w:t>序号</w:t>
            </w:r>
          </w:p>
        </w:tc>
        <w:tc>
          <w:tcPr>
            <w:tcW w:w="7228" w:type="dxa"/>
            <w:vAlign w:val="center"/>
          </w:tcPr>
          <w:p w14:paraId="05D48FC0">
            <w:pPr>
              <w:pStyle w:val="29"/>
              <w:spacing w:line="240" w:lineRule="auto"/>
              <w:ind w:left="420" w:firstLine="420" w:firstLineChars="200"/>
              <w:rPr>
                <w:rFonts w:ascii="微软雅黑" w:hAnsi="微软雅黑" w:eastAsia="微软雅黑"/>
                <w:szCs w:val="21"/>
              </w:rPr>
            </w:pPr>
            <w:r>
              <w:rPr>
                <w:rFonts w:hint="eastAsia" w:ascii="微软雅黑" w:hAnsi="微软雅黑" w:eastAsia="微软雅黑"/>
                <w:szCs w:val="21"/>
              </w:rPr>
              <w:t>评分标准</w:t>
            </w:r>
          </w:p>
        </w:tc>
        <w:tc>
          <w:tcPr>
            <w:tcW w:w="1112" w:type="dxa"/>
            <w:vAlign w:val="center"/>
          </w:tcPr>
          <w:p w14:paraId="4B37E695">
            <w:pPr>
              <w:pStyle w:val="29"/>
              <w:spacing w:line="240" w:lineRule="auto"/>
              <w:jc w:val="center"/>
              <w:rPr>
                <w:rFonts w:ascii="微软雅黑" w:hAnsi="微软雅黑" w:eastAsia="微软雅黑"/>
                <w:szCs w:val="21"/>
              </w:rPr>
            </w:pPr>
            <w:r>
              <w:rPr>
                <w:rFonts w:hint="eastAsia" w:ascii="微软雅黑" w:hAnsi="微软雅黑" w:eastAsia="微软雅黑"/>
                <w:szCs w:val="21"/>
              </w:rPr>
              <w:t>最高得分</w:t>
            </w:r>
          </w:p>
        </w:tc>
      </w:tr>
      <w:tr w14:paraId="0F24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659" w:type="dxa"/>
            <w:vAlign w:val="center"/>
          </w:tcPr>
          <w:p w14:paraId="6BD88365">
            <w:pPr>
              <w:pStyle w:val="29"/>
              <w:spacing w:line="240" w:lineRule="auto"/>
              <w:jc w:val="center"/>
              <w:rPr>
                <w:rFonts w:ascii="微软雅黑" w:hAnsi="微软雅黑" w:eastAsia="微软雅黑"/>
                <w:szCs w:val="21"/>
              </w:rPr>
            </w:pPr>
            <w:r>
              <w:rPr>
                <w:rFonts w:hint="eastAsia" w:ascii="微软雅黑" w:hAnsi="微软雅黑" w:eastAsia="微软雅黑"/>
                <w:szCs w:val="21"/>
              </w:rPr>
              <w:t>11</w:t>
            </w:r>
          </w:p>
        </w:tc>
        <w:tc>
          <w:tcPr>
            <w:tcW w:w="7228" w:type="dxa"/>
          </w:tcPr>
          <w:p w14:paraId="440AE114">
            <w:pPr>
              <w:snapToGrid w:val="0"/>
              <w:spacing w:line="240" w:lineRule="auto"/>
              <w:jc w:val="left"/>
              <w:rPr>
                <w:rFonts w:ascii="微软雅黑" w:hAnsi="微软雅黑" w:eastAsia="微软雅黑" w:cs="宋体"/>
                <w:szCs w:val="21"/>
              </w:rPr>
            </w:pPr>
            <w:r>
              <w:rPr>
                <w:rFonts w:hint="eastAsia" w:ascii="微软雅黑" w:hAnsi="微软雅黑" w:eastAsia="微软雅黑" w:cs="宋体"/>
                <w:szCs w:val="21"/>
              </w:rPr>
              <w:t>类似业绩</w:t>
            </w:r>
          </w:p>
          <w:p w14:paraId="3F6BF515">
            <w:pPr>
              <w:snapToGrid w:val="0"/>
              <w:spacing w:line="240" w:lineRule="auto"/>
              <w:jc w:val="left"/>
              <w:rPr>
                <w:rFonts w:ascii="微软雅黑" w:hAnsi="微软雅黑" w:eastAsia="微软雅黑"/>
                <w:b/>
                <w:bCs/>
                <w:szCs w:val="21"/>
              </w:rPr>
            </w:pPr>
            <w:r>
              <w:rPr>
                <w:rFonts w:hint="eastAsia" w:ascii="微软雅黑" w:hAnsi="微软雅黑" w:eastAsia="微软雅黑" w:cs="宋体"/>
                <w:szCs w:val="21"/>
              </w:rPr>
              <w:t>投标人2022年1月1日以来具有的同类项目业绩，每个得0.5分，本项最高得1分。（投标文件中需提供相关业绩的合同材料）</w:t>
            </w:r>
          </w:p>
        </w:tc>
        <w:tc>
          <w:tcPr>
            <w:tcW w:w="1112" w:type="dxa"/>
            <w:vAlign w:val="center"/>
          </w:tcPr>
          <w:p w14:paraId="1A89D737">
            <w:pPr>
              <w:spacing w:line="240" w:lineRule="auto"/>
              <w:jc w:val="center"/>
              <w:rPr>
                <w:rFonts w:ascii="微软雅黑" w:hAnsi="微软雅黑" w:eastAsia="微软雅黑"/>
                <w:bCs/>
                <w:szCs w:val="21"/>
              </w:rPr>
            </w:pPr>
            <w:r>
              <w:rPr>
                <w:rFonts w:hint="eastAsia" w:ascii="微软雅黑" w:hAnsi="微软雅黑" w:eastAsia="微软雅黑"/>
                <w:bCs/>
                <w:szCs w:val="21"/>
              </w:rPr>
              <w:t>1</w:t>
            </w:r>
          </w:p>
        </w:tc>
      </w:tr>
      <w:tr w14:paraId="7287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659" w:type="dxa"/>
            <w:vAlign w:val="center"/>
          </w:tcPr>
          <w:p w14:paraId="3E9B9CE3">
            <w:pPr>
              <w:pStyle w:val="29"/>
              <w:spacing w:line="240" w:lineRule="auto"/>
              <w:jc w:val="center"/>
              <w:rPr>
                <w:rFonts w:ascii="微软雅黑" w:hAnsi="微软雅黑" w:eastAsia="微软雅黑"/>
                <w:szCs w:val="21"/>
              </w:rPr>
            </w:pPr>
            <w:r>
              <w:rPr>
                <w:rFonts w:hint="eastAsia" w:ascii="微软雅黑" w:hAnsi="微软雅黑" w:eastAsia="微软雅黑"/>
                <w:szCs w:val="21"/>
              </w:rPr>
              <w:t>12</w:t>
            </w:r>
          </w:p>
        </w:tc>
        <w:tc>
          <w:tcPr>
            <w:tcW w:w="7228" w:type="dxa"/>
          </w:tcPr>
          <w:p w14:paraId="7762DC3D">
            <w:pPr>
              <w:spacing w:after="0" w:line="500" w:lineRule="exact"/>
              <w:rPr>
                <w:rFonts w:ascii="微软雅黑" w:hAnsi="微软雅黑" w:eastAsia="微软雅黑"/>
                <w:szCs w:val="21"/>
              </w:rPr>
            </w:pPr>
            <w:r>
              <w:rPr>
                <w:rFonts w:hint="eastAsia" w:ascii="微软雅黑" w:hAnsi="微软雅黑" w:eastAsia="微软雅黑"/>
                <w:szCs w:val="21"/>
              </w:rPr>
              <w:t>凡在投标截止时间前三年受到行政处罚、行政处理(含通报)或记入不良行为的，此项得分为0;若无处罚、行政处理(含通)报)或记入不良行为的得</w:t>
            </w:r>
            <w:r>
              <w:rPr>
                <w:rFonts w:ascii="微软雅黑" w:hAnsi="微软雅黑" w:eastAsia="微软雅黑"/>
                <w:szCs w:val="21"/>
              </w:rPr>
              <w:t>3</w:t>
            </w:r>
            <w:r>
              <w:rPr>
                <w:rFonts w:hint="eastAsia" w:ascii="微软雅黑" w:hAnsi="微软雅黑" w:eastAsia="微软雅黑"/>
                <w:szCs w:val="21"/>
              </w:rPr>
              <w:t>分(投标供应商自行提供承诺函，不提供承诺函的得0分，如有不良记录又虚假承诺的，一经发现将取消中标资格并报监管部门依法处理)。</w:t>
            </w:r>
          </w:p>
        </w:tc>
        <w:tc>
          <w:tcPr>
            <w:tcW w:w="1112" w:type="dxa"/>
            <w:vAlign w:val="center"/>
          </w:tcPr>
          <w:p w14:paraId="6CCE7692">
            <w:pPr>
              <w:spacing w:after="0" w:line="500" w:lineRule="exact"/>
              <w:jc w:val="center"/>
              <w:rPr>
                <w:rFonts w:ascii="微软雅黑" w:hAnsi="微软雅黑" w:eastAsia="微软雅黑"/>
                <w:bCs/>
                <w:szCs w:val="21"/>
              </w:rPr>
            </w:pPr>
            <w:r>
              <w:rPr>
                <w:rFonts w:hint="eastAsia" w:ascii="微软雅黑" w:hAnsi="微软雅黑" w:eastAsia="微软雅黑"/>
                <w:bCs/>
                <w:szCs w:val="21"/>
              </w:rPr>
              <w:t>3</w:t>
            </w:r>
          </w:p>
        </w:tc>
      </w:tr>
      <w:tr w14:paraId="296D4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59" w:type="dxa"/>
            <w:vAlign w:val="center"/>
          </w:tcPr>
          <w:p w14:paraId="47B4A542">
            <w:pPr>
              <w:pStyle w:val="29"/>
              <w:spacing w:line="240" w:lineRule="auto"/>
              <w:rPr>
                <w:rFonts w:ascii="微软雅黑" w:hAnsi="微软雅黑" w:eastAsia="微软雅黑"/>
                <w:szCs w:val="21"/>
              </w:rPr>
            </w:pPr>
            <w:r>
              <w:rPr>
                <w:rFonts w:hint="eastAsia" w:ascii="微软雅黑" w:hAnsi="微软雅黑" w:eastAsia="微软雅黑"/>
                <w:szCs w:val="21"/>
              </w:rPr>
              <w:t>小计</w:t>
            </w:r>
          </w:p>
        </w:tc>
        <w:tc>
          <w:tcPr>
            <w:tcW w:w="7228" w:type="dxa"/>
            <w:vAlign w:val="center"/>
          </w:tcPr>
          <w:p w14:paraId="6CC5C9B4">
            <w:pPr>
              <w:pStyle w:val="29"/>
              <w:spacing w:line="240" w:lineRule="auto"/>
              <w:ind w:left="420" w:firstLine="420" w:firstLineChars="200"/>
              <w:rPr>
                <w:rFonts w:ascii="微软雅黑" w:hAnsi="微软雅黑" w:eastAsia="微软雅黑"/>
                <w:szCs w:val="21"/>
              </w:rPr>
            </w:pPr>
          </w:p>
        </w:tc>
        <w:tc>
          <w:tcPr>
            <w:tcW w:w="1112" w:type="dxa"/>
            <w:vAlign w:val="center"/>
          </w:tcPr>
          <w:p w14:paraId="78BA9F3D">
            <w:pPr>
              <w:pStyle w:val="29"/>
              <w:spacing w:line="240" w:lineRule="auto"/>
              <w:ind w:left="420"/>
              <w:rPr>
                <w:rFonts w:ascii="微软雅黑" w:hAnsi="微软雅黑" w:eastAsia="微软雅黑"/>
                <w:szCs w:val="21"/>
              </w:rPr>
            </w:pPr>
            <w:r>
              <w:rPr>
                <w:rFonts w:hint="eastAsia" w:ascii="微软雅黑" w:hAnsi="微软雅黑" w:eastAsia="微软雅黑"/>
                <w:szCs w:val="21"/>
              </w:rPr>
              <w:t>4</w:t>
            </w:r>
          </w:p>
        </w:tc>
      </w:tr>
    </w:tbl>
    <w:p w14:paraId="1C21EC8E">
      <w:pPr>
        <w:rPr>
          <w:rFonts w:hint="eastAsia" w:ascii="微软雅黑" w:hAnsi="微软雅黑" w:cs="微软雅黑"/>
          <w:szCs w:val="21"/>
          <w:highlight w:val="none"/>
        </w:rPr>
      </w:pPr>
      <w:r>
        <w:rPr>
          <w:rFonts w:hint="eastAsia" w:ascii="微软雅黑" w:hAnsi="微软雅黑" w:cs="微软雅黑"/>
          <w:szCs w:val="21"/>
          <w:highlight w:val="none"/>
        </w:rPr>
        <w:br w:type="page"/>
      </w:r>
    </w:p>
    <w:p w14:paraId="05E9ED0C">
      <w:pPr>
        <w:pStyle w:val="2"/>
        <w:spacing w:before="360"/>
        <w:jc w:val="center"/>
        <w:rPr>
          <w:rFonts w:ascii="微软雅黑" w:hAnsi="微软雅黑" w:cs="微软雅黑"/>
          <w:szCs w:val="21"/>
          <w:highlight w:val="none"/>
        </w:rPr>
      </w:pPr>
      <w:r>
        <w:rPr>
          <w:rFonts w:hint="eastAsia" w:ascii="微软雅黑" w:hAnsi="微软雅黑" w:cs="微软雅黑"/>
          <w:szCs w:val="21"/>
          <w:highlight w:val="none"/>
        </w:rPr>
        <w:t>第六章 磋商相关文件格式</w:t>
      </w:r>
      <w:bookmarkEnd w:id="589"/>
      <w:bookmarkEnd w:id="592"/>
      <w:bookmarkEnd w:id="593"/>
      <w:bookmarkEnd w:id="594"/>
      <w:bookmarkEnd w:id="595"/>
      <w:bookmarkStart w:id="596" w:name="_Toc47756041"/>
      <w:bookmarkStart w:id="597" w:name="_Toc15805942"/>
      <w:bookmarkStart w:id="598" w:name="_Toc15813259"/>
      <w:bookmarkStart w:id="599" w:name="_Toc45506740"/>
    </w:p>
    <w:p w14:paraId="4A24A1C5">
      <w:pPr>
        <w:widowControl/>
        <w:spacing w:after="0" w:line="240" w:lineRule="auto"/>
        <w:jc w:val="left"/>
        <w:rPr>
          <w:rFonts w:ascii="微软雅黑" w:hAnsi="微软雅黑" w:eastAsia="微软雅黑" w:cs="微软雅黑"/>
          <w:b/>
          <w:szCs w:val="21"/>
          <w:highlight w:val="none"/>
        </w:rPr>
      </w:pPr>
    </w:p>
    <w:p w14:paraId="629E090B">
      <w:pPr>
        <w:adjustRightInd w:val="0"/>
        <w:spacing w:line="360" w:lineRule="auto"/>
        <w:jc w:val="center"/>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磋商响应函</w:t>
      </w:r>
    </w:p>
    <w:p w14:paraId="2589DC0D">
      <w:pPr>
        <w:adjustRightInd w:val="0"/>
        <w:spacing w:line="360" w:lineRule="auto"/>
        <w:rPr>
          <w:rFonts w:hint="eastAsia" w:ascii="微软雅黑" w:hAnsi="微软雅黑" w:eastAsia="微软雅黑" w:cs="微软雅黑"/>
          <w:szCs w:val="21"/>
          <w:highlight w:val="none"/>
          <w:u w:val="single"/>
          <w:lang w:eastAsia="zh-CN"/>
        </w:rPr>
      </w:pPr>
      <w:r>
        <w:rPr>
          <w:rFonts w:hint="eastAsia" w:ascii="微软雅黑" w:hAnsi="微软雅黑" w:eastAsia="微软雅黑" w:cs="微软雅黑"/>
          <w:szCs w:val="21"/>
          <w:highlight w:val="none"/>
        </w:rPr>
        <w:t>致：</w:t>
      </w:r>
      <w:r>
        <w:rPr>
          <w:rFonts w:hint="eastAsia" w:ascii="微软雅黑" w:hAnsi="微软雅黑" w:eastAsia="微软雅黑" w:cs="微软雅黑"/>
          <w:szCs w:val="21"/>
          <w:highlight w:val="none"/>
          <w:lang w:eastAsia="zh-CN"/>
        </w:rPr>
        <w:t>嘉兴市南湖区大桥镇中心小学</w:t>
      </w:r>
    </w:p>
    <w:p w14:paraId="4C677E87">
      <w:pPr>
        <w:adjustRightInd w:val="0"/>
        <w:spacing w:line="360" w:lineRule="auto"/>
        <w:ind w:firstLine="630" w:firstLineChars="3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根据贵方为</w:t>
      </w:r>
      <w:r>
        <w:rPr>
          <w:rFonts w:hint="eastAsia" w:ascii="微软雅黑" w:hAnsi="微软雅黑" w:eastAsia="微软雅黑" w:cs="微软雅黑"/>
          <w:b/>
          <w:bCs/>
          <w:szCs w:val="21"/>
          <w:highlight w:val="none"/>
          <w:lang w:eastAsia="zh-CN"/>
        </w:rPr>
        <w:t>嘉兴市南湖区大桥镇中心小学2025年度教师疗休养项目</w:t>
      </w:r>
      <w:r>
        <w:rPr>
          <w:rFonts w:hint="eastAsia" w:ascii="微软雅黑" w:hAnsi="微软雅黑" w:eastAsia="微软雅黑" w:cs="微软雅黑"/>
          <w:szCs w:val="21"/>
          <w:highlight w:val="none"/>
        </w:rPr>
        <w:t>的磋商</w:t>
      </w:r>
      <w:r>
        <w:rPr>
          <w:rFonts w:hint="eastAsia" w:ascii="微软雅黑" w:hAnsi="微软雅黑" w:eastAsia="微软雅黑" w:cs="微软雅黑"/>
          <w:szCs w:val="21"/>
          <w:highlight w:val="none"/>
          <w:lang w:eastAsia="zh-CN"/>
        </w:rPr>
        <w:t>[中际-ZJZJGC（2025）嘉11号</w:t>
      </w:r>
      <w:r>
        <w:rPr>
          <w:rFonts w:hint="eastAsia" w:ascii="微软雅黑" w:hAnsi="微软雅黑" w:eastAsia="微软雅黑" w:cs="微软雅黑"/>
          <w:szCs w:val="21"/>
          <w:highlight w:val="none"/>
        </w:rPr>
        <w:t>]（项目编号），签字代表（全名）经正式授权并代表磋商响应方（磋商响应方名称）提交</w:t>
      </w:r>
      <w:r>
        <w:rPr>
          <w:rFonts w:hint="eastAsia" w:ascii="微软雅黑" w:hAnsi="微软雅黑" w:eastAsia="微软雅黑" w:cs="微软雅黑"/>
          <w:b/>
          <w:szCs w:val="21"/>
          <w:highlight w:val="none"/>
        </w:rPr>
        <w:t>资格响应文件、商务技术文件、报价文件</w:t>
      </w:r>
      <w:r>
        <w:rPr>
          <w:rFonts w:hint="eastAsia" w:ascii="微软雅黑" w:hAnsi="微软雅黑" w:eastAsia="微软雅黑" w:cs="微软雅黑"/>
          <w:szCs w:val="21"/>
          <w:highlight w:val="none"/>
        </w:rPr>
        <w:t>各一份。</w:t>
      </w:r>
    </w:p>
    <w:p w14:paraId="13766C39">
      <w:pPr>
        <w:adjustRightInd w:val="0"/>
        <w:spacing w:line="360" w:lineRule="auto"/>
        <w:ind w:left="638" w:leftChars="304"/>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据此函，签字代表宣布同意如下：</w:t>
      </w:r>
    </w:p>
    <w:p w14:paraId="539AC893">
      <w:pPr>
        <w:adjustRightInd w:val="0"/>
        <w:spacing w:line="36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磋商响应方将按“磋商文件”的规定履行协议责任和义务。磋商响应方已详细审查全部“磋商文件”，包括修改文件（如有的话）以及全部参考资料和有关附件。我们完全理解并同意放弃对这方面有不明及误解的权利。</w:t>
      </w:r>
    </w:p>
    <w:p w14:paraId="067E302D">
      <w:pPr>
        <w:adjustRightInd w:val="0"/>
        <w:spacing w:line="36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本磋商响应文件有效期自开标日起至______内有效。磋商响应方同意提供按照贵方要求与磋商有关的一切数据或资料，理解贵方不一定接受最低的磋商报价。</w:t>
      </w:r>
    </w:p>
    <w:p w14:paraId="03098FE6">
      <w:pPr>
        <w:adjustRightInd w:val="0"/>
        <w:spacing w:line="36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与本次磋商有关的一切正式往来通讯请寄：</w:t>
      </w:r>
    </w:p>
    <w:p w14:paraId="77043087">
      <w:pPr>
        <w:adjustRightIn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地址：_______________邮编：______________电话：_______________</w:t>
      </w:r>
    </w:p>
    <w:p w14:paraId="30F00F15">
      <w:pPr>
        <w:adjustRightIn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传真：______________磋商响应方被授权人姓名 ____________</w:t>
      </w:r>
    </w:p>
    <w:p w14:paraId="2E1F4ACA">
      <w:pPr>
        <w:adjustRightIn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职务：_____________电话：___________________</w:t>
      </w:r>
    </w:p>
    <w:p w14:paraId="12A1E63D">
      <w:pPr>
        <w:adjustRightIn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磋商响应方名称(公章):___________________</w:t>
      </w:r>
    </w:p>
    <w:p w14:paraId="7EF1D2FE">
      <w:pPr>
        <w:adjustRightIn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开户银行：银行帐号：</w:t>
      </w:r>
    </w:p>
    <w:p w14:paraId="3CCBAC37">
      <w:pPr>
        <w:adjustRightIn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日期:_____年___月___日</w:t>
      </w:r>
    </w:p>
    <w:p w14:paraId="1434E639">
      <w:pPr>
        <w:adjustRightIn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被授权人签字:___________</w:t>
      </w:r>
    </w:p>
    <w:bookmarkEnd w:id="596"/>
    <w:bookmarkEnd w:id="597"/>
    <w:bookmarkEnd w:id="598"/>
    <w:bookmarkEnd w:id="599"/>
    <w:p w14:paraId="7F8FD785">
      <w:pPr>
        <w:snapToGrid w:val="0"/>
        <w:spacing w:line="360" w:lineRule="auto"/>
        <w:ind w:leftChars="-50" w:hanging="105" w:hangingChars="5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br w:type="page"/>
      </w:r>
      <w:r>
        <w:rPr>
          <w:rFonts w:hint="eastAsia" w:ascii="微软雅黑" w:hAnsi="微软雅黑" w:eastAsia="微软雅黑" w:cs="微软雅黑"/>
          <w:b/>
          <w:szCs w:val="21"/>
          <w:highlight w:val="none"/>
        </w:rPr>
        <w:t>具有履行合同所必需的设备和专业技术能力承诺函：</w:t>
      </w:r>
    </w:p>
    <w:p w14:paraId="04676E02">
      <w:pPr>
        <w:spacing w:line="360" w:lineRule="auto"/>
        <w:jc w:val="center"/>
        <w:rPr>
          <w:rFonts w:ascii="微软雅黑" w:hAnsi="微软雅黑" w:eastAsia="微软雅黑" w:cs="微软雅黑"/>
          <w:b/>
          <w:szCs w:val="21"/>
          <w:highlight w:val="none"/>
        </w:rPr>
      </w:pPr>
    </w:p>
    <w:p w14:paraId="1CBFDBFE">
      <w:pPr>
        <w:spacing w:line="360" w:lineRule="auto"/>
        <w:jc w:val="center"/>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具有履行合同所必需的设备和专业技术能力承诺函</w:t>
      </w:r>
    </w:p>
    <w:p w14:paraId="101ECD88">
      <w:pPr>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eastAsia="zh-CN"/>
        </w:rPr>
        <w:t>嘉兴市南湖区大桥镇中心小学</w:t>
      </w:r>
      <w:r>
        <w:rPr>
          <w:rFonts w:hint="eastAsia" w:ascii="微软雅黑" w:hAnsi="微软雅黑" w:eastAsia="微软雅黑" w:cs="微软雅黑"/>
          <w:szCs w:val="21"/>
          <w:highlight w:val="none"/>
        </w:rPr>
        <w:t>：</w:t>
      </w:r>
    </w:p>
    <w:p w14:paraId="27C651DD">
      <w:pPr>
        <w:snapToGrid w:val="0"/>
        <w:spacing w:line="360" w:lineRule="auto"/>
        <w:ind w:firstLine="420" w:firstLineChars="200"/>
        <w:rPr>
          <w:rFonts w:ascii="微软雅黑" w:hAnsi="微软雅黑" w:eastAsia="微软雅黑" w:cs="微软雅黑"/>
          <w:szCs w:val="21"/>
          <w:highlight w:val="none"/>
          <w:shd w:val="clear" w:color="auto" w:fill="FFFFFF"/>
        </w:rPr>
      </w:pPr>
    </w:p>
    <w:p w14:paraId="0D0CB150">
      <w:pPr>
        <w:snapToGrid w:val="0"/>
        <w:spacing w:line="360" w:lineRule="auto"/>
        <w:ind w:firstLine="420" w:firstLineChars="200"/>
        <w:rPr>
          <w:rFonts w:hint="eastAsia" w:ascii="微软雅黑" w:hAnsi="微软雅黑" w:eastAsia="微软雅黑" w:cs="微软雅黑"/>
          <w:szCs w:val="21"/>
          <w:highlight w:val="none"/>
          <w:shd w:val="clear" w:color="auto" w:fill="FFFFFF"/>
          <w:lang w:eastAsia="zh-CN"/>
        </w:rPr>
      </w:pPr>
      <w:r>
        <w:rPr>
          <w:rFonts w:hint="eastAsia" w:ascii="微软雅黑" w:hAnsi="微软雅黑" w:eastAsia="微软雅黑" w:cs="微软雅黑"/>
          <w:szCs w:val="21"/>
          <w:highlight w:val="none"/>
          <w:shd w:val="clear" w:color="auto" w:fill="FFFFFF"/>
        </w:rPr>
        <w:t>本公司（公司名称）参加</w:t>
      </w:r>
      <w:r>
        <w:rPr>
          <w:rFonts w:hint="eastAsia" w:ascii="微软雅黑" w:hAnsi="微软雅黑" w:eastAsia="微软雅黑" w:cs="微软雅黑"/>
          <w:b/>
          <w:bCs/>
          <w:szCs w:val="21"/>
          <w:highlight w:val="none"/>
          <w:u w:val="single"/>
          <w:lang w:eastAsia="zh-CN"/>
        </w:rPr>
        <w:t>嘉兴市南湖区大桥镇中心小学2025年度教师疗休养项目</w:t>
      </w:r>
      <w:r>
        <w:rPr>
          <w:rFonts w:hint="eastAsia" w:ascii="微软雅黑" w:hAnsi="微软雅黑" w:eastAsia="微软雅黑" w:cs="微软雅黑"/>
          <w:szCs w:val="21"/>
          <w:highlight w:val="none"/>
          <w:shd w:val="clear" w:color="auto" w:fill="FFFFFF"/>
        </w:rPr>
        <w:t>投标活动，现承诺如下：</w:t>
      </w:r>
    </w:p>
    <w:p w14:paraId="0A133FEA">
      <w:pPr>
        <w:pStyle w:val="73"/>
        <w:rPr>
          <w:rFonts w:hint="eastAsia"/>
          <w:highlight w:val="none"/>
          <w:lang w:eastAsia="zh-CN"/>
        </w:rPr>
      </w:pPr>
    </w:p>
    <w:p w14:paraId="4FA068DC">
      <w:pPr>
        <w:snapToGrid w:val="0"/>
        <w:spacing w:line="360" w:lineRule="auto"/>
        <w:ind w:firstLine="420" w:firstLineChars="200"/>
        <w:rPr>
          <w:rFonts w:hint="eastAsia" w:ascii="微软雅黑" w:hAnsi="微软雅黑" w:eastAsia="微软雅黑" w:cs="微软雅黑"/>
          <w:szCs w:val="21"/>
          <w:highlight w:val="none"/>
          <w:shd w:val="clear" w:color="auto" w:fill="FFFFFF"/>
          <w:lang w:eastAsia="zh-CN"/>
        </w:rPr>
      </w:pPr>
      <w:r>
        <w:rPr>
          <w:rFonts w:hint="eastAsia" w:ascii="微软雅黑" w:hAnsi="微软雅黑" w:eastAsia="微软雅黑" w:cs="微软雅黑"/>
          <w:szCs w:val="21"/>
          <w:highlight w:val="none"/>
          <w:shd w:val="clear" w:color="auto" w:fill="FFFFFF"/>
        </w:rPr>
        <w:t>我公司具有履行合同所需的设备和专业技术能力；</w:t>
      </w:r>
    </w:p>
    <w:p w14:paraId="2F9E164E">
      <w:pPr>
        <w:pStyle w:val="73"/>
        <w:rPr>
          <w:rFonts w:hint="eastAsia"/>
          <w:highlight w:val="none"/>
          <w:lang w:eastAsia="zh-CN"/>
        </w:rPr>
      </w:pPr>
    </w:p>
    <w:p w14:paraId="21D06F40">
      <w:pPr>
        <w:pStyle w:val="73"/>
        <w:rPr>
          <w:rFonts w:hint="eastAsia"/>
          <w:highlight w:val="none"/>
          <w:lang w:eastAsia="zh-CN"/>
        </w:rPr>
      </w:pPr>
    </w:p>
    <w:p w14:paraId="7F86124C">
      <w:pPr>
        <w:snapToGrid w:val="0"/>
        <w:spacing w:line="360" w:lineRule="auto"/>
        <w:ind w:firstLine="420" w:firstLineChars="200"/>
        <w:rPr>
          <w:rFonts w:hint="eastAsia" w:ascii="微软雅黑" w:hAnsi="微软雅黑" w:eastAsia="微软雅黑" w:cs="微软雅黑"/>
          <w:szCs w:val="21"/>
          <w:highlight w:val="none"/>
          <w:shd w:val="clear" w:color="auto" w:fill="FFFFFF"/>
          <w:lang w:eastAsia="zh-CN"/>
        </w:rPr>
      </w:pPr>
      <w:r>
        <w:rPr>
          <w:rFonts w:hint="eastAsia" w:ascii="微软雅黑" w:hAnsi="微软雅黑" w:eastAsia="微软雅黑" w:cs="微软雅黑"/>
          <w:szCs w:val="21"/>
          <w:highlight w:val="none"/>
          <w:shd w:val="clear" w:color="auto" w:fill="FFFFFF"/>
        </w:rPr>
        <w:t>如违反以上承诺，本公司愿承担一切法律责任。</w:t>
      </w:r>
    </w:p>
    <w:p w14:paraId="30174AB4">
      <w:pPr>
        <w:pStyle w:val="73"/>
        <w:rPr>
          <w:rFonts w:hint="eastAsia"/>
          <w:highlight w:val="none"/>
          <w:lang w:eastAsia="zh-CN"/>
        </w:rPr>
      </w:pPr>
    </w:p>
    <w:p w14:paraId="5CB9B7EB">
      <w:pPr>
        <w:pStyle w:val="73"/>
        <w:rPr>
          <w:rFonts w:hint="eastAsia"/>
          <w:highlight w:val="none"/>
          <w:lang w:eastAsia="zh-CN"/>
        </w:rPr>
      </w:pPr>
    </w:p>
    <w:p w14:paraId="236C7DC0">
      <w:pPr>
        <w:pStyle w:val="73"/>
        <w:rPr>
          <w:rFonts w:hint="eastAsia"/>
          <w:highlight w:val="none"/>
          <w:lang w:eastAsia="zh-CN"/>
        </w:rPr>
      </w:pPr>
    </w:p>
    <w:p w14:paraId="594F0101">
      <w:pPr>
        <w:snapToGrid w:val="0"/>
        <w:spacing w:line="360" w:lineRule="auto"/>
        <w:ind w:firstLine="420" w:firstLineChars="200"/>
        <w:rPr>
          <w:rFonts w:hint="eastAsia" w:ascii="微软雅黑" w:hAnsi="微软雅黑" w:eastAsia="微软雅黑" w:cs="微软雅黑"/>
          <w:szCs w:val="21"/>
          <w:highlight w:val="none"/>
          <w:shd w:val="clear" w:color="auto" w:fill="FFFFFF"/>
          <w:lang w:eastAsia="zh-CN"/>
        </w:rPr>
      </w:pPr>
      <w:r>
        <w:rPr>
          <w:rFonts w:hint="eastAsia" w:ascii="微软雅黑" w:hAnsi="微软雅黑" w:eastAsia="微软雅黑" w:cs="微软雅黑"/>
          <w:szCs w:val="21"/>
          <w:highlight w:val="none"/>
          <w:shd w:val="clear" w:color="auto" w:fill="FFFFFF"/>
        </w:rPr>
        <w:t>投标人名称：（盖章）</w:t>
      </w:r>
    </w:p>
    <w:p w14:paraId="11753DC2">
      <w:pPr>
        <w:snapToGrid w:val="0"/>
        <w:spacing w:line="360" w:lineRule="auto"/>
        <w:ind w:firstLine="420" w:firstLineChars="200"/>
        <w:rPr>
          <w:rFonts w:hint="eastAsia" w:ascii="微软雅黑" w:hAnsi="微软雅黑" w:eastAsia="微软雅黑" w:cs="微软雅黑"/>
          <w:szCs w:val="21"/>
          <w:highlight w:val="none"/>
          <w:shd w:val="clear" w:color="auto" w:fill="FFFFFF"/>
          <w:lang w:eastAsia="zh-CN"/>
        </w:rPr>
      </w:pPr>
      <w:r>
        <w:rPr>
          <w:rFonts w:hint="eastAsia" w:ascii="微软雅黑" w:hAnsi="微软雅黑" w:eastAsia="微软雅黑" w:cs="微软雅黑"/>
          <w:szCs w:val="21"/>
          <w:highlight w:val="none"/>
          <w:shd w:val="clear" w:color="auto" w:fill="FFFFFF"/>
        </w:rPr>
        <w:t>法定代表人或</w:t>
      </w:r>
      <w:r>
        <w:rPr>
          <w:rFonts w:hint="eastAsia" w:ascii="微软雅黑" w:hAnsi="微软雅黑" w:eastAsia="微软雅黑" w:cs="微软雅黑"/>
          <w:szCs w:val="21"/>
          <w:highlight w:val="none"/>
        </w:rPr>
        <w:t>被授权人</w:t>
      </w:r>
      <w:r>
        <w:rPr>
          <w:rFonts w:hint="eastAsia" w:ascii="微软雅黑" w:hAnsi="微软雅黑" w:eastAsia="微软雅黑" w:cs="微软雅黑"/>
          <w:szCs w:val="21"/>
          <w:highlight w:val="none"/>
          <w:shd w:val="clear" w:color="auto" w:fill="FFFFFF"/>
        </w:rPr>
        <w:t>（签字或盖章）：</w:t>
      </w:r>
    </w:p>
    <w:p w14:paraId="193D5D5C">
      <w:pPr>
        <w:snapToGrid w:val="0"/>
        <w:spacing w:line="360" w:lineRule="auto"/>
        <w:ind w:firstLine="420" w:firstLineChars="200"/>
        <w:rPr>
          <w:rFonts w:ascii="微软雅黑" w:hAnsi="微软雅黑" w:eastAsia="微软雅黑" w:cs="微软雅黑"/>
          <w:szCs w:val="21"/>
          <w:highlight w:val="none"/>
          <w:u w:val="single"/>
        </w:rPr>
      </w:pPr>
      <w:r>
        <w:rPr>
          <w:rFonts w:hint="eastAsia" w:ascii="微软雅黑" w:hAnsi="微软雅黑" w:eastAsia="微软雅黑" w:cs="微软雅黑"/>
          <w:szCs w:val="21"/>
          <w:highlight w:val="none"/>
          <w:shd w:val="clear" w:color="auto" w:fill="FFFFFF"/>
        </w:rPr>
        <w:t>投标日期：年月日</w:t>
      </w:r>
    </w:p>
    <w:p w14:paraId="456166FD">
      <w:pPr>
        <w:snapToGrid w:val="0"/>
        <w:spacing w:line="360" w:lineRule="auto"/>
        <w:ind w:firstLine="420" w:firstLineChars="200"/>
        <w:rPr>
          <w:rFonts w:ascii="微软雅黑" w:hAnsi="微软雅黑" w:eastAsia="微软雅黑" w:cs="微软雅黑"/>
          <w:szCs w:val="21"/>
          <w:highlight w:val="none"/>
          <w:u w:val="single"/>
        </w:rPr>
      </w:pPr>
    </w:p>
    <w:p w14:paraId="0091720A">
      <w:pPr>
        <w:snapToGrid w:val="0"/>
        <w:spacing w:line="360" w:lineRule="auto"/>
        <w:ind w:firstLine="420" w:firstLineChars="200"/>
        <w:rPr>
          <w:rFonts w:ascii="微软雅黑" w:hAnsi="微软雅黑" w:eastAsia="微软雅黑" w:cs="微软雅黑"/>
          <w:szCs w:val="21"/>
          <w:highlight w:val="none"/>
          <w:u w:val="single"/>
        </w:rPr>
      </w:pPr>
    </w:p>
    <w:p w14:paraId="2A2BF896">
      <w:pPr>
        <w:snapToGrid w:val="0"/>
        <w:spacing w:line="360" w:lineRule="auto"/>
        <w:ind w:leftChars="-50" w:hanging="105" w:hangingChars="50"/>
        <w:rPr>
          <w:rFonts w:ascii="微软雅黑" w:hAnsi="微软雅黑" w:eastAsia="微软雅黑" w:cs="微软雅黑"/>
          <w:b/>
          <w:szCs w:val="21"/>
          <w:highlight w:val="none"/>
        </w:rPr>
      </w:pPr>
    </w:p>
    <w:p w14:paraId="0B209E10">
      <w:pPr>
        <w:snapToGrid w:val="0"/>
        <w:spacing w:line="360" w:lineRule="auto"/>
        <w:ind w:leftChars="-50" w:hanging="105" w:hangingChars="50"/>
        <w:rPr>
          <w:rFonts w:ascii="微软雅黑" w:hAnsi="微软雅黑" w:eastAsia="微软雅黑" w:cs="微软雅黑"/>
          <w:b/>
          <w:szCs w:val="21"/>
          <w:highlight w:val="none"/>
        </w:rPr>
      </w:pPr>
    </w:p>
    <w:p w14:paraId="7ABBC855">
      <w:pPr>
        <w:snapToGrid w:val="0"/>
        <w:spacing w:line="360" w:lineRule="auto"/>
        <w:ind w:leftChars="-50" w:hanging="105" w:hangingChars="50"/>
        <w:rPr>
          <w:rFonts w:ascii="微软雅黑" w:hAnsi="微软雅黑" w:eastAsia="微软雅黑" w:cs="微软雅黑"/>
          <w:b/>
          <w:szCs w:val="21"/>
          <w:highlight w:val="none"/>
        </w:rPr>
      </w:pPr>
    </w:p>
    <w:p w14:paraId="2C6B9AF8">
      <w:pPr>
        <w:snapToGrid w:val="0"/>
        <w:spacing w:line="360" w:lineRule="auto"/>
        <w:ind w:leftChars="-50" w:hanging="105" w:hangingChars="50"/>
        <w:rPr>
          <w:rFonts w:ascii="微软雅黑" w:hAnsi="微软雅黑" w:eastAsia="微软雅黑" w:cs="微软雅黑"/>
          <w:b/>
          <w:szCs w:val="21"/>
          <w:highlight w:val="none"/>
        </w:rPr>
      </w:pPr>
    </w:p>
    <w:p w14:paraId="793E8C6C">
      <w:pPr>
        <w:snapToGrid w:val="0"/>
        <w:spacing w:line="360" w:lineRule="auto"/>
        <w:ind w:leftChars="-50" w:hanging="105" w:hangingChars="5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参加政府采购活动前三年，在经营活动中没有重大违法记录（承诺函）</w:t>
      </w:r>
    </w:p>
    <w:p w14:paraId="583A702B">
      <w:pPr>
        <w:spacing w:line="360" w:lineRule="auto"/>
        <w:rPr>
          <w:rFonts w:ascii="微软雅黑" w:hAnsi="微软雅黑" w:eastAsia="微软雅黑" w:cs="微软雅黑"/>
          <w:szCs w:val="21"/>
          <w:highlight w:val="none"/>
          <w:u w:val="single"/>
        </w:rPr>
      </w:pPr>
    </w:p>
    <w:p w14:paraId="55C428C2">
      <w:pPr>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eastAsia="zh-CN"/>
        </w:rPr>
        <w:t>嘉兴市南湖区大桥镇中心小学</w:t>
      </w:r>
      <w:r>
        <w:rPr>
          <w:rFonts w:hint="eastAsia" w:ascii="微软雅黑" w:hAnsi="微软雅黑" w:eastAsia="微软雅黑" w:cs="微软雅黑"/>
          <w:szCs w:val="21"/>
          <w:highlight w:val="none"/>
        </w:rPr>
        <w:t>：</w:t>
      </w:r>
    </w:p>
    <w:p w14:paraId="4FC1DF39">
      <w:pPr>
        <w:spacing w:line="360" w:lineRule="auto"/>
        <w:ind w:firstLine="420" w:firstLineChars="200"/>
        <w:rPr>
          <w:rFonts w:ascii="微软雅黑" w:hAnsi="微软雅黑" w:eastAsia="微软雅黑" w:cs="微软雅黑"/>
          <w:szCs w:val="21"/>
          <w:highlight w:val="none"/>
        </w:rPr>
      </w:pPr>
    </w:p>
    <w:p w14:paraId="21D3A96F">
      <w:pPr>
        <w:spacing w:line="36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我公司声明截止投标时间近三年以来，在经营活动中没有重大违法记录；也没有因违反《浙江省政府采购投标人注册及诚信管理暂行办法》被列入“黑名单”，正在处罚有效期。</w:t>
      </w:r>
    </w:p>
    <w:p w14:paraId="69FE6C7B">
      <w:pPr>
        <w:spacing w:line="36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特此承诺。</w:t>
      </w:r>
    </w:p>
    <w:p w14:paraId="6B04D1F2">
      <w:pPr>
        <w:spacing w:line="360" w:lineRule="auto"/>
        <w:ind w:firstLine="420" w:firstLineChars="200"/>
        <w:rPr>
          <w:rFonts w:ascii="微软雅黑" w:hAnsi="微软雅黑" w:eastAsia="微软雅黑" w:cs="微软雅黑"/>
          <w:szCs w:val="21"/>
          <w:highlight w:val="none"/>
        </w:rPr>
      </w:pPr>
    </w:p>
    <w:p w14:paraId="28C91BCA">
      <w:pPr>
        <w:spacing w:line="360" w:lineRule="auto"/>
        <w:ind w:firstLine="420" w:firstLineChars="200"/>
        <w:rPr>
          <w:rFonts w:ascii="微软雅黑" w:hAnsi="微软雅黑" w:eastAsia="微软雅黑" w:cs="微软雅黑"/>
          <w:szCs w:val="21"/>
          <w:highlight w:val="none"/>
        </w:rPr>
      </w:pPr>
    </w:p>
    <w:p w14:paraId="726BBEF7">
      <w:pPr>
        <w:snapToGrid w:val="0"/>
        <w:spacing w:line="360" w:lineRule="auto"/>
        <w:rPr>
          <w:rFonts w:hint="eastAsia" w:ascii="微软雅黑" w:hAnsi="微软雅黑" w:eastAsia="微软雅黑" w:cs="微软雅黑"/>
          <w:szCs w:val="21"/>
          <w:highlight w:val="none"/>
          <w:shd w:val="clear" w:color="auto" w:fill="FFFFFF"/>
          <w:lang w:eastAsia="zh-CN"/>
        </w:rPr>
      </w:pPr>
      <w:r>
        <w:rPr>
          <w:rFonts w:hint="eastAsia" w:ascii="微软雅黑" w:hAnsi="微软雅黑" w:eastAsia="微软雅黑" w:cs="微软雅黑"/>
          <w:szCs w:val="21"/>
          <w:highlight w:val="none"/>
          <w:shd w:val="clear" w:color="auto" w:fill="FFFFFF"/>
        </w:rPr>
        <w:t>投标人名称：（盖章）</w:t>
      </w:r>
    </w:p>
    <w:p w14:paraId="5B940F7F">
      <w:pPr>
        <w:snapToGrid w:val="0"/>
        <w:spacing w:line="360" w:lineRule="auto"/>
        <w:rPr>
          <w:rFonts w:hint="eastAsia" w:ascii="微软雅黑" w:hAnsi="微软雅黑" w:eastAsia="微软雅黑" w:cs="微软雅黑"/>
          <w:szCs w:val="21"/>
          <w:highlight w:val="none"/>
          <w:shd w:val="clear" w:color="auto" w:fill="FFFFFF"/>
          <w:lang w:eastAsia="zh-CN"/>
        </w:rPr>
      </w:pPr>
      <w:r>
        <w:rPr>
          <w:rFonts w:hint="eastAsia" w:ascii="微软雅黑" w:hAnsi="微软雅黑" w:eastAsia="微软雅黑" w:cs="微软雅黑"/>
          <w:szCs w:val="21"/>
          <w:highlight w:val="none"/>
          <w:shd w:val="clear" w:color="auto" w:fill="FFFFFF"/>
        </w:rPr>
        <w:t>法定代表人或</w:t>
      </w:r>
      <w:r>
        <w:rPr>
          <w:rFonts w:hint="eastAsia" w:ascii="微软雅黑" w:hAnsi="微软雅黑" w:eastAsia="微软雅黑" w:cs="微软雅黑"/>
          <w:szCs w:val="21"/>
          <w:highlight w:val="none"/>
        </w:rPr>
        <w:t>被授权人</w:t>
      </w:r>
      <w:r>
        <w:rPr>
          <w:rFonts w:hint="eastAsia" w:ascii="微软雅黑" w:hAnsi="微软雅黑" w:eastAsia="微软雅黑" w:cs="微软雅黑"/>
          <w:szCs w:val="21"/>
          <w:highlight w:val="none"/>
          <w:shd w:val="clear" w:color="auto" w:fill="FFFFFF"/>
        </w:rPr>
        <w:t>（签字或盖章）：</w:t>
      </w:r>
    </w:p>
    <w:p w14:paraId="027A358E">
      <w:pPr>
        <w:snapToGrid w:val="0"/>
        <w:spacing w:line="360" w:lineRule="auto"/>
        <w:rPr>
          <w:rFonts w:ascii="微软雅黑" w:hAnsi="微软雅黑" w:eastAsia="微软雅黑" w:cs="微软雅黑"/>
          <w:szCs w:val="21"/>
          <w:highlight w:val="none"/>
          <w:u w:val="single"/>
        </w:rPr>
      </w:pPr>
      <w:r>
        <w:rPr>
          <w:rFonts w:hint="eastAsia" w:ascii="微软雅黑" w:hAnsi="微软雅黑" w:eastAsia="微软雅黑" w:cs="微软雅黑"/>
          <w:szCs w:val="21"/>
          <w:highlight w:val="none"/>
          <w:shd w:val="clear" w:color="auto" w:fill="FFFFFF"/>
        </w:rPr>
        <w:t>投标日期：年月日</w:t>
      </w:r>
    </w:p>
    <w:p w14:paraId="4AB34F35">
      <w:pPr>
        <w:snapToGrid w:val="0"/>
        <w:spacing w:line="360" w:lineRule="auto"/>
        <w:ind w:firstLine="420" w:firstLineChars="200"/>
        <w:rPr>
          <w:rFonts w:ascii="微软雅黑" w:hAnsi="微软雅黑" w:eastAsia="微软雅黑" w:cs="微软雅黑"/>
          <w:szCs w:val="21"/>
          <w:highlight w:val="none"/>
          <w:u w:val="single"/>
        </w:rPr>
      </w:pPr>
    </w:p>
    <w:p w14:paraId="676777AB">
      <w:pPr>
        <w:snapToGrid w:val="0"/>
        <w:spacing w:line="360" w:lineRule="auto"/>
        <w:rPr>
          <w:rFonts w:ascii="微软雅黑" w:hAnsi="微软雅黑" w:eastAsia="微软雅黑" w:cs="微软雅黑"/>
          <w:szCs w:val="21"/>
          <w:highlight w:val="none"/>
        </w:rPr>
      </w:pPr>
    </w:p>
    <w:p w14:paraId="6443C4AB">
      <w:pPr>
        <w:snapToGrid w:val="0"/>
        <w:spacing w:line="360" w:lineRule="auto"/>
        <w:jc w:val="left"/>
        <w:rPr>
          <w:rFonts w:ascii="微软雅黑" w:hAnsi="微软雅黑" w:eastAsia="微软雅黑" w:cs="微软雅黑"/>
          <w:szCs w:val="21"/>
          <w:highlight w:val="none"/>
        </w:rPr>
        <w:sectPr>
          <w:pgSz w:w="11906" w:h="16838"/>
          <w:pgMar w:top="1440" w:right="1800" w:bottom="1440" w:left="1800" w:header="851" w:footer="851" w:gutter="0"/>
          <w:pgBorders>
            <w:top w:val="none" w:sz="0" w:space="0"/>
            <w:left w:val="none" w:sz="0" w:space="0"/>
            <w:bottom w:val="none" w:sz="0" w:space="0"/>
            <w:right w:val="none" w:sz="0" w:space="0"/>
          </w:pgBorders>
          <w:cols w:space="720" w:num="1"/>
          <w:docGrid w:linePitch="312" w:charSpace="0"/>
        </w:sectPr>
      </w:pPr>
    </w:p>
    <w:p w14:paraId="0E8F166E">
      <w:pPr>
        <w:spacing w:line="360" w:lineRule="auto"/>
        <w:jc w:val="center"/>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供应商法定代表人授权书</w:t>
      </w:r>
    </w:p>
    <w:p w14:paraId="212D6567">
      <w:pPr>
        <w:spacing w:line="360" w:lineRule="auto"/>
        <w:rPr>
          <w:rFonts w:hint="eastAsia" w:ascii="微软雅黑" w:hAnsi="微软雅黑" w:eastAsia="微软雅黑" w:cs="微软雅黑"/>
          <w:szCs w:val="21"/>
          <w:highlight w:val="none"/>
          <w:lang w:eastAsia="zh-CN"/>
        </w:rPr>
      </w:pPr>
      <w:r>
        <w:rPr>
          <w:rFonts w:hint="eastAsia" w:ascii="微软雅黑" w:hAnsi="微软雅黑" w:eastAsia="微软雅黑" w:cs="微软雅黑"/>
          <w:bCs/>
          <w:szCs w:val="21"/>
          <w:highlight w:val="none"/>
        </w:rPr>
        <w:t>致：</w:t>
      </w:r>
      <w:r>
        <w:rPr>
          <w:rFonts w:hint="eastAsia" w:ascii="微软雅黑" w:hAnsi="微软雅黑" w:eastAsia="微软雅黑" w:cs="微软雅黑"/>
          <w:szCs w:val="21"/>
          <w:highlight w:val="none"/>
          <w:lang w:eastAsia="zh-CN"/>
        </w:rPr>
        <w:t>嘉兴市南湖区大桥镇中心小学</w:t>
      </w:r>
    </w:p>
    <w:p w14:paraId="615B160D">
      <w:pPr>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_______（企业名称）系中华人民共和国合法企业，法定地址_______。</w:t>
      </w:r>
    </w:p>
    <w:p w14:paraId="4421D2AB">
      <w:pPr>
        <w:spacing w:line="360" w:lineRule="auto"/>
        <w:ind w:firstLine="630" w:firstLineChars="300"/>
        <w:rPr>
          <w:rFonts w:ascii="微软雅黑" w:hAnsi="微软雅黑" w:eastAsia="微软雅黑" w:cs="微软雅黑"/>
          <w:szCs w:val="21"/>
          <w:highlight w:val="none"/>
        </w:rPr>
      </w:pPr>
      <w:r>
        <w:rPr>
          <w:rFonts w:hint="eastAsia" w:ascii="微软雅黑" w:hAnsi="微软雅黑" w:eastAsia="微软雅黑" w:cs="微软雅黑"/>
          <w:kern w:val="0"/>
          <w:szCs w:val="21"/>
          <w:highlight w:val="none"/>
          <w:lang w:val="zh-CN"/>
        </w:rPr>
        <w:t>兹委派我公司</w:t>
      </w:r>
      <w:r>
        <w:rPr>
          <w:rFonts w:hint="eastAsia" w:ascii="微软雅黑" w:hAnsi="微软雅黑" w:eastAsia="微软雅黑" w:cs="微软雅黑"/>
          <w:szCs w:val="21"/>
          <w:highlight w:val="none"/>
        </w:rPr>
        <w:t>_______</w:t>
      </w:r>
      <w:r>
        <w:rPr>
          <w:rFonts w:hint="eastAsia" w:ascii="微软雅黑" w:hAnsi="微软雅黑" w:eastAsia="微软雅黑" w:cs="微软雅黑"/>
          <w:kern w:val="0"/>
          <w:szCs w:val="21"/>
          <w:highlight w:val="none"/>
          <w:lang w:val="zh-CN"/>
        </w:rPr>
        <w:t>先生/女士(其在本公司的职务是：</w:t>
      </w:r>
      <w:r>
        <w:rPr>
          <w:rFonts w:hint="eastAsia" w:ascii="微软雅黑" w:hAnsi="微软雅黑" w:eastAsia="微软雅黑" w:cs="微软雅黑"/>
          <w:szCs w:val="21"/>
          <w:highlight w:val="none"/>
        </w:rPr>
        <w:t>_______</w:t>
      </w:r>
      <w:r>
        <w:rPr>
          <w:rFonts w:hint="eastAsia" w:ascii="微软雅黑" w:hAnsi="微软雅黑" w:eastAsia="微软雅黑" w:cs="微软雅黑"/>
          <w:kern w:val="0"/>
          <w:szCs w:val="21"/>
          <w:highlight w:val="none"/>
          <w:u w:val="single"/>
          <w:lang w:val="zh-CN"/>
        </w:rPr>
        <w:t>，</w:t>
      </w:r>
      <w:r>
        <w:rPr>
          <w:rFonts w:hint="eastAsia" w:ascii="微软雅黑" w:hAnsi="微软雅黑" w:eastAsia="微软雅黑" w:cs="微软雅黑"/>
          <w:kern w:val="0"/>
          <w:szCs w:val="21"/>
          <w:highlight w:val="none"/>
          <w:lang w:val="zh-CN"/>
        </w:rPr>
        <w:t>联系电话：</w:t>
      </w:r>
      <w:r>
        <w:rPr>
          <w:rFonts w:hint="eastAsia" w:ascii="微软雅黑" w:hAnsi="微软雅黑" w:eastAsia="微软雅黑" w:cs="微软雅黑"/>
          <w:szCs w:val="21"/>
          <w:highlight w:val="none"/>
        </w:rPr>
        <w:t>_______</w:t>
      </w:r>
      <w:r>
        <w:rPr>
          <w:rFonts w:hint="eastAsia" w:ascii="微软雅黑" w:hAnsi="微软雅黑" w:eastAsia="微软雅黑" w:cs="微软雅黑"/>
          <w:kern w:val="0"/>
          <w:szCs w:val="21"/>
          <w:highlight w:val="none"/>
          <w:lang w:val="zh-CN"/>
        </w:rPr>
        <w:t>手机：</w:t>
      </w:r>
      <w:r>
        <w:rPr>
          <w:rFonts w:hint="eastAsia" w:ascii="微软雅黑" w:hAnsi="微软雅黑" w:eastAsia="微软雅黑" w:cs="微软雅黑"/>
          <w:szCs w:val="21"/>
          <w:highlight w:val="none"/>
        </w:rPr>
        <w:t>_______</w:t>
      </w:r>
      <w:r>
        <w:rPr>
          <w:rFonts w:hint="eastAsia" w:ascii="微软雅黑" w:hAnsi="微软雅黑" w:eastAsia="微软雅黑" w:cs="微软雅黑"/>
          <w:kern w:val="0"/>
          <w:szCs w:val="21"/>
          <w:highlight w:val="none"/>
          <w:lang w:val="zh-CN"/>
        </w:rPr>
        <w:t>传真：</w:t>
      </w:r>
      <w:r>
        <w:rPr>
          <w:rFonts w:hint="eastAsia" w:ascii="微软雅黑" w:hAnsi="微软雅黑" w:eastAsia="微软雅黑" w:cs="微软雅黑"/>
          <w:szCs w:val="21"/>
          <w:highlight w:val="none"/>
        </w:rPr>
        <w:t>_______</w:t>
      </w:r>
      <w:r>
        <w:rPr>
          <w:rFonts w:hint="eastAsia" w:ascii="微软雅黑" w:hAnsi="微软雅黑" w:eastAsia="微软雅黑" w:cs="微软雅黑"/>
          <w:kern w:val="0"/>
          <w:szCs w:val="21"/>
          <w:highlight w:val="none"/>
          <w:lang w:val="zh-CN"/>
        </w:rPr>
        <w:t>)，</w:t>
      </w:r>
      <w:r>
        <w:rPr>
          <w:rFonts w:hint="eastAsia" w:ascii="微软雅黑" w:hAnsi="微软雅黑" w:eastAsia="微软雅黑" w:cs="微软雅黑"/>
          <w:szCs w:val="21"/>
          <w:highlight w:val="none"/>
        </w:rPr>
        <w:t>代表我单位全权办理针对</w:t>
      </w:r>
      <w:r>
        <w:rPr>
          <w:rFonts w:hint="eastAsia" w:ascii="微软雅黑" w:hAnsi="微软雅黑" w:eastAsia="微软雅黑" w:cs="微软雅黑"/>
          <w:kern w:val="0"/>
          <w:szCs w:val="21"/>
          <w:highlight w:val="none"/>
          <w:lang w:val="zh-CN"/>
        </w:rPr>
        <w:t>处理</w:t>
      </w:r>
      <w:r>
        <w:rPr>
          <w:rFonts w:hint="eastAsia" w:ascii="微软雅黑" w:hAnsi="微软雅黑" w:eastAsia="微软雅黑" w:cs="微软雅黑"/>
          <w:b/>
          <w:bCs/>
          <w:szCs w:val="21"/>
          <w:highlight w:val="none"/>
          <w:u w:val="single"/>
          <w:lang w:eastAsia="zh-CN"/>
        </w:rPr>
        <w:t>嘉兴市南湖区大桥镇中心小学2025年度教师疗休养项目</w:t>
      </w:r>
      <w:r>
        <w:rPr>
          <w:rFonts w:hint="eastAsia" w:ascii="微软雅黑" w:hAnsi="微软雅黑" w:eastAsia="微软雅黑" w:cs="微软雅黑"/>
          <w:b/>
          <w:bCs/>
          <w:szCs w:val="21"/>
          <w:highlight w:val="none"/>
          <w:u w:val="single"/>
        </w:rPr>
        <w:t>(</w:t>
      </w:r>
      <w:r>
        <w:rPr>
          <w:rFonts w:hint="eastAsia" w:ascii="微软雅黑" w:hAnsi="微软雅黑" w:eastAsia="微软雅黑" w:cs="微软雅黑"/>
          <w:szCs w:val="21"/>
          <w:highlight w:val="none"/>
        </w:rPr>
        <w:t>编号：</w:t>
      </w:r>
      <w:r>
        <w:rPr>
          <w:rFonts w:hint="eastAsia" w:ascii="微软雅黑" w:hAnsi="微软雅黑" w:eastAsia="微软雅黑" w:cs="微软雅黑"/>
          <w:b/>
          <w:bCs/>
          <w:szCs w:val="21"/>
          <w:highlight w:val="none"/>
          <w:u w:val="single"/>
          <w:lang w:eastAsia="zh-CN"/>
        </w:rPr>
        <w:t>中际-ZJZJGC（2025）嘉11号</w:t>
      </w:r>
      <w:r>
        <w:rPr>
          <w:rFonts w:hint="eastAsia" w:ascii="微软雅黑" w:hAnsi="微软雅黑" w:eastAsia="微软雅黑" w:cs="微软雅黑"/>
          <w:szCs w:val="21"/>
          <w:highlight w:val="none"/>
        </w:rPr>
        <w:t>)上述项目的磋商、签约等具体工作，并签署全部有关的文件、协议。</w:t>
      </w:r>
    </w:p>
    <w:p w14:paraId="712DF628">
      <w:pPr>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我单位对被授权人的签名负全部责任。</w:t>
      </w:r>
    </w:p>
    <w:p w14:paraId="73B3C97F">
      <w:pPr>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在撤销授权的书面通知以前，本授权书一直有效。被授权人签署的所有文件（在授权书有效期内签署的）不因授权的撤销而失效。</w:t>
      </w:r>
    </w:p>
    <w:p w14:paraId="1248995F">
      <w:pPr>
        <w:spacing w:line="360" w:lineRule="auto"/>
        <w:rPr>
          <w:rFonts w:ascii="微软雅黑" w:hAnsi="微软雅黑" w:eastAsia="微软雅黑" w:cs="微软雅黑"/>
          <w:szCs w:val="21"/>
          <w:highlight w:val="none"/>
        </w:rPr>
      </w:pPr>
    </w:p>
    <w:p w14:paraId="7312818F">
      <w:pPr>
        <w:spacing w:line="360" w:lineRule="auto"/>
        <w:rPr>
          <w:rFonts w:ascii="微软雅黑" w:hAnsi="微软雅黑" w:eastAsia="微软雅黑" w:cs="微软雅黑"/>
          <w:szCs w:val="21"/>
          <w:highlight w:val="none"/>
          <w:u w:val="single"/>
        </w:rPr>
      </w:pPr>
      <w:r>
        <w:rPr>
          <w:rFonts w:hint="eastAsia" w:ascii="微软雅黑" w:hAnsi="微软雅黑" w:eastAsia="微软雅黑" w:cs="微软雅黑"/>
          <w:szCs w:val="21"/>
          <w:highlight w:val="none"/>
        </w:rPr>
        <w:t>被授权人签名：                 授权人签名：</w:t>
      </w:r>
    </w:p>
    <w:p w14:paraId="22BA6823">
      <w:pPr>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职务：                         职务：</w:t>
      </w:r>
    </w:p>
    <w:p w14:paraId="1F1FDDAB">
      <w:pPr>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被授权人身份证号码：</w:t>
      </w:r>
    </w:p>
    <w:p w14:paraId="5978A33C">
      <w:pPr>
        <w:spacing w:line="360" w:lineRule="auto"/>
        <w:rPr>
          <w:rFonts w:ascii="微软雅黑" w:hAnsi="微软雅黑" w:eastAsia="微软雅黑" w:cs="微软雅黑"/>
          <w:szCs w:val="21"/>
          <w:highlight w:val="none"/>
        </w:rPr>
      </w:pPr>
    </w:p>
    <w:p w14:paraId="709CFC0E">
      <w:pPr>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附授权人(法定代表人)及被授权人的身份证复印件正反面:</w:t>
      </w:r>
    </w:p>
    <w:p w14:paraId="1E9ECA75">
      <w:pPr>
        <w:spacing w:line="360" w:lineRule="auto"/>
        <w:jc w:val="center"/>
        <w:rPr>
          <w:rFonts w:ascii="微软雅黑" w:hAnsi="微软雅黑" w:eastAsia="微软雅黑" w:cs="微软雅黑"/>
          <w:szCs w:val="21"/>
          <w:highlight w:val="none"/>
        </w:rPr>
      </w:pPr>
    </w:p>
    <w:p w14:paraId="21232060">
      <w:pPr>
        <w:spacing w:line="360" w:lineRule="auto"/>
        <w:jc w:val="right"/>
        <w:rPr>
          <w:rFonts w:ascii="微软雅黑" w:hAnsi="微软雅黑" w:eastAsia="微软雅黑" w:cs="微软雅黑"/>
          <w:szCs w:val="21"/>
          <w:highlight w:val="none"/>
          <w:u w:val="single"/>
        </w:rPr>
      </w:pPr>
      <w:r>
        <w:rPr>
          <w:rFonts w:hint="eastAsia" w:ascii="微软雅黑" w:hAnsi="微软雅黑" w:eastAsia="微软雅黑" w:cs="微软雅黑"/>
          <w:szCs w:val="21"/>
          <w:highlight w:val="none"/>
        </w:rPr>
        <w:t>供应商公章：</w:t>
      </w:r>
    </w:p>
    <w:p w14:paraId="2DAB4042">
      <w:pPr>
        <w:spacing w:line="360" w:lineRule="auto"/>
        <w:ind w:firstLine="3150" w:firstLineChars="1500"/>
        <w:jc w:val="righ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年  月   日</w:t>
      </w:r>
    </w:p>
    <w:p w14:paraId="2E247DE2">
      <w:pPr>
        <w:spacing w:line="360" w:lineRule="auto"/>
        <w:ind w:firstLine="3360" w:firstLineChars="1600"/>
        <w:rPr>
          <w:rFonts w:ascii="微软雅黑" w:hAnsi="微软雅黑" w:eastAsia="微软雅黑" w:cs="微软雅黑"/>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linePitch="312" w:charSpace="0"/>
        </w:sectPr>
      </w:pPr>
    </w:p>
    <w:p w14:paraId="1D0A1FF7">
      <w:pPr>
        <w:snapToGrid w:val="0"/>
        <w:spacing w:line="360" w:lineRule="auto"/>
        <w:jc w:val="left"/>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投标人的类似成功案例的业绩证明文件：</w:t>
      </w:r>
    </w:p>
    <w:p w14:paraId="657EC332">
      <w:pPr>
        <w:pStyle w:val="39"/>
        <w:snapToGrid w:val="0"/>
        <w:spacing w:line="360" w:lineRule="auto"/>
        <w:ind w:left="420" w:hanging="42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投标人同类项目实施情况一览表格式：</w:t>
      </w: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14"/>
        <w:gridCol w:w="3581"/>
        <w:gridCol w:w="1730"/>
        <w:gridCol w:w="2553"/>
        <w:gridCol w:w="1935"/>
        <w:gridCol w:w="2419"/>
      </w:tblGrid>
      <w:tr w14:paraId="58CEC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5" w:hRule="atLeast"/>
        </w:trPr>
        <w:tc>
          <w:tcPr>
            <w:tcW w:w="1914" w:type="dxa"/>
            <w:tcBorders>
              <w:top w:val="single" w:color="auto" w:sz="4" w:space="0"/>
              <w:left w:val="single" w:color="auto" w:sz="4" w:space="0"/>
              <w:bottom w:val="single" w:color="auto" w:sz="4" w:space="0"/>
              <w:right w:val="single" w:color="auto" w:sz="4" w:space="0"/>
            </w:tcBorders>
            <w:vAlign w:val="center"/>
          </w:tcPr>
          <w:p w14:paraId="27F13843">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采购单位名称</w:t>
            </w:r>
          </w:p>
        </w:tc>
        <w:tc>
          <w:tcPr>
            <w:tcW w:w="3581" w:type="dxa"/>
            <w:tcBorders>
              <w:top w:val="single" w:color="auto" w:sz="4" w:space="0"/>
              <w:left w:val="single" w:color="auto" w:sz="4" w:space="0"/>
              <w:bottom w:val="single" w:color="auto" w:sz="4" w:space="0"/>
              <w:right w:val="single" w:color="auto" w:sz="4" w:space="0"/>
            </w:tcBorders>
            <w:vAlign w:val="center"/>
          </w:tcPr>
          <w:p w14:paraId="4F05F03E">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项目名称</w:t>
            </w:r>
          </w:p>
        </w:tc>
        <w:tc>
          <w:tcPr>
            <w:tcW w:w="1730" w:type="dxa"/>
            <w:tcBorders>
              <w:top w:val="single" w:color="auto" w:sz="4" w:space="0"/>
              <w:left w:val="single" w:color="auto" w:sz="4" w:space="0"/>
              <w:bottom w:val="single" w:color="auto" w:sz="4" w:space="0"/>
              <w:right w:val="single" w:color="auto" w:sz="4" w:space="0"/>
            </w:tcBorders>
            <w:vAlign w:val="center"/>
          </w:tcPr>
          <w:p w14:paraId="3EFEE3A7">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日期</w:t>
            </w:r>
          </w:p>
        </w:tc>
        <w:tc>
          <w:tcPr>
            <w:tcW w:w="2553" w:type="dxa"/>
            <w:tcBorders>
              <w:top w:val="single" w:color="auto" w:sz="4" w:space="0"/>
              <w:left w:val="single" w:color="auto" w:sz="4" w:space="0"/>
              <w:bottom w:val="single" w:color="auto" w:sz="4" w:space="0"/>
              <w:right w:val="single" w:color="auto" w:sz="4" w:space="0"/>
            </w:tcBorders>
            <w:vAlign w:val="center"/>
          </w:tcPr>
          <w:p w14:paraId="306167D5">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合同金额</w:t>
            </w:r>
          </w:p>
          <w:p w14:paraId="4CA401E9">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（万元）</w:t>
            </w:r>
          </w:p>
        </w:tc>
        <w:tc>
          <w:tcPr>
            <w:tcW w:w="1935" w:type="dxa"/>
            <w:tcBorders>
              <w:top w:val="single" w:color="auto" w:sz="4" w:space="0"/>
              <w:left w:val="single" w:color="auto" w:sz="4" w:space="0"/>
              <w:right w:val="single" w:color="auto" w:sz="4" w:space="0"/>
            </w:tcBorders>
            <w:vAlign w:val="center"/>
          </w:tcPr>
          <w:p w14:paraId="17C45BEB">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有效证明文件</w:t>
            </w:r>
          </w:p>
        </w:tc>
        <w:tc>
          <w:tcPr>
            <w:tcW w:w="2419" w:type="dxa"/>
            <w:tcBorders>
              <w:top w:val="single" w:color="auto" w:sz="4" w:space="0"/>
              <w:left w:val="single" w:color="auto" w:sz="4" w:space="0"/>
              <w:bottom w:val="single" w:color="auto" w:sz="4" w:space="0"/>
              <w:right w:val="single" w:color="auto" w:sz="4" w:space="0"/>
            </w:tcBorders>
            <w:vAlign w:val="center"/>
          </w:tcPr>
          <w:p w14:paraId="114AC923">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采购单位联系人及</w:t>
            </w:r>
          </w:p>
          <w:p w14:paraId="54B2C21B">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联系电话</w:t>
            </w:r>
          </w:p>
        </w:tc>
      </w:tr>
      <w:tr w14:paraId="3BE74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914" w:type="dxa"/>
            <w:tcBorders>
              <w:top w:val="single" w:color="auto" w:sz="4" w:space="0"/>
              <w:left w:val="single" w:color="auto" w:sz="4" w:space="0"/>
              <w:bottom w:val="single" w:color="auto" w:sz="4" w:space="0"/>
              <w:right w:val="single" w:color="auto" w:sz="4" w:space="0"/>
            </w:tcBorders>
          </w:tcPr>
          <w:p w14:paraId="20426F3A">
            <w:pPr>
              <w:snapToGrid w:val="0"/>
              <w:spacing w:line="360" w:lineRule="auto"/>
              <w:jc w:val="left"/>
              <w:rPr>
                <w:rFonts w:ascii="微软雅黑" w:hAnsi="微软雅黑" w:eastAsia="微软雅黑" w:cs="微软雅黑"/>
                <w:szCs w:val="21"/>
                <w:highlight w:val="none"/>
              </w:rPr>
            </w:pPr>
          </w:p>
        </w:tc>
        <w:tc>
          <w:tcPr>
            <w:tcW w:w="3581" w:type="dxa"/>
            <w:tcBorders>
              <w:top w:val="single" w:color="auto" w:sz="4" w:space="0"/>
              <w:left w:val="single" w:color="auto" w:sz="4" w:space="0"/>
              <w:bottom w:val="single" w:color="auto" w:sz="4" w:space="0"/>
              <w:right w:val="single" w:color="auto" w:sz="4" w:space="0"/>
            </w:tcBorders>
          </w:tcPr>
          <w:p w14:paraId="75DCB82C">
            <w:pPr>
              <w:snapToGrid w:val="0"/>
              <w:spacing w:line="360" w:lineRule="auto"/>
              <w:jc w:val="left"/>
              <w:rPr>
                <w:rFonts w:ascii="微软雅黑" w:hAnsi="微软雅黑" w:eastAsia="微软雅黑" w:cs="微软雅黑"/>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14:paraId="489B195B">
            <w:pPr>
              <w:snapToGrid w:val="0"/>
              <w:spacing w:line="360" w:lineRule="auto"/>
              <w:jc w:val="left"/>
              <w:rPr>
                <w:rFonts w:ascii="微软雅黑" w:hAnsi="微软雅黑" w:eastAsia="微软雅黑" w:cs="微软雅黑"/>
                <w:szCs w:val="21"/>
                <w:highlight w:val="none"/>
              </w:rPr>
            </w:pPr>
          </w:p>
        </w:tc>
        <w:tc>
          <w:tcPr>
            <w:tcW w:w="2553" w:type="dxa"/>
            <w:tcBorders>
              <w:top w:val="single" w:color="auto" w:sz="4" w:space="0"/>
              <w:left w:val="single" w:color="auto" w:sz="4" w:space="0"/>
              <w:bottom w:val="single" w:color="auto" w:sz="4" w:space="0"/>
              <w:right w:val="single" w:color="auto" w:sz="4" w:space="0"/>
            </w:tcBorders>
          </w:tcPr>
          <w:p w14:paraId="0DAD29C8">
            <w:pPr>
              <w:snapToGrid w:val="0"/>
              <w:spacing w:line="360" w:lineRule="auto"/>
              <w:jc w:val="left"/>
              <w:rPr>
                <w:rFonts w:ascii="微软雅黑" w:hAnsi="微软雅黑" w:eastAsia="微软雅黑" w:cs="微软雅黑"/>
                <w:szCs w:val="21"/>
                <w:highlight w:val="none"/>
              </w:rPr>
            </w:pPr>
          </w:p>
        </w:tc>
        <w:tc>
          <w:tcPr>
            <w:tcW w:w="1935" w:type="dxa"/>
            <w:tcBorders>
              <w:top w:val="single" w:color="auto" w:sz="4" w:space="0"/>
              <w:left w:val="single" w:color="auto" w:sz="4" w:space="0"/>
              <w:bottom w:val="single" w:color="auto" w:sz="4" w:space="0"/>
              <w:right w:val="single" w:color="auto" w:sz="4" w:space="0"/>
            </w:tcBorders>
          </w:tcPr>
          <w:p w14:paraId="5A65A4CB">
            <w:pPr>
              <w:snapToGrid w:val="0"/>
              <w:spacing w:line="360" w:lineRule="auto"/>
              <w:jc w:val="left"/>
              <w:rPr>
                <w:rFonts w:ascii="微软雅黑" w:hAnsi="微软雅黑" w:eastAsia="微软雅黑" w:cs="微软雅黑"/>
                <w:szCs w:val="21"/>
                <w:highlight w:val="none"/>
              </w:rPr>
            </w:pPr>
          </w:p>
        </w:tc>
        <w:tc>
          <w:tcPr>
            <w:tcW w:w="2419" w:type="dxa"/>
            <w:tcBorders>
              <w:top w:val="single" w:color="auto" w:sz="4" w:space="0"/>
              <w:left w:val="single" w:color="auto" w:sz="4" w:space="0"/>
              <w:bottom w:val="single" w:color="auto" w:sz="4" w:space="0"/>
              <w:right w:val="single" w:color="auto" w:sz="4" w:space="0"/>
            </w:tcBorders>
          </w:tcPr>
          <w:p w14:paraId="4A47CD4A">
            <w:pPr>
              <w:snapToGrid w:val="0"/>
              <w:spacing w:line="360" w:lineRule="auto"/>
              <w:jc w:val="left"/>
              <w:rPr>
                <w:rFonts w:ascii="微软雅黑" w:hAnsi="微软雅黑" w:eastAsia="微软雅黑" w:cs="微软雅黑"/>
                <w:szCs w:val="21"/>
                <w:highlight w:val="none"/>
              </w:rPr>
            </w:pPr>
          </w:p>
        </w:tc>
      </w:tr>
      <w:tr w14:paraId="47D34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914" w:type="dxa"/>
            <w:tcBorders>
              <w:top w:val="single" w:color="auto" w:sz="4" w:space="0"/>
              <w:left w:val="single" w:color="auto" w:sz="4" w:space="0"/>
              <w:bottom w:val="single" w:color="auto" w:sz="4" w:space="0"/>
              <w:right w:val="single" w:color="auto" w:sz="4" w:space="0"/>
            </w:tcBorders>
          </w:tcPr>
          <w:p w14:paraId="2FFC839F">
            <w:pPr>
              <w:snapToGrid w:val="0"/>
              <w:spacing w:line="360" w:lineRule="auto"/>
              <w:jc w:val="left"/>
              <w:rPr>
                <w:rFonts w:ascii="微软雅黑" w:hAnsi="微软雅黑" w:eastAsia="微软雅黑" w:cs="微软雅黑"/>
                <w:szCs w:val="21"/>
                <w:highlight w:val="none"/>
              </w:rPr>
            </w:pPr>
          </w:p>
        </w:tc>
        <w:tc>
          <w:tcPr>
            <w:tcW w:w="3581" w:type="dxa"/>
            <w:tcBorders>
              <w:top w:val="single" w:color="auto" w:sz="4" w:space="0"/>
              <w:left w:val="single" w:color="auto" w:sz="4" w:space="0"/>
              <w:bottom w:val="single" w:color="auto" w:sz="4" w:space="0"/>
              <w:right w:val="single" w:color="auto" w:sz="4" w:space="0"/>
            </w:tcBorders>
          </w:tcPr>
          <w:p w14:paraId="5CE7CE41">
            <w:pPr>
              <w:snapToGrid w:val="0"/>
              <w:spacing w:line="360" w:lineRule="auto"/>
              <w:jc w:val="left"/>
              <w:rPr>
                <w:rFonts w:ascii="微软雅黑" w:hAnsi="微软雅黑" w:eastAsia="微软雅黑" w:cs="微软雅黑"/>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14:paraId="7E3C77DF">
            <w:pPr>
              <w:snapToGrid w:val="0"/>
              <w:spacing w:line="360" w:lineRule="auto"/>
              <w:jc w:val="left"/>
              <w:rPr>
                <w:rFonts w:ascii="微软雅黑" w:hAnsi="微软雅黑" w:eastAsia="微软雅黑" w:cs="微软雅黑"/>
                <w:szCs w:val="21"/>
                <w:highlight w:val="none"/>
              </w:rPr>
            </w:pPr>
          </w:p>
        </w:tc>
        <w:tc>
          <w:tcPr>
            <w:tcW w:w="2553" w:type="dxa"/>
            <w:tcBorders>
              <w:top w:val="single" w:color="auto" w:sz="4" w:space="0"/>
              <w:left w:val="single" w:color="auto" w:sz="4" w:space="0"/>
              <w:bottom w:val="single" w:color="auto" w:sz="4" w:space="0"/>
              <w:right w:val="single" w:color="auto" w:sz="4" w:space="0"/>
            </w:tcBorders>
          </w:tcPr>
          <w:p w14:paraId="3EA8255D">
            <w:pPr>
              <w:snapToGrid w:val="0"/>
              <w:spacing w:line="360" w:lineRule="auto"/>
              <w:jc w:val="left"/>
              <w:rPr>
                <w:rFonts w:ascii="微软雅黑" w:hAnsi="微软雅黑" w:eastAsia="微软雅黑" w:cs="微软雅黑"/>
                <w:szCs w:val="21"/>
                <w:highlight w:val="none"/>
              </w:rPr>
            </w:pPr>
          </w:p>
        </w:tc>
        <w:tc>
          <w:tcPr>
            <w:tcW w:w="1935" w:type="dxa"/>
            <w:tcBorders>
              <w:top w:val="single" w:color="auto" w:sz="4" w:space="0"/>
              <w:left w:val="single" w:color="auto" w:sz="4" w:space="0"/>
              <w:bottom w:val="single" w:color="auto" w:sz="4" w:space="0"/>
              <w:right w:val="single" w:color="auto" w:sz="4" w:space="0"/>
            </w:tcBorders>
          </w:tcPr>
          <w:p w14:paraId="20B4F3AD">
            <w:pPr>
              <w:snapToGrid w:val="0"/>
              <w:spacing w:line="360" w:lineRule="auto"/>
              <w:jc w:val="left"/>
              <w:rPr>
                <w:rFonts w:ascii="微软雅黑" w:hAnsi="微软雅黑" w:eastAsia="微软雅黑" w:cs="微软雅黑"/>
                <w:szCs w:val="21"/>
                <w:highlight w:val="none"/>
              </w:rPr>
            </w:pPr>
          </w:p>
        </w:tc>
        <w:tc>
          <w:tcPr>
            <w:tcW w:w="2419" w:type="dxa"/>
            <w:tcBorders>
              <w:top w:val="single" w:color="auto" w:sz="4" w:space="0"/>
              <w:left w:val="single" w:color="auto" w:sz="4" w:space="0"/>
              <w:bottom w:val="single" w:color="auto" w:sz="4" w:space="0"/>
              <w:right w:val="single" w:color="auto" w:sz="4" w:space="0"/>
            </w:tcBorders>
          </w:tcPr>
          <w:p w14:paraId="7E71B1C0">
            <w:pPr>
              <w:snapToGrid w:val="0"/>
              <w:spacing w:line="360" w:lineRule="auto"/>
              <w:jc w:val="left"/>
              <w:rPr>
                <w:rFonts w:ascii="微软雅黑" w:hAnsi="微软雅黑" w:eastAsia="微软雅黑" w:cs="微软雅黑"/>
                <w:szCs w:val="21"/>
                <w:highlight w:val="none"/>
              </w:rPr>
            </w:pPr>
          </w:p>
        </w:tc>
      </w:tr>
      <w:tr w14:paraId="1F447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914" w:type="dxa"/>
            <w:tcBorders>
              <w:top w:val="single" w:color="auto" w:sz="4" w:space="0"/>
              <w:left w:val="single" w:color="auto" w:sz="4" w:space="0"/>
              <w:bottom w:val="single" w:color="auto" w:sz="4" w:space="0"/>
              <w:right w:val="single" w:color="auto" w:sz="4" w:space="0"/>
            </w:tcBorders>
          </w:tcPr>
          <w:p w14:paraId="05DD14AF">
            <w:pPr>
              <w:snapToGrid w:val="0"/>
              <w:spacing w:line="360" w:lineRule="auto"/>
              <w:jc w:val="left"/>
              <w:rPr>
                <w:rFonts w:ascii="微软雅黑" w:hAnsi="微软雅黑" w:eastAsia="微软雅黑" w:cs="微软雅黑"/>
                <w:szCs w:val="21"/>
                <w:highlight w:val="none"/>
              </w:rPr>
            </w:pPr>
          </w:p>
        </w:tc>
        <w:tc>
          <w:tcPr>
            <w:tcW w:w="3581" w:type="dxa"/>
            <w:tcBorders>
              <w:top w:val="single" w:color="auto" w:sz="4" w:space="0"/>
              <w:left w:val="single" w:color="auto" w:sz="4" w:space="0"/>
              <w:bottom w:val="single" w:color="auto" w:sz="4" w:space="0"/>
              <w:right w:val="single" w:color="auto" w:sz="4" w:space="0"/>
            </w:tcBorders>
          </w:tcPr>
          <w:p w14:paraId="140AFC41">
            <w:pPr>
              <w:snapToGrid w:val="0"/>
              <w:spacing w:line="360" w:lineRule="auto"/>
              <w:jc w:val="left"/>
              <w:rPr>
                <w:rFonts w:ascii="微软雅黑" w:hAnsi="微软雅黑" w:eastAsia="微软雅黑" w:cs="微软雅黑"/>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14:paraId="3164053D">
            <w:pPr>
              <w:snapToGrid w:val="0"/>
              <w:spacing w:line="360" w:lineRule="auto"/>
              <w:jc w:val="left"/>
              <w:rPr>
                <w:rFonts w:ascii="微软雅黑" w:hAnsi="微软雅黑" w:eastAsia="微软雅黑" w:cs="微软雅黑"/>
                <w:szCs w:val="21"/>
                <w:highlight w:val="none"/>
              </w:rPr>
            </w:pPr>
          </w:p>
        </w:tc>
        <w:tc>
          <w:tcPr>
            <w:tcW w:w="2553" w:type="dxa"/>
            <w:tcBorders>
              <w:top w:val="single" w:color="auto" w:sz="4" w:space="0"/>
              <w:left w:val="single" w:color="auto" w:sz="4" w:space="0"/>
              <w:bottom w:val="single" w:color="auto" w:sz="4" w:space="0"/>
              <w:right w:val="single" w:color="auto" w:sz="4" w:space="0"/>
            </w:tcBorders>
          </w:tcPr>
          <w:p w14:paraId="6CA557B4">
            <w:pPr>
              <w:snapToGrid w:val="0"/>
              <w:spacing w:line="360" w:lineRule="auto"/>
              <w:jc w:val="left"/>
              <w:rPr>
                <w:rFonts w:ascii="微软雅黑" w:hAnsi="微软雅黑" w:eastAsia="微软雅黑" w:cs="微软雅黑"/>
                <w:szCs w:val="21"/>
                <w:highlight w:val="none"/>
              </w:rPr>
            </w:pPr>
          </w:p>
        </w:tc>
        <w:tc>
          <w:tcPr>
            <w:tcW w:w="1935" w:type="dxa"/>
            <w:tcBorders>
              <w:top w:val="single" w:color="auto" w:sz="4" w:space="0"/>
              <w:left w:val="single" w:color="auto" w:sz="4" w:space="0"/>
              <w:bottom w:val="single" w:color="auto" w:sz="4" w:space="0"/>
              <w:right w:val="single" w:color="auto" w:sz="4" w:space="0"/>
            </w:tcBorders>
          </w:tcPr>
          <w:p w14:paraId="42F39A7A">
            <w:pPr>
              <w:snapToGrid w:val="0"/>
              <w:spacing w:line="360" w:lineRule="auto"/>
              <w:jc w:val="left"/>
              <w:rPr>
                <w:rFonts w:ascii="微软雅黑" w:hAnsi="微软雅黑" w:eastAsia="微软雅黑" w:cs="微软雅黑"/>
                <w:szCs w:val="21"/>
                <w:highlight w:val="none"/>
              </w:rPr>
            </w:pPr>
          </w:p>
        </w:tc>
        <w:tc>
          <w:tcPr>
            <w:tcW w:w="2419" w:type="dxa"/>
            <w:tcBorders>
              <w:top w:val="single" w:color="auto" w:sz="4" w:space="0"/>
              <w:left w:val="single" w:color="auto" w:sz="4" w:space="0"/>
              <w:bottom w:val="single" w:color="auto" w:sz="4" w:space="0"/>
              <w:right w:val="single" w:color="auto" w:sz="4" w:space="0"/>
            </w:tcBorders>
          </w:tcPr>
          <w:p w14:paraId="54F800DB">
            <w:pPr>
              <w:snapToGrid w:val="0"/>
              <w:spacing w:line="360" w:lineRule="auto"/>
              <w:jc w:val="left"/>
              <w:rPr>
                <w:rFonts w:ascii="微软雅黑" w:hAnsi="微软雅黑" w:eastAsia="微软雅黑" w:cs="微软雅黑"/>
                <w:szCs w:val="21"/>
                <w:highlight w:val="none"/>
              </w:rPr>
            </w:pPr>
          </w:p>
        </w:tc>
      </w:tr>
      <w:tr w14:paraId="0164B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914" w:type="dxa"/>
            <w:tcBorders>
              <w:top w:val="single" w:color="auto" w:sz="4" w:space="0"/>
              <w:left w:val="single" w:color="auto" w:sz="4" w:space="0"/>
              <w:bottom w:val="single" w:color="auto" w:sz="4" w:space="0"/>
              <w:right w:val="single" w:color="auto" w:sz="4" w:space="0"/>
            </w:tcBorders>
          </w:tcPr>
          <w:p w14:paraId="5BE6F725">
            <w:pPr>
              <w:snapToGrid w:val="0"/>
              <w:spacing w:line="360" w:lineRule="auto"/>
              <w:jc w:val="left"/>
              <w:rPr>
                <w:rFonts w:ascii="微软雅黑" w:hAnsi="微软雅黑" w:eastAsia="微软雅黑" w:cs="微软雅黑"/>
                <w:szCs w:val="21"/>
                <w:highlight w:val="none"/>
              </w:rPr>
            </w:pPr>
          </w:p>
        </w:tc>
        <w:tc>
          <w:tcPr>
            <w:tcW w:w="3581" w:type="dxa"/>
            <w:tcBorders>
              <w:top w:val="single" w:color="auto" w:sz="4" w:space="0"/>
              <w:left w:val="single" w:color="auto" w:sz="4" w:space="0"/>
              <w:bottom w:val="single" w:color="auto" w:sz="4" w:space="0"/>
              <w:right w:val="single" w:color="auto" w:sz="4" w:space="0"/>
            </w:tcBorders>
          </w:tcPr>
          <w:p w14:paraId="29EE91AA">
            <w:pPr>
              <w:snapToGrid w:val="0"/>
              <w:spacing w:line="360" w:lineRule="auto"/>
              <w:jc w:val="left"/>
              <w:rPr>
                <w:rFonts w:ascii="微软雅黑" w:hAnsi="微软雅黑" w:eastAsia="微软雅黑" w:cs="微软雅黑"/>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14:paraId="3D62EB9D">
            <w:pPr>
              <w:snapToGrid w:val="0"/>
              <w:spacing w:line="360" w:lineRule="auto"/>
              <w:jc w:val="left"/>
              <w:rPr>
                <w:rFonts w:ascii="微软雅黑" w:hAnsi="微软雅黑" w:eastAsia="微软雅黑" w:cs="微软雅黑"/>
                <w:szCs w:val="21"/>
                <w:highlight w:val="none"/>
              </w:rPr>
            </w:pPr>
          </w:p>
        </w:tc>
        <w:tc>
          <w:tcPr>
            <w:tcW w:w="2553" w:type="dxa"/>
            <w:tcBorders>
              <w:top w:val="single" w:color="auto" w:sz="4" w:space="0"/>
              <w:left w:val="single" w:color="auto" w:sz="4" w:space="0"/>
              <w:bottom w:val="single" w:color="auto" w:sz="4" w:space="0"/>
              <w:right w:val="single" w:color="auto" w:sz="4" w:space="0"/>
            </w:tcBorders>
          </w:tcPr>
          <w:p w14:paraId="736B4071">
            <w:pPr>
              <w:snapToGrid w:val="0"/>
              <w:spacing w:line="360" w:lineRule="auto"/>
              <w:jc w:val="left"/>
              <w:rPr>
                <w:rFonts w:ascii="微软雅黑" w:hAnsi="微软雅黑" w:eastAsia="微软雅黑" w:cs="微软雅黑"/>
                <w:szCs w:val="21"/>
                <w:highlight w:val="none"/>
              </w:rPr>
            </w:pPr>
          </w:p>
        </w:tc>
        <w:tc>
          <w:tcPr>
            <w:tcW w:w="1935" w:type="dxa"/>
            <w:tcBorders>
              <w:top w:val="single" w:color="auto" w:sz="4" w:space="0"/>
              <w:left w:val="single" w:color="auto" w:sz="4" w:space="0"/>
              <w:bottom w:val="single" w:color="auto" w:sz="4" w:space="0"/>
              <w:right w:val="single" w:color="auto" w:sz="4" w:space="0"/>
            </w:tcBorders>
          </w:tcPr>
          <w:p w14:paraId="2B403C0C">
            <w:pPr>
              <w:snapToGrid w:val="0"/>
              <w:spacing w:line="360" w:lineRule="auto"/>
              <w:jc w:val="left"/>
              <w:rPr>
                <w:rFonts w:ascii="微软雅黑" w:hAnsi="微软雅黑" w:eastAsia="微软雅黑" w:cs="微软雅黑"/>
                <w:szCs w:val="21"/>
                <w:highlight w:val="none"/>
              </w:rPr>
            </w:pPr>
          </w:p>
        </w:tc>
        <w:tc>
          <w:tcPr>
            <w:tcW w:w="2419" w:type="dxa"/>
            <w:tcBorders>
              <w:top w:val="single" w:color="auto" w:sz="4" w:space="0"/>
              <w:left w:val="single" w:color="auto" w:sz="4" w:space="0"/>
              <w:bottom w:val="single" w:color="auto" w:sz="4" w:space="0"/>
              <w:right w:val="single" w:color="auto" w:sz="4" w:space="0"/>
            </w:tcBorders>
          </w:tcPr>
          <w:p w14:paraId="26958BCA">
            <w:pPr>
              <w:snapToGrid w:val="0"/>
              <w:spacing w:line="360" w:lineRule="auto"/>
              <w:jc w:val="left"/>
              <w:rPr>
                <w:rFonts w:ascii="微软雅黑" w:hAnsi="微软雅黑" w:eastAsia="微软雅黑" w:cs="微软雅黑"/>
                <w:szCs w:val="21"/>
                <w:highlight w:val="none"/>
              </w:rPr>
            </w:pPr>
          </w:p>
        </w:tc>
      </w:tr>
    </w:tbl>
    <w:p w14:paraId="31FC6016">
      <w:pPr>
        <w:pStyle w:val="15"/>
        <w:snapToGrid w:val="0"/>
        <w:spacing w:before="0" w:after="0" w:line="360" w:lineRule="auto"/>
        <w:rPr>
          <w:rFonts w:ascii="微软雅黑" w:hAnsi="微软雅黑" w:eastAsia="微软雅黑" w:cs="微软雅黑"/>
          <w:sz w:val="21"/>
          <w:szCs w:val="21"/>
          <w:highlight w:val="none"/>
        </w:rPr>
      </w:pPr>
    </w:p>
    <w:p w14:paraId="3ED90A9A">
      <w:pPr>
        <w:snapToGrid w:val="0"/>
        <w:spacing w:line="360" w:lineRule="auto"/>
        <w:rPr>
          <w:rFonts w:hint="eastAsia" w:ascii="微软雅黑" w:hAnsi="微软雅黑" w:eastAsia="微软雅黑" w:cs="微软雅黑"/>
          <w:szCs w:val="21"/>
          <w:highlight w:val="none"/>
          <w:shd w:val="clear" w:color="auto" w:fill="FFFFFF"/>
          <w:lang w:eastAsia="zh-CN"/>
        </w:rPr>
      </w:pPr>
      <w:r>
        <w:rPr>
          <w:rFonts w:hint="eastAsia" w:ascii="微软雅黑" w:hAnsi="微软雅黑" w:eastAsia="微软雅黑" w:cs="微软雅黑"/>
          <w:szCs w:val="21"/>
          <w:highlight w:val="none"/>
          <w:shd w:val="clear" w:color="auto" w:fill="FFFFFF"/>
        </w:rPr>
        <w:t>投标人名称：（盖章）</w:t>
      </w:r>
    </w:p>
    <w:p w14:paraId="4D04B921">
      <w:pPr>
        <w:snapToGrid w:val="0"/>
        <w:spacing w:line="360" w:lineRule="auto"/>
        <w:rPr>
          <w:rFonts w:hint="eastAsia" w:ascii="微软雅黑" w:hAnsi="微软雅黑" w:eastAsia="微软雅黑" w:cs="微软雅黑"/>
          <w:szCs w:val="21"/>
          <w:highlight w:val="none"/>
          <w:shd w:val="clear" w:color="auto" w:fill="FFFFFF"/>
          <w:lang w:eastAsia="zh-CN"/>
        </w:rPr>
      </w:pPr>
      <w:r>
        <w:rPr>
          <w:rFonts w:hint="eastAsia" w:ascii="微软雅黑" w:hAnsi="微软雅黑" w:eastAsia="微软雅黑" w:cs="微软雅黑"/>
          <w:szCs w:val="21"/>
          <w:highlight w:val="none"/>
          <w:shd w:val="clear" w:color="auto" w:fill="FFFFFF"/>
        </w:rPr>
        <w:t>法定代表人或</w:t>
      </w:r>
      <w:r>
        <w:rPr>
          <w:rFonts w:hint="eastAsia" w:ascii="微软雅黑" w:hAnsi="微软雅黑" w:eastAsia="微软雅黑" w:cs="微软雅黑"/>
          <w:szCs w:val="21"/>
          <w:highlight w:val="none"/>
        </w:rPr>
        <w:t>被授权人</w:t>
      </w:r>
      <w:r>
        <w:rPr>
          <w:rFonts w:hint="eastAsia" w:ascii="微软雅黑" w:hAnsi="微软雅黑" w:eastAsia="微软雅黑" w:cs="微软雅黑"/>
          <w:szCs w:val="21"/>
          <w:highlight w:val="none"/>
          <w:shd w:val="clear" w:color="auto" w:fill="FFFFFF"/>
        </w:rPr>
        <w:t>（签字或盖章）：</w:t>
      </w:r>
    </w:p>
    <w:p w14:paraId="0080CFC7">
      <w:pPr>
        <w:snapToGrid w:val="0"/>
        <w:spacing w:line="360" w:lineRule="auto"/>
        <w:rPr>
          <w:rFonts w:ascii="微软雅黑" w:hAnsi="微软雅黑" w:eastAsia="微软雅黑" w:cs="微软雅黑"/>
          <w:szCs w:val="21"/>
          <w:highlight w:val="none"/>
          <w:u w:val="single"/>
        </w:rPr>
      </w:pPr>
      <w:r>
        <w:rPr>
          <w:rFonts w:hint="eastAsia" w:ascii="微软雅黑" w:hAnsi="微软雅黑" w:eastAsia="微软雅黑" w:cs="微软雅黑"/>
          <w:szCs w:val="21"/>
          <w:highlight w:val="none"/>
          <w:shd w:val="clear" w:color="auto" w:fill="FFFFFF"/>
        </w:rPr>
        <w:t>投标日期：年月日</w:t>
      </w:r>
    </w:p>
    <w:p w14:paraId="00967A1E">
      <w:pPr>
        <w:snapToGrid w:val="0"/>
        <w:spacing w:line="360" w:lineRule="auto"/>
        <w:jc w:val="left"/>
        <w:rPr>
          <w:rFonts w:ascii="微软雅黑" w:hAnsi="微软雅黑" w:eastAsia="微软雅黑" w:cs="微软雅黑"/>
          <w:b/>
          <w:szCs w:val="21"/>
          <w:highlight w:val="none"/>
        </w:rPr>
        <w:sectPr>
          <w:pgSz w:w="16838" w:h="11906" w:orient="landscape"/>
          <w:pgMar w:top="1440" w:right="1800" w:bottom="1440" w:left="1800" w:header="851" w:footer="851" w:gutter="0"/>
          <w:pgBorders>
            <w:top w:val="none" w:sz="0" w:space="0"/>
            <w:left w:val="none" w:sz="0" w:space="0"/>
            <w:bottom w:val="none" w:sz="0" w:space="0"/>
            <w:right w:val="none" w:sz="0" w:space="0"/>
          </w:pgBorders>
          <w:cols w:space="720" w:num="1"/>
        </w:sectPr>
      </w:pPr>
    </w:p>
    <w:p w14:paraId="3511DB5B">
      <w:pPr>
        <w:snapToGrid w:val="0"/>
        <w:spacing w:line="360" w:lineRule="auto"/>
        <w:jc w:val="left"/>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项目实施人员一览表格式：</w:t>
      </w:r>
    </w:p>
    <w:p w14:paraId="799E2EC2">
      <w:pPr>
        <w:snapToGrid w:val="0"/>
        <w:spacing w:line="360" w:lineRule="auto"/>
        <w:jc w:val="center"/>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项目实施人员（主要从业人员及其技术资格）一览表</w:t>
      </w:r>
    </w:p>
    <w:p w14:paraId="20CF57C0">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项目名称：</w:t>
      </w:r>
    </w:p>
    <w:tbl>
      <w:tblPr>
        <w:tblStyle w:val="53"/>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1"/>
        <w:gridCol w:w="1155"/>
        <w:gridCol w:w="1680"/>
        <w:gridCol w:w="1470"/>
        <w:gridCol w:w="1365"/>
        <w:gridCol w:w="1560"/>
      </w:tblGrid>
      <w:tr w14:paraId="12E0C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vAlign w:val="bottom"/>
          </w:tcPr>
          <w:p w14:paraId="11B24316">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姓名</w:t>
            </w:r>
          </w:p>
        </w:tc>
        <w:tc>
          <w:tcPr>
            <w:tcW w:w="1155" w:type="dxa"/>
            <w:tcBorders>
              <w:top w:val="single" w:color="auto" w:sz="4" w:space="0"/>
              <w:left w:val="single" w:color="auto" w:sz="4" w:space="0"/>
              <w:bottom w:val="single" w:color="auto" w:sz="4" w:space="0"/>
              <w:right w:val="single" w:color="auto" w:sz="4" w:space="0"/>
            </w:tcBorders>
            <w:vAlign w:val="bottom"/>
          </w:tcPr>
          <w:p w14:paraId="6CE8F638">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职务</w:t>
            </w:r>
          </w:p>
        </w:tc>
        <w:tc>
          <w:tcPr>
            <w:tcW w:w="1680" w:type="dxa"/>
            <w:tcBorders>
              <w:top w:val="single" w:color="auto" w:sz="4" w:space="0"/>
              <w:left w:val="single" w:color="auto" w:sz="4" w:space="0"/>
              <w:bottom w:val="single" w:color="auto" w:sz="4" w:space="0"/>
              <w:right w:val="single" w:color="auto" w:sz="4" w:space="0"/>
            </w:tcBorders>
            <w:vAlign w:val="bottom"/>
          </w:tcPr>
          <w:p w14:paraId="150085B1">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专业技术资格</w:t>
            </w:r>
          </w:p>
        </w:tc>
        <w:tc>
          <w:tcPr>
            <w:tcW w:w="1470" w:type="dxa"/>
            <w:tcBorders>
              <w:top w:val="single" w:color="auto" w:sz="4" w:space="0"/>
              <w:left w:val="single" w:color="auto" w:sz="4" w:space="0"/>
              <w:bottom w:val="single" w:color="auto" w:sz="4" w:space="0"/>
              <w:right w:val="single" w:color="auto" w:sz="4" w:space="0"/>
            </w:tcBorders>
            <w:vAlign w:val="bottom"/>
          </w:tcPr>
          <w:p w14:paraId="5447BB81">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证书编号</w:t>
            </w:r>
          </w:p>
        </w:tc>
        <w:tc>
          <w:tcPr>
            <w:tcW w:w="1365" w:type="dxa"/>
            <w:tcBorders>
              <w:top w:val="single" w:color="auto" w:sz="4" w:space="0"/>
              <w:left w:val="single" w:color="auto" w:sz="4" w:space="0"/>
              <w:bottom w:val="single" w:color="auto" w:sz="4" w:space="0"/>
              <w:right w:val="single" w:color="auto" w:sz="4" w:space="0"/>
            </w:tcBorders>
            <w:vAlign w:val="bottom"/>
          </w:tcPr>
          <w:p w14:paraId="4B3C7A3C">
            <w:pPr>
              <w:snapToGrid w:val="0"/>
              <w:spacing w:line="360" w:lineRule="auto"/>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rPr>
              <w:t>参加本单位工作时间</w:t>
            </w:r>
          </w:p>
        </w:tc>
        <w:tc>
          <w:tcPr>
            <w:tcW w:w="1560" w:type="dxa"/>
            <w:tcBorders>
              <w:top w:val="single" w:color="auto" w:sz="4" w:space="0"/>
              <w:left w:val="single" w:color="auto" w:sz="4" w:space="0"/>
              <w:bottom w:val="single" w:color="auto" w:sz="4" w:space="0"/>
              <w:right w:val="single" w:color="auto" w:sz="4" w:space="0"/>
            </w:tcBorders>
            <w:vAlign w:val="bottom"/>
          </w:tcPr>
          <w:p w14:paraId="11E9D47C">
            <w:pPr>
              <w:snapToGrid w:val="0"/>
              <w:spacing w:line="360" w:lineRule="auto"/>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rPr>
              <w:t>劳动合同编号</w:t>
            </w:r>
          </w:p>
        </w:tc>
      </w:tr>
      <w:tr w14:paraId="1E78A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14:paraId="5D4B101F">
            <w:pPr>
              <w:snapToGrid w:val="0"/>
              <w:spacing w:line="360" w:lineRule="auto"/>
              <w:rPr>
                <w:rFonts w:ascii="微软雅黑" w:hAnsi="微软雅黑" w:eastAsia="微软雅黑" w:cs="微软雅黑"/>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7E803C8B">
            <w:pPr>
              <w:snapToGrid w:val="0"/>
              <w:spacing w:line="360" w:lineRule="auto"/>
              <w:rPr>
                <w:rFonts w:ascii="微软雅黑" w:hAnsi="微软雅黑" w:eastAsia="微软雅黑" w:cs="微软雅黑"/>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179526CC">
            <w:pPr>
              <w:snapToGrid w:val="0"/>
              <w:spacing w:line="360" w:lineRule="auto"/>
              <w:rPr>
                <w:rFonts w:ascii="微软雅黑" w:hAnsi="微软雅黑" w:eastAsia="微软雅黑" w:cs="微软雅黑"/>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0980F6FA">
            <w:pPr>
              <w:snapToGrid w:val="0"/>
              <w:spacing w:line="360" w:lineRule="auto"/>
              <w:rPr>
                <w:rFonts w:ascii="微软雅黑" w:hAnsi="微软雅黑" w:eastAsia="微软雅黑" w:cs="微软雅黑"/>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47219010">
            <w:pPr>
              <w:snapToGrid w:val="0"/>
              <w:spacing w:line="360" w:lineRule="auto"/>
              <w:rPr>
                <w:rFonts w:ascii="微软雅黑" w:hAnsi="微软雅黑" w:eastAsia="微软雅黑" w:cs="微软雅黑"/>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64AB99A4">
            <w:pPr>
              <w:snapToGrid w:val="0"/>
              <w:spacing w:line="360" w:lineRule="auto"/>
              <w:rPr>
                <w:rFonts w:ascii="微软雅黑" w:hAnsi="微软雅黑" w:eastAsia="微软雅黑" w:cs="微软雅黑"/>
                <w:szCs w:val="21"/>
                <w:highlight w:val="none"/>
              </w:rPr>
            </w:pPr>
          </w:p>
        </w:tc>
      </w:tr>
      <w:tr w14:paraId="6471B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14:paraId="1E47CDFF">
            <w:pPr>
              <w:snapToGrid w:val="0"/>
              <w:spacing w:line="360" w:lineRule="auto"/>
              <w:rPr>
                <w:rFonts w:ascii="微软雅黑" w:hAnsi="微软雅黑" w:eastAsia="微软雅黑" w:cs="微软雅黑"/>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5DB10089">
            <w:pPr>
              <w:snapToGrid w:val="0"/>
              <w:spacing w:line="360" w:lineRule="auto"/>
              <w:rPr>
                <w:rFonts w:ascii="微软雅黑" w:hAnsi="微软雅黑" w:eastAsia="微软雅黑" w:cs="微软雅黑"/>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3C116E08">
            <w:pPr>
              <w:snapToGrid w:val="0"/>
              <w:spacing w:line="360" w:lineRule="auto"/>
              <w:rPr>
                <w:rFonts w:ascii="微软雅黑" w:hAnsi="微软雅黑" w:eastAsia="微软雅黑" w:cs="微软雅黑"/>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098B76D2">
            <w:pPr>
              <w:snapToGrid w:val="0"/>
              <w:spacing w:line="360" w:lineRule="auto"/>
              <w:rPr>
                <w:rFonts w:ascii="微软雅黑" w:hAnsi="微软雅黑" w:eastAsia="微软雅黑" w:cs="微软雅黑"/>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0A68C551">
            <w:pPr>
              <w:snapToGrid w:val="0"/>
              <w:spacing w:line="360" w:lineRule="auto"/>
              <w:rPr>
                <w:rFonts w:ascii="微软雅黑" w:hAnsi="微软雅黑" w:eastAsia="微软雅黑" w:cs="微软雅黑"/>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3C8585E5">
            <w:pPr>
              <w:snapToGrid w:val="0"/>
              <w:spacing w:line="360" w:lineRule="auto"/>
              <w:rPr>
                <w:rFonts w:ascii="微软雅黑" w:hAnsi="微软雅黑" w:eastAsia="微软雅黑" w:cs="微软雅黑"/>
                <w:szCs w:val="21"/>
                <w:highlight w:val="none"/>
              </w:rPr>
            </w:pPr>
          </w:p>
        </w:tc>
      </w:tr>
      <w:tr w14:paraId="5C73F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14:paraId="5E50D8B0">
            <w:pPr>
              <w:snapToGrid w:val="0"/>
              <w:spacing w:line="360" w:lineRule="auto"/>
              <w:rPr>
                <w:rFonts w:ascii="微软雅黑" w:hAnsi="微软雅黑" w:eastAsia="微软雅黑" w:cs="微软雅黑"/>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7F0136F9">
            <w:pPr>
              <w:snapToGrid w:val="0"/>
              <w:spacing w:line="360" w:lineRule="auto"/>
              <w:rPr>
                <w:rFonts w:ascii="微软雅黑" w:hAnsi="微软雅黑" w:eastAsia="微软雅黑" w:cs="微软雅黑"/>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6A9EC917">
            <w:pPr>
              <w:pStyle w:val="31"/>
              <w:snapToGrid w:val="0"/>
              <w:spacing w:line="360" w:lineRule="auto"/>
              <w:ind w:left="5250"/>
              <w:rPr>
                <w:rFonts w:ascii="微软雅黑" w:hAnsi="微软雅黑" w:eastAsia="微软雅黑" w:cs="微软雅黑"/>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165120B7">
            <w:pPr>
              <w:snapToGrid w:val="0"/>
              <w:spacing w:line="360" w:lineRule="auto"/>
              <w:rPr>
                <w:rFonts w:ascii="微软雅黑" w:hAnsi="微软雅黑" w:eastAsia="微软雅黑" w:cs="微软雅黑"/>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7752DEDD">
            <w:pPr>
              <w:snapToGrid w:val="0"/>
              <w:spacing w:line="360" w:lineRule="auto"/>
              <w:rPr>
                <w:rFonts w:ascii="微软雅黑" w:hAnsi="微软雅黑" w:eastAsia="微软雅黑" w:cs="微软雅黑"/>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6FB8E4F8">
            <w:pPr>
              <w:snapToGrid w:val="0"/>
              <w:spacing w:line="360" w:lineRule="auto"/>
              <w:rPr>
                <w:rFonts w:ascii="微软雅黑" w:hAnsi="微软雅黑" w:eastAsia="微软雅黑" w:cs="微软雅黑"/>
                <w:szCs w:val="21"/>
                <w:highlight w:val="none"/>
              </w:rPr>
            </w:pPr>
          </w:p>
        </w:tc>
      </w:tr>
      <w:tr w14:paraId="00492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14:paraId="42293202">
            <w:pPr>
              <w:snapToGrid w:val="0"/>
              <w:spacing w:line="360" w:lineRule="auto"/>
              <w:rPr>
                <w:rFonts w:ascii="微软雅黑" w:hAnsi="微软雅黑" w:eastAsia="微软雅黑" w:cs="微软雅黑"/>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2A9057C6">
            <w:pPr>
              <w:snapToGrid w:val="0"/>
              <w:spacing w:line="360" w:lineRule="auto"/>
              <w:rPr>
                <w:rFonts w:ascii="微软雅黑" w:hAnsi="微软雅黑" w:eastAsia="微软雅黑" w:cs="微软雅黑"/>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556C1A49">
            <w:pPr>
              <w:snapToGrid w:val="0"/>
              <w:spacing w:line="360" w:lineRule="auto"/>
              <w:rPr>
                <w:rFonts w:ascii="微软雅黑" w:hAnsi="微软雅黑" w:eastAsia="微软雅黑" w:cs="微软雅黑"/>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6B24CEEF">
            <w:pPr>
              <w:snapToGrid w:val="0"/>
              <w:spacing w:line="360" w:lineRule="auto"/>
              <w:rPr>
                <w:rFonts w:ascii="微软雅黑" w:hAnsi="微软雅黑" w:eastAsia="微软雅黑" w:cs="微软雅黑"/>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28CA56AB">
            <w:pPr>
              <w:snapToGrid w:val="0"/>
              <w:spacing w:line="360" w:lineRule="auto"/>
              <w:rPr>
                <w:rFonts w:ascii="微软雅黑" w:hAnsi="微软雅黑" w:eastAsia="微软雅黑" w:cs="微软雅黑"/>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7946572F">
            <w:pPr>
              <w:snapToGrid w:val="0"/>
              <w:spacing w:line="360" w:lineRule="auto"/>
              <w:rPr>
                <w:rFonts w:ascii="微软雅黑" w:hAnsi="微软雅黑" w:eastAsia="微软雅黑" w:cs="微软雅黑"/>
                <w:szCs w:val="21"/>
                <w:highlight w:val="none"/>
              </w:rPr>
            </w:pPr>
          </w:p>
        </w:tc>
      </w:tr>
      <w:tr w14:paraId="7AEA2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14:paraId="22AC0FBA">
            <w:pPr>
              <w:snapToGrid w:val="0"/>
              <w:spacing w:line="360" w:lineRule="auto"/>
              <w:rPr>
                <w:rFonts w:ascii="微软雅黑" w:hAnsi="微软雅黑" w:eastAsia="微软雅黑" w:cs="微软雅黑"/>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30435200">
            <w:pPr>
              <w:snapToGrid w:val="0"/>
              <w:spacing w:line="360" w:lineRule="auto"/>
              <w:rPr>
                <w:rFonts w:ascii="微软雅黑" w:hAnsi="微软雅黑" w:eastAsia="微软雅黑" w:cs="微软雅黑"/>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638AE7BA">
            <w:pPr>
              <w:snapToGrid w:val="0"/>
              <w:spacing w:line="360" w:lineRule="auto"/>
              <w:rPr>
                <w:rFonts w:ascii="微软雅黑" w:hAnsi="微软雅黑" w:eastAsia="微软雅黑" w:cs="微软雅黑"/>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7AC33B33">
            <w:pPr>
              <w:snapToGrid w:val="0"/>
              <w:spacing w:line="360" w:lineRule="auto"/>
              <w:rPr>
                <w:rFonts w:ascii="微软雅黑" w:hAnsi="微软雅黑" w:eastAsia="微软雅黑" w:cs="微软雅黑"/>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543A5C65">
            <w:pPr>
              <w:snapToGrid w:val="0"/>
              <w:spacing w:line="360" w:lineRule="auto"/>
              <w:rPr>
                <w:rFonts w:ascii="微软雅黑" w:hAnsi="微软雅黑" w:eastAsia="微软雅黑" w:cs="微软雅黑"/>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15CBC505">
            <w:pPr>
              <w:snapToGrid w:val="0"/>
              <w:spacing w:line="360" w:lineRule="auto"/>
              <w:rPr>
                <w:rFonts w:ascii="微软雅黑" w:hAnsi="微软雅黑" w:eastAsia="微软雅黑" w:cs="微软雅黑"/>
                <w:szCs w:val="21"/>
                <w:highlight w:val="none"/>
              </w:rPr>
            </w:pPr>
          </w:p>
        </w:tc>
      </w:tr>
      <w:tr w14:paraId="1CEBA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14:paraId="10EDCF7A">
            <w:pPr>
              <w:snapToGrid w:val="0"/>
              <w:spacing w:line="360" w:lineRule="auto"/>
              <w:rPr>
                <w:rFonts w:ascii="微软雅黑" w:hAnsi="微软雅黑" w:eastAsia="微软雅黑" w:cs="微软雅黑"/>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5B7D78A9">
            <w:pPr>
              <w:snapToGrid w:val="0"/>
              <w:spacing w:line="360" w:lineRule="auto"/>
              <w:rPr>
                <w:rFonts w:ascii="微软雅黑" w:hAnsi="微软雅黑" w:eastAsia="微软雅黑" w:cs="微软雅黑"/>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6E34D7CF">
            <w:pPr>
              <w:snapToGrid w:val="0"/>
              <w:spacing w:line="360" w:lineRule="auto"/>
              <w:rPr>
                <w:rFonts w:ascii="微软雅黑" w:hAnsi="微软雅黑" w:eastAsia="微软雅黑" w:cs="微软雅黑"/>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6B9B85A1">
            <w:pPr>
              <w:snapToGrid w:val="0"/>
              <w:spacing w:line="360" w:lineRule="auto"/>
              <w:rPr>
                <w:rFonts w:ascii="微软雅黑" w:hAnsi="微软雅黑" w:eastAsia="微软雅黑" w:cs="微软雅黑"/>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0D39B646">
            <w:pPr>
              <w:snapToGrid w:val="0"/>
              <w:spacing w:line="360" w:lineRule="auto"/>
              <w:rPr>
                <w:rFonts w:ascii="微软雅黑" w:hAnsi="微软雅黑" w:eastAsia="微软雅黑" w:cs="微软雅黑"/>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337E608E">
            <w:pPr>
              <w:snapToGrid w:val="0"/>
              <w:spacing w:line="360" w:lineRule="auto"/>
              <w:rPr>
                <w:rFonts w:ascii="微软雅黑" w:hAnsi="微软雅黑" w:eastAsia="微软雅黑" w:cs="微软雅黑"/>
                <w:szCs w:val="21"/>
                <w:highlight w:val="none"/>
              </w:rPr>
            </w:pPr>
          </w:p>
        </w:tc>
      </w:tr>
      <w:tr w14:paraId="73D9A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14:paraId="7861F698">
            <w:pPr>
              <w:snapToGrid w:val="0"/>
              <w:spacing w:line="360" w:lineRule="auto"/>
              <w:rPr>
                <w:rFonts w:ascii="微软雅黑" w:hAnsi="微软雅黑" w:eastAsia="微软雅黑" w:cs="微软雅黑"/>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29D42124">
            <w:pPr>
              <w:snapToGrid w:val="0"/>
              <w:spacing w:line="360" w:lineRule="auto"/>
              <w:rPr>
                <w:rFonts w:ascii="微软雅黑" w:hAnsi="微软雅黑" w:eastAsia="微软雅黑" w:cs="微软雅黑"/>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1EBA5797">
            <w:pPr>
              <w:snapToGrid w:val="0"/>
              <w:spacing w:line="360" w:lineRule="auto"/>
              <w:rPr>
                <w:rFonts w:ascii="微软雅黑" w:hAnsi="微软雅黑" w:eastAsia="微软雅黑" w:cs="微软雅黑"/>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6D55F1E9">
            <w:pPr>
              <w:snapToGrid w:val="0"/>
              <w:spacing w:line="360" w:lineRule="auto"/>
              <w:rPr>
                <w:rFonts w:ascii="微软雅黑" w:hAnsi="微软雅黑" w:eastAsia="微软雅黑" w:cs="微软雅黑"/>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49822410">
            <w:pPr>
              <w:snapToGrid w:val="0"/>
              <w:spacing w:line="360" w:lineRule="auto"/>
              <w:rPr>
                <w:rFonts w:ascii="微软雅黑" w:hAnsi="微软雅黑" w:eastAsia="微软雅黑" w:cs="微软雅黑"/>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73F46830">
            <w:pPr>
              <w:snapToGrid w:val="0"/>
              <w:spacing w:line="360" w:lineRule="auto"/>
              <w:rPr>
                <w:rFonts w:ascii="微软雅黑" w:hAnsi="微软雅黑" w:eastAsia="微软雅黑" w:cs="微软雅黑"/>
                <w:szCs w:val="21"/>
                <w:highlight w:val="none"/>
              </w:rPr>
            </w:pPr>
          </w:p>
        </w:tc>
      </w:tr>
      <w:tr w14:paraId="2A298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14:paraId="2D116700">
            <w:pPr>
              <w:snapToGrid w:val="0"/>
              <w:spacing w:line="360" w:lineRule="auto"/>
              <w:rPr>
                <w:rFonts w:ascii="微软雅黑" w:hAnsi="微软雅黑" w:eastAsia="微软雅黑" w:cs="微软雅黑"/>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17C9A8C4">
            <w:pPr>
              <w:snapToGrid w:val="0"/>
              <w:spacing w:line="360" w:lineRule="auto"/>
              <w:rPr>
                <w:rFonts w:ascii="微软雅黑" w:hAnsi="微软雅黑" w:eastAsia="微软雅黑" w:cs="微软雅黑"/>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15580A68">
            <w:pPr>
              <w:snapToGrid w:val="0"/>
              <w:spacing w:line="360" w:lineRule="auto"/>
              <w:rPr>
                <w:rFonts w:ascii="微软雅黑" w:hAnsi="微软雅黑" w:eastAsia="微软雅黑" w:cs="微软雅黑"/>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56E3CC22">
            <w:pPr>
              <w:snapToGrid w:val="0"/>
              <w:spacing w:line="360" w:lineRule="auto"/>
              <w:rPr>
                <w:rFonts w:ascii="微软雅黑" w:hAnsi="微软雅黑" w:eastAsia="微软雅黑" w:cs="微软雅黑"/>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4B59C671">
            <w:pPr>
              <w:snapToGrid w:val="0"/>
              <w:spacing w:line="360" w:lineRule="auto"/>
              <w:rPr>
                <w:rFonts w:ascii="微软雅黑" w:hAnsi="微软雅黑" w:eastAsia="微软雅黑" w:cs="微软雅黑"/>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69CD90DA">
            <w:pPr>
              <w:snapToGrid w:val="0"/>
              <w:spacing w:line="360" w:lineRule="auto"/>
              <w:rPr>
                <w:rFonts w:ascii="微软雅黑" w:hAnsi="微软雅黑" w:eastAsia="微软雅黑" w:cs="微软雅黑"/>
                <w:szCs w:val="21"/>
                <w:highlight w:val="none"/>
              </w:rPr>
            </w:pPr>
          </w:p>
        </w:tc>
      </w:tr>
      <w:tr w14:paraId="2348A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14:paraId="66C1EBC3">
            <w:pPr>
              <w:snapToGrid w:val="0"/>
              <w:spacing w:line="360" w:lineRule="auto"/>
              <w:rPr>
                <w:rFonts w:ascii="微软雅黑" w:hAnsi="微软雅黑" w:eastAsia="微软雅黑" w:cs="微软雅黑"/>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196893C7">
            <w:pPr>
              <w:snapToGrid w:val="0"/>
              <w:spacing w:line="360" w:lineRule="auto"/>
              <w:rPr>
                <w:rFonts w:ascii="微软雅黑" w:hAnsi="微软雅黑" w:eastAsia="微软雅黑" w:cs="微软雅黑"/>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655111EA">
            <w:pPr>
              <w:snapToGrid w:val="0"/>
              <w:spacing w:line="360" w:lineRule="auto"/>
              <w:rPr>
                <w:rFonts w:ascii="微软雅黑" w:hAnsi="微软雅黑" w:eastAsia="微软雅黑" w:cs="微软雅黑"/>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6984302B">
            <w:pPr>
              <w:snapToGrid w:val="0"/>
              <w:spacing w:line="360" w:lineRule="auto"/>
              <w:rPr>
                <w:rFonts w:ascii="微软雅黑" w:hAnsi="微软雅黑" w:eastAsia="微软雅黑" w:cs="微软雅黑"/>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1B7CF756">
            <w:pPr>
              <w:snapToGrid w:val="0"/>
              <w:spacing w:line="360" w:lineRule="auto"/>
              <w:rPr>
                <w:rFonts w:ascii="微软雅黑" w:hAnsi="微软雅黑" w:eastAsia="微软雅黑" w:cs="微软雅黑"/>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2F546653">
            <w:pPr>
              <w:snapToGrid w:val="0"/>
              <w:spacing w:line="360" w:lineRule="auto"/>
              <w:rPr>
                <w:rFonts w:ascii="微软雅黑" w:hAnsi="微软雅黑" w:eastAsia="微软雅黑" w:cs="微软雅黑"/>
                <w:szCs w:val="21"/>
                <w:highlight w:val="none"/>
              </w:rPr>
            </w:pPr>
          </w:p>
        </w:tc>
      </w:tr>
    </w:tbl>
    <w:p w14:paraId="032FC275">
      <w:pPr>
        <w:snapToGrid w:val="0"/>
        <w:spacing w:line="360" w:lineRule="auto"/>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注：在填写时，如本表格不适合投标单位的实际情况，可根据本表格式自行划表填写。</w:t>
      </w:r>
    </w:p>
    <w:p w14:paraId="3FE7C79F">
      <w:pPr>
        <w:snapToGrid w:val="0"/>
        <w:spacing w:before="50" w:line="360" w:lineRule="auto"/>
        <w:jc w:val="left"/>
        <w:rPr>
          <w:rFonts w:hint="eastAsia" w:ascii="微软雅黑" w:hAnsi="微软雅黑" w:eastAsia="微软雅黑" w:cs="微软雅黑"/>
          <w:szCs w:val="21"/>
          <w:highlight w:val="none"/>
          <w:shd w:val="clear" w:color="auto" w:fill="FFFFFF"/>
          <w:lang w:eastAsia="zh-CN"/>
        </w:rPr>
      </w:pPr>
      <w:r>
        <w:rPr>
          <w:rFonts w:hint="eastAsia" w:ascii="微软雅黑" w:hAnsi="微软雅黑" w:eastAsia="微软雅黑" w:cs="微软雅黑"/>
          <w:szCs w:val="21"/>
          <w:highlight w:val="none"/>
          <w:shd w:val="clear" w:color="auto" w:fill="FFFFFF"/>
        </w:rPr>
        <w:t>投标人名称：（盖章）</w:t>
      </w:r>
    </w:p>
    <w:p w14:paraId="19B5539D">
      <w:pPr>
        <w:snapToGrid w:val="0"/>
        <w:spacing w:before="50" w:line="360" w:lineRule="auto"/>
        <w:jc w:val="left"/>
        <w:rPr>
          <w:rFonts w:hint="eastAsia" w:ascii="微软雅黑" w:hAnsi="微软雅黑" w:eastAsia="微软雅黑" w:cs="微软雅黑"/>
          <w:szCs w:val="21"/>
          <w:highlight w:val="none"/>
          <w:shd w:val="clear" w:color="auto" w:fill="FFFFFF"/>
          <w:lang w:eastAsia="zh-CN"/>
        </w:rPr>
      </w:pPr>
      <w:r>
        <w:rPr>
          <w:rFonts w:hint="eastAsia" w:ascii="微软雅黑" w:hAnsi="微软雅黑" w:eastAsia="微软雅黑" w:cs="微软雅黑"/>
          <w:szCs w:val="21"/>
          <w:highlight w:val="none"/>
          <w:shd w:val="clear" w:color="auto" w:fill="FFFFFF"/>
        </w:rPr>
        <w:t>法定代表人或</w:t>
      </w:r>
      <w:r>
        <w:rPr>
          <w:rFonts w:hint="eastAsia" w:ascii="微软雅黑" w:hAnsi="微软雅黑" w:eastAsia="微软雅黑" w:cs="微软雅黑"/>
          <w:szCs w:val="21"/>
          <w:highlight w:val="none"/>
        </w:rPr>
        <w:t>被授权人</w:t>
      </w:r>
      <w:r>
        <w:rPr>
          <w:rFonts w:hint="eastAsia" w:ascii="微软雅黑" w:hAnsi="微软雅黑" w:eastAsia="微软雅黑" w:cs="微软雅黑"/>
          <w:szCs w:val="21"/>
          <w:highlight w:val="none"/>
          <w:shd w:val="clear" w:color="auto" w:fill="FFFFFF"/>
        </w:rPr>
        <w:t>（签字或盖章）：</w:t>
      </w:r>
    </w:p>
    <w:p w14:paraId="38DEC00C">
      <w:pPr>
        <w:snapToGrid w:val="0"/>
        <w:spacing w:before="50" w:line="360" w:lineRule="auto"/>
        <w:jc w:val="left"/>
        <w:rPr>
          <w:rFonts w:ascii="微软雅黑" w:hAnsi="微软雅黑" w:eastAsia="微软雅黑" w:cs="微软雅黑"/>
          <w:b/>
          <w:szCs w:val="21"/>
          <w:highlight w:val="none"/>
        </w:rPr>
      </w:pPr>
      <w:r>
        <w:rPr>
          <w:rFonts w:hint="eastAsia" w:ascii="微软雅黑" w:hAnsi="微软雅黑" w:eastAsia="微软雅黑" w:cs="微软雅黑"/>
          <w:szCs w:val="21"/>
          <w:highlight w:val="none"/>
          <w:shd w:val="clear" w:color="auto" w:fill="FFFFFF"/>
        </w:rPr>
        <w:t>投标日期： 年 月 日</w:t>
      </w:r>
      <w:r>
        <w:rPr>
          <w:rFonts w:hint="eastAsia" w:ascii="微软雅黑" w:hAnsi="微软雅黑" w:eastAsia="微软雅黑" w:cs="微软雅黑"/>
          <w:b/>
          <w:szCs w:val="21"/>
          <w:highlight w:val="none"/>
        </w:rPr>
        <w:br w:type="page"/>
      </w:r>
      <w:r>
        <w:rPr>
          <w:rFonts w:hint="eastAsia" w:ascii="微软雅黑" w:hAnsi="微软雅黑" w:eastAsia="微软雅黑" w:cs="微软雅黑"/>
          <w:b/>
          <w:szCs w:val="21"/>
          <w:highlight w:val="none"/>
        </w:rPr>
        <w:t>商务响应表格式：</w:t>
      </w:r>
    </w:p>
    <w:p w14:paraId="20789506">
      <w:pPr>
        <w:snapToGrid w:val="0"/>
        <w:spacing w:before="50" w:line="360" w:lineRule="auto"/>
        <w:jc w:val="left"/>
        <w:rPr>
          <w:rFonts w:ascii="微软雅黑" w:hAnsi="微软雅黑" w:eastAsia="微软雅黑" w:cs="微软雅黑"/>
          <w:szCs w:val="21"/>
          <w:highlight w:val="none"/>
          <w:u w:val="single"/>
        </w:rPr>
      </w:pPr>
      <w:r>
        <w:rPr>
          <w:rFonts w:hint="eastAsia" w:ascii="微软雅黑" w:hAnsi="微软雅黑" w:eastAsia="微软雅黑" w:cs="微软雅黑"/>
          <w:szCs w:val="21"/>
          <w:highlight w:val="none"/>
        </w:rPr>
        <w:t>标项：</w:t>
      </w:r>
    </w:p>
    <w:tbl>
      <w:tblPr>
        <w:tblStyle w:val="53"/>
        <w:tblW w:w="8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2906"/>
        <w:gridCol w:w="1701"/>
        <w:gridCol w:w="1757"/>
      </w:tblGrid>
      <w:tr w14:paraId="5930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AFB8D5C">
            <w:pPr>
              <w:pStyle w:val="29"/>
              <w:spacing w:after="0" w:line="500" w:lineRule="exact"/>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序号</w:t>
            </w:r>
          </w:p>
        </w:tc>
        <w:tc>
          <w:tcPr>
            <w:tcW w:w="1701" w:type="dxa"/>
            <w:vAlign w:val="center"/>
          </w:tcPr>
          <w:p w14:paraId="1E911554">
            <w:pPr>
              <w:pStyle w:val="29"/>
              <w:spacing w:after="0" w:line="500" w:lineRule="exact"/>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w:t>
            </w:r>
          </w:p>
        </w:tc>
        <w:tc>
          <w:tcPr>
            <w:tcW w:w="2906" w:type="dxa"/>
            <w:vAlign w:val="center"/>
          </w:tcPr>
          <w:p w14:paraId="7578FE2D">
            <w:pPr>
              <w:pStyle w:val="29"/>
              <w:spacing w:after="0" w:line="500" w:lineRule="exact"/>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竞争性磋商文件要求</w:t>
            </w:r>
          </w:p>
        </w:tc>
        <w:tc>
          <w:tcPr>
            <w:tcW w:w="1701" w:type="dxa"/>
            <w:vAlign w:val="center"/>
          </w:tcPr>
          <w:p w14:paraId="6ED5058E">
            <w:pPr>
              <w:pStyle w:val="29"/>
              <w:spacing w:after="0" w:line="500" w:lineRule="exact"/>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竞争性磋商响应文件要求</w:t>
            </w:r>
          </w:p>
        </w:tc>
        <w:tc>
          <w:tcPr>
            <w:tcW w:w="1757" w:type="dxa"/>
            <w:vAlign w:val="center"/>
          </w:tcPr>
          <w:p w14:paraId="4C08FF43">
            <w:pPr>
              <w:pStyle w:val="29"/>
              <w:spacing w:after="0" w:line="500" w:lineRule="exact"/>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偏离说明</w:t>
            </w:r>
          </w:p>
        </w:tc>
      </w:tr>
      <w:tr w14:paraId="7C9B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96A2B81">
            <w:pPr>
              <w:pStyle w:val="29"/>
              <w:spacing w:after="0" w:line="500" w:lineRule="exact"/>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w:t>
            </w:r>
          </w:p>
        </w:tc>
        <w:tc>
          <w:tcPr>
            <w:tcW w:w="1701" w:type="dxa"/>
            <w:vAlign w:val="center"/>
          </w:tcPr>
          <w:p w14:paraId="441019DC">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服务期限</w:t>
            </w:r>
          </w:p>
        </w:tc>
        <w:tc>
          <w:tcPr>
            <w:tcW w:w="2906" w:type="dxa"/>
          </w:tcPr>
          <w:p w14:paraId="209F452E">
            <w:pPr>
              <w:spacing w:after="0" w:line="500" w:lineRule="exact"/>
              <w:rPr>
                <w:rFonts w:ascii="微软雅黑" w:hAnsi="微软雅黑" w:eastAsia="微软雅黑" w:cs="微软雅黑"/>
                <w:szCs w:val="21"/>
                <w:highlight w:val="none"/>
              </w:rPr>
            </w:pPr>
          </w:p>
        </w:tc>
        <w:tc>
          <w:tcPr>
            <w:tcW w:w="1701" w:type="dxa"/>
          </w:tcPr>
          <w:p w14:paraId="1CAE592C">
            <w:pPr>
              <w:pStyle w:val="29"/>
              <w:spacing w:after="0" w:line="500" w:lineRule="exact"/>
              <w:rPr>
                <w:rFonts w:ascii="微软雅黑" w:hAnsi="微软雅黑" w:eastAsia="微软雅黑" w:cs="微软雅黑"/>
                <w:szCs w:val="21"/>
                <w:highlight w:val="none"/>
              </w:rPr>
            </w:pPr>
          </w:p>
        </w:tc>
        <w:tc>
          <w:tcPr>
            <w:tcW w:w="1757" w:type="dxa"/>
          </w:tcPr>
          <w:p w14:paraId="7DB521B9">
            <w:pPr>
              <w:pStyle w:val="29"/>
              <w:spacing w:after="0" w:line="500" w:lineRule="exact"/>
              <w:rPr>
                <w:rFonts w:ascii="微软雅黑" w:hAnsi="微软雅黑" w:eastAsia="微软雅黑" w:cs="微软雅黑"/>
                <w:szCs w:val="21"/>
                <w:highlight w:val="none"/>
              </w:rPr>
            </w:pPr>
          </w:p>
        </w:tc>
      </w:tr>
      <w:tr w14:paraId="46C98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E5B9DC3">
            <w:pPr>
              <w:pStyle w:val="29"/>
              <w:spacing w:after="0" w:line="500" w:lineRule="exact"/>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w:t>
            </w:r>
          </w:p>
        </w:tc>
        <w:tc>
          <w:tcPr>
            <w:tcW w:w="1701" w:type="dxa"/>
            <w:vAlign w:val="center"/>
          </w:tcPr>
          <w:p w14:paraId="009CDB3A">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付款方式</w:t>
            </w:r>
          </w:p>
        </w:tc>
        <w:tc>
          <w:tcPr>
            <w:tcW w:w="2906" w:type="dxa"/>
          </w:tcPr>
          <w:p w14:paraId="29C0402D">
            <w:pPr>
              <w:spacing w:after="0" w:line="500" w:lineRule="exact"/>
              <w:ind w:firstLine="420" w:firstLineChars="200"/>
              <w:rPr>
                <w:rFonts w:ascii="微软雅黑" w:hAnsi="微软雅黑" w:eastAsia="微软雅黑" w:cs="微软雅黑"/>
                <w:szCs w:val="21"/>
                <w:highlight w:val="none"/>
              </w:rPr>
            </w:pPr>
          </w:p>
        </w:tc>
        <w:tc>
          <w:tcPr>
            <w:tcW w:w="1701" w:type="dxa"/>
          </w:tcPr>
          <w:p w14:paraId="59C965B0">
            <w:pPr>
              <w:pStyle w:val="29"/>
              <w:spacing w:after="0" w:line="500" w:lineRule="exact"/>
              <w:rPr>
                <w:rFonts w:ascii="微软雅黑" w:hAnsi="微软雅黑" w:eastAsia="微软雅黑" w:cs="微软雅黑"/>
                <w:szCs w:val="21"/>
                <w:highlight w:val="none"/>
              </w:rPr>
            </w:pPr>
          </w:p>
        </w:tc>
        <w:tc>
          <w:tcPr>
            <w:tcW w:w="1757" w:type="dxa"/>
          </w:tcPr>
          <w:p w14:paraId="6DD09899">
            <w:pPr>
              <w:pStyle w:val="29"/>
              <w:spacing w:after="0" w:line="500" w:lineRule="exact"/>
              <w:rPr>
                <w:rFonts w:ascii="微软雅黑" w:hAnsi="微软雅黑" w:eastAsia="微软雅黑" w:cs="微软雅黑"/>
                <w:szCs w:val="21"/>
                <w:highlight w:val="none"/>
              </w:rPr>
            </w:pPr>
          </w:p>
        </w:tc>
      </w:tr>
      <w:tr w14:paraId="29D4E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484C0FB0">
            <w:pPr>
              <w:pStyle w:val="29"/>
              <w:spacing w:after="0" w:line="500" w:lineRule="exact"/>
              <w:jc w:val="center"/>
              <w:rPr>
                <w:rFonts w:ascii="微软雅黑" w:hAnsi="微软雅黑" w:eastAsia="微软雅黑" w:cs="微软雅黑"/>
                <w:szCs w:val="21"/>
                <w:highlight w:val="none"/>
              </w:rPr>
            </w:pPr>
          </w:p>
        </w:tc>
        <w:tc>
          <w:tcPr>
            <w:tcW w:w="1701" w:type="dxa"/>
            <w:vAlign w:val="center"/>
          </w:tcPr>
          <w:p w14:paraId="54F5EC69">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w:t>
            </w:r>
          </w:p>
        </w:tc>
        <w:tc>
          <w:tcPr>
            <w:tcW w:w="2906" w:type="dxa"/>
          </w:tcPr>
          <w:p w14:paraId="302AF7FA">
            <w:pPr>
              <w:spacing w:after="0" w:line="500" w:lineRule="exact"/>
              <w:ind w:firstLine="420" w:firstLineChars="200"/>
              <w:rPr>
                <w:rFonts w:ascii="微软雅黑" w:hAnsi="微软雅黑" w:eastAsia="微软雅黑" w:cs="微软雅黑"/>
                <w:szCs w:val="21"/>
                <w:highlight w:val="none"/>
              </w:rPr>
            </w:pPr>
          </w:p>
        </w:tc>
        <w:tc>
          <w:tcPr>
            <w:tcW w:w="1701" w:type="dxa"/>
          </w:tcPr>
          <w:p w14:paraId="731640B2">
            <w:pPr>
              <w:pStyle w:val="29"/>
              <w:spacing w:after="0" w:line="500" w:lineRule="exact"/>
              <w:rPr>
                <w:rFonts w:ascii="微软雅黑" w:hAnsi="微软雅黑" w:eastAsia="微软雅黑" w:cs="微软雅黑"/>
                <w:szCs w:val="21"/>
                <w:highlight w:val="none"/>
              </w:rPr>
            </w:pPr>
          </w:p>
        </w:tc>
        <w:tc>
          <w:tcPr>
            <w:tcW w:w="1757" w:type="dxa"/>
          </w:tcPr>
          <w:p w14:paraId="6C58AEA1">
            <w:pPr>
              <w:pStyle w:val="29"/>
              <w:spacing w:after="0" w:line="500" w:lineRule="exact"/>
              <w:rPr>
                <w:rFonts w:ascii="微软雅黑" w:hAnsi="微软雅黑" w:eastAsia="微软雅黑" w:cs="微软雅黑"/>
                <w:szCs w:val="21"/>
                <w:highlight w:val="none"/>
              </w:rPr>
            </w:pPr>
          </w:p>
        </w:tc>
      </w:tr>
    </w:tbl>
    <w:p w14:paraId="4DB1E3F0">
      <w:pPr>
        <w:widowControl/>
        <w:spacing w:line="360" w:lineRule="auto"/>
        <w:jc w:val="left"/>
        <w:rPr>
          <w:rFonts w:ascii="微软雅黑" w:hAnsi="微软雅黑" w:eastAsia="微软雅黑" w:cs="微软雅黑"/>
          <w:szCs w:val="21"/>
          <w:highlight w:val="none"/>
        </w:rPr>
      </w:pPr>
      <w:r>
        <w:rPr>
          <w:rFonts w:hint="eastAsia" w:ascii="微软雅黑" w:hAnsi="微软雅黑" w:eastAsia="微软雅黑" w:cs="微软雅黑"/>
          <w:b/>
          <w:szCs w:val="21"/>
          <w:highlight w:val="none"/>
        </w:rPr>
        <w:t>供应商的响应文件（除技术规格部分）与磋商文件之规定存在偏离的，应在此表中如实说明。未在上表中说明的，将被认为完全响应磋商文件的规定.</w:t>
      </w:r>
    </w:p>
    <w:p w14:paraId="64FDBFB0">
      <w:pPr>
        <w:widowControl/>
        <w:spacing w:line="360" w:lineRule="auto"/>
        <w:jc w:val="left"/>
        <w:rPr>
          <w:rFonts w:ascii="微软雅黑" w:hAnsi="微软雅黑" w:eastAsia="微软雅黑" w:cs="微软雅黑"/>
          <w:szCs w:val="21"/>
          <w:highlight w:val="none"/>
        </w:rPr>
      </w:pPr>
    </w:p>
    <w:p w14:paraId="567A1B8A">
      <w:pPr>
        <w:widowControl/>
        <w:spacing w:line="360" w:lineRule="auto"/>
        <w:jc w:val="left"/>
        <w:rPr>
          <w:rFonts w:hint="eastAsia" w:ascii="微软雅黑" w:hAnsi="微软雅黑" w:eastAsia="微软雅黑" w:cs="微软雅黑"/>
          <w:szCs w:val="21"/>
          <w:highlight w:val="none"/>
          <w:shd w:val="clear" w:color="auto" w:fill="FFFFFF"/>
          <w:lang w:eastAsia="zh-CN"/>
        </w:rPr>
      </w:pPr>
      <w:r>
        <w:rPr>
          <w:rFonts w:hint="eastAsia" w:ascii="微软雅黑" w:hAnsi="微软雅黑" w:eastAsia="微软雅黑" w:cs="微软雅黑"/>
          <w:szCs w:val="21"/>
          <w:highlight w:val="none"/>
          <w:shd w:val="clear" w:color="auto" w:fill="FFFFFF"/>
        </w:rPr>
        <w:t>投标人名称：（盖章）</w:t>
      </w:r>
    </w:p>
    <w:p w14:paraId="15A089BF">
      <w:pPr>
        <w:widowControl/>
        <w:spacing w:line="360" w:lineRule="auto"/>
        <w:jc w:val="left"/>
        <w:rPr>
          <w:rFonts w:hint="eastAsia" w:ascii="微软雅黑" w:hAnsi="微软雅黑" w:eastAsia="微软雅黑" w:cs="微软雅黑"/>
          <w:szCs w:val="21"/>
          <w:highlight w:val="none"/>
          <w:shd w:val="clear" w:color="auto" w:fill="FFFFFF"/>
          <w:lang w:eastAsia="zh-CN"/>
        </w:rPr>
      </w:pPr>
      <w:r>
        <w:rPr>
          <w:rFonts w:hint="eastAsia" w:ascii="微软雅黑" w:hAnsi="微软雅黑" w:eastAsia="微软雅黑" w:cs="微软雅黑"/>
          <w:szCs w:val="21"/>
          <w:highlight w:val="none"/>
          <w:shd w:val="clear" w:color="auto" w:fill="FFFFFF"/>
        </w:rPr>
        <w:t>法定代表人或</w:t>
      </w:r>
      <w:r>
        <w:rPr>
          <w:rFonts w:hint="eastAsia" w:ascii="微软雅黑" w:hAnsi="微软雅黑" w:eastAsia="微软雅黑" w:cs="微软雅黑"/>
          <w:szCs w:val="21"/>
          <w:highlight w:val="none"/>
        </w:rPr>
        <w:t>被授权人</w:t>
      </w:r>
      <w:r>
        <w:rPr>
          <w:rFonts w:hint="eastAsia" w:ascii="微软雅黑" w:hAnsi="微软雅黑" w:eastAsia="微软雅黑" w:cs="微软雅黑"/>
          <w:szCs w:val="21"/>
          <w:highlight w:val="none"/>
          <w:shd w:val="clear" w:color="auto" w:fill="FFFFFF"/>
        </w:rPr>
        <w:t>（签字或盖章）：</w:t>
      </w:r>
    </w:p>
    <w:p w14:paraId="5CDF0DA0">
      <w:pPr>
        <w:widowControl/>
        <w:spacing w:line="360" w:lineRule="auto"/>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shd w:val="clear" w:color="auto" w:fill="FFFFFF"/>
        </w:rPr>
        <w:t>投标日期：  年  月  日</w:t>
      </w:r>
    </w:p>
    <w:p w14:paraId="0E77EEF2">
      <w:pPr>
        <w:snapToGrid w:val="0"/>
        <w:spacing w:before="50" w:line="360" w:lineRule="auto"/>
        <w:jc w:val="left"/>
        <w:rPr>
          <w:rFonts w:ascii="微软雅黑" w:hAnsi="微软雅黑" w:eastAsia="微软雅黑" w:cs="微软雅黑"/>
          <w:b/>
          <w:szCs w:val="21"/>
          <w:highlight w:val="none"/>
        </w:rPr>
        <w:sectPr>
          <w:pgSz w:w="11906" w:h="16838"/>
          <w:pgMar w:top="1440" w:right="1800" w:bottom="1440" w:left="1800" w:header="851" w:footer="851" w:gutter="0"/>
          <w:pgBorders>
            <w:top w:val="none" w:sz="0" w:space="0"/>
            <w:left w:val="none" w:sz="0" w:space="0"/>
            <w:bottom w:val="none" w:sz="0" w:space="0"/>
            <w:right w:val="none" w:sz="0" w:space="0"/>
          </w:pgBorders>
          <w:cols w:space="720" w:num="1"/>
        </w:sectPr>
      </w:pPr>
    </w:p>
    <w:p w14:paraId="4CA5D5C4">
      <w:pPr>
        <w:snapToGrid w:val="0"/>
        <w:spacing w:line="360" w:lineRule="auto"/>
        <w:jc w:val="left"/>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中小企业声明函</w:t>
      </w:r>
    </w:p>
    <w:p w14:paraId="1E1B931F">
      <w:pPr>
        <w:snapToGrid w:val="0"/>
        <w:spacing w:before="50" w:after="50" w:line="360" w:lineRule="auto"/>
        <w:jc w:val="center"/>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中小企业声明函（工程、服务）</w:t>
      </w:r>
    </w:p>
    <w:p w14:paraId="6B5B1F72">
      <w:pPr>
        <w:pStyle w:val="201"/>
        <w:spacing w:line="360" w:lineRule="auto"/>
        <w:ind w:right="157" w:firstLine="875" w:firstLineChars="417"/>
        <w:rPr>
          <w:rFonts w:hint="default"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本公司（联合体）郑重声明，根据《政府采购促进中小企业发展管理办法》（财库﹝2020﹞46 号）的规定，本公司（联合体）参加</w:t>
      </w:r>
      <w:r>
        <w:rPr>
          <w:rFonts w:ascii="微软雅黑" w:hAnsi="微软雅黑" w:eastAsia="微软雅黑" w:cs="微软雅黑"/>
          <w:color w:val="auto"/>
          <w:sz w:val="21"/>
          <w:szCs w:val="21"/>
          <w:highlight w:val="none"/>
          <w:u w:val="single"/>
        </w:rPr>
        <w:t>（单位名称）</w:t>
      </w:r>
      <w:r>
        <w:rPr>
          <w:rFonts w:ascii="微软雅黑" w:hAnsi="微软雅黑" w:eastAsia="微软雅黑" w:cs="微软雅黑"/>
          <w:color w:val="auto"/>
          <w:sz w:val="21"/>
          <w:szCs w:val="21"/>
          <w:highlight w:val="none"/>
        </w:rPr>
        <w:t>的</w:t>
      </w:r>
      <w:r>
        <w:rPr>
          <w:rFonts w:ascii="微软雅黑" w:hAnsi="微软雅黑" w:eastAsia="微软雅黑" w:cs="微软雅黑"/>
          <w:color w:val="auto"/>
          <w:sz w:val="21"/>
          <w:szCs w:val="21"/>
          <w:highlight w:val="none"/>
          <w:u w:val="single"/>
        </w:rPr>
        <w:t>（项目名称）</w:t>
      </w:r>
      <w:r>
        <w:rPr>
          <w:rFonts w:ascii="微软雅黑" w:hAnsi="微软雅黑" w:eastAsia="微软雅黑" w:cs="微软雅黑"/>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3358EBB">
      <w:pPr>
        <w:pStyle w:val="201"/>
        <w:spacing w:line="360" w:lineRule="auto"/>
        <w:ind w:right="157" w:firstLine="875" w:firstLineChars="417"/>
        <w:rPr>
          <w:rFonts w:hint="default"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 xml:space="preserve">1. </w:t>
      </w:r>
      <w:r>
        <w:rPr>
          <w:rFonts w:ascii="微软雅黑" w:hAnsi="微软雅黑" w:eastAsia="微软雅黑" w:cs="微软雅黑"/>
          <w:color w:val="auto"/>
          <w:sz w:val="21"/>
          <w:szCs w:val="21"/>
          <w:highlight w:val="none"/>
          <w:u w:val="single"/>
        </w:rPr>
        <w:t>（标的名称）</w:t>
      </w:r>
      <w:r>
        <w:rPr>
          <w:rFonts w:ascii="微软雅黑" w:hAnsi="微软雅黑" w:eastAsia="微软雅黑" w:cs="微软雅黑"/>
          <w:color w:val="auto"/>
          <w:sz w:val="21"/>
          <w:szCs w:val="21"/>
          <w:highlight w:val="none"/>
        </w:rPr>
        <w:t>，属于</w:t>
      </w:r>
      <w:r>
        <w:rPr>
          <w:rFonts w:ascii="微软雅黑" w:hAnsi="微软雅黑" w:eastAsia="微软雅黑" w:cs="微软雅黑"/>
          <w:color w:val="auto"/>
          <w:sz w:val="21"/>
          <w:szCs w:val="21"/>
          <w:highlight w:val="none"/>
          <w:u w:val="single"/>
        </w:rPr>
        <w:t>（采购文件中明确的所属行业）</w:t>
      </w:r>
      <w:r>
        <w:rPr>
          <w:rFonts w:ascii="微软雅黑" w:hAnsi="微软雅黑" w:eastAsia="微软雅黑" w:cs="微软雅黑"/>
          <w:color w:val="auto"/>
          <w:sz w:val="21"/>
          <w:szCs w:val="21"/>
          <w:highlight w:val="none"/>
        </w:rPr>
        <w:t>；承建（承接）企业为</w:t>
      </w:r>
      <w:r>
        <w:rPr>
          <w:rFonts w:ascii="微软雅黑" w:hAnsi="微软雅黑" w:eastAsia="微软雅黑" w:cs="微软雅黑"/>
          <w:color w:val="auto"/>
          <w:sz w:val="21"/>
          <w:szCs w:val="21"/>
          <w:highlight w:val="none"/>
          <w:u w:val="single"/>
        </w:rPr>
        <w:t>（企业名称）</w:t>
      </w:r>
      <w:r>
        <w:rPr>
          <w:rFonts w:ascii="微软雅黑" w:hAnsi="微软雅黑" w:eastAsia="微软雅黑" w:cs="微软雅黑"/>
          <w:color w:val="auto"/>
          <w:sz w:val="21"/>
          <w:szCs w:val="21"/>
          <w:highlight w:val="none"/>
        </w:rPr>
        <w:t>，从业人员人，营业收入为万元，资产总额为万元，属于（中型企业、小型企业、微型企业）；</w:t>
      </w:r>
    </w:p>
    <w:p w14:paraId="69F32219">
      <w:pPr>
        <w:pStyle w:val="201"/>
        <w:spacing w:line="360" w:lineRule="auto"/>
        <w:ind w:right="157" w:firstLine="875" w:firstLineChars="417"/>
        <w:rPr>
          <w:rFonts w:hint="default"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 xml:space="preserve">2. </w:t>
      </w:r>
      <w:r>
        <w:rPr>
          <w:rFonts w:ascii="微软雅黑" w:hAnsi="微软雅黑" w:eastAsia="微软雅黑" w:cs="微软雅黑"/>
          <w:color w:val="auto"/>
          <w:sz w:val="21"/>
          <w:szCs w:val="21"/>
          <w:highlight w:val="none"/>
          <w:u w:val="single"/>
        </w:rPr>
        <w:t>（标的名称）</w:t>
      </w:r>
      <w:r>
        <w:rPr>
          <w:rFonts w:ascii="微软雅黑" w:hAnsi="微软雅黑" w:eastAsia="微软雅黑" w:cs="微软雅黑"/>
          <w:color w:val="auto"/>
          <w:sz w:val="21"/>
          <w:szCs w:val="21"/>
          <w:highlight w:val="none"/>
        </w:rPr>
        <w:t>，属于</w:t>
      </w:r>
      <w:r>
        <w:rPr>
          <w:rFonts w:ascii="微软雅黑" w:hAnsi="微软雅黑" w:eastAsia="微软雅黑" w:cs="微软雅黑"/>
          <w:color w:val="auto"/>
          <w:sz w:val="21"/>
          <w:szCs w:val="21"/>
          <w:highlight w:val="none"/>
          <w:u w:val="single"/>
        </w:rPr>
        <w:t>（采购文件中明确的所属行业）</w:t>
      </w:r>
      <w:r>
        <w:rPr>
          <w:rFonts w:ascii="微软雅黑" w:hAnsi="微软雅黑" w:eastAsia="微软雅黑" w:cs="微软雅黑"/>
          <w:color w:val="auto"/>
          <w:sz w:val="21"/>
          <w:szCs w:val="21"/>
          <w:highlight w:val="none"/>
        </w:rPr>
        <w:t>；承建（承接）企业为</w:t>
      </w:r>
      <w:r>
        <w:rPr>
          <w:rFonts w:ascii="微软雅黑" w:hAnsi="微软雅黑" w:eastAsia="微软雅黑" w:cs="微软雅黑"/>
          <w:color w:val="auto"/>
          <w:sz w:val="21"/>
          <w:szCs w:val="21"/>
          <w:highlight w:val="none"/>
          <w:u w:val="single"/>
        </w:rPr>
        <w:t>（企业名称）</w:t>
      </w:r>
      <w:r>
        <w:rPr>
          <w:rFonts w:ascii="微软雅黑" w:hAnsi="微软雅黑" w:eastAsia="微软雅黑" w:cs="微软雅黑"/>
          <w:color w:val="auto"/>
          <w:sz w:val="21"/>
          <w:szCs w:val="21"/>
          <w:highlight w:val="none"/>
        </w:rPr>
        <w:t>，从业人员人，营业收入为万元，资产总额为万元，属于</w:t>
      </w:r>
      <w:r>
        <w:rPr>
          <w:rFonts w:ascii="微软雅黑" w:hAnsi="微软雅黑" w:eastAsia="微软雅黑" w:cs="微软雅黑"/>
          <w:color w:val="auto"/>
          <w:sz w:val="21"/>
          <w:szCs w:val="21"/>
          <w:highlight w:val="none"/>
          <w:u w:val="single"/>
        </w:rPr>
        <w:t>（中型企业、小型企业、微型企业）</w:t>
      </w:r>
      <w:r>
        <w:rPr>
          <w:rFonts w:ascii="微软雅黑" w:hAnsi="微软雅黑" w:eastAsia="微软雅黑" w:cs="微软雅黑"/>
          <w:color w:val="auto"/>
          <w:sz w:val="21"/>
          <w:szCs w:val="21"/>
          <w:highlight w:val="none"/>
        </w:rPr>
        <w:t>；</w:t>
      </w:r>
    </w:p>
    <w:p w14:paraId="51B98E8F">
      <w:pPr>
        <w:pStyle w:val="201"/>
        <w:spacing w:line="360" w:lineRule="auto"/>
        <w:ind w:right="157" w:firstLine="875" w:firstLineChars="417"/>
        <w:rPr>
          <w:rFonts w:hint="default"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w:t>
      </w:r>
    </w:p>
    <w:p w14:paraId="6D9645D1">
      <w:pPr>
        <w:pStyle w:val="201"/>
        <w:spacing w:line="360" w:lineRule="auto"/>
        <w:ind w:right="157" w:firstLine="642"/>
        <w:rPr>
          <w:rFonts w:hint="default"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以上企业，不属于大企业的分支机构，不存在控股股东为大企业的情形，也不存在与大企业的负责人为同一人的情形。</w:t>
      </w:r>
    </w:p>
    <w:p w14:paraId="4997DD38">
      <w:pPr>
        <w:pStyle w:val="201"/>
        <w:spacing w:line="360" w:lineRule="auto"/>
        <w:ind w:right="157" w:firstLine="642"/>
        <w:rPr>
          <w:rFonts w:hint="default"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本企业对上述声明内容的真实性负责。如有虚假，将依法承担相应责任。</w:t>
      </w:r>
    </w:p>
    <w:p w14:paraId="1CC0E9F7">
      <w:pPr>
        <w:pStyle w:val="151"/>
        <w:rPr>
          <w:rFonts w:ascii="微软雅黑" w:hAnsi="微软雅黑" w:eastAsia="微软雅黑" w:cs="微软雅黑"/>
          <w:color w:val="auto"/>
          <w:sz w:val="21"/>
          <w:szCs w:val="21"/>
          <w:highlight w:val="none"/>
        </w:rPr>
      </w:pPr>
    </w:p>
    <w:p w14:paraId="22B1742C">
      <w:pPr>
        <w:pStyle w:val="151"/>
        <w:rPr>
          <w:rFonts w:ascii="微软雅黑" w:hAnsi="微软雅黑" w:eastAsia="微软雅黑" w:cs="微软雅黑"/>
          <w:color w:val="auto"/>
          <w:sz w:val="21"/>
          <w:szCs w:val="21"/>
          <w:highlight w:val="none"/>
        </w:rPr>
      </w:pPr>
    </w:p>
    <w:p w14:paraId="3CE39795">
      <w:pPr>
        <w:pStyle w:val="201"/>
        <w:spacing w:line="360" w:lineRule="auto"/>
        <w:ind w:right="157" w:firstLine="642"/>
        <w:rPr>
          <w:rFonts w:hint="default" w:ascii="微软雅黑" w:hAnsi="微软雅黑" w:eastAsia="微软雅黑" w:cs="微软雅黑"/>
          <w:color w:val="auto"/>
          <w:spacing w:val="20"/>
          <w:sz w:val="21"/>
          <w:szCs w:val="21"/>
          <w:highlight w:val="none"/>
          <w:u w:val="single"/>
        </w:rPr>
      </w:pPr>
      <w:r>
        <w:rPr>
          <w:rFonts w:ascii="微软雅黑" w:hAnsi="微软雅黑" w:eastAsia="微软雅黑" w:cs="微软雅黑"/>
          <w:color w:val="auto"/>
          <w:spacing w:val="20"/>
          <w:sz w:val="21"/>
          <w:szCs w:val="21"/>
          <w:highlight w:val="none"/>
        </w:rPr>
        <w:t>供应商名称：</w:t>
      </w:r>
      <w:r>
        <w:rPr>
          <w:rFonts w:ascii="微软雅黑" w:hAnsi="微软雅黑" w:eastAsia="微软雅黑" w:cs="微软雅黑"/>
          <w:color w:val="auto"/>
          <w:spacing w:val="20"/>
          <w:sz w:val="21"/>
          <w:szCs w:val="21"/>
          <w:highlight w:val="none"/>
          <w:u w:val="single"/>
        </w:rPr>
        <w:t>（盖章）</w:t>
      </w:r>
      <w:r>
        <w:rPr>
          <w:rFonts w:ascii="微软雅黑" w:hAnsi="微软雅黑" w:eastAsia="微软雅黑" w:cs="微软雅黑"/>
          <w:color w:val="auto"/>
          <w:spacing w:val="20"/>
          <w:sz w:val="21"/>
          <w:szCs w:val="21"/>
          <w:highlight w:val="none"/>
        </w:rPr>
        <w:t>日期：</w:t>
      </w:r>
    </w:p>
    <w:p w14:paraId="22B273D2">
      <w:pPr>
        <w:pStyle w:val="151"/>
        <w:rPr>
          <w:rFonts w:ascii="微软雅黑" w:hAnsi="微软雅黑" w:eastAsia="微软雅黑" w:cs="微软雅黑"/>
          <w:color w:val="auto"/>
          <w:sz w:val="21"/>
          <w:szCs w:val="21"/>
          <w:highlight w:val="none"/>
        </w:rPr>
      </w:pPr>
    </w:p>
    <w:p w14:paraId="45424FA1">
      <w:pPr>
        <w:pStyle w:val="40"/>
        <w:rPr>
          <w:rFonts w:hint="default" w:ascii="微软雅黑" w:hAnsi="微软雅黑" w:eastAsia="微软雅黑" w:cs="微软雅黑"/>
          <w:sz w:val="21"/>
          <w:szCs w:val="21"/>
          <w:highlight w:val="none"/>
        </w:rPr>
      </w:pPr>
      <w:r>
        <w:rPr>
          <w:rFonts w:ascii="微软雅黑" w:hAnsi="微软雅黑" w:eastAsia="微软雅黑" w:cs="微软雅黑"/>
          <w:sz w:val="21"/>
          <w:szCs w:val="21"/>
          <w:highlight w:val="none"/>
        </w:rPr>
        <w:t>从业人员、营业收入、资产总额填报上一年度数据，无上一年度数据的新成立企业可不填报。</w:t>
      </w:r>
    </w:p>
    <w:p w14:paraId="04B57D42">
      <w:pPr>
        <w:snapToGrid w:val="0"/>
        <w:spacing w:line="360" w:lineRule="auto"/>
        <w:jc w:val="left"/>
        <w:rPr>
          <w:rFonts w:ascii="微软雅黑" w:hAnsi="微软雅黑" w:eastAsia="微软雅黑" w:cs="微软雅黑"/>
          <w:szCs w:val="21"/>
          <w:highlight w:val="none"/>
        </w:rPr>
      </w:pPr>
    </w:p>
    <w:p w14:paraId="1988376D">
      <w:pPr>
        <w:widowControl/>
        <w:jc w:val="left"/>
        <w:rPr>
          <w:rFonts w:ascii="微软雅黑" w:hAnsi="微软雅黑" w:eastAsia="微软雅黑" w:cs="微软雅黑"/>
          <w:b/>
          <w:szCs w:val="21"/>
          <w:highlight w:val="none"/>
        </w:rPr>
      </w:pPr>
    </w:p>
    <w:p w14:paraId="1617ECF6">
      <w:pPr>
        <w:pStyle w:val="19"/>
        <w:rPr>
          <w:rFonts w:ascii="微软雅黑" w:hAnsi="微软雅黑" w:eastAsia="微软雅黑" w:cs="微软雅黑"/>
          <w:szCs w:val="21"/>
          <w:highlight w:val="none"/>
        </w:rPr>
      </w:pPr>
    </w:p>
    <w:p w14:paraId="780EA5BF">
      <w:pPr>
        <w:widowControl/>
        <w:spacing w:line="360" w:lineRule="auto"/>
        <w:jc w:val="left"/>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残疾人福利性单位声明函（非残疾人福利性单位无需提供）</w:t>
      </w:r>
    </w:p>
    <w:p w14:paraId="1F90D3E7">
      <w:pPr>
        <w:widowControl/>
        <w:spacing w:line="360" w:lineRule="auto"/>
        <w:jc w:val="center"/>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残疾人福利性单位声明函</w:t>
      </w:r>
    </w:p>
    <w:p w14:paraId="741787B1">
      <w:pPr>
        <w:widowControl/>
        <w:spacing w:line="360" w:lineRule="auto"/>
        <w:ind w:firstLine="420" w:firstLineChars="20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A587E12">
      <w:pPr>
        <w:widowControl/>
        <w:spacing w:line="360" w:lineRule="auto"/>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本单位对上述声明的真实性负责。如有虚假，将依法承担相应责任。</w:t>
      </w:r>
    </w:p>
    <w:p w14:paraId="091F8DAE">
      <w:pPr>
        <w:widowControl/>
        <w:spacing w:line="360" w:lineRule="auto"/>
        <w:jc w:val="center"/>
        <w:outlineLvl w:val="0"/>
        <w:rPr>
          <w:rFonts w:ascii="微软雅黑" w:hAnsi="微软雅黑" w:eastAsia="微软雅黑" w:cs="微软雅黑"/>
          <w:szCs w:val="21"/>
          <w:highlight w:val="none"/>
        </w:rPr>
      </w:pPr>
      <w:bookmarkStart w:id="600" w:name="_Toc806"/>
      <w:r>
        <w:rPr>
          <w:rFonts w:hint="eastAsia" w:ascii="微软雅黑" w:hAnsi="微软雅黑" w:eastAsia="微软雅黑" w:cs="微软雅黑"/>
          <w:szCs w:val="21"/>
          <w:highlight w:val="none"/>
        </w:rPr>
        <w:t>投标人（盖章）：</w:t>
      </w:r>
      <w:bookmarkEnd w:id="600"/>
    </w:p>
    <w:p w14:paraId="0DD5D37D">
      <w:pPr>
        <w:widowControl/>
        <w:spacing w:line="360" w:lineRule="auto"/>
        <w:jc w:val="center"/>
        <w:outlineLvl w:val="0"/>
        <w:rPr>
          <w:rFonts w:ascii="微软雅黑" w:hAnsi="微软雅黑" w:eastAsia="微软雅黑" w:cs="微软雅黑"/>
          <w:szCs w:val="21"/>
          <w:highlight w:val="none"/>
        </w:rPr>
      </w:pPr>
      <w:bookmarkStart w:id="601" w:name="_Toc19957"/>
      <w:r>
        <w:rPr>
          <w:rFonts w:hint="eastAsia" w:ascii="微软雅黑" w:hAnsi="微软雅黑" w:eastAsia="微软雅黑" w:cs="微软雅黑"/>
          <w:szCs w:val="21"/>
          <w:highlight w:val="none"/>
        </w:rPr>
        <w:t>日期：</w:t>
      </w:r>
      <w:bookmarkEnd w:id="601"/>
    </w:p>
    <w:p w14:paraId="1AD8734C">
      <w:pPr>
        <w:pStyle w:val="19"/>
        <w:rPr>
          <w:rFonts w:ascii="微软雅黑" w:hAnsi="微软雅黑" w:eastAsia="微软雅黑" w:cs="微软雅黑"/>
          <w:szCs w:val="21"/>
          <w:highlight w:val="none"/>
        </w:rPr>
      </w:pPr>
    </w:p>
    <w:p w14:paraId="100C9961">
      <w:pPr>
        <w:pStyle w:val="20"/>
        <w:ind w:firstLine="210"/>
        <w:rPr>
          <w:rFonts w:ascii="微软雅黑" w:hAnsi="微软雅黑" w:eastAsia="微软雅黑" w:cs="微软雅黑"/>
          <w:szCs w:val="21"/>
          <w:highlight w:val="none"/>
        </w:rPr>
      </w:pPr>
    </w:p>
    <w:p w14:paraId="2EC04D75">
      <w:pPr>
        <w:rPr>
          <w:rFonts w:ascii="微软雅黑" w:hAnsi="微软雅黑" w:eastAsia="微软雅黑" w:cs="微软雅黑"/>
          <w:szCs w:val="21"/>
          <w:highlight w:val="none"/>
        </w:rPr>
      </w:pPr>
    </w:p>
    <w:p w14:paraId="3DD5927F">
      <w:pPr>
        <w:pStyle w:val="19"/>
        <w:rPr>
          <w:rFonts w:ascii="微软雅黑" w:hAnsi="微软雅黑" w:eastAsia="微软雅黑" w:cs="微软雅黑"/>
          <w:szCs w:val="21"/>
          <w:highlight w:val="none"/>
        </w:rPr>
      </w:pPr>
    </w:p>
    <w:p w14:paraId="08C24B9A">
      <w:pPr>
        <w:pStyle w:val="20"/>
        <w:ind w:firstLine="210"/>
        <w:rPr>
          <w:rFonts w:ascii="微软雅黑" w:hAnsi="微软雅黑" w:eastAsia="微软雅黑" w:cs="微软雅黑"/>
          <w:szCs w:val="21"/>
          <w:highlight w:val="none"/>
        </w:rPr>
      </w:pPr>
    </w:p>
    <w:p w14:paraId="5F62CD44">
      <w:pPr>
        <w:rPr>
          <w:rFonts w:ascii="微软雅黑" w:hAnsi="微软雅黑" w:eastAsia="微软雅黑" w:cs="微软雅黑"/>
          <w:szCs w:val="21"/>
          <w:highlight w:val="none"/>
        </w:rPr>
      </w:pPr>
    </w:p>
    <w:p w14:paraId="2B127212">
      <w:pPr>
        <w:pStyle w:val="19"/>
        <w:rPr>
          <w:rFonts w:ascii="微软雅黑" w:hAnsi="微软雅黑" w:eastAsia="微软雅黑" w:cs="微软雅黑"/>
          <w:szCs w:val="21"/>
          <w:highlight w:val="none"/>
        </w:rPr>
      </w:pPr>
    </w:p>
    <w:p w14:paraId="4E6703F0">
      <w:pPr>
        <w:pStyle w:val="20"/>
        <w:ind w:firstLine="210"/>
        <w:rPr>
          <w:rFonts w:ascii="微软雅黑" w:hAnsi="微软雅黑" w:eastAsia="微软雅黑" w:cs="微软雅黑"/>
          <w:szCs w:val="21"/>
          <w:highlight w:val="none"/>
        </w:rPr>
      </w:pPr>
    </w:p>
    <w:p w14:paraId="5942ED20">
      <w:pPr>
        <w:rPr>
          <w:rFonts w:ascii="微软雅黑" w:hAnsi="微软雅黑" w:eastAsia="微软雅黑" w:cs="微软雅黑"/>
          <w:szCs w:val="21"/>
          <w:highlight w:val="none"/>
        </w:rPr>
      </w:pPr>
    </w:p>
    <w:p w14:paraId="71964113">
      <w:pPr>
        <w:pStyle w:val="19"/>
        <w:rPr>
          <w:rFonts w:ascii="微软雅黑" w:hAnsi="微软雅黑" w:eastAsia="微软雅黑" w:cs="微软雅黑"/>
          <w:szCs w:val="21"/>
          <w:highlight w:val="none"/>
        </w:rPr>
      </w:pPr>
    </w:p>
    <w:p w14:paraId="66DDDB09">
      <w:pPr>
        <w:pStyle w:val="20"/>
        <w:ind w:firstLine="210"/>
        <w:rPr>
          <w:rFonts w:ascii="微软雅黑" w:hAnsi="微软雅黑" w:eastAsia="微软雅黑" w:cs="微软雅黑"/>
          <w:szCs w:val="21"/>
          <w:highlight w:val="none"/>
        </w:rPr>
      </w:pPr>
    </w:p>
    <w:p w14:paraId="1094C73B">
      <w:pPr>
        <w:rPr>
          <w:rFonts w:ascii="微软雅黑" w:hAnsi="微软雅黑" w:eastAsia="微软雅黑" w:cs="微软雅黑"/>
          <w:szCs w:val="21"/>
          <w:highlight w:val="none"/>
        </w:rPr>
      </w:pPr>
    </w:p>
    <w:p w14:paraId="1E1A96B6">
      <w:pPr>
        <w:pStyle w:val="19"/>
        <w:rPr>
          <w:rFonts w:ascii="微软雅黑" w:hAnsi="微软雅黑" w:eastAsia="微软雅黑" w:cs="微软雅黑"/>
          <w:szCs w:val="21"/>
          <w:highlight w:val="none"/>
        </w:rPr>
      </w:pPr>
    </w:p>
    <w:p w14:paraId="7EC3D8B7">
      <w:pPr>
        <w:pStyle w:val="20"/>
        <w:ind w:firstLine="210"/>
        <w:rPr>
          <w:rFonts w:ascii="微软雅黑" w:hAnsi="微软雅黑" w:eastAsia="微软雅黑" w:cs="微软雅黑"/>
          <w:szCs w:val="21"/>
          <w:highlight w:val="none"/>
        </w:rPr>
      </w:pPr>
    </w:p>
    <w:p w14:paraId="48FBEEFB">
      <w:pPr>
        <w:rPr>
          <w:rFonts w:ascii="微软雅黑" w:hAnsi="微软雅黑" w:eastAsia="微软雅黑" w:cs="微软雅黑"/>
          <w:szCs w:val="21"/>
          <w:highlight w:val="none"/>
        </w:rPr>
      </w:pPr>
    </w:p>
    <w:p w14:paraId="769B197F">
      <w:pPr>
        <w:pStyle w:val="20"/>
        <w:ind w:firstLine="210"/>
        <w:rPr>
          <w:rFonts w:ascii="微软雅黑" w:hAnsi="微软雅黑" w:eastAsia="微软雅黑" w:cs="微软雅黑"/>
          <w:szCs w:val="21"/>
          <w:highlight w:val="none"/>
        </w:rPr>
      </w:pPr>
    </w:p>
    <w:p w14:paraId="5CF4B4C2">
      <w:pPr>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监狱企业证明文件</w:t>
      </w:r>
    </w:p>
    <w:p w14:paraId="7D14C85C">
      <w:pPr>
        <w:spacing w:line="360" w:lineRule="auto"/>
        <w:jc w:val="center"/>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监狱企业证明文件</w:t>
      </w:r>
    </w:p>
    <w:tbl>
      <w:tblPr>
        <w:tblStyle w:val="53"/>
        <w:tblW w:w="8647"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8647"/>
      </w:tblGrid>
      <w:tr w14:paraId="0AA9BDE3">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8647" w:type="dxa"/>
            <w:vAlign w:val="center"/>
          </w:tcPr>
          <w:p w14:paraId="127816FF">
            <w:pPr>
              <w:spacing w:line="360" w:lineRule="auto"/>
              <w:jc w:val="center"/>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相关部门出具的监狱企业证明文件</w:t>
            </w:r>
          </w:p>
          <w:p w14:paraId="7385A77E">
            <w:pPr>
              <w:spacing w:line="360" w:lineRule="auto"/>
              <w:jc w:val="center"/>
              <w:rPr>
                <w:rFonts w:ascii="微软雅黑" w:hAnsi="微软雅黑" w:eastAsia="微软雅黑" w:cs="微软雅黑"/>
                <w:b/>
                <w:i/>
                <w:kern w:val="0"/>
                <w:szCs w:val="21"/>
                <w:highlight w:val="none"/>
              </w:rPr>
            </w:pPr>
            <w:r>
              <w:rPr>
                <w:rFonts w:hint="eastAsia" w:ascii="微软雅黑" w:hAnsi="微软雅黑" w:eastAsia="微软雅黑" w:cs="微软雅黑"/>
                <w:szCs w:val="21"/>
                <w:highlight w:val="none"/>
              </w:rPr>
              <w:t>（如是，提供</w:t>
            </w:r>
            <w:r>
              <w:rPr>
                <w:rFonts w:hint="eastAsia" w:ascii="微软雅黑" w:hAnsi="微软雅黑" w:eastAsia="微软雅黑" w:cs="微软雅黑"/>
                <w:kern w:val="0"/>
                <w:szCs w:val="21"/>
                <w:highlight w:val="none"/>
              </w:rPr>
              <w:t>复印件加盖投标供应商公章）</w:t>
            </w:r>
          </w:p>
        </w:tc>
      </w:tr>
    </w:tbl>
    <w:p w14:paraId="3CE3CA71">
      <w:pPr>
        <w:spacing w:line="360" w:lineRule="auto"/>
        <w:rPr>
          <w:rFonts w:ascii="微软雅黑" w:hAnsi="微软雅黑" w:eastAsia="微软雅黑" w:cs="微软雅黑"/>
          <w:i/>
          <w:szCs w:val="21"/>
          <w:highlight w:val="none"/>
        </w:rPr>
      </w:pPr>
    </w:p>
    <w:p w14:paraId="7F5FF580">
      <w:pPr>
        <w:snapToGrid w:val="0"/>
        <w:spacing w:line="360" w:lineRule="auto"/>
        <w:jc w:val="left"/>
        <w:rPr>
          <w:rFonts w:hint="eastAsia" w:ascii="微软雅黑" w:hAnsi="微软雅黑" w:eastAsia="微软雅黑" w:cs="微软雅黑"/>
          <w:szCs w:val="21"/>
          <w:highlight w:val="none"/>
          <w:shd w:val="clear" w:color="auto" w:fill="FFFFFF"/>
          <w:lang w:eastAsia="zh-CN"/>
        </w:rPr>
      </w:pPr>
      <w:r>
        <w:rPr>
          <w:rFonts w:hint="eastAsia" w:ascii="微软雅黑" w:hAnsi="微软雅黑" w:eastAsia="微软雅黑" w:cs="微软雅黑"/>
          <w:szCs w:val="21"/>
          <w:highlight w:val="none"/>
          <w:shd w:val="clear" w:color="auto" w:fill="FFFFFF"/>
        </w:rPr>
        <w:t>投标人名称：（盖章）</w:t>
      </w:r>
    </w:p>
    <w:p w14:paraId="424BAEB9">
      <w:pPr>
        <w:snapToGrid w:val="0"/>
        <w:spacing w:line="360" w:lineRule="auto"/>
        <w:jc w:val="left"/>
        <w:rPr>
          <w:rFonts w:hint="eastAsia" w:ascii="微软雅黑" w:hAnsi="微软雅黑" w:eastAsia="微软雅黑" w:cs="微软雅黑"/>
          <w:szCs w:val="21"/>
          <w:highlight w:val="none"/>
          <w:shd w:val="clear" w:color="auto" w:fill="FFFFFF"/>
          <w:lang w:eastAsia="zh-CN"/>
        </w:rPr>
      </w:pPr>
      <w:r>
        <w:rPr>
          <w:rFonts w:hint="eastAsia" w:ascii="微软雅黑" w:hAnsi="微软雅黑" w:eastAsia="微软雅黑" w:cs="微软雅黑"/>
          <w:szCs w:val="21"/>
          <w:highlight w:val="none"/>
          <w:shd w:val="clear" w:color="auto" w:fill="FFFFFF"/>
        </w:rPr>
        <w:t>法定代表人或授权代表（签字）：</w:t>
      </w:r>
    </w:p>
    <w:p w14:paraId="6CD0D680">
      <w:pPr>
        <w:snapToGrid w:val="0"/>
        <w:spacing w:line="360" w:lineRule="auto"/>
        <w:jc w:val="left"/>
        <w:rPr>
          <w:rFonts w:ascii="微软雅黑" w:hAnsi="微软雅黑" w:eastAsia="微软雅黑" w:cs="微软雅黑"/>
          <w:szCs w:val="21"/>
          <w:highlight w:val="none"/>
          <w:u w:val="single"/>
        </w:rPr>
      </w:pPr>
      <w:r>
        <w:rPr>
          <w:rFonts w:hint="eastAsia" w:ascii="微软雅黑" w:hAnsi="微软雅黑" w:eastAsia="微软雅黑" w:cs="微软雅黑"/>
          <w:szCs w:val="21"/>
          <w:highlight w:val="none"/>
          <w:shd w:val="clear" w:color="auto" w:fill="FFFFFF"/>
        </w:rPr>
        <w:t>投标日期： 年 月 日</w:t>
      </w:r>
    </w:p>
    <w:p w14:paraId="63DCCC36">
      <w:pPr>
        <w:pStyle w:val="552"/>
        <w:rPr>
          <w:rFonts w:ascii="微软雅黑" w:hAnsi="微软雅黑" w:eastAsia="微软雅黑" w:cs="微软雅黑"/>
          <w:szCs w:val="21"/>
          <w:highlight w:val="none"/>
        </w:rPr>
      </w:pPr>
    </w:p>
    <w:p w14:paraId="5D5FB742">
      <w:pPr>
        <w:snapToGrid w:val="0"/>
        <w:spacing w:line="360" w:lineRule="auto"/>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初次报价表</w:t>
      </w:r>
    </w:p>
    <w:p w14:paraId="65363CA9">
      <w:pPr>
        <w:snapToGrid w:val="0"/>
        <w:spacing w:line="360" w:lineRule="auto"/>
        <w:jc w:val="center"/>
        <w:rPr>
          <w:rFonts w:ascii="微软雅黑" w:hAnsi="微软雅黑" w:eastAsia="微软雅黑" w:cs="Tahoma"/>
          <w:b/>
          <w:bCs/>
          <w:kern w:val="36"/>
          <w:sz w:val="32"/>
          <w:szCs w:val="32"/>
          <w:highlight w:val="none"/>
        </w:rPr>
      </w:pPr>
      <w:r>
        <w:rPr>
          <w:rFonts w:ascii="微软雅黑" w:hAnsi="微软雅黑" w:eastAsia="微软雅黑"/>
          <w:b/>
          <w:szCs w:val="21"/>
          <w:highlight w:val="none"/>
        </w:rPr>
        <w:t>开标一览表（标项</w:t>
      </w:r>
      <w:r>
        <w:rPr>
          <w:rFonts w:hint="eastAsia" w:ascii="微软雅黑" w:hAnsi="微软雅黑" w:eastAsia="微软雅黑"/>
          <w:b/>
          <w:szCs w:val="21"/>
          <w:highlight w:val="none"/>
          <w:lang w:val="en-US" w:eastAsia="zh-CN"/>
        </w:rPr>
        <w:t>一</w:t>
      </w:r>
      <w:r>
        <w:rPr>
          <w:rFonts w:ascii="微软雅黑" w:hAnsi="微软雅黑" w:eastAsia="微软雅黑"/>
          <w:b/>
          <w:szCs w:val="21"/>
          <w:highlight w:val="none"/>
        </w:rPr>
        <w:t>）</w:t>
      </w:r>
    </w:p>
    <w:p w14:paraId="13CBFA93">
      <w:pPr>
        <w:spacing w:line="360" w:lineRule="auto"/>
        <w:rPr>
          <w:rFonts w:ascii="微软雅黑" w:hAnsi="微软雅黑" w:eastAsia="微软雅黑" w:cs="Tahoma"/>
          <w:bCs/>
          <w:kern w:val="36"/>
          <w:highlight w:val="none"/>
        </w:rPr>
      </w:pPr>
      <w:r>
        <w:rPr>
          <w:rFonts w:hint="eastAsia" w:ascii="微软雅黑" w:hAnsi="微软雅黑" w:eastAsia="微软雅黑" w:cs="Tahoma"/>
          <w:bCs/>
          <w:kern w:val="36"/>
          <w:highlight w:val="none"/>
        </w:rPr>
        <w:t>项目名称：</w:t>
      </w:r>
      <w:r>
        <w:rPr>
          <w:rFonts w:hint="eastAsia" w:ascii="微软雅黑" w:hAnsi="微软雅黑" w:eastAsia="微软雅黑"/>
          <w:bCs/>
          <w:highlight w:val="none"/>
          <w:lang w:eastAsia="zh-CN"/>
        </w:rPr>
        <w:t>嘉兴市南湖区大桥镇中心小学2025年度教师疗休养项目</w:t>
      </w:r>
      <w:r>
        <w:rPr>
          <w:rFonts w:hint="eastAsia" w:ascii="微软雅黑" w:hAnsi="微软雅黑" w:eastAsia="微软雅黑" w:cs="Tahoma"/>
          <w:bCs/>
          <w:kern w:val="36"/>
          <w:highlight w:val="none"/>
        </w:rPr>
        <w:t>单位：元/人·次</w:t>
      </w:r>
    </w:p>
    <w:tbl>
      <w:tblPr>
        <w:tblStyle w:val="53"/>
        <w:tblW w:w="82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3"/>
        <w:gridCol w:w="787"/>
        <w:gridCol w:w="673"/>
        <w:gridCol w:w="1506"/>
      </w:tblGrid>
      <w:tr w14:paraId="6E804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5293" w:type="dxa"/>
            <w:tcBorders>
              <w:top w:val="single" w:color="auto" w:sz="4" w:space="0"/>
              <w:left w:val="single" w:color="auto" w:sz="4" w:space="0"/>
              <w:bottom w:val="single" w:color="auto" w:sz="4" w:space="0"/>
              <w:right w:val="single" w:color="auto" w:sz="4" w:space="0"/>
            </w:tcBorders>
            <w:vAlign w:val="center"/>
          </w:tcPr>
          <w:p w14:paraId="3F180637">
            <w:pPr>
              <w:widowControl/>
              <w:spacing w:before="75" w:after="75" w:line="300" w:lineRule="atLeast"/>
              <w:jc w:val="center"/>
              <w:rPr>
                <w:rFonts w:hint="eastAsia" w:ascii="微软雅黑" w:hAnsi="微软雅黑" w:eastAsia="微软雅黑" w:cs="Arial"/>
                <w:color w:val="000000"/>
                <w:kern w:val="0"/>
                <w:szCs w:val="21"/>
                <w:highlight w:val="none"/>
                <w:lang w:val="en-US" w:eastAsia="zh-CN"/>
              </w:rPr>
            </w:pPr>
            <w:r>
              <w:rPr>
                <w:rFonts w:hint="eastAsia" w:ascii="微软雅黑" w:hAnsi="微软雅黑" w:eastAsia="微软雅黑" w:cs="Arial"/>
                <w:color w:val="000000"/>
                <w:kern w:val="0"/>
                <w:szCs w:val="21"/>
                <w:highlight w:val="none"/>
                <w:lang w:val="en-US" w:eastAsia="zh-CN"/>
              </w:rPr>
              <w:t>名          称</w:t>
            </w:r>
          </w:p>
        </w:tc>
        <w:tc>
          <w:tcPr>
            <w:tcW w:w="787" w:type="dxa"/>
            <w:tcBorders>
              <w:top w:val="single" w:color="auto" w:sz="4" w:space="0"/>
              <w:left w:val="single" w:color="auto" w:sz="4" w:space="0"/>
              <w:bottom w:val="single" w:color="auto" w:sz="4" w:space="0"/>
              <w:right w:val="single" w:color="auto" w:sz="4" w:space="0"/>
            </w:tcBorders>
            <w:vAlign w:val="center"/>
          </w:tcPr>
          <w:p w14:paraId="495251EF">
            <w:pPr>
              <w:widowControl/>
              <w:spacing w:before="75" w:after="75" w:line="300" w:lineRule="atLeast"/>
              <w:jc w:val="center"/>
              <w:rPr>
                <w:rFonts w:hint="eastAsia" w:ascii="微软雅黑" w:hAnsi="微软雅黑" w:eastAsia="微软雅黑" w:cs="Arial"/>
                <w:color w:val="000000"/>
                <w:kern w:val="0"/>
                <w:szCs w:val="21"/>
                <w:highlight w:val="none"/>
                <w:lang w:val="en-US" w:eastAsia="zh-CN"/>
              </w:rPr>
            </w:pPr>
            <w:r>
              <w:rPr>
                <w:rFonts w:hint="eastAsia" w:ascii="微软雅黑" w:hAnsi="微软雅黑" w:eastAsia="微软雅黑" w:cs="Arial"/>
                <w:color w:val="000000"/>
                <w:kern w:val="0"/>
                <w:szCs w:val="21"/>
                <w:highlight w:val="none"/>
                <w:lang w:val="en-US" w:eastAsia="zh-CN"/>
              </w:rPr>
              <w:t>单 位</w:t>
            </w:r>
          </w:p>
        </w:tc>
        <w:tc>
          <w:tcPr>
            <w:tcW w:w="673" w:type="dxa"/>
            <w:tcBorders>
              <w:top w:val="single" w:color="auto" w:sz="4" w:space="0"/>
              <w:left w:val="single" w:color="auto" w:sz="4" w:space="0"/>
              <w:bottom w:val="single" w:color="auto" w:sz="4" w:space="0"/>
              <w:right w:val="single" w:color="auto" w:sz="4" w:space="0"/>
            </w:tcBorders>
            <w:vAlign w:val="center"/>
          </w:tcPr>
          <w:p w14:paraId="7E235297">
            <w:pPr>
              <w:widowControl/>
              <w:spacing w:before="75" w:after="75" w:line="300" w:lineRule="atLeast"/>
              <w:jc w:val="center"/>
              <w:rPr>
                <w:rFonts w:hint="eastAsia" w:ascii="微软雅黑" w:hAnsi="微软雅黑" w:eastAsia="微软雅黑" w:cs="Arial"/>
                <w:color w:val="000000"/>
                <w:kern w:val="0"/>
                <w:szCs w:val="21"/>
                <w:highlight w:val="none"/>
                <w:lang w:val="en-US" w:eastAsia="zh-CN"/>
              </w:rPr>
            </w:pPr>
            <w:r>
              <w:rPr>
                <w:rFonts w:hint="eastAsia" w:ascii="微软雅黑" w:hAnsi="微软雅黑" w:eastAsia="微软雅黑" w:cs="Arial"/>
                <w:color w:val="000000"/>
                <w:kern w:val="0"/>
                <w:szCs w:val="21"/>
                <w:highlight w:val="none"/>
                <w:lang w:val="en-US" w:eastAsia="zh-CN"/>
              </w:rPr>
              <w:t>数量</w:t>
            </w:r>
          </w:p>
        </w:tc>
        <w:tc>
          <w:tcPr>
            <w:tcW w:w="1506" w:type="dxa"/>
            <w:tcBorders>
              <w:top w:val="single" w:color="auto" w:sz="4" w:space="0"/>
              <w:left w:val="single" w:color="auto" w:sz="4" w:space="0"/>
              <w:bottom w:val="single" w:color="auto" w:sz="4" w:space="0"/>
              <w:right w:val="single" w:color="auto" w:sz="4" w:space="0"/>
            </w:tcBorders>
            <w:vAlign w:val="center"/>
          </w:tcPr>
          <w:p w14:paraId="3BC2967B">
            <w:pPr>
              <w:widowControl/>
              <w:spacing w:before="75" w:after="75" w:line="300" w:lineRule="atLeast"/>
              <w:jc w:val="center"/>
              <w:rPr>
                <w:rFonts w:hint="eastAsia" w:ascii="微软雅黑" w:hAnsi="微软雅黑" w:eastAsia="微软雅黑" w:cs="Arial"/>
                <w:color w:val="000000"/>
                <w:kern w:val="0"/>
                <w:szCs w:val="21"/>
                <w:highlight w:val="none"/>
                <w:lang w:val="en-US" w:eastAsia="zh-CN"/>
              </w:rPr>
            </w:pPr>
            <w:r>
              <w:rPr>
                <w:rFonts w:hint="eastAsia" w:ascii="微软雅黑" w:hAnsi="微软雅黑" w:eastAsia="微软雅黑" w:cs="Arial"/>
                <w:color w:val="000000"/>
                <w:kern w:val="0"/>
                <w:szCs w:val="21"/>
                <w:highlight w:val="none"/>
                <w:lang w:val="en-US" w:eastAsia="zh-CN"/>
              </w:rPr>
              <w:t>投标报价</w:t>
            </w:r>
          </w:p>
        </w:tc>
      </w:tr>
      <w:tr w14:paraId="105A2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5293" w:type="dxa"/>
            <w:tcBorders>
              <w:top w:val="single" w:color="auto" w:sz="4" w:space="0"/>
              <w:left w:val="single" w:color="auto" w:sz="4" w:space="0"/>
              <w:bottom w:val="single" w:color="auto" w:sz="4" w:space="0"/>
              <w:right w:val="single" w:color="auto" w:sz="4" w:space="0"/>
            </w:tcBorders>
            <w:vAlign w:val="center"/>
          </w:tcPr>
          <w:p w14:paraId="2322AA72">
            <w:pPr>
              <w:widowControl/>
              <w:spacing w:before="75" w:after="75" w:line="300" w:lineRule="atLeast"/>
              <w:jc w:val="center"/>
              <w:rPr>
                <w:rFonts w:hint="eastAsia" w:ascii="微软雅黑" w:hAnsi="微软雅黑" w:eastAsia="微软雅黑" w:cs="Arial"/>
                <w:color w:val="000000"/>
                <w:kern w:val="0"/>
                <w:szCs w:val="21"/>
                <w:highlight w:val="none"/>
                <w:lang w:val="en-US" w:eastAsia="zh-CN"/>
              </w:rPr>
            </w:pPr>
            <w:r>
              <w:rPr>
                <w:rFonts w:hint="eastAsia" w:ascii="微软雅黑" w:hAnsi="微软雅黑" w:eastAsia="微软雅黑" w:cs="Arial"/>
                <w:color w:val="000000"/>
                <w:kern w:val="0"/>
                <w:szCs w:val="21"/>
                <w:highlight w:val="none"/>
                <w:lang w:val="en-US" w:eastAsia="zh-CN"/>
              </w:rPr>
              <w:t>线路一：嘉兴5日游</w:t>
            </w:r>
          </w:p>
        </w:tc>
        <w:tc>
          <w:tcPr>
            <w:tcW w:w="787" w:type="dxa"/>
            <w:tcBorders>
              <w:top w:val="single" w:color="auto" w:sz="4" w:space="0"/>
              <w:left w:val="single" w:color="auto" w:sz="4" w:space="0"/>
              <w:bottom w:val="single" w:color="auto" w:sz="4" w:space="0"/>
              <w:right w:val="single" w:color="auto" w:sz="4" w:space="0"/>
            </w:tcBorders>
            <w:vAlign w:val="center"/>
          </w:tcPr>
          <w:p w14:paraId="08BD5576">
            <w:pPr>
              <w:widowControl/>
              <w:spacing w:before="75" w:after="75" w:line="300" w:lineRule="atLeast"/>
              <w:jc w:val="center"/>
              <w:rPr>
                <w:rFonts w:hint="eastAsia" w:ascii="微软雅黑" w:hAnsi="微软雅黑" w:eastAsia="微软雅黑" w:cs="Arial"/>
                <w:color w:val="000000"/>
                <w:kern w:val="0"/>
                <w:szCs w:val="21"/>
                <w:highlight w:val="none"/>
                <w:lang w:val="en-US" w:eastAsia="zh-CN"/>
              </w:rPr>
            </w:pPr>
            <w:r>
              <w:rPr>
                <w:rFonts w:hint="eastAsia" w:ascii="微软雅黑" w:hAnsi="微软雅黑" w:eastAsia="微软雅黑" w:cs="Arial"/>
                <w:color w:val="000000"/>
                <w:kern w:val="0"/>
                <w:szCs w:val="21"/>
                <w:highlight w:val="none"/>
                <w:lang w:val="en-US" w:eastAsia="zh-CN"/>
              </w:rPr>
              <w:t>人·次</w:t>
            </w:r>
          </w:p>
        </w:tc>
        <w:tc>
          <w:tcPr>
            <w:tcW w:w="673" w:type="dxa"/>
            <w:tcBorders>
              <w:top w:val="single" w:color="auto" w:sz="4" w:space="0"/>
              <w:left w:val="single" w:color="auto" w:sz="4" w:space="0"/>
              <w:bottom w:val="single" w:color="auto" w:sz="4" w:space="0"/>
              <w:right w:val="single" w:color="auto" w:sz="4" w:space="0"/>
            </w:tcBorders>
            <w:vAlign w:val="center"/>
          </w:tcPr>
          <w:p w14:paraId="5BC3864A">
            <w:pPr>
              <w:widowControl/>
              <w:spacing w:before="75" w:after="75" w:line="300" w:lineRule="atLeast"/>
              <w:jc w:val="center"/>
              <w:rPr>
                <w:rFonts w:hint="eastAsia" w:ascii="微软雅黑" w:hAnsi="微软雅黑" w:eastAsia="微软雅黑" w:cs="Arial"/>
                <w:color w:val="000000"/>
                <w:kern w:val="0"/>
                <w:szCs w:val="21"/>
                <w:highlight w:val="none"/>
                <w:lang w:val="en-US" w:eastAsia="zh-CN"/>
              </w:rPr>
            </w:pPr>
            <w:r>
              <w:rPr>
                <w:rFonts w:hint="eastAsia" w:ascii="微软雅黑" w:hAnsi="微软雅黑" w:eastAsia="微软雅黑" w:cs="Arial"/>
                <w:color w:val="000000"/>
                <w:kern w:val="0"/>
                <w:szCs w:val="21"/>
                <w:highlight w:val="none"/>
                <w:lang w:val="en-US" w:eastAsia="zh-CN"/>
              </w:rPr>
              <w:t>1</w:t>
            </w:r>
          </w:p>
        </w:tc>
        <w:tc>
          <w:tcPr>
            <w:tcW w:w="1506" w:type="dxa"/>
            <w:tcBorders>
              <w:top w:val="single" w:color="auto" w:sz="4" w:space="0"/>
              <w:left w:val="single" w:color="auto" w:sz="4" w:space="0"/>
              <w:bottom w:val="single" w:color="auto" w:sz="4" w:space="0"/>
              <w:right w:val="single" w:color="auto" w:sz="4" w:space="0"/>
            </w:tcBorders>
            <w:vAlign w:val="center"/>
          </w:tcPr>
          <w:p w14:paraId="2CA3FA1A">
            <w:pPr>
              <w:widowControl/>
              <w:spacing w:before="75" w:after="75" w:line="300" w:lineRule="atLeast"/>
              <w:jc w:val="center"/>
              <w:rPr>
                <w:rFonts w:hint="eastAsia" w:ascii="微软雅黑" w:hAnsi="微软雅黑" w:eastAsia="微软雅黑" w:cs="Arial"/>
                <w:color w:val="000000"/>
                <w:kern w:val="0"/>
                <w:szCs w:val="21"/>
                <w:highlight w:val="none"/>
                <w:lang w:val="en-US" w:eastAsia="zh-CN"/>
              </w:rPr>
            </w:pPr>
            <w:r>
              <w:rPr>
                <w:rFonts w:hint="eastAsia" w:ascii="微软雅黑" w:hAnsi="微软雅黑" w:eastAsia="微软雅黑" w:cs="Arial"/>
                <w:color w:val="000000"/>
                <w:kern w:val="0"/>
                <w:szCs w:val="21"/>
                <w:highlight w:val="none"/>
                <w:lang w:val="en-US" w:eastAsia="zh-CN"/>
              </w:rPr>
              <w:t>3000</w:t>
            </w:r>
          </w:p>
        </w:tc>
      </w:tr>
    </w:tbl>
    <w:p w14:paraId="451D8299">
      <w:pPr>
        <w:pStyle w:val="29"/>
        <w:snapToGrid w:val="0"/>
        <w:spacing w:line="360" w:lineRule="auto"/>
        <w:rPr>
          <w:rFonts w:hint="eastAsia" w:ascii="微软雅黑" w:hAnsi="微软雅黑" w:eastAsia="微软雅黑"/>
          <w:b/>
          <w:sz w:val="28"/>
          <w:szCs w:val="28"/>
          <w:highlight w:val="none"/>
          <w:shd w:val="pct10" w:color="auto" w:fill="FFFFFF"/>
        </w:rPr>
      </w:pPr>
      <w:r>
        <w:rPr>
          <w:rFonts w:hint="eastAsia" w:ascii="微软雅黑" w:hAnsi="微软雅黑" w:eastAsia="微软雅黑"/>
          <w:b/>
          <w:sz w:val="28"/>
          <w:szCs w:val="28"/>
          <w:highlight w:val="none"/>
          <w:shd w:val="pct10" w:color="auto" w:fill="FFFFFF"/>
        </w:rPr>
        <w:t>注:▲以上价格不做调整，按单价</w:t>
      </w:r>
      <w:r>
        <w:rPr>
          <w:rFonts w:hint="eastAsia" w:ascii="微软雅黑" w:hAnsi="微软雅黑" w:eastAsia="微软雅黑"/>
          <w:b/>
          <w:sz w:val="28"/>
          <w:szCs w:val="28"/>
          <w:highlight w:val="none"/>
          <w:shd w:val="pct10" w:color="auto" w:fill="FFFFFF"/>
          <w:lang w:val="en-US" w:eastAsia="zh-CN"/>
        </w:rPr>
        <w:t>30</w:t>
      </w:r>
      <w:r>
        <w:rPr>
          <w:rFonts w:ascii="微软雅黑" w:hAnsi="微软雅黑" w:eastAsia="微软雅黑"/>
          <w:b/>
          <w:sz w:val="28"/>
          <w:szCs w:val="28"/>
          <w:highlight w:val="none"/>
          <w:shd w:val="pct10" w:color="auto" w:fill="FFFFFF"/>
        </w:rPr>
        <w:t>00</w:t>
      </w:r>
      <w:r>
        <w:rPr>
          <w:rFonts w:hint="eastAsia" w:ascii="微软雅黑" w:hAnsi="微软雅黑" w:eastAsia="微软雅黑"/>
          <w:b/>
          <w:sz w:val="28"/>
          <w:szCs w:val="28"/>
          <w:highlight w:val="none"/>
          <w:shd w:val="pct10" w:color="auto" w:fill="FFFFFF"/>
        </w:rPr>
        <w:t>元/</w:t>
      </w:r>
      <w:r>
        <w:rPr>
          <w:rFonts w:ascii="微软雅黑" w:hAnsi="微软雅黑" w:eastAsia="微软雅黑"/>
          <w:b/>
          <w:spacing w:val="20"/>
          <w:sz w:val="28"/>
          <w:szCs w:val="28"/>
          <w:highlight w:val="none"/>
          <w:shd w:val="pct10" w:color="auto" w:fill="FFFFFF"/>
        </w:rPr>
        <w:t>人·</w:t>
      </w:r>
      <w:r>
        <w:rPr>
          <w:rFonts w:hint="eastAsia" w:ascii="微软雅黑" w:hAnsi="微软雅黑" w:eastAsia="微软雅黑"/>
          <w:b/>
          <w:spacing w:val="20"/>
          <w:sz w:val="28"/>
          <w:szCs w:val="28"/>
          <w:highlight w:val="none"/>
          <w:shd w:val="pct10" w:color="auto" w:fill="FFFFFF"/>
        </w:rPr>
        <w:t>次进行报价</w:t>
      </w:r>
      <w:r>
        <w:rPr>
          <w:rFonts w:hint="eastAsia" w:ascii="微软雅黑" w:hAnsi="微软雅黑" w:eastAsia="微软雅黑"/>
          <w:b/>
          <w:sz w:val="28"/>
          <w:szCs w:val="28"/>
          <w:highlight w:val="none"/>
          <w:shd w:val="pct10" w:color="auto" w:fill="FFFFFF"/>
        </w:rPr>
        <w:t>,任何改变价格的行为均视为</w:t>
      </w:r>
      <w:r>
        <w:rPr>
          <w:rFonts w:hint="eastAsia" w:ascii="微软雅黑" w:hAnsi="微软雅黑" w:eastAsia="微软雅黑" w:cs="Times New Roman"/>
          <w:b/>
          <w:sz w:val="28"/>
          <w:szCs w:val="28"/>
          <w:highlight w:val="none"/>
          <w:shd w:val="pct10" w:color="auto" w:fill="FFFFFF"/>
        </w:rPr>
        <w:t>无效投标</w:t>
      </w:r>
      <w:r>
        <w:rPr>
          <w:rFonts w:hint="eastAsia" w:ascii="微软雅黑" w:hAnsi="微软雅黑" w:eastAsia="微软雅黑" w:cs="Times New Roman"/>
          <w:b/>
          <w:sz w:val="28"/>
          <w:szCs w:val="28"/>
          <w:highlight w:val="none"/>
          <w:shd w:val="pct10" w:color="auto" w:fill="FFFFFF"/>
          <w:lang w:val="en-US" w:eastAsia="zh-CN"/>
        </w:rPr>
        <w:t>。</w:t>
      </w:r>
    </w:p>
    <w:p w14:paraId="54D21906">
      <w:pPr>
        <w:pStyle w:val="29"/>
        <w:snapToGrid w:val="0"/>
        <w:spacing w:line="360" w:lineRule="auto"/>
        <w:rPr>
          <w:rFonts w:ascii="微软雅黑" w:hAnsi="微软雅黑" w:eastAsia="微软雅黑"/>
          <w:szCs w:val="21"/>
          <w:highlight w:val="none"/>
        </w:rPr>
      </w:pPr>
      <w:r>
        <w:rPr>
          <w:rFonts w:ascii="微软雅黑" w:hAnsi="微软雅黑" w:eastAsia="微软雅黑"/>
          <w:szCs w:val="21"/>
          <w:highlight w:val="none"/>
        </w:rPr>
        <w:t>1、报价一经涂改，应在涂改处加盖单位公章或者由法定代表人或授权委托人签字或盖章，否则其投标作无效标处理。</w:t>
      </w:r>
    </w:p>
    <w:p w14:paraId="2687EA7A">
      <w:pPr>
        <w:pStyle w:val="29"/>
        <w:snapToGrid w:val="0"/>
        <w:spacing w:line="360" w:lineRule="auto"/>
        <w:rPr>
          <w:rFonts w:ascii="微软雅黑" w:hAnsi="微软雅黑" w:eastAsia="微软雅黑"/>
          <w:szCs w:val="21"/>
          <w:highlight w:val="none"/>
        </w:rPr>
      </w:pPr>
      <w:r>
        <w:rPr>
          <w:rFonts w:ascii="微软雅黑" w:hAnsi="微软雅黑" w:eastAsia="微软雅黑"/>
          <w:szCs w:val="21"/>
          <w:highlight w:val="none"/>
        </w:rPr>
        <w:t>2、投标费用包括项目实施所需的人工费、服务费、税费及其他一切费用。</w:t>
      </w:r>
    </w:p>
    <w:p w14:paraId="10CEC7E9">
      <w:pPr>
        <w:pStyle w:val="29"/>
        <w:snapToGrid w:val="0"/>
        <w:spacing w:line="360" w:lineRule="auto"/>
        <w:rPr>
          <w:rFonts w:ascii="微软雅黑" w:hAnsi="微软雅黑" w:eastAsia="微软雅黑"/>
          <w:szCs w:val="21"/>
          <w:highlight w:val="none"/>
        </w:rPr>
      </w:pPr>
      <w:r>
        <w:rPr>
          <w:rFonts w:ascii="微软雅黑" w:hAnsi="微软雅黑" w:eastAsia="微软雅黑"/>
          <w:szCs w:val="21"/>
          <w:highlight w:val="none"/>
        </w:rPr>
        <w:t>▲</w:t>
      </w:r>
      <w:r>
        <w:rPr>
          <w:rFonts w:hint="eastAsia" w:ascii="微软雅黑" w:hAnsi="微软雅黑" w:eastAsia="微软雅黑"/>
          <w:szCs w:val="21"/>
          <w:highlight w:val="none"/>
        </w:rPr>
        <w:t>3</w:t>
      </w:r>
      <w:r>
        <w:rPr>
          <w:rFonts w:ascii="微软雅黑" w:hAnsi="微软雅黑" w:eastAsia="微软雅黑"/>
          <w:szCs w:val="21"/>
          <w:highlight w:val="none"/>
        </w:rPr>
        <w:t>、以上报价不得超过上限价，任何超过上限价的报价均导致投标被否决。</w:t>
      </w:r>
    </w:p>
    <w:p w14:paraId="284DB7CA">
      <w:pPr>
        <w:pStyle w:val="29"/>
        <w:snapToGrid w:val="0"/>
        <w:spacing w:line="360" w:lineRule="auto"/>
        <w:rPr>
          <w:rFonts w:ascii="微软雅黑" w:hAnsi="微软雅黑" w:eastAsia="微软雅黑"/>
          <w:b/>
          <w:szCs w:val="21"/>
          <w:highlight w:val="none"/>
        </w:rPr>
      </w:pPr>
      <w:r>
        <w:rPr>
          <w:rFonts w:ascii="微软雅黑" w:hAnsi="微软雅黑" w:eastAsia="微软雅黑"/>
          <w:b/>
          <w:szCs w:val="21"/>
          <w:highlight w:val="none"/>
        </w:rPr>
        <w:t xml:space="preserve">法定代表人或授权代表（签字或盖章）： </w:t>
      </w:r>
    </w:p>
    <w:p w14:paraId="55854AFE">
      <w:pPr>
        <w:pStyle w:val="29"/>
        <w:snapToGrid w:val="0"/>
        <w:spacing w:line="360" w:lineRule="auto"/>
        <w:rPr>
          <w:rFonts w:ascii="微软雅黑" w:hAnsi="微软雅黑" w:eastAsia="微软雅黑"/>
          <w:b/>
          <w:szCs w:val="21"/>
          <w:highlight w:val="none"/>
        </w:rPr>
      </w:pPr>
      <w:r>
        <w:rPr>
          <w:rFonts w:ascii="微软雅黑" w:hAnsi="微软雅黑" w:eastAsia="微软雅黑"/>
          <w:b/>
          <w:szCs w:val="21"/>
          <w:highlight w:val="none"/>
        </w:rPr>
        <w:t>投标人名称（盖章）：</w:t>
      </w:r>
    </w:p>
    <w:p w14:paraId="0F8F0EE5">
      <w:pPr>
        <w:pStyle w:val="29"/>
        <w:snapToGrid w:val="0"/>
        <w:spacing w:line="360" w:lineRule="auto"/>
        <w:rPr>
          <w:rFonts w:hint="eastAsia" w:ascii="微软雅黑" w:hAnsi="微软雅黑" w:eastAsia="微软雅黑"/>
          <w:b/>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linePitch="312" w:charSpace="0"/>
        </w:sectPr>
      </w:pPr>
      <w:r>
        <w:rPr>
          <w:rFonts w:hint="eastAsia" w:ascii="微软雅黑" w:hAnsi="微软雅黑" w:eastAsia="微软雅黑"/>
          <w:b/>
          <w:szCs w:val="21"/>
          <w:highlight w:val="none"/>
        </w:rPr>
        <w:t>日 期：</w:t>
      </w:r>
    </w:p>
    <w:p w14:paraId="574039EF">
      <w:pPr>
        <w:snapToGrid w:val="0"/>
        <w:spacing w:line="360" w:lineRule="auto"/>
        <w:jc w:val="center"/>
        <w:rPr>
          <w:rFonts w:ascii="微软雅黑" w:hAnsi="微软雅黑" w:eastAsia="微软雅黑" w:cs="Tahoma"/>
          <w:b/>
          <w:bCs/>
          <w:kern w:val="36"/>
          <w:sz w:val="32"/>
          <w:szCs w:val="32"/>
          <w:highlight w:val="none"/>
        </w:rPr>
      </w:pPr>
      <w:r>
        <w:rPr>
          <w:rFonts w:ascii="微软雅黑" w:hAnsi="微软雅黑" w:eastAsia="微软雅黑"/>
          <w:b/>
          <w:szCs w:val="21"/>
          <w:highlight w:val="none"/>
        </w:rPr>
        <w:t>开标一览表（标项</w:t>
      </w:r>
      <w:r>
        <w:rPr>
          <w:rFonts w:hint="eastAsia" w:ascii="微软雅黑" w:hAnsi="微软雅黑" w:eastAsia="微软雅黑"/>
          <w:b/>
          <w:szCs w:val="21"/>
          <w:highlight w:val="none"/>
          <w:lang w:val="en-US" w:eastAsia="zh-CN"/>
        </w:rPr>
        <w:t>二</w:t>
      </w:r>
      <w:r>
        <w:rPr>
          <w:rFonts w:ascii="微软雅黑" w:hAnsi="微软雅黑" w:eastAsia="微软雅黑"/>
          <w:b/>
          <w:szCs w:val="21"/>
          <w:highlight w:val="none"/>
        </w:rPr>
        <w:t>）</w:t>
      </w:r>
    </w:p>
    <w:p w14:paraId="7F1CD6FD">
      <w:pPr>
        <w:spacing w:line="360" w:lineRule="auto"/>
        <w:rPr>
          <w:rFonts w:ascii="微软雅黑" w:hAnsi="微软雅黑" w:eastAsia="微软雅黑" w:cs="Tahoma"/>
          <w:bCs/>
          <w:kern w:val="36"/>
          <w:highlight w:val="none"/>
        </w:rPr>
      </w:pPr>
      <w:r>
        <w:rPr>
          <w:rFonts w:hint="eastAsia" w:ascii="微软雅黑" w:hAnsi="微软雅黑" w:eastAsia="微软雅黑" w:cs="Tahoma"/>
          <w:bCs/>
          <w:kern w:val="36"/>
          <w:highlight w:val="none"/>
        </w:rPr>
        <w:t>项目名称：</w:t>
      </w:r>
      <w:r>
        <w:rPr>
          <w:rFonts w:hint="eastAsia" w:ascii="微软雅黑" w:hAnsi="微软雅黑" w:eastAsia="微软雅黑"/>
          <w:bCs/>
          <w:highlight w:val="none"/>
          <w:lang w:eastAsia="zh-CN"/>
        </w:rPr>
        <w:t>嘉兴市南湖区大桥镇中心小学2025年度教师疗休养项目</w:t>
      </w:r>
      <w:r>
        <w:rPr>
          <w:rFonts w:hint="eastAsia" w:ascii="微软雅黑" w:hAnsi="微软雅黑" w:eastAsia="微软雅黑" w:cs="Tahoma"/>
          <w:bCs/>
          <w:kern w:val="36"/>
          <w:highlight w:val="none"/>
        </w:rPr>
        <w:t>单位：元/人·次</w:t>
      </w:r>
    </w:p>
    <w:tbl>
      <w:tblPr>
        <w:tblStyle w:val="53"/>
        <w:tblW w:w="82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3"/>
        <w:gridCol w:w="787"/>
        <w:gridCol w:w="673"/>
        <w:gridCol w:w="1506"/>
      </w:tblGrid>
      <w:tr w14:paraId="6818A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5293" w:type="dxa"/>
            <w:tcBorders>
              <w:top w:val="single" w:color="auto" w:sz="4" w:space="0"/>
              <w:left w:val="single" w:color="auto" w:sz="4" w:space="0"/>
              <w:bottom w:val="single" w:color="auto" w:sz="4" w:space="0"/>
              <w:right w:val="single" w:color="auto" w:sz="4" w:space="0"/>
            </w:tcBorders>
            <w:vAlign w:val="center"/>
          </w:tcPr>
          <w:p w14:paraId="2EED8C66">
            <w:pPr>
              <w:widowControl/>
              <w:spacing w:before="75" w:after="75" w:line="300" w:lineRule="atLeast"/>
              <w:jc w:val="center"/>
              <w:rPr>
                <w:rFonts w:hint="eastAsia" w:ascii="微软雅黑" w:hAnsi="微软雅黑" w:eastAsia="微软雅黑" w:cs="Arial"/>
                <w:color w:val="000000"/>
                <w:kern w:val="0"/>
                <w:szCs w:val="21"/>
                <w:highlight w:val="none"/>
                <w:lang w:val="en-US" w:eastAsia="zh-CN"/>
              </w:rPr>
            </w:pPr>
            <w:r>
              <w:rPr>
                <w:rFonts w:hint="eastAsia" w:ascii="微软雅黑" w:hAnsi="微软雅黑" w:eastAsia="微软雅黑" w:cs="Arial"/>
                <w:color w:val="000000"/>
                <w:kern w:val="0"/>
                <w:szCs w:val="21"/>
                <w:highlight w:val="none"/>
                <w:lang w:val="en-US" w:eastAsia="zh-CN"/>
              </w:rPr>
              <w:t>名          称</w:t>
            </w:r>
          </w:p>
        </w:tc>
        <w:tc>
          <w:tcPr>
            <w:tcW w:w="787" w:type="dxa"/>
            <w:tcBorders>
              <w:top w:val="single" w:color="auto" w:sz="4" w:space="0"/>
              <w:left w:val="single" w:color="auto" w:sz="4" w:space="0"/>
              <w:bottom w:val="single" w:color="auto" w:sz="4" w:space="0"/>
              <w:right w:val="single" w:color="auto" w:sz="4" w:space="0"/>
            </w:tcBorders>
            <w:vAlign w:val="center"/>
          </w:tcPr>
          <w:p w14:paraId="58689841">
            <w:pPr>
              <w:widowControl/>
              <w:spacing w:before="75" w:after="75" w:line="300" w:lineRule="atLeast"/>
              <w:jc w:val="center"/>
              <w:rPr>
                <w:rFonts w:hint="eastAsia" w:ascii="微软雅黑" w:hAnsi="微软雅黑" w:eastAsia="微软雅黑" w:cs="Arial"/>
                <w:color w:val="000000"/>
                <w:kern w:val="0"/>
                <w:szCs w:val="21"/>
                <w:highlight w:val="none"/>
                <w:lang w:val="en-US" w:eastAsia="zh-CN"/>
              </w:rPr>
            </w:pPr>
            <w:r>
              <w:rPr>
                <w:rFonts w:hint="eastAsia" w:ascii="微软雅黑" w:hAnsi="微软雅黑" w:eastAsia="微软雅黑" w:cs="Arial"/>
                <w:color w:val="000000"/>
                <w:kern w:val="0"/>
                <w:szCs w:val="21"/>
                <w:highlight w:val="none"/>
                <w:lang w:val="en-US" w:eastAsia="zh-CN"/>
              </w:rPr>
              <w:t>单 位</w:t>
            </w:r>
          </w:p>
        </w:tc>
        <w:tc>
          <w:tcPr>
            <w:tcW w:w="673" w:type="dxa"/>
            <w:tcBorders>
              <w:top w:val="single" w:color="auto" w:sz="4" w:space="0"/>
              <w:left w:val="single" w:color="auto" w:sz="4" w:space="0"/>
              <w:bottom w:val="single" w:color="auto" w:sz="4" w:space="0"/>
              <w:right w:val="single" w:color="auto" w:sz="4" w:space="0"/>
            </w:tcBorders>
            <w:vAlign w:val="center"/>
          </w:tcPr>
          <w:p w14:paraId="7BC79CF7">
            <w:pPr>
              <w:widowControl/>
              <w:spacing w:before="75" w:after="75" w:line="300" w:lineRule="atLeast"/>
              <w:jc w:val="center"/>
              <w:rPr>
                <w:rFonts w:hint="eastAsia" w:ascii="微软雅黑" w:hAnsi="微软雅黑" w:eastAsia="微软雅黑" w:cs="Arial"/>
                <w:color w:val="000000"/>
                <w:kern w:val="0"/>
                <w:szCs w:val="21"/>
                <w:highlight w:val="none"/>
                <w:lang w:val="en-US" w:eastAsia="zh-CN"/>
              </w:rPr>
            </w:pPr>
            <w:r>
              <w:rPr>
                <w:rFonts w:hint="eastAsia" w:ascii="微软雅黑" w:hAnsi="微软雅黑" w:eastAsia="微软雅黑" w:cs="Arial"/>
                <w:color w:val="000000"/>
                <w:kern w:val="0"/>
                <w:szCs w:val="21"/>
                <w:highlight w:val="none"/>
                <w:lang w:val="en-US" w:eastAsia="zh-CN"/>
              </w:rPr>
              <w:t>数量</w:t>
            </w:r>
          </w:p>
        </w:tc>
        <w:tc>
          <w:tcPr>
            <w:tcW w:w="1506" w:type="dxa"/>
            <w:tcBorders>
              <w:top w:val="single" w:color="auto" w:sz="4" w:space="0"/>
              <w:left w:val="single" w:color="auto" w:sz="4" w:space="0"/>
              <w:bottom w:val="single" w:color="auto" w:sz="4" w:space="0"/>
              <w:right w:val="single" w:color="auto" w:sz="4" w:space="0"/>
            </w:tcBorders>
            <w:vAlign w:val="center"/>
          </w:tcPr>
          <w:p w14:paraId="1E2DD231">
            <w:pPr>
              <w:widowControl/>
              <w:spacing w:before="75" w:after="75" w:line="300" w:lineRule="atLeast"/>
              <w:jc w:val="center"/>
              <w:rPr>
                <w:rFonts w:hint="eastAsia" w:ascii="微软雅黑" w:hAnsi="微软雅黑" w:eastAsia="微软雅黑" w:cs="Arial"/>
                <w:color w:val="000000"/>
                <w:kern w:val="0"/>
                <w:szCs w:val="21"/>
                <w:highlight w:val="none"/>
                <w:lang w:val="en-US" w:eastAsia="zh-CN"/>
              </w:rPr>
            </w:pPr>
            <w:r>
              <w:rPr>
                <w:rFonts w:hint="eastAsia" w:ascii="微软雅黑" w:hAnsi="微软雅黑" w:eastAsia="微软雅黑" w:cs="Arial"/>
                <w:color w:val="000000"/>
                <w:kern w:val="0"/>
                <w:szCs w:val="21"/>
                <w:highlight w:val="none"/>
                <w:lang w:val="en-US" w:eastAsia="zh-CN"/>
              </w:rPr>
              <w:t>投标报价</w:t>
            </w:r>
          </w:p>
        </w:tc>
      </w:tr>
      <w:tr w14:paraId="75FE9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5293" w:type="dxa"/>
            <w:tcBorders>
              <w:top w:val="single" w:color="auto" w:sz="4" w:space="0"/>
              <w:left w:val="single" w:color="auto" w:sz="4" w:space="0"/>
              <w:bottom w:val="single" w:color="auto" w:sz="4" w:space="0"/>
              <w:right w:val="single" w:color="auto" w:sz="4" w:space="0"/>
            </w:tcBorders>
            <w:vAlign w:val="center"/>
          </w:tcPr>
          <w:p w14:paraId="64C8E8E0">
            <w:pPr>
              <w:widowControl/>
              <w:spacing w:before="75" w:after="75" w:line="300" w:lineRule="atLeast"/>
              <w:jc w:val="center"/>
              <w:rPr>
                <w:rFonts w:hint="default" w:ascii="微软雅黑" w:hAnsi="微软雅黑" w:eastAsia="微软雅黑" w:cs="Arial"/>
                <w:color w:val="000000"/>
                <w:kern w:val="0"/>
                <w:szCs w:val="21"/>
                <w:highlight w:val="none"/>
                <w:lang w:val="en-US" w:eastAsia="zh-CN"/>
              </w:rPr>
            </w:pPr>
            <w:r>
              <w:rPr>
                <w:rFonts w:hint="eastAsia" w:ascii="微软雅黑" w:hAnsi="微软雅黑" w:eastAsia="微软雅黑" w:cs="Arial"/>
                <w:color w:val="000000"/>
                <w:kern w:val="0"/>
                <w:szCs w:val="21"/>
                <w:highlight w:val="none"/>
                <w:lang w:val="en-US" w:eastAsia="zh-CN"/>
              </w:rPr>
              <w:t>线路二：杭州千岛湖5日游</w:t>
            </w:r>
          </w:p>
        </w:tc>
        <w:tc>
          <w:tcPr>
            <w:tcW w:w="787" w:type="dxa"/>
            <w:tcBorders>
              <w:top w:val="single" w:color="auto" w:sz="4" w:space="0"/>
              <w:left w:val="single" w:color="auto" w:sz="4" w:space="0"/>
              <w:bottom w:val="single" w:color="auto" w:sz="4" w:space="0"/>
              <w:right w:val="single" w:color="auto" w:sz="4" w:space="0"/>
            </w:tcBorders>
            <w:vAlign w:val="center"/>
          </w:tcPr>
          <w:p w14:paraId="1C23013C">
            <w:pPr>
              <w:widowControl/>
              <w:spacing w:before="75" w:after="75" w:line="300" w:lineRule="atLeast"/>
              <w:jc w:val="center"/>
              <w:rPr>
                <w:rFonts w:hint="eastAsia" w:ascii="微软雅黑" w:hAnsi="微软雅黑" w:eastAsia="微软雅黑" w:cs="Arial"/>
                <w:color w:val="000000"/>
                <w:kern w:val="0"/>
                <w:szCs w:val="21"/>
                <w:highlight w:val="none"/>
                <w:lang w:val="en-US" w:eastAsia="zh-CN"/>
              </w:rPr>
            </w:pPr>
            <w:r>
              <w:rPr>
                <w:rFonts w:hint="eastAsia" w:ascii="微软雅黑" w:hAnsi="微软雅黑" w:eastAsia="微软雅黑" w:cs="Arial"/>
                <w:color w:val="000000"/>
                <w:kern w:val="0"/>
                <w:szCs w:val="21"/>
                <w:highlight w:val="none"/>
                <w:lang w:val="en-US" w:eastAsia="zh-CN"/>
              </w:rPr>
              <w:t>人·次</w:t>
            </w:r>
          </w:p>
        </w:tc>
        <w:tc>
          <w:tcPr>
            <w:tcW w:w="673" w:type="dxa"/>
            <w:tcBorders>
              <w:top w:val="single" w:color="auto" w:sz="4" w:space="0"/>
              <w:left w:val="single" w:color="auto" w:sz="4" w:space="0"/>
              <w:bottom w:val="single" w:color="auto" w:sz="4" w:space="0"/>
              <w:right w:val="single" w:color="auto" w:sz="4" w:space="0"/>
            </w:tcBorders>
            <w:vAlign w:val="center"/>
          </w:tcPr>
          <w:p w14:paraId="46028915">
            <w:pPr>
              <w:widowControl/>
              <w:spacing w:before="75" w:after="75" w:line="300" w:lineRule="atLeast"/>
              <w:jc w:val="center"/>
              <w:rPr>
                <w:rFonts w:hint="eastAsia" w:ascii="微软雅黑" w:hAnsi="微软雅黑" w:eastAsia="微软雅黑" w:cs="Arial"/>
                <w:color w:val="000000"/>
                <w:kern w:val="0"/>
                <w:szCs w:val="21"/>
                <w:highlight w:val="none"/>
                <w:lang w:val="en-US" w:eastAsia="zh-CN"/>
              </w:rPr>
            </w:pPr>
            <w:r>
              <w:rPr>
                <w:rFonts w:hint="eastAsia" w:ascii="微软雅黑" w:hAnsi="微软雅黑" w:eastAsia="微软雅黑" w:cs="Arial"/>
                <w:color w:val="000000"/>
                <w:kern w:val="0"/>
                <w:szCs w:val="21"/>
                <w:highlight w:val="none"/>
                <w:lang w:val="en-US" w:eastAsia="zh-CN"/>
              </w:rPr>
              <w:t>1</w:t>
            </w:r>
          </w:p>
        </w:tc>
        <w:tc>
          <w:tcPr>
            <w:tcW w:w="1506" w:type="dxa"/>
            <w:tcBorders>
              <w:top w:val="single" w:color="auto" w:sz="4" w:space="0"/>
              <w:left w:val="single" w:color="auto" w:sz="4" w:space="0"/>
              <w:bottom w:val="single" w:color="auto" w:sz="4" w:space="0"/>
              <w:right w:val="single" w:color="auto" w:sz="4" w:space="0"/>
            </w:tcBorders>
            <w:vAlign w:val="center"/>
          </w:tcPr>
          <w:p w14:paraId="3E985ACD">
            <w:pPr>
              <w:widowControl/>
              <w:spacing w:before="75" w:after="75" w:line="300" w:lineRule="atLeast"/>
              <w:jc w:val="center"/>
              <w:rPr>
                <w:rFonts w:hint="eastAsia" w:ascii="微软雅黑" w:hAnsi="微软雅黑" w:eastAsia="微软雅黑" w:cs="Arial"/>
                <w:color w:val="000000"/>
                <w:kern w:val="0"/>
                <w:szCs w:val="21"/>
                <w:highlight w:val="none"/>
                <w:lang w:val="en-US" w:eastAsia="zh-CN"/>
              </w:rPr>
            </w:pPr>
            <w:r>
              <w:rPr>
                <w:rFonts w:hint="eastAsia" w:ascii="微软雅黑" w:hAnsi="微软雅黑" w:eastAsia="微软雅黑" w:cs="Arial"/>
                <w:color w:val="000000"/>
                <w:kern w:val="0"/>
                <w:szCs w:val="21"/>
                <w:highlight w:val="none"/>
                <w:lang w:val="en-US" w:eastAsia="zh-CN"/>
              </w:rPr>
              <w:t>3000</w:t>
            </w:r>
          </w:p>
        </w:tc>
      </w:tr>
    </w:tbl>
    <w:p w14:paraId="5AF80ECC">
      <w:pPr>
        <w:pStyle w:val="29"/>
        <w:snapToGrid w:val="0"/>
        <w:spacing w:line="360" w:lineRule="auto"/>
        <w:rPr>
          <w:rFonts w:hint="eastAsia" w:ascii="微软雅黑" w:hAnsi="微软雅黑" w:eastAsia="微软雅黑"/>
          <w:b/>
          <w:sz w:val="28"/>
          <w:szCs w:val="28"/>
          <w:highlight w:val="none"/>
          <w:shd w:val="pct10" w:color="auto" w:fill="FFFFFF"/>
        </w:rPr>
      </w:pPr>
      <w:r>
        <w:rPr>
          <w:rFonts w:hint="eastAsia" w:ascii="微软雅黑" w:hAnsi="微软雅黑" w:eastAsia="微软雅黑"/>
          <w:b/>
          <w:sz w:val="28"/>
          <w:szCs w:val="28"/>
          <w:highlight w:val="none"/>
          <w:shd w:val="pct10" w:color="auto" w:fill="FFFFFF"/>
        </w:rPr>
        <w:t>注:▲以上价格不做调整，按单价</w:t>
      </w:r>
      <w:r>
        <w:rPr>
          <w:rFonts w:hint="eastAsia" w:ascii="微软雅黑" w:hAnsi="微软雅黑" w:eastAsia="微软雅黑"/>
          <w:b/>
          <w:sz w:val="28"/>
          <w:szCs w:val="28"/>
          <w:highlight w:val="none"/>
          <w:shd w:val="pct10" w:color="auto" w:fill="FFFFFF"/>
          <w:lang w:val="en-US" w:eastAsia="zh-CN"/>
        </w:rPr>
        <w:t>30</w:t>
      </w:r>
      <w:r>
        <w:rPr>
          <w:rFonts w:ascii="微软雅黑" w:hAnsi="微软雅黑" w:eastAsia="微软雅黑"/>
          <w:b/>
          <w:sz w:val="28"/>
          <w:szCs w:val="28"/>
          <w:highlight w:val="none"/>
          <w:shd w:val="pct10" w:color="auto" w:fill="FFFFFF"/>
        </w:rPr>
        <w:t>00</w:t>
      </w:r>
      <w:r>
        <w:rPr>
          <w:rFonts w:hint="eastAsia" w:ascii="微软雅黑" w:hAnsi="微软雅黑" w:eastAsia="微软雅黑"/>
          <w:b/>
          <w:sz w:val="28"/>
          <w:szCs w:val="28"/>
          <w:highlight w:val="none"/>
          <w:shd w:val="pct10" w:color="auto" w:fill="FFFFFF"/>
        </w:rPr>
        <w:t>元/</w:t>
      </w:r>
      <w:r>
        <w:rPr>
          <w:rFonts w:ascii="微软雅黑" w:hAnsi="微软雅黑" w:eastAsia="微软雅黑"/>
          <w:b/>
          <w:spacing w:val="20"/>
          <w:sz w:val="28"/>
          <w:szCs w:val="28"/>
          <w:highlight w:val="none"/>
          <w:shd w:val="pct10" w:color="auto" w:fill="FFFFFF"/>
        </w:rPr>
        <w:t>人·</w:t>
      </w:r>
      <w:r>
        <w:rPr>
          <w:rFonts w:hint="eastAsia" w:ascii="微软雅黑" w:hAnsi="微软雅黑" w:eastAsia="微软雅黑"/>
          <w:b/>
          <w:spacing w:val="20"/>
          <w:sz w:val="28"/>
          <w:szCs w:val="28"/>
          <w:highlight w:val="none"/>
          <w:shd w:val="pct10" w:color="auto" w:fill="FFFFFF"/>
        </w:rPr>
        <w:t>次进行报价</w:t>
      </w:r>
      <w:r>
        <w:rPr>
          <w:rFonts w:hint="eastAsia" w:ascii="微软雅黑" w:hAnsi="微软雅黑" w:eastAsia="微软雅黑"/>
          <w:b/>
          <w:sz w:val="28"/>
          <w:szCs w:val="28"/>
          <w:highlight w:val="none"/>
          <w:shd w:val="pct10" w:color="auto" w:fill="FFFFFF"/>
        </w:rPr>
        <w:t>,任何改变价格的行为均视为</w:t>
      </w:r>
      <w:r>
        <w:rPr>
          <w:rFonts w:hint="eastAsia" w:ascii="微软雅黑" w:hAnsi="微软雅黑" w:eastAsia="微软雅黑" w:cs="Times New Roman"/>
          <w:b/>
          <w:sz w:val="28"/>
          <w:szCs w:val="28"/>
          <w:highlight w:val="none"/>
          <w:shd w:val="pct10" w:color="auto" w:fill="FFFFFF"/>
        </w:rPr>
        <w:t>无效投标</w:t>
      </w:r>
      <w:r>
        <w:rPr>
          <w:rFonts w:hint="eastAsia" w:ascii="微软雅黑" w:hAnsi="微软雅黑" w:eastAsia="微软雅黑" w:cs="Times New Roman"/>
          <w:b/>
          <w:sz w:val="28"/>
          <w:szCs w:val="28"/>
          <w:highlight w:val="none"/>
          <w:shd w:val="pct10" w:color="auto" w:fill="FFFFFF"/>
          <w:lang w:val="en-US" w:eastAsia="zh-CN"/>
        </w:rPr>
        <w:t>。</w:t>
      </w:r>
    </w:p>
    <w:p w14:paraId="508C6790">
      <w:pPr>
        <w:pStyle w:val="29"/>
        <w:snapToGrid w:val="0"/>
        <w:spacing w:line="360" w:lineRule="auto"/>
        <w:rPr>
          <w:rFonts w:ascii="微软雅黑" w:hAnsi="微软雅黑" w:eastAsia="微软雅黑"/>
          <w:szCs w:val="21"/>
          <w:highlight w:val="none"/>
        </w:rPr>
      </w:pPr>
      <w:r>
        <w:rPr>
          <w:rFonts w:ascii="微软雅黑" w:hAnsi="微软雅黑" w:eastAsia="微软雅黑"/>
          <w:szCs w:val="21"/>
          <w:highlight w:val="none"/>
        </w:rPr>
        <w:t>1、报价一经涂改，应在涂改处加盖单位公章或者由法定代表人或授权委托人签字或盖章，否则其投标作无效标处理。</w:t>
      </w:r>
    </w:p>
    <w:p w14:paraId="070D20F3">
      <w:pPr>
        <w:pStyle w:val="29"/>
        <w:snapToGrid w:val="0"/>
        <w:spacing w:line="360" w:lineRule="auto"/>
        <w:rPr>
          <w:rFonts w:ascii="微软雅黑" w:hAnsi="微软雅黑" w:eastAsia="微软雅黑"/>
          <w:szCs w:val="21"/>
          <w:highlight w:val="none"/>
        </w:rPr>
      </w:pPr>
      <w:r>
        <w:rPr>
          <w:rFonts w:ascii="微软雅黑" w:hAnsi="微软雅黑" w:eastAsia="微软雅黑"/>
          <w:szCs w:val="21"/>
          <w:highlight w:val="none"/>
        </w:rPr>
        <w:t>2、投标费用包括项目实施所需的人工费、服务费、税费及其他一切费用。</w:t>
      </w:r>
    </w:p>
    <w:p w14:paraId="2093BCAF">
      <w:pPr>
        <w:pStyle w:val="29"/>
        <w:snapToGrid w:val="0"/>
        <w:spacing w:line="360" w:lineRule="auto"/>
        <w:rPr>
          <w:rFonts w:ascii="微软雅黑" w:hAnsi="微软雅黑" w:eastAsia="微软雅黑"/>
          <w:szCs w:val="21"/>
          <w:highlight w:val="none"/>
        </w:rPr>
      </w:pPr>
      <w:r>
        <w:rPr>
          <w:rFonts w:ascii="微软雅黑" w:hAnsi="微软雅黑" w:eastAsia="微软雅黑"/>
          <w:szCs w:val="21"/>
          <w:highlight w:val="none"/>
        </w:rPr>
        <w:t>▲</w:t>
      </w:r>
      <w:r>
        <w:rPr>
          <w:rFonts w:hint="eastAsia" w:ascii="微软雅黑" w:hAnsi="微软雅黑" w:eastAsia="微软雅黑"/>
          <w:szCs w:val="21"/>
          <w:highlight w:val="none"/>
        </w:rPr>
        <w:t>3</w:t>
      </w:r>
      <w:r>
        <w:rPr>
          <w:rFonts w:ascii="微软雅黑" w:hAnsi="微软雅黑" w:eastAsia="微软雅黑"/>
          <w:szCs w:val="21"/>
          <w:highlight w:val="none"/>
        </w:rPr>
        <w:t>、以上报价不得超过上限价，任何超过上限价的报价均导致投标被否决。</w:t>
      </w:r>
    </w:p>
    <w:p w14:paraId="30DD5917">
      <w:pPr>
        <w:pStyle w:val="29"/>
        <w:snapToGrid w:val="0"/>
        <w:spacing w:line="360" w:lineRule="auto"/>
        <w:rPr>
          <w:rFonts w:ascii="微软雅黑" w:hAnsi="微软雅黑" w:eastAsia="微软雅黑"/>
          <w:b/>
          <w:szCs w:val="21"/>
          <w:highlight w:val="none"/>
        </w:rPr>
      </w:pPr>
      <w:r>
        <w:rPr>
          <w:rFonts w:ascii="微软雅黑" w:hAnsi="微软雅黑" w:eastAsia="微软雅黑"/>
          <w:b/>
          <w:szCs w:val="21"/>
          <w:highlight w:val="none"/>
        </w:rPr>
        <w:t xml:space="preserve">法定代表人或授权代表（签字或盖章）： </w:t>
      </w:r>
    </w:p>
    <w:p w14:paraId="74E352B7">
      <w:pPr>
        <w:pStyle w:val="29"/>
        <w:snapToGrid w:val="0"/>
        <w:spacing w:line="360" w:lineRule="auto"/>
        <w:rPr>
          <w:rFonts w:ascii="微软雅黑" w:hAnsi="微软雅黑" w:eastAsia="微软雅黑"/>
          <w:b/>
          <w:szCs w:val="21"/>
          <w:highlight w:val="none"/>
        </w:rPr>
      </w:pPr>
      <w:r>
        <w:rPr>
          <w:rFonts w:ascii="微软雅黑" w:hAnsi="微软雅黑" w:eastAsia="微软雅黑"/>
          <w:b/>
          <w:szCs w:val="21"/>
          <w:highlight w:val="none"/>
        </w:rPr>
        <w:t>投标人名称（盖章）：</w:t>
      </w:r>
    </w:p>
    <w:p w14:paraId="26F1CA4A">
      <w:pPr>
        <w:pStyle w:val="29"/>
        <w:snapToGrid w:val="0"/>
        <w:spacing w:line="360" w:lineRule="auto"/>
        <w:rPr>
          <w:rFonts w:ascii="微软雅黑" w:hAnsi="微软雅黑" w:eastAsia="微软雅黑"/>
          <w:b/>
          <w:szCs w:val="21"/>
          <w:highlight w:val="none"/>
        </w:rPr>
      </w:pPr>
      <w:r>
        <w:rPr>
          <w:rFonts w:hint="eastAsia" w:ascii="微软雅黑" w:hAnsi="微软雅黑" w:eastAsia="微软雅黑"/>
          <w:b/>
          <w:szCs w:val="21"/>
          <w:highlight w:val="none"/>
        </w:rPr>
        <w:t>日 期：</w:t>
      </w:r>
    </w:p>
    <w:p w14:paraId="5DED3DFB">
      <w:pPr>
        <w:pStyle w:val="29"/>
        <w:snapToGrid w:val="0"/>
        <w:spacing w:line="360" w:lineRule="auto"/>
        <w:rPr>
          <w:rFonts w:hint="eastAsia" w:ascii="微软雅黑" w:hAnsi="微软雅黑" w:eastAsia="微软雅黑"/>
          <w:b/>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linePitch="312" w:charSpace="0"/>
        </w:sectPr>
      </w:pPr>
    </w:p>
    <w:p w14:paraId="2C13F23E">
      <w:pPr>
        <w:snapToGrid w:val="0"/>
        <w:spacing w:line="360" w:lineRule="auto"/>
        <w:jc w:val="center"/>
        <w:rPr>
          <w:rFonts w:ascii="微软雅黑" w:hAnsi="微软雅黑" w:eastAsia="微软雅黑" w:cs="Tahoma"/>
          <w:b/>
          <w:bCs/>
          <w:kern w:val="36"/>
          <w:sz w:val="32"/>
          <w:szCs w:val="32"/>
          <w:highlight w:val="none"/>
        </w:rPr>
      </w:pPr>
      <w:r>
        <w:rPr>
          <w:rFonts w:ascii="微软雅黑" w:hAnsi="微软雅黑" w:eastAsia="微软雅黑"/>
          <w:b/>
          <w:szCs w:val="21"/>
          <w:highlight w:val="none"/>
        </w:rPr>
        <w:t>开标一览表（标项</w:t>
      </w:r>
      <w:r>
        <w:rPr>
          <w:rFonts w:hint="eastAsia" w:ascii="微软雅黑" w:hAnsi="微软雅黑" w:eastAsia="微软雅黑"/>
          <w:b/>
          <w:szCs w:val="21"/>
          <w:highlight w:val="none"/>
          <w:lang w:val="en-US" w:eastAsia="zh-CN"/>
        </w:rPr>
        <w:t>三</w:t>
      </w:r>
      <w:r>
        <w:rPr>
          <w:rFonts w:ascii="微软雅黑" w:hAnsi="微软雅黑" w:eastAsia="微软雅黑"/>
          <w:b/>
          <w:szCs w:val="21"/>
          <w:highlight w:val="none"/>
        </w:rPr>
        <w:t>）</w:t>
      </w:r>
    </w:p>
    <w:p w14:paraId="3FF27280">
      <w:pPr>
        <w:spacing w:line="360" w:lineRule="auto"/>
        <w:rPr>
          <w:rFonts w:ascii="微软雅黑" w:hAnsi="微软雅黑" w:eastAsia="微软雅黑" w:cs="Tahoma"/>
          <w:bCs/>
          <w:kern w:val="36"/>
          <w:highlight w:val="none"/>
        </w:rPr>
      </w:pPr>
      <w:r>
        <w:rPr>
          <w:rFonts w:hint="eastAsia" w:ascii="微软雅黑" w:hAnsi="微软雅黑" w:eastAsia="微软雅黑" w:cs="Tahoma"/>
          <w:bCs/>
          <w:kern w:val="36"/>
          <w:highlight w:val="none"/>
        </w:rPr>
        <w:t>项目名称：</w:t>
      </w:r>
      <w:r>
        <w:rPr>
          <w:rFonts w:hint="eastAsia" w:ascii="微软雅黑" w:hAnsi="微软雅黑" w:eastAsia="微软雅黑"/>
          <w:bCs/>
          <w:highlight w:val="none"/>
          <w:lang w:eastAsia="zh-CN"/>
        </w:rPr>
        <w:t>嘉兴市南湖区大桥镇中心小学2025年度教师疗休养项目</w:t>
      </w:r>
      <w:r>
        <w:rPr>
          <w:rFonts w:hint="eastAsia" w:ascii="微软雅黑" w:hAnsi="微软雅黑" w:eastAsia="微软雅黑" w:cs="Tahoma"/>
          <w:bCs/>
          <w:kern w:val="36"/>
          <w:highlight w:val="none"/>
        </w:rPr>
        <w:t>单位：元/人·次</w:t>
      </w:r>
    </w:p>
    <w:tbl>
      <w:tblPr>
        <w:tblStyle w:val="53"/>
        <w:tblW w:w="82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3"/>
        <w:gridCol w:w="787"/>
        <w:gridCol w:w="673"/>
        <w:gridCol w:w="1506"/>
      </w:tblGrid>
      <w:tr w14:paraId="10C5F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5293" w:type="dxa"/>
            <w:tcBorders>
              <w:top w:val="single" w:color="auto" w:sz="4" w:space="0"/>
              <w:left w:val="single" w:color="auto" w:sz="4" w:space="0"/>
              <w:bottom w:val="single" w:color="auto" w:sz="4" w:space="0"/>
              <w:right w:val="single" w:color="auto" w:sz="4" w:space="0"/>
            </w:tcBorders>
            <w:vAlign w:val="center"/>
          </w:tcPr>
          <w:p w14:paraId="47BB6F22">
            <w:pPr>
              <w:widowControl/>
              <w:spacing w:before="75" w:after="75" w:line="300" w:lineRule="atLeast"/>
              <w:jc w:val="center"/>
              <w:rPr>
                <w:rFonts w:hint="eastAsia" w:ascii="微软雅黑" w:hAnsi="微软雅黑" w:eastAsia="微软雅黑" w:cs="Arial"/>
                <w:color w:val="000000"/>
                <w:kern w:val="0"/>
                <w:szCs w:val="21"/>
                <w:highlight w:val="none"/>
                <w:lang w:val="en-US" w:eastAsia="zh-CN"/>
              </w:rPr>
            </w:pPr>
            <w:r>
              <w:rPr>
                <w:rFonts w:hint="eastAsia" w:ascii="微软雅黑" w:hAnsi="微软雅黑" w:eastAsia="微软雅黑" w:cs="Arial"/>
                <w:color w:val="000000"/>
                <w:kern w:val="0"/>
                <w:szCs w:val="21"/>
                <w:highlight w:val="none"/>
                <w:lang w:val="en-US" w:eastAsia="zh-CN"/>
              </w:rPr>
              <w:t>名          称</w:t>
            </w:r>
          </w:p>
        </w:tc>
        <w:tc>
          <w:tcPr>
            <w:tcW w:w="787" w:type="dxa"/>
            <w:tcBorders>
              <w:top w:val="single" w:color="auto" w:sz="4" w:space="0"/>
              <w:left w:val="single" w:color="auto" w:sz="4" w:space="0"/>
              <w:bottom w:val="single" w:color="auto" w:sz="4" w:space="0"/>
              <w:right w:val="single" w:color="auto" w:sz="4" w:space="0"/>
            </w:tcBorders>
            <w:vAlign w:val="center"/>
          </w:tcPr>
          <w:p w14:paraId="2E6F57A8">
            <w:pPr>
              <w:widowControl/>
              <w:spacing w:before="75" w:after="75" w:line="300" w:lineRule="atLeast"/>
              <w:jc w:val="center"/>
              <w:rPr>
                <w:rFonts w:hint="eastAsia" w:ascii="微软雅黑" w:hAnsi="微软雅黑" w:eastAsia="微软雅黑" w:cs="Arial"/>
                <w:color w:val="000000"/>
                <w:kern w:val="0"/>
                <w:szCs w:val="21"/>
                <w:highlight w:val="none"/>
                <w:lang w:val="en-US" w:eastAsia="zh-CN"/>
              </w:rPr>
            </w:pPr>
            <w:r>
              <w:rPr>
                <w:rFonts w:hint="eastAsia" w:ascii="微软雅黑" w:hAnsi="微软雅黑" w:eastAsia="微软雅黑" w:cs="Arial"/>
                <w:color w:val="000000"/>
                <w:kern w:val="0"/>
                <w:szCs w:val="21"/>
                <w:highlight w:val="none"/>
                <w:lang w:val="en-US" w:eastAsia="zh-CN"/>
              </w:rPr>
              <w:t>单 位</w:t>
            </w:r>
          </w:p>
        </w:tc>
        <w:tc>
          <w:tcPr>
            <w:tcW w:w="673" w:type="dxa"/>
            <w:tcBorders>
              <w:top w:val="single" w:color="auto" w:sz="4" w:space="0"/>
              <w:left w:val="single" w:color="auto" w:sz="4" w:space="0"/>
              <w:bottom w:val="single" w:color="auto" w:sz="4" w:space="0"/>
              <w:right w:val="single" w:color="auto" w:sz="4" w:space="0"/>
            </w:tcBorders>
            <w:vAlign w:val="center"/>
          </w:tcPr>
          <w:p w14:paraId="3B944C20">
            <w:pPr>
              <w:widowControl/>
              <w:spacing w:before="75" w:after="75" w:line="300" w:lineRule="atLeast"/>
              <w:jc w:val="center"/>
              <w:rPr>
                <w:rFonts w:hint="eastAsia" w:ascii="微软雅黑" w:hAnsi="微软雅黑" w:eastAsia="微软雅黑" w:cs="Arial"/>
                <w:color w:val="000000"/>
                <w:kern w:val="0"/>
                <w:szCs w:val="21"/>
                <w:highlight w:val="none"/>
                <w:lang w:val="en-US" w:eastAsia="zh-CN"/>
              </w:rPr>
            </w:pPr>
            <w:r>
              <w:rPr>
                <w:rFonts w:hint="eastAsia" w:ascii="微软雅黑" w:hAnsi="微软雅黑" w:eastAsia="微软雅黑" w:cs="Arial"/>
                <w:color w:val="000000"/>
                <w:kern w:val="0"/>
                <w:szCs w:val="21"/>
                <w:highlight w:val="none"/>
                <w:lang w:val="en-US" w:eastAsia="zh-CN"/>
              </w:rPr>
              <w:t>数量</w:t>
            </w:r>
          </w:p>
        </w:tc>
        <w:tc>
          <w:tcPr>
            <w:tcW w:w="1506" w:type="dxa"/>
            <w:tcBorders>
              <w:top w:val="single" w:color="auto" w:sz="4" w:space="0"/>
              <w:left w:val="single" w:color="auto" w:sz="4" w:space="0"/>
              <w:bottom w:val="single" w:color="auto" w:sz="4" w:space="0"/>
              <w:right w:val="single" w:color="auto" w:sz="4" w:space="0"/>
            </w:tcBorders>
            <w:vAlign w:val="center"/>
          </w:tcPr>
          <w:p w14:paraId="3C41D789">
            <w:pPr>
              <w:widowControl/>
              <w:spacing w:before="75" w:after="75" w:line="300" w:lineRule="atLeast"/>
              <w:jc w:val="center"/>
              <w:rPr>
                <w:rFonts w:hint="eastAsia" w:ascii="微软雅黑" w:hAnsi="微软雅黑" w:eastAsia="微软雅黑" w:cs="Arial"/>
                <w:color w:val="000000"/>
                <w:kern w:val="0"/>
                <w:szCs w:val="21"/>
                <w:highlight w:val="none"/>
                <w:lang w:val="en-US" w:eastAsia="zh-CN"/>
              </w:rPr>
            </w:pPr>
            <w:r>
              <w:rPr>
                <w:rFonts w:hint="eastAsia" w:ascii="微软雅黑" w:hAnsi="微软雅黑" w:eastAsia="微软雅黑" w:cs="Arial"/>
                <w:color w:val="000000"/>
                <w:kern w:val="0"/>
                <w:szCs w:val="21"/>
                <w:highlight w:val="none"/>
                <w:lang w:val="en-US" w:eastAsia="zh-CN"/>
              </w:rPr>
              <w:t>投标报价</w:t>
            </w:r>
          </w:p>
        </w:tc>
      </w:tr>
      <w:tr w14:paraId="465CF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5293" w:type="dxa"/>
            <w:tcBorders>
              <w:top w:val="single" w:color="auto" w:sz="4" w:space="0"/>
              <w:left w:val="single" w:color="auto" w:sz="4" w:space="0"/>
              <w:bottom w:val="single" w:color="auto" w:sz="4" w:space="0"/>
              <w:right w:val="single" w:color="auto" w:sz="4" w:space="0"/>
            </w:tcBorders>
            <w:vAlign w:val="center"/>
          </w:tcPr>
          <w:p w14:paraId="233D92CC">
            <w:pPr>
              <w:widowControl/>
              <w:spacing w:before="75" w:after="75" w:line="300" w:lineRule="atLeast"/>
              <w:jc w:val="center"/>
              <w:rPr>
                <w:rFonts w:hint="default" w:ascii="微软雅黑" w:hAnsi="微软雅黑" w:eastAsia="微软雅黑" w:cs="Arial"/>
                <w:color w:val="000000"/>
                <w:kern w:val="0"/>
                <w:szCs w:val="21"/>
                <w:highlight w:val="none"/>
                <w:lang w:val="en-US" w:eastAsia="zh-CN"/>
              </w:rPr>
            </w:pPr>
            <w:r>
              <w:rPr>
                <w:rFonts w:hint="eastAsia" w:ascii="微软雅黑" w:hAnsi="微软雅黑" w:eastAsia="微软雅黑" w:cs="Arial"/>
                <w:color w:val="000000"/>
                <w:kern w:val="0"/>
                <w:szCs w:val="21"/>
                <w:highlight w:val="none"/>
                <w:lang w:val="en-US" w:eastAsia="zh-CN"/>
              </w:rPr>
              <w:t>线路三：福建霞浦平潭岛5日游</w:t>
            </w:r>
          </w:p>
        </w:tc>
        <w:tc>
          <w:tcPr>
            <w:tcW w:w="787" w:type="dxa"/>
            <w:tcBorders>
              <w:top w:val="single" w:color="auto" w:sz="4" w:space="0"/>
              <w:left w:val="single" w:color="auto" w:sz="4" w:space="0"/>
              <w:bottom w:val="single" w:color="auto" w:sz="4" w:space="0"/>
              <w:right w:val="single" w:color="auto" w:sz="4" w:space="0"/>
            </w:tcBorders>
            <w:vAlign w:val="center"/>
          </w:tcPr>
          <w:p w14:paraId="5A5A2ABE">
            <w:pPr>
              <w:widowControl/>
              <w:spacing w:before="75" w:after="75" w:line="300" w:lineRule="atLeast"/>
              <w:jc w:val="center"/>
              <w:rPr>
                <w:rFonts w:hint="eastAsia" w:ascii="微软雅黑" w:hAnsi="微软雅黑" w:eastAsia="微软雅黑" w:cs="Arial"/>
                <w:color w:val="000000"/>
                <w:kern w:val="0"/>
                <w:szCs w:val="21"/>
                <w:highlight w:val="none"/>
                <w:lang w:val="en-US" w:eastAsia="zh-CN"/>
              </w:rPr>
            </w:pPr>
            <w:r>
              <w:rPr>
                <w:rFonts w:hint="eastAsia" w:ascii="微软雅黑" w:hAnsi="微软雅黑" w:eastAsia="微软雅黑" w:cs="Arial"/>
                <w:color w:val="000000"/>
                <w:kern w:val="0"/>
                <w:szCs w:val="21"/>
                <w:highlight w:val="none"/>
                <w:lang w:val="en-US" w:eastAsia="zh-CN"/>
              </w:rPr>
              <w:t>人·次</w:t>
            </w:r>
          </w:p>
        </w:tc>
        <w:tc>
          <w:tcPr>
            <w:tcW w:w="673" w:type="dxa"/>
            <w:tcBorders>
              <w:top w:val="single" w:color="auto" w:sz="4" w:space="0"/>
              <w:left w:val="single" w:color="auto" w:sz="4" w:space="0"/>
              <w:bottom w:val="single" w:color="auto" w:sz="4" w:space="0"/>
              <w:right w:val="single" w:color="auto" w:sz="4" w:space="0"/>
            </w:tcBorders>
            <w:vAlign w:val="center"/>
          </w:tcPr>
          <w:p w14:paraId="54C60401">
            <w:pPr>
              <w:widowControl/>
              <w:spacing w:before="75" w:after="75" w:line="300" w:lineRule="atLeast"/>
              <w:jc w:val="center"/>
              <w:rPr>
                <w:rFonts w:hint="eastAsia" w:ascii="微软雅黑" w:hAnsi="微软雅黑" w:eastAsia="微软雅黑" w:cs="Arial"/>
                <w:color w:val="000000"/>
                <w:kern w:val="0"/>
                <w:szCs w:val="21"/>
                <w:highlight w:val="none"/>
                <w:lang w:val="en-US" w:eastAsia="zh-CN"/>
              </w:rPr>
            </w:pPr>
            <w:r>
              <w:rPr>
                <w:rFonts w:hint="eastAsia" w:ascii="微软雅黑" w:hAnsi="微软雅黑" w:eastAsia="微软雅黑" w:cs="Arial"/>
                <w:color w:val="000000"/>
                <w:kern w:val="0"/>
                <w:szCs w:val="21"/>
                <w:highlight w:val="none"/>
                <w:lang w:val="en-US" w:eastAsia="zh-CN"/>
              </w:rPr>
              <w:t>1</w:t>
            </w:r>
          </w:p>
        </w:tc>
        <w:tc>
          <w:tcPr>
            <w:tcW w:w="1506" w:type="dxa"/>
            <w:tcBorders>
              <w:top w:val="single" w:color="auto" w:sz="4" w:space="0"/>
              <w:left w:val="single" w:color="auto" w:sz="4" w:space="0"/>
              <w:bottom w:val="single" w:color="auto" w:sz="4" w:space="0"/>
              <w:right w:val="single" w:color="auto" w:sz="4" w:space="0"/>
            </w:tcBorders>
            <w:vAlign w:val="center"/>
          </w:tcPr>
          <w:p w14:paraId="0A655E83">
            <w:pPr>
              <w:widowControl/>
              <w:spacing w:before="75" w:after="75" w:line="300" w:lineRule="atLeast"/>
              <w:jc w:val="center"/>
              <w:rPr>
                <w:rFonts w:hint="eastAsia" w:ascii="微软雅黑" w:hAnsi="微软雅黑" w:eastAsia="微软雅黑" w:cs="Arial"/>
                <w:color w:val="000000"/>
                <w:kern w:val="0"/>
                <w:szCs w:val="21"/>
                <w:highlight w:val="none"/>
                <w:lang w:val="en-US" w:eastAsia="zh-CN"/>
              </w:rPr>
            </w:pPr>
            <w:r>
              <w:rPr>
                <w:rFonts w:hint="eastAsia" w:ascii="微软雅黑" w:hAnsi="微软雅黑" w:eastAsia="微软雅黑" w:cs="Arial"/>
                <w:color w:val="000000"/>
                <w:kern w:val="0"/>
                <w:szCs w:val="21"/>
                <w:highlight w:val="none"/>
                <w:lang w:val="en-US" w:eastAsia="zh-CN"/>
              </w:rPr>
              <w:t>3000</w:t>
            </w:r>
          </w:p>
        </w:tc>
      </w:tr>
    </w:tbl>
    <w:p w14:paraId="01BD9AF4">
      <w:pPr>
        <w:pStyle w:val="29"/>
        <w:snapToGrid w:val="0"/>
        <w:spacing w:line="360" w:lineRule="auto"/>
        <w:rPr>
          <w:rFonts w:hint="eastAsia" w:ascii="微软雅黑" w:hAnsi="微软雅黑" w:eastAsia="微软雅黑"/>
          <w:b/>
          <w:sz w:val="28"/>
          <w:szCs w:val="28"/>
          <w:highlight w:val="none"/>
          <w:shd w:val="pct10" w:color="auto" w:fill="FFFFFF"/>
        </w:rPr>
      </w:pPr>
      <w:r>
        <w:rPr>
          <w:rFonts w:hint="eastAsia" w:ascii="微软雅黑" w:hAnsi="微软雅黑" w:eastAsia="微软雅黑"/>
          <w:b/>
          <w:sz w:val="28"/>
          <w:szCs w:val="28"/>
          <w:highlight w:val="none"/>
          <w:shd w:val="pct10" w:color="auto" w:fill="FFFFFF"/>
        </w:rPr>
        <w:t>注:▲以上价格不做调整，按单价</w:t>
      </w:r>
      <w:r>
        <w:rPr>
          <w:rFonts w:hint="eastAsia" w:ascii="微软雅黑" w:hAnsi="微软雅黑" w:eastAsia="微软雅黑"/>
          <w:b/>
          <w:sz w:val="28"/>
          <w:szCs w:val="28"/>
          <w:highlight w:val="none"/>
          <w:shd w:val="pct10" w:color="auto" w:fill="FFFFFF"/>
          <w:lang w:val="en-US" w:eastAsia="zh-CN"/>
        </w:rPr>
        <w:t>30</w:t>
      </w:r>
      <w:r>
        <w:rPr>
          <w:rFonts w:ascii="微软雅黑" w:hAnsi="微软雅黑" w:eastAsia="微软雅黑"/>
          <w:b/>
          <w:sz w:val="28"/>
          <w:szCs w:val="28"/>
          <w:highlight w:val="none"/>
          <w:shd w:val="pct10" w:color="auto" w:fill="FFFFFF"/>
        </w:rPr>
        <w:t>00</w:t>
      </w:r>
      <w:r>
        <w:rPr>
          <w:rFonts w:hint="eastAsia" w:ascii="微软雅黑" w:hAnsi="微软雅黑" w:eastAsia="微软雅黑"/>
          <w:b/>
          <w:sz w:val="28"/>
          <w:szCs w:val="28"/>
          <w:highlight w:val="none"/>
          <w:shd w:val="pct10" w:color="auto" w:fill="FFFFFF"/>
        </w:rPr>
        <w:t>元/</w:t>
      </w:r>
      <w:r>
        <w:rPr>
          <w:rFonts w:ascii="微软雅黑" w:hAnsi="微软雅黑" w:eastAsia="微软雅黑"/>
          <w:b/>
          <w:spacing w:val="20"/>
          <w:sz w:val="28"/>
          <w:szCs w:val="28"/>
          <w:highlight w:val="none"/>
          <w:shd w:val="pct10" w:color="auto" w:fill="FFFFFF"/>
        </w:rPr>
        <w:t>人·</w:t>
      </w:r>
      <w:r>
        <w:rPr>
          <w:rFonts w:hint="eastAsia" w:ascii="微软雅黑" w:hAnsi="微软雅黑" w:eastAsia="微软雅黑"/>
          <w:b/>
          <w:spacing w:val="20"/>
          <w:sz w:val="28"/>
          <w:szCs w:val="28"/>
          <w:highlight w:val="none"/>
          <w:shd w:val="pct10" w:color="auto" w:fill="FFFFFF"/>
        </w:rPr>
        <w:t>次进行报价</w:t>
      </w:r>
      <w:r>
        <w:rPr>
          <w:rFonts w:hint="eastAsia" w:ascii="微软雅黑" w:hAnsi="微软雅黑" w:eastAsia="微软雅黑"/>
          <w:b/>
          <w:sz w:val="28"/>
          <w:szCs w:val="28"/>
          <w:highlight w:val="none"/>
          <w:shd w:val="pct10" w:color="auto" w:fill="FFFFFF"/>
        </w:rPr>
        <w:t>,任何改变价格的行为均视为</w:t>
      </w:r>
      <w:r>
        <w:rPr>
          <w:rFonts w:hint="eastAsia" w:ascii="微软雅黑" w:hAnsi="微软雅黑" w:eastAsia="微软雅黑" w:cs="Times New Roman"/>
          <w:b/>
          <w:sz w:val="28"/>
          <w:szCs w:val="28"/>
          <w:highlight w:val="none"/>
          <w:shd w:val="pct10" w:color="auto" w:fill="FFFFFF"/>
        </w:rPr>
        <w:t>无效投标</w:t>
      </w:r>
      <w:r>
        <w:rPr>
          <w:rFonts w:hint="eastAsia" w:ascii="微软雅黑" w:hAnsi="微软雅黑" w:eastAsia="微软雅黑" w:cs="Times New Roman"/>
          <w:b/>
          <w:sz w:val="28"/>
          <w:szCs w:val="28"/>
          <w:highlight w:val="none"/>
          <w:shd w:val="pct10" w:color="auto" w:fill="FFFFFF"/>
          <w:lang w:val="en-US" w:eastAsia="zh-CN"/>
        </w:rPr>
        <w:t>。</w:t>
      </w:r>
    </w:p>
    <w:p w14:paraId="71A30944">
      <w:pPr>
        <w:pStyle w:val="29"/>
        <w:snapToGrid w:val="0"/>
        <w:spacing w:line="360" w:lineRule="auto"/>
        <w:rPr>
          <w:rFonts w:ascii="微软雅黑" w:hAnsi="微软雅黑" w:eastAsia="微软雅黑"/>
          <w:szCs w:val="21"/>
          <w:highlight w:val="none"/>
        </w:rPr>
      </w:pPr>
      <w:r>
        <w:rPr>
          <w:rFonts w:ascii="微软雅黑" w:hAnsi="微软雅黑" w:eastAsia="微软雅黑"/>
          <w:szCs w:val="21"/>
          <w:highlight w:val="none"/>
        </w:rPr>
        <w:t>1、报价一经涂改，应在涂改处加盖单位公章或者由法定代表人或授权委托人签字或盖章，否则其投标作无效标处理。</w:t>
      </w:r>
    </w:p>
    <w:p w14:paraId="2F237A6E">
      <w:pPr>
        <w:pStyle w:val="29"/>
        <w:snapToGrid w:val="0"/>
        <w:spacing w:line="360" w:lineRule="auto"/>
        <w:rPr>
          <w:rFonts w:ascii="微软雅黑" w:hAnsi="微软雅黑" w:eastAsia="微软雅黑"/>
          <w:szCs w:val="21"/>
          <w:highlight w:val="none"/>
        </w:rPr>
      </w:pPr>
      <w:r>
        <w:rPr>
          <w:rFonts w:ascii="微软雅黑" w:hAnsi="微软雅黑" w:eastAsia="微软雅黑"/>
          <w:szCs w:val="21"/>
          <w:highlight w:val="none"/>
        </w:rPr>
        <w:t>2、投标费用包括项目实施所需的人工费、服务费、税费及其他一切费用。</w:t>
      </w:r>
    </w:p>
    <w:p w14:paraId="20001E73">
      <w:pPr>
        <w:pStyle w:val="29"/>
        <w:snapToGrid w:val="0"/>
        <w:spacing w:line="360" w:lineRule="auto"/>
        <w:rPr>
          <w:rFonts w:ascii="微软雅黑" w:hAnsi="微软雅黑" w:eastAsia="微软雅黑"/>
          <w:szCs w:val="21"/>
          <w:highlight w:val="none"/>
        </w:rPr>
      </w:pPr>
      <w:r>
        <w:rPr>
          <w:rFonts w:ascii="微软雅黑" w:hAnsi="微软雅黑" w:eastAsia="微软雅黑"/>
          <w:szCs w:val="21"/>
          <w:highlight w:val="none"/>
        </w:rPr>
        <w:t>▲</w:t>
      </w:r>
      <w:r>
        <w:rPr>
          <w:rFonts w:hint="eastAsia" w:ascii="微软雅黑" w:hAnsi="微软雅黑" w:eastAsia="微软雅黑"/>
          <w:szCs w:val="21"/>
          <w:highlight w:val="none"/>
        </w:rPr>
        <w:t>3</w:t>
      </w:r>
      <w:r>
        <w:rPr>
          <w:rFonts w:ascii="微软雅黑" w:hAnsi="微软雅黑" w:eastAsia="微软雅黑"/>
          <w:szCs w:val="21"/>
          <w:highlight w:val="none"/>
        </w:rPr>
        <w:t>、以上报价不得超过上限价，任何超过上限价的报价均导致投标被否决。</w:t>
      </w:r>
    </w:p>
    <w:p w14:paraId="55AB2BCC">
      <w:pPr>
        <w:pStyle w:val="29"/>
        <w:snapToGrid w:val="0"/>
        <w:spacing w:line="360" w:lineRule="auto"/>
        <w:rPr>
          <w:rFonts w:ascii="微软雅黑" w:hAnsi="微软雅黑" w:eastAsia="微软雅黑"/>
          <w:b/>
          <w:szCs w:val="21"/>
          <w:highlight w:val="none"/>
        </w:rPr>
      </w:pPr>
      <w:r>
        <w:rPr>
          <w:rFonts w:ascii="微软雅黑" w:hAnsi="微软雅黑" w:eastAsia="微软雅黑"/>
          <w:b/>
          <w:szCs w:val="21"/>
          <w:highlight w:val="none"/>
        </w:rPr>
        <w:t xml:space="preserve">法定代表人或授权代表（签字或盖章）： </w:t>
      </w:r>
    </w:p>
    <w:p w14:paraId="33D4459B">
      <w:pPr>
        <w:pStyle w:val="29"/>
        <w:snapToGrid w:val="0"/>
        <w:spacing w:line="360" w:lineRule="auto"/>
        <w:rPr>
          <w:rFonts w:ascii="微软雅黑" w:hAnsi="微软雅黑" w:eastAsia="微软雅黑"/>
          <w:b/>
          <w:szCs w:val="21"/>
          <w:highlight w:val="none"/>
        </w:rPr>
      </w:pPr>
      <w:r>
        <w:rPr>
          <w:rFonts w:ascii="微软雅黑" w:hAnsi="微软雅黑" w:eastAsia="微软雅黑"/>
          <w:b/>
          <w:szCs w:val="21"/>
          <w:highlight w:val="none"/>
        </w:rPr>
        <w:t>投标人名称（盖章）：</w:t>
      </w:r>
    </w:p>
    <w:p w14:paraId="320B4818">
      <w:pPr>
        <w:pStyle w:val="29"/>
        <w:snapToGrid w:val="0"/>
        <w:spacing w:line="360" w:lineRule="auto"/>
        <w:rPr>
          <w:rFonts w:ascii="微软雅黑" w:hAnsi="微软雅黑" w:eastAsia="微软雅黑"/>
          <w:b/>
          <w:szCs w:val="21"/>
          <w:highlight w:val="none"/>
        </w:rPr>
      </w:pPr>
      <w:r>
        <w:rPr>
          <w:rFonts w:hint="eastAsia" w:ascii="微软雅黑" w:hAnsi="微软雅黑" w:eastAsia="微软雅黑"/>
          <w:b/>
          <w:szCs w:val="21"/>
          <w:highlight w:val="none"/>
        </w:rPr>
        <w:t>日 期：</w:t>
      </w:r>
    </w:p>
    <w:p w14:paraId="1FA8BFAC">
      <w:pPr>
        <w:pStyle w:val="29"/>
        <w:snapToGrid w:val="0"/>
        <w:spacing w:line="360" w:lineRule="auto"/>
        <w:rPr>
          <w:rFonts w:hint="eastAsia" w:ascii="微软雅黑" w:hAnsi="微软雅黑" w:eastAsia="微软雅黑"/>
          <w:b/>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linePitch="312" w:charSpace="0"/>
        </w:sectPr>
      </w:pPr>
    </w:p>
    <w:p w14:paraId="7A3E13FB">
      <w:pPr>
        <w:shd w:val="clear" w:color="auto" w:fill="FFFFFF"/>
        <w:spacing w:before="156" w:line="330" w:lineRule="atLeast"/>
        <w:ind w:firstLine="42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附件：</w:t>
      </w:r>
    </w:p>
    <w:p w14:paraId="68B342D5">
      <w:pPr>
        <w:shd w:val="clear" w:color="auto" w:fill="FFFFFF"/>
        <w:spacing w:before="156" w:line="330" w:lineRule="atLeast"/>
        <w:ind w:firstLine="420"/>
        <w:jc w:val="center"/>
        <w:rPr>
          <w:rFonts w:ascii="微软雅黑" w:hAnsi="微软雅黑" w:eastAsia="微软雅黑" w:cs="微软雅黑"/>
          <w:b/>
          <w:szCs w:val="21"/>
          <w:highlight w:val="none"/>
        </w:rPr>
      </w:pPr>
    </w:p>
    <w:p w14:paraId="56BFEFC0">
      <w:pPr>
        <w:shd w:val="clear" w:color="auto" w:fill="FFFFFF"/>
        <w:spacing w:before="156" w:line="330" w:lineRule="atLeast"/>
        <w:ind w:firstLine="420"/>
        <w:jc w:val="center"/>
        <w:rPr>
          <w:rFonts w:ascii="微软雅黑" w:hAnsi="微软雅黑" w:eastAsia="微软雅黑" w:cs="微软雅黑"/>
          <w:bCs/>
          <w:szCs w:val="21"/>
          <w:highlight w:val="none"/>
        </w:rPr>
      </w:pPr>
      <w:r>
        <w:rPr>
          <w:rFonts w:hint="eastAsia" w:ascii="微软雅黑" w:hAnsi="微软雅黑" w:eastAsia="微软雅黑" w:cs="微软雅黑"/>
          <w:b/>
          <w:szCs w:val="21"/>
          <w:highlight w:val="none"/>
        </w:rPr>
        <w:t>国家统计局关于印发统计上大中小微型企业划分办法的通知</w:t>
      </w:r>
    </w:p>
    <w:p w14:paraId="106DBF5F">
      <w:pPr>
        <w:shd w:val="clear" w:color="auto" w:fill="FFFFFF"/>
        <w:spacing w:line="330" w:lineRule="atLeast"/>
        <w:ind w:firstLine="420"/>
        <w:jc w:val="center"/>
        <w:outlineLvl w:val="0"/>
        <w:rPr>
          <w:rFonts w:ascii="微软雅黑" w:hAnsi="微软雅黑" w:eastAsia="微软雅黑" w:cs="微软雅黑"/>
          <w:bCs/>
          <w:szCs w:val="21"/>
          <w:highlight w:val="none"/>
        </w:rPr>
      </w:pPr>
      <w:bookmarkStart w:id="602" w:name="_Toc26183"/>
      <w:r>
        <w:rPr>
          <w:rFonts w:hint="eastAsia" w:ascii="微软雅黑" w:hAnsi="微软雅黑" w:eastAsia="微软雅黑" w:cs="微软雅黑"/>
          <w:szCs w:val="21"/>
          <w:highlight w:val="none"/>
        </w:rPr>
        <w:t>国统字〔2011〕75号</w:t>
      </w:r>
      <w:bookmarkEnd w:id="602"/>
    </w:p>
    <w:p w14:paraId="724BAC24">
      <w:pPr>
        <w:shd w:val="clear" w:color="auto" w:fill="FFFFFF"/>
        <w:spacing w:line="330" w:lineRule="atLeast"/>
        <w:ind w:firstLine="42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 </w:t>
      </w:r>
    </w:p>
    <w:p w14:paraId="79C289D5">
      <w:pPr>
        <w:shd w:val="clear" w:color="auto" w:fill="FFFFFF"/>
        <w:spacing w:line="330" w:lineRule="atLeast"/>
        <w:ind w:firstLine="42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各省、自治区、直辖市统计局，新疆生产建设兵团统计局，国家统计局各调查总队，国务院有关部门：</w:t>
      </w:r>
    </w:p>
    <w:p w14:paraId="3435D766">
      <w:pPr>
        <w:shd w:val="clear" w:color="auto" w:fill="FFFFFF"/>
        <w:spacing w:line="330" w:lineRule="atLeast"/>
        <w:ind w:firstLine="42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 </w:t>
      </w:r>
    </w:p>
    <w:p w14:paraId="0EBE9559">
      <w:pPr>
        <w:shd w:val="clear" w:color="auto" w:fill="FFFFFF"/>
        <w:spacing w:line="330" w:lineRule="atLeast"/>
        <w:ind w:firstLine="42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　　为贯彻落实工业和信息化部、国家统计局、国家发展改革委、财政部《关于印发中小企业划型标准规定的通知》（工信部联企业〔2011〕300号），结合统计工作的实际情况，我们制定了《统计上大中小微型企业划分办法》。现印发给你们，请遵照执行。</w:t>
      </w:r>
    </w:p>
    <w:p w14:paraId="04D7028E">
      <w:pPr>
        <w:shd w:val="clear" w:color="auto" w:fill="FFFFFF"/>
        <w:spacing w:line="330" w:lineRule="atLeast"/>
        <w:ind w:firstLine="42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 </w:t>
      </w:r>
    </w:p>
    <w:p w14:paraId="662D0A56">
      <w:pPr>
        <w:shd w:val="clear" w:color="auto" w:fill="FFFFFF"/>
        <w:wordWrap w:val="0"/>
        <w:spacing w:line="330" w:lineRule="atLeast"/>
        <w:ind w:firstLine="420"/>
        <w:jc w:val="right"/>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　　国家统计局 </w:t>
      </w:r>
    </w:p>
    <w:p w14:paraId="220B1849">
      <w:pPr>
        <w:shd w:val="clear" w:color="auto" w:fill="FFFFFF"/>
        <w:spacing w:line="330" w:lineRule="atLeast"/>
        <w:ind w:firstLine="420"/>
        <w:jc w:val="right"/>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　　二〇一一年九月二日</w:t>
      </w:r>
    </w:p>
    <w:p w14:paraId="3D536F2C">
      <w:pPr>
        <w:shd w:val="clear" w:color="auto" w:fill="FFFFFF"/>
        <w:spacing w:line="330" w:lineRule="atLeast"/>
        <w:ind w:firstLine="42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 </w:t>
      </w:r>
    </w:p>
    <w:p w14:paraId="65F508E6">
      <w:pPr>
        <w:shd w:val="clear" w:color="auto" w:fill="FFFFFF"/>
        <w:spacing w:line="330" w:lineRule="atLeast"/>
        <w:ind w:firstLine="420"/>
        <w:jc w:val="center"/>
        <w:rPr>
          <w:rFonts w:ascii="微软雅黑" w:hAnsi="微软雅黑" w:eastAsia="微软雅黑" w:cs="微软雅黑"/>
          <w:bCs/>
          <w:szCs w:val="21"/>
          <w:highlight w:val="none"/>
        </w:rPr>
      </w:pPr>
      <w:r>
        <w:rPr>
          <w:rFonts w:hint="eastAsia" w:ascii="微软雅黑" w:hAnsi="微软雅黑" w:eastAsia="微软雅黑" w:cs="微软雅黑"/>
          <w:b/>
          <w:szCs w:val="21"/>
          <w:highlight w:val="none"/>
        </w:rPr>
        <w:t>统计上大中小微型企业划分办法</w:t>
      </w:r>
    </w:p>
    <w:p w14:paraId="7B0DEFA7">
      <w:pPr>
        <w:shd w:val="clear" w:color="auto" w:fill="FFFFFF"/>
        <w:spacing w:line="330" w:lineRule="atLeast"/>
        <w:ind w:firstLine="42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 </w:t>
      </w:r>
    </w:p>
    <w:p w14:paraId="599D7D74">
      <w:pPr>
        <w:shd w:val="clear" w:color="auto" w:fill="FFFFFF"/>
        <w:spacing w:line="330" w:lineRule="atLeast"/>
        <w:ind w:firstLine="42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一、根据工业和信息化部、国家统计局、国家发展改革委、财政部《关于印发中小企业划型标准规定的通知》（工信部联企业〔2011〕300号），结合统计工作的实际情况，特制定本办法。</w:t>
      </w:r>
    </w:p>
    <w:p w14:paraId="109BB088">
      <w:pPr>
        <w:shd w:val="clear" w:color="auto" w:fill="FFFFFF"/>
        <w:spacing w:line="330" w:lineRule="atLeast"/>
        <w:ind w:firstLine="42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 </w:t>
      </w:r>
    </w:p>
    <w:p w14:paraId="5C8EC3A2">
      <w:pPr>
        <w:shd w:val="clear" w:color="auto" w:fill="FFFFFF"/>
        <w:spacing w:line="330" w:lineRule="atLeast"/>
        <w:ind w:firstLine="42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二、本办法适用对象为在中华人民共和国境内依法设立的各种组织形式的法人企业或单位。个体工商户参照本办法进行划分。</w:t>
      </w:r>
    </w:p>
    <w:p w14:paraId="5FE9A22A">
      <w:pPr>
        <w:shd w:val="clear" w:color="auto" w:fill="FFFFFF"/>
        <w:spacing w:line="330" w:lineRule="atLeast"/>
        <w:ind w:firstLine="42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5DA9A5BC">
      <w:pPr>
        <w:shd w:val="clear" w:color="auto" w:fill="FFFFFF"/>
        <w:spacing w:line="330" w:lineRule="atLeast"/>
        <w:ind w:firstLine="42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四、本办法按照行业门类、大类、中类和组合类别，依据从业人员、营业收入、资产总额等指标或替代指标，将我国的企业划分为大型、中型、小型、微型等四种类型。具体划分标准见附表。</w:t>
      </w:r>
    </w:p>
    <w:p w14:paraId="42567325">
      <w:pPr>
        <w:shd w:val="clear" w:color="auto" w:fill="FFFFFF"/>
        <w:spacing w:line="330" w:lineRule="atLeast"/>
        <w:ind w:firstLine="42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 五、企业划分由政府综合统计部门根据统计年报每年确定一次，定报统计原则上不进行调整。</w:t>
      </w:r>
    </w:p>
    <w:p w14:paraId="131DF696">
      <w:pPr>
        <w:shd w:val="clear" w:color="auto" w:fill="FFFFFF"/>
        <w:spacing w:line="330" w:lineRule="atLeast"/>
        <w:ind w:firstLine="42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六、本办法自印发之日起执行，国家统计局2003年印发的《统计上大中小型企业划分办法（暂行）》（国统字〔2003〕17号）同时废止。</w:t>
      </w:r>
    </w:p>
    <w:p w14:paraId="12F26113">
      <w:pPr>
        <w:shd w:val="clear" w:color="auto" w:fill="FFFFFF"/>
        <w:spacing w:line="330" w:lineRule="atLeast"/>
        <w:ind w:firstLine="482"/>
        <w:rPr>
          <w:rFonts w:ascii="微软雅黑" w:hAnsi="微软雅黑" w:eastAsia="微软雅黑" w:cs="微软雅黑"/>
          <w:bCs/>
          <w:szCs w:val="21"/>
          <w:highlight w:val="none"/>
        </w:rPr>
      </w:pPr>
      <w:r>
        <w:rPr>
          <w:rFonts w:hint="eastAsia" w:ascii="微软雅黑" w:hAnsi="微软雅黑" w:eastAsia="微软雅黑" w:cs="微软雅黑"/>
          <w:b/>
          <w:szCs w:val="21"/>
          <w:highlight w:val="none"/>
        </w:rPr>
        <w:t> </w:t>
      </w:r>
      <w:r>
        <w:rPr>
          <w:rFonts w:hint="eastAsia" w:ascii="微软雅黑" w:hAnsi="微软雅黑" w:eastAsia="微软雅黑" w:cs="微软雅黑"/>
          <w:szCs w:val="21"/>
          <w:highlight w:val="none"/>
        </w:rPr>
        <w:t>　　附表：</w:t>
      </w:r>
    </w:p>
    <w:p w14:paraId="71A7C5B4">
      <w:pPr>
        <w:shd w:val="clear" w:color="auto" w:fill="FFFFFF"/>
        <w:spacing w:line="330" w:lineRule="atLeast"/>
        <w:ind w:firstLine="42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 </w:t>
      </w:r>
      <w:r>
        <w:rPr>
          <w:rFonts w:hint="eastAsia" w:ascii="微软雅黑" w:hAnsi="微软雅黑" w:eastAsia="微软雅黑" w:cs="微软雅黑"/>
          <w:b/>
          <w:szCs w:val="21"/>
          <w:highlight w:val="none"/>
        </w:rPr>
        <w:t>统计上大中小微型企业划分标准</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60"/>
        <w:gridCol w:w="1281"/>
        <w:gridCol w:w="758"/>
        <w:gridCol w:w="1060"/>
        <w:gridCol w:w="1491"/>
        <w:gridCol w:w="1315"/>
        <w:gridCol w:w="908"/>
      </w:tblGrid>
      <w:tr w14:paraId="7CF60B40">
        <w:tblPrEx>
          <w:tblCellMar>
            <w:top w:w="0" w:type="dxa"/>
            <w:left w:w="0" w:type="dxa"/>
            <w:bottom w:w="0" w:type="dxa"/>
            <w:right w:w="0" w:type="dxa"/>
          </w:tblCellMar>
        </w:tblPrEx>
        <w:trPr>
          <w:trHeight w:val="454" w:hRule="atLeast"/>
        </w:trPr>
        <w:tc>
          <w:tcPr>
            <w:tcW w:w="1560" w:type="dxa"/>
            <w:shd w:val="clear" w:color="auto" w:fill="auto"/>
            <w:tcMar>
              <w:top w:w="0" w:type="dxa"/>
              <w:left w:w="108" w:type="dxa"/>
              <w:bottom w:w="0" w:type="dxa"/>
              <w:right w:w="108" w:type="dxa"/>
            </w:tcMar>
            <w:vAlign w:val="center"/>
          </w:tcPr>
          <w:p w14:paraId="61D17B30">
            <w:pPr>
              <w:spacing w:after="0" w:line="240" w:lineRule="auto"/>
              <w:ind w:left="105" w:leftChars="50"/>
              <w:jc w:val="center"/>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 </w:t>
            </w:r>
            <w:r>
              <w:rPr>
                <w:rFonts w:hint="eastAsia" w:ascii="微软雅黑" w:hAnsi="微软雅黑" w:eastAsia="微软雅黑" w:cs="微软雅黑"/>
                <w:b/>
                <w:szCs w:val="21"/>
                <w:highlight w:val="none"/>
              </w:rPr>
              <w:t>行业名称</w:t>
            </w:r>
          </w:p>
        </w:tc>
        <w:tc>
          <w:tcPr>
            <w:tcW w:w="1281" w:type="dxa"/>
            <w:shd w:val="clear" w:color="auto" w:fill="auto"/>
            <w:tcMar>
              <w:top w:w="0" w:type="dxa"/>
              <w:left w:w="108" w:type="dxa"/>
              <w:bottom w:w="0" w:type="dxa"/>
              <w:right w:w="108" w:type="dxa"/>
            </w:tcMar>
            <w:vAlign w:val="center"/>
          </w:tcPr>
          <w:p w14:paraId="2837871C">
            <w:pPr>
              <w:spacing w:after="0" w:line="240" w:lineRule="auto"/>
              <w:ind w:left="105" w:leftChars="50"/>
              <w:jc w:val="center"/>
              <w:rPr>
                <w:rFonts w:ascii="微软雅黑" w:hAnsi="微软雅黑" w:eastAsia="微软雅黑" w:cs="微软雅黑"/>
                <w:bCs/>
                <w:szCs w:val="21"/>
                <w:highlight w:val="none"/>
              </w:rPr>
            </w:pPr>
            <w:r>
              <w:rPr>
                <w:rFonts w:hint="eastAsia" w:ascii="微软雅黑" w:hAnsi="微软雅黑" w:eastAsia="微软雅黑" w:cs="微软雅黑"/>
                <w:b/>
                <w:szCs w:val="21"/>
                <w:highlight w:val="none"/>
              </w:rPr>
              <w:t>指标名称</w:t>
            </w:r>
          </w:p>
        </w:tc>
        <w:tc>
          <w:tcPr>
            <w:tcW w:w="758" w:type="dxa"/>
            <w:shd w:val="clear" w:color="auto" w:fill="auto"/>
            <w:tcMar>
              <w:top w:w="0" w:type="dxa"/>
              <w:left w:w="108" w:type="dxa"/>
              <w:bottom w:w="0" w:type="dxa"/>
              <w:right w:w="108" w:type="dxa"/>
            </w:tcMar>
            <w:vAlign w:val="center"/>
          </w:tcPr>
          <w:p w14:paraId="1E22EEC0">
            <w:pPr>
              <w:spacing w:after="0" w:line="240" w:lineRule="auto"/>
              <w:ind w:left="105" w:leftChars="50"/>
              <w:jc w:val="center"/>
              <w:rPr>
                <w:rFonts w:hint="eastAsia" w:ascii="微软雅黑" w:hAnsi="微软雅黑" w:eastAsia="微软雅黑" w:cs="微软雅黑"/>
                <w:b/>
                <w:szCs w:val="21"/>
                <w:highlight w:val="none"/>
                <w:lang w:eastAsia="zh-CN"/>
              </w:rPr>
            </w:pPr>
            <w:r>
              <w:rPr>
                <w:rFonts w:hint="eastAsia" w:ascii="微软雅黑" w:hAnsi="微软雅黑" w:eastAsia="微软雅黑" w:cs="微软雅黑"/>
                <w:b/>
                <w:szCs w:val="21"/>
                <w:highlight w:val="none"/>
              </w:rPr>
              <w:t>计量</w:t>
            </w:r>
          </w:p>
          <w:p w14:paraId="08B79C5F">
            <w:pPr>
              <w:spacing w:after="0" w:line="240" w:lineRule="auto"/>
              <w:ind w:left="105" w:leftChars="50"/>
              <w:jc w:val="center"/>
              <w:rPr>
                <w:rFonts w:ascii="微软雅黑" w:hAnsi="微软雅黑" w:eastAsia="微软雅黑" w:cs="微软雅黑"/>
                <w:bCs/>
                <w:szCs w:val="21"/>
                <w:highlight w:val="none"/>
              </w:rPr>
            </w:pPr>
            <w:r>
              <w:rPr>
                <w:rFonts w:hint="eastAsia" w:ascii="微软雅黑" w:hAnsi="微软雅黑" w:eastAsia="微软雅黑" w:cs="微软雅黑"/>
                <w:b/>
                <w:szCs w:val="21"/>
                <w:highlight w:val="none"/>
              </w:rPr>
              <w:t>单位</w:t>
            </w:r>
          </w:p>
        </w:tc>
        <w:tc>
          <w:tcPr>
            <w:tcW w:w="993" w:type="dxa"/>
            <w:shd w:val="clear" w:color="auto" w:fill="auto"/>
            <w:tcMar>
              <w:top w:w="0" w:type="dxa"/>
              <w:left w:w="108" w:type="dxa"/>
              <w:bottom w:w="0" w:type="dxa"/>
              <w:right w:w="108" w:type="dxa"/>
            </w:tcMar>
            <w:vAlign w:val="center"/>
          </w:tcPr>
          <w:p w14:paraId="7C08B9D2">
            <w:pPr>
              <w:spacing w:after="0" w:line="240" w:lineRule="auto"/>
              <w:ind w:left="105" w:leftChars="50"/>
              <w:jc w:val="center"/>
              <w:rPr>
                <w:rFonts w:ascii="微软雅黑" w:hAnsi="微软雅黑" w:eastAsia="微软雅黑" w:cs="微软雅黑"/>
                <w:bCs/>
                <w:szCs w:val="21"/>
                <w:highlight w:val="none"/>
              </w:rPr>
            </w:pPr>
            <w:r>
              <w:rPr>
                <w:rFonts w:hint="eastAsia" w:ascii="微软雅黑" w:hAnsi="微软雅黑" w:eastAsia="微软雅黑" w:cs="微软雅黑"/>
                <w:b/>
                <w:szCs w:val="21"/>
                <w:highlight w:val="none"/>
              </w:rPr>
              <w:t>大型</w:t>
            </w:r>
          </w:p>
        </w:tc>
        <w:tc>
          <w:tcPr>
            <w:tcW w:w="1491" w:type="dxa"/>
            <w:shd w:val="clear" w:color="auto" w:fill="auto"/>
            <w:tcMar>
              <w:top w:w="0" w:type="dxa"/>
              <w:left w:w="108" w:type="dxa"/>
              <w:bottom w:w="0" w:type="dxa"/>
              <w:right w:w="108" w:type="dxa"/>
            </w:tcMar>
            <w:vAlign w:val="center"/>
          </w:tcPr>
          <w:p w14:paraId="193CD74B">
            <w:pPr>
              <w:spacing w:after="0" w:line="240" w:lineRule="auto"/>
              <w:ind w:left="105" w:leftChars="50"/>
              <w:jc w:val="center"/>
              <w:rPr>
                <w:rFonts w:ascii="微软雅黑" w:hAnsi="微软雅黑" w:eastAsia="微软雅黑" w:cs="微软雅黑"/>
                <w:bCs/>
                <w:szCs w:val="21"/>
                <w:highlight w:val="none"/>
              </w:rPr>
            </w:pPr>
            <w:r>
              <w:rPr>
                <w:rFonts w:hint="eastAsia" w:ascii="微软雅黑" w:hAnsi="微软雅黑" w:eastAsia="微软雅黑" w:cs="微软雅黑"/>
                <w:b/>
                <w:szCs w:val="21"/>
                <w:highlight w:val="none"/>
              </w:rPr>
              <w:t>中型</w:t>
            </w:r>
          </w:p>
        </w:tc>
        <w:tc>
          <w:tcPr>
            <w:tcW w:w="1315" w:type="dxa"/>
            <w:shd w:val="clear" w:color="auto" w:fill="auto"/>
            <w:tcMar>
              <w:top w:w="0" w:type="dxa"/>
              <w:left w:w="108" w:type="dxa"/>
              <w:bottom w:w="0" w:type="dxa"/>
              <w:right w:w="108" w:type="dxa"/>
            </w:tcMar>
            <w:vAlign w:val="center"/>
          </w:tcPr>
          <w:p w14:paraId="2C713EEB">
            <w:pPr>
              <w:spacing w:after="0" w:line="240" w:lineRule="auto"/>
              <w:ind w:left="105" w:leftChars="50"/>
              <w:jc w:val="center"/>
              <w:rPr>
                <w:rFonts w:ascii="微软雅黑" w:hAnsi="微软雅黑" w:eastAsia="微软雅黑" w:cs="微软雅黑"/>
                <w:bCs/>
                <w:szCs w:val="21"/>
                <w:highlight w:val="none"/>
              </w:rPr>
            </w:pPr>
            <w:r>
              <w:rPr>
                <w:rFonts w:hint="eastAsia" w:ascii="微软雅黑" w:hAnsi="微软雅黑" w:eastAsia="微软雅黑" w:cs="微软雅黑"/>
                <w:b/>
                <w:szCs w:val="21"/>
                <w:highlight w:val="none"/>
              </w:rPr>
              <w:t>小型</w:t>
            </w:r>
          </w:p>
        </w:tc>
        <w:tc>
          <w:tcPr>
            <w:tcW w:w="908" w:type="dxa"/>
            <w:shd w:val="clear" w:color="auto" w:fill="auto"/>
            <w:tcMar>
              <w:top w:w="0" w:type="dxa"/>
              <w:left w:w="108" w:type="dxa"/>
              <w:bottom w:w="0" w:type="dxa"/>
              <w:right w:w="108" w:type="dxa"/>
            </w:tcMar>
            <w:vAlign w:val="center"/>
          </w:tcPr>
          <w:p w14:paraId="7774E564">
            <w:pPr>
              <w:spacing w:after="0" w:line="240" w:lineRule="auto"/>
              <w:ind w:left="105" w:leftChars="50"/>
              <w:jc w:val="center"/>
              <w:rPr>
                <w:rFonts w:ascii="微软雅黑" w:hAnsi="微软雅黑" w:eastAsia="微软雅黑" w:cs="微软雅黑"/>
                <w:bCs/>
                <w:szCs w:val="21"/>
                <w:highlight w:val="none"/>
              </w:rPr>
            </w:pPr>
            <w:r>
              <w:rPr>
                <w:rFonts w:hint="eastAsia" w:ascii="微软雅黑" w:hAnsi="微软雅黑" w:eastAsia="微软雅黑" w:cs="微软雅黑"/>
                <w:b/>
                <w:szCs w:val="21"/>
                <w:highlight w:val="none"/>
              </w:rPr>
              <w:t>微型</w:t>
            </w:r>
          </w:p>
        </w:tc>
      </w:tr>
      <w:tr w14:paraId="30256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shd w:val="clear" w:color="auto" w:fill="auto"/>
            <w:tcMar>
              <w:top w:w="0" w:type="dxa"/>
              <w:left w:w="108" w:type="dxa"/>
              <w:bottom w:w="0" w:type="dxa"/>
              <w:right w:w="108" w:type="dxa"/>
            </w:tcMar>
            <w:vAlign w:val="center"/>
          </w:tcPr>
          <w:p w14:paraId="713D3D98">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农、林、牧、渔业</w:t>
            </w:r>
          </w:p>
        </w:tc>
        <w:tc>
          <w:tcPr>
            <w:tcW w:w="1281" w:type="dxa"/>
            <w:shd w:val="clear" w:color="auto" w:fill="auto"/>
            <w:tcMar>
              <w:top w:w="0" w:type="dxa"/>
              <w:left w:w="108" w:type="dxa"/>
              <w:bottom w:w="0" w:type="dxa"/>
              <w:right w:w="108" w:type="dxa"/>
            </w:tcMar>
            <w:vAlign w:val="center"/>
          </w:tcPr>
          <w:p w14:paraId="56F9A9A0">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营业收入(Y)</w:t>
            </w:r>
          </w:p>
        </w:tc>
        <w:tc>
          <w:tcPr>
            <w:tcW w:w="758" w:type="dxa"/>
            <w:shd w:val="clear" w:color="auto" w:fill="auto"/>
            <w:tcMar>
              <w:top w:w="0" w:type="dxa"/>
              <w:left w:w="108" w:type="dxa"/>
              <w:bottom w:w="0" w:type="dxa"/>
              <w:right w:w="108" w:type="dxa"/>
            </w:tcMar>
            <w:vAlign w:val="center"/>
          </w:tcPr>
          <w:p w14:paraId="60671B4D">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万元</w:t>
            </w:r>
          </w:p>
        </w:tc>
        <w:tc>
          <w:tcPr>
            <w:tcW w:w="993" w:type="dxa"/>
            <w:shd w:val="clear" w:color="auto" w:fill="auto"/>
            <w:tcMar>
              <w:top w:w="0" w:type="dxa"/>
              <w:left w:w="108" w:type="dxa"/>
              <w:bottom w:w="0" w:type="dxa"/>
              <w:right w:w="108" w:type="dxa"/>
            </w:tcMar>
            <w:vAlign w:val="center"/>
          </w:tcPr>
          <w:p w14:paraId="042A33E9">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Y≥20000</w:t>
            </w:r>
          </w:p>
        </w:tc>
        <w:tc>
          <w:tcPr>
            <w:tcW w:w="1491" w:type="dxa"/>
            <w:shd w:val="clear" w:color="auto" w:fill="auto"/>
            <w:tcMar>
              <w:top w:w="0" w:type="dxa"/>
              <w:left w:w="108" w:type="dxa"/>
              <w:bottom w:w="0" w:type="dxa"/>
              <w:right w:w="108" w:type="dxa"/>
            </w:tcMar>
            <w:vAlign w:val="center"/>
          </w:tcPr>
          <w:p w14:paraId="09094026">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500≤Y＜20000</w:t>
            </w:r>
          </w:p>
        </w:tc>
        <w:tc>
          <w:tcPr>
            <w:tcW w:w="1315" w:type="dxa"/>
            <w:shd w:val="clear" w:color="auto" w:fill="auto"/>
            <w:tcMar>
              <w:top w:w="0" w:type="dxa"/>
              <w:left w:w="108" w:type="dxa"/>
              <w:bottom w:w="0" w:type="dxa"/>
              <w:right w:w="108" w:type="dxa"/>
            </w:tcMar>
            <w:vAlign w:val="center"/>
          </w:tcPr>
          <w:p w14:paraId="638B8F27">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50≤Y＜500</w:t>
            </w:r>
          </w:p>
        </w:tc>
        <w:tc>
          <w:tcPr>
            <w:tcW w:w="908" w:type="dxa"/>
            <w:shd w:val="clear" w:color="auto" w:fill="auto"/>
            <w:tcMar>
              <w:top w:w="0" w:type="dxa"/>
              <w:left w:w="108" w:type="dxa"/>
              <w:bottom w:w="0" w:type="dxa"/>
              <w:right w:w="108" w:type="dxa"/>
            </w:tcMar>
            <w:vAlign w:val="center"/>
          </w:tcPr>
          <w:p w14:paraId="7633F497">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Y＜50</w:t>
            </w:r>
          </w:p>
        </w:tc>
      </w:tr>
      <w:tr w14:paraId="2D0A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shd w:val="clear" w:color="auto" w:fill="auto"/>
            <w:tcMar>
              <w:top w:w="0" w:type="dxa"/>
              <w:left w:w="108" w:type="dxa"/>
              <w:bottom w:w="0" w:type="dxa"/>
              <w:right w:w="108" w:type="dxa"/>
            </w:tcMar>
            <w:vAlign w:val="center"/>
          </w:tcPr>
          <w:p w14:paraId="11A9E5E8">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工业 *</w:t>
            </w:r>
          </w:p>
        </w:tc>
        <w:tc>
          <w:tcPr>
            <w:tcW w:w="1281" w:type="dxa"/>
            <w:shd w:val="clear" w:color="auto" w:fill="auto"/>
            <w:tcMar>
              <w:top w:w="0" w:type="dxa"/>
              <w:left w:w="108" w:type="dxa"/>
              <w:bottom w:w="0" w:type="dxa"/>
              <w:right w:w="108" w:type="dxa"/>
            </w:tcMar>
            <w:vAlign w:val="center"/>
          </w:tcPr>
          <w:p w14:paraId="0069CA00">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从业人员(X)</w:t>
            </w:r>
          </w:p>
        </w:tc>
        <w:tc>
          <w:tcPr>
            <w:tcW w:w="758" w:type="dxa"/>
            <w:shd w:val="clear" w:color="auto" w:fill="auto"/>
            <w:tcMar>
              <w:top w:w="0" w:type="dxa"/>
              <w:left w:w="108" w:type="dxa"/>
              <w:bottom w:w="0" w:type="dxa"/>
              <w:right w:w="108" w:type="dxa"/>
            </w:tcMar>
            <w:vAlign w:val="center"/>
          </w:tcPr>
          <w:p w14:paraId="2BC0AE07">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人</w:t>
            </w:r>
          </w:p>
        </w:tc>
        <w:tc>
          <w:tcPr>
            <w:tcW w:w="993" w:type="dxa"/>
            <w:shd w:val="clear" w:color="auto" w:fill="auto"/>
            <w:tcMar>
              <w:top w:w="0" w:type="dxa"/>
              <w:left w:w="108" w:type="dxa"/>
              <w:bottom w:w="0" w:type="dxa"/>
              <w:right w:w="108" w:type="dxa"/>
            </w:tcMar>
            <w:vAlign w:val="center"/>
          </w:tcPr>
          <w:p w14:paraId="1ADEB8E2">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X≥1000</w:t>
            </w:r>
          </w:p>
        </w:tc>
        <w:tc>
          <w:tcPr>
            <w:tcW w:w="1491" w:type="dxa"/>
            <w:shd w:val="clear" w:color="auto" w:fill="auto"/>
            <w:tcMar>
              <w:top w:w="0" w:type="dxa"/>
              <w:left w:w="108" w:type="dxa"/>
              <w:bottom w:w="0" w:type="dxa"/>
              <w:right w:w="108" w:type="dxa"/>
            </w:tcMar>
            <w:vAlign w:val="center"/>
          </w:tcPr>
          <w:p w14:paraId="6D44003D">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300≤X＜1000</w:t>
            </w:r>
          </w:p>
        </w:tc>
        <w:tc>
          <w:tcPr>
            <w:tcW w:w="1315" w:type="dxa"/>
            <w:shd w:val="clear" w:color="auto" w:fill="auto"/>
            <w:tcMar>
              <w:top w:w="0" w:type="dxa"/>
              <w:left w:w="108" w:type="dxa"/>
              <w:bottom w:w="0" w:type="dxa"/>
              <w:right w:w="108" w:type="dxa"/>
            </w:tcMar>
            <w:vAlign w:val="center"/>
          </w:tcPr>
          <w:p w14:paraId="6EA0FD59">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20≤X＜300</w:t>
            </w:r>
          </w:p>
        </w:tc>
        <w:tc>
          <w:tcPr>
            <w:tcW w:w="908" w:type="dxa"/>
            <w:shd w:val="clear" w:color="auto" w:fill="auto"/>
            <w:tcMar>
              <w:top w:w="0" w:type="dxa"/>
              <w:left w:w="108" w:type="dxa"/>
              <w:bottom w:w="0" w:type="dxa"/>
              <w:right w:w="108" w:type="dxa"/>
            </w:tcMar>
            <w:vAlign w:val="center"/>
          </w:tcPr>
          <w:p w14:paraId="18D38994">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X＜20</w:t>
            </w:r>
          </w:p>
        </w:tc>
      </w:tr>
      <w:tr w14:paraId="37A7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4EF0CF64">
            <w:pPr>
              <w:spacing w:after="0" w:line="240" w:lineRule="auto"/>
              <w:ind w:left="105" w:leftChars="50"/>
              <w:rPr>
                <w:rFonts w:ascii="微软雅黑" w:hAnsi="微软雅黑" w:eastAsia="微软雅黑" w:cs="微软雅黑"/>
                <w:bCs/>
                <w:szCs w:val="21"/>
                <w:highlight w:val="none"/>
              </w:rPr>
            </w:pPr>
          </w:p>
        </w:tc>
        <w:tc>
          <w:tcPr>
            <w:tcW w:w="1281" w:type="dxa"/>
            <w:shd w:val="clear" w:color="auto" w:fill="auto"/>
            <w:tcMar>
              <w:top w:w="0" w:type="dxa"/>
              <w:left w:w="108" w:type="dxa"/>
              <w:bottom w:w="0" w:type="dxa"/>
              <w:right w:w="108" w:type="dxa"/>
            </w:tcMar>
            <w:vAlign w:val="center"/>
          </w:tcPr>
          <w:p w14:paraId="7D12AB5C">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营业收入(Y)</w:t>
            </w:r>
          </w:p>
        </w:tc>
        <w:tc>
          <w:tcPr>
            <w:tcW w:w="758" w:type="dxa"/>
            <w:shd w:val="clear" w:color="auto" w:fill="auto"/>
            <w:tcMar>
              <w:top w:w="0" w:type="dxa"/>
              <w:left w:w="108" w:type="dxa"/>
              <w:bottom w:w="0" w:type="dxa"/>
              <w:right w:w="108" w:type="dxa"/>
            </w:tcMar>
            <w:vAlign w:val="center"/>
          </w:tcPr>
          <w:p w14:paraId="00F48A29">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万元</w:t>
            </w:r>
          </w:p>
        </w:tc>
        <w:tc>
          <w:tcPr>
            <w:tcW w:w="993" w:type="dxa"/>
            <w:shd w:val="clear" w:color="auto" w:fill="auto"/>
            <w:tcMar>
              <w:top w:w="0" w:type="dxa"/>
              <w:left w:w="108" w:type="dxa"/>
              <w:bottom w:w="0" w:type="dxa"/>
              <w:right w:w="108" w:type="dxa"/>
            </w:tcMar>
            <w:vAlign w:val="center"/>
          </w:tcPr>
          <w:p w14:paraId="0EDD6E75">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Y≥40000</w:t>
            </w:r>
          </w:p>
        </w:tc>
        <w:tc>
          <w:tcPr>
            <w:tcW w:w="1491" w:type="dxa"/>
            <w:shd w:val="clear" w:color="auto" w:fill="auto"/>
            <w:tcMar>
              <w:top w:w="0" w:type="dxa"/>
              <w:left w:w="108" w:type="dxa"/>
              <w:bottom w:w="0" w:type="dxa"/>
              <w:right w:w="108" w:type="dxa"/>
            </w:tcMar>
            <w:vAlign w:val="center"/>
          </w:tcPr>
          <w:p w14:paraId="5E98AEA6">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2000≤Y＜40000</w:t>
            </w:r>
          </w:p>
        </w:tc>
        <w:tc>
          <w:tcPr>
            <w:tcW w:w="1315" w:type="dxa"/>
            <w:shd w:val="clear" w:color="auto" w:fill="auto"/>
            <w:tcMar>
              <w:top w:w="0" w:type="dxa"/>
              <w:left w:w="108" w:type="dxa"/>
              <w:bottom w:w="0" w:type="dxa"/>
              <w:right w:w="108" w:type="dxa"/>
            </w:tcMar>
            <w:vAlign w:val="center"/>
          </w:tcPr>
          <w:p w14:paraId="5BD78241">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300≤Y＜2000</w:t>
            </w:r>
          </w:p>
        </w:tc>
        <w:tc>
          <w:tcPr>
            <w:tcW w:w="908" w:type="dxa"/>
            <w:shd w:val="clear" w:color="auto" w:fill="auto"/>
            <w:tcMar>
              <w:top w:w="0" w:type="dxa"/>
              <w:left w:w="108" w:type="dxa"/>
              <w:bottom w:w="0" w:type="dxa"/>
              <w:right w:w="108" w:type="dxa"/>
            </w:tcMar>
            <w:vAlign w:val="center"/>
          </w:tcPr>
          <w:p w14:paraId="3BBB6446">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Y＜300</w:t>
            </w:r>
          </w:p>
        </w:tc>
      </w:tr>
      <w:tr w14:paraId="7725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shd w:val="clear" w:color="auto" w:fill="auto"/>
            <w:tcMar>
              <w:top w:w="0" w:type="dxa"/>
              <w:left w:w="108" w:type="dxa"/>
              <w:bottom w:w="0" w:type="dxa"/>
              <w:right w:w="108" w:type="dxa"/>
            </w:tcMar>
            <w:vAlign w:val="center"/>
          </w:tcPr>
          <w:p w14:paraId="68F6E3F0">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建筑业</w:t>
            </w:r>
          </w:p>
        </w:tc>
        <w:tc>
          <w:tcPr>
            <w:tcW w:w="1281" w:type="dxa"/>
            <w:shd w:val="clear" w:color="auto" w:fill="auto"/>
            <w:tcMar>
              <w:top w:w="0" w:type="dxa"/>
              <w:left w:w="108" w:type="dxa"/>
              <w:bottom w:w="0" w:type="dxa"/>
              <w:right w:w="108" w:type="dxa"/>
            </w:tcMar>
            <w:vAlign w:val="center"/>
          </w:tcPr>
          <w:p w14:paraId="1EADF466">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营业收入(Y)</w:t>
            </w:r>
          </w:p>
        </w:tc>
        <w:tc>
          <w:tcPr>
            <w:tcW w:w="758" w:type="dxa"/>
            <w:shd w:val="clear" w:color="auto" w:fill="auto"/>
            <w:tcMar>
              <w:top w:w="0" w:type="dxa"/>
              <w:left w:w="108" w:type="dxa"/>
              <w:bottom w:w="0" w:type="dxa"/>
              <w:right w:w="108" w:type="dxa"/>
            </w:tcMar>
            <w:vAlign w:val="center"/>
          </w:tcPr>
          <w:p w14:paraId="7525208D">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万元</w:t>
            </w:r>
          </w:p>
        </w:tc>
        <w:tc>
          <w:tcPr>
            <w:tcW w:w="993" w:type="dxa"/>
            <w:shd w:val="clear" w:color="auto" w:fill="auto"/>
            <w:tcMar>
              <w:top w:w="0" w:type="dxa"/>
              <w:left w:w="108" w:type="dxa"/>
              <w:bottom w:w="0" w:type="dxa"/>
              <w:right w:w="108" w:type="dxa"/>
            </w:tcMar>
            <w:vAlign w:val="center"/>
          </w:tcPr>
          <w:p w14:paraId="0ACD812A">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Y≥80000</w:t>
            </w:r>
          </w:p>
        </w:tc>
        <w:tc>
          <w:tcPr>
            <w:tcW w:w="1491" w:type="dxa"/>
            <w:shd w:val="clear" w:color="auto" w:fill="auto"/>
            <w:tcMar>
              <w:top w:w="0" w:type="dxa"/>
              <w:left w:w="108" w:type="dxa"/>
              <w:bottom w:w="0" w:type="dxa"/>
              <w:right w:w="108" w:type="dxa"/>
            </w:tcMar>
            <w:vAlign w:val="center"/>
          </w:tcPr>
          <w:p w14:paraId="6D2BE941">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6000≤Y＜80000</w:t>
            </w:r>
          </w:p>
        </w:tc>
        <w:tc>
          <w:tcPr>
            <w:tcW w:w="1315" w:type="dxa"/>
            <w:shd w:val="clear" w:color="auto" w:fill="auto"/>
            <w:tcMar>
              <w:top w:w="0" w:type="dxa"/>
              <w:left w:w="108" w:type="dxa"/>
              <w:bottom w:w="0" w:type="dxa"/>
              <w:right w:w="108" w:type="dxa"/>
            </w:tcMar>
            <w:vAlign w:val="center"/>
          </w:tcPr>
          <w:p w14:paraId="012BB200">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300≤Y＜6000</w:t>
            </w:r>
          </w:p>
        </w:tc>
        <w:tc>
          <w:tcPr>
            <w:tcW w:w="908" w:type="dxa"/>
            <w:shd w:val="clear" w:color="auto" w:fill="auto"/>
            <w:tcMar>
              <w:top w:w="0" w:type="dxa"/>
              <w:left w:w="108" w:type="dxa"/>
              <w:bottom w:w="0" w:type="dxa"/>
              <w:right w:w="108" w:type="dxa"/>
            </w:tcMar>
            <w:vAlign w:val="center"/>
          </w:tcPr>
          <w:p w14:paraId="26B32033">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Y＜300</w:t>
            </w:r>
          </w:p>
        </w:tc>
      </w:tr>
      <w:tr w14:paraId="1E6B9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71DC9E5C">
            <w:pPr>
              <w:spacing w:after="0" w:line="240" w:lineRule="auto"/>
              <w:ind w:left="105" w:leftChars="50"/>
              <w:rPr>
                <w:rFonts w:ascii="微软雅黑" w:hAnsi="微软雅黑" w:eastAsia="微软雅黑" w:cs="微软雅黑"/>
                <w:bCs/>
                <w:szCs w:val="21"/>
                <w:highlight w:val="none"/>
              </w:rPr>
            </w:pPr>
          </w:p>
        </w:tc>
        <w:tc>
          <w:tcPr>
            <w:tcW w:w="1281" w:type="dxa"/>
            <w:shd w:val="clear" w:color="auto" w:fill="auto"/>
            <w:tcMar>
              <w:top w:w="0" w:type="dxa"/>
              <w:left w:w="108" w:type="dxa"/>
              <w:bottom w:w="0" w:type="dxa"/>
              <w:right w:w="108" w:type="dxa"/>
            </w:tcMar>
            <w:vAlign w:val="center"/>
          </w:tcPr>
          <w:p w14:paraId="213E92BF">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资产总额(Z)</w:t>
            </w:r>
          </w:p>
        </w:tc>
        <w:tc>
          <w:tcPr>
            <w:tcW w:w="758" w:type="dxa"/>
            <w:shd w:val="clear" w:color="auto" w:fill="auto"/>
            <w:tcMar>
              <w:top w:w="0" w:type="dxa"/>
              <w:left w:w="108" w:type="dxa"/>
              <w:bottom w:w="0" w:type="dxa"/>
              <w:right w:w="108" w:type="dxa"/>
            </w:tcMar>
            <w:vAlign w:val="center"/>
          </w:tcPr>
          <w:p w14:paraId="5834107B">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万元</w:t>
            </w:r>
          </w:p>
        </w:tc>
        <w:tc>
          <w:tcPr>
            <w:tcW w:w="993" w:type="dxa"/>
            <w:shd w:val="clear" w:color="auto" w:fill="auto"/>
            <w:tcMar>
              <w:top w:w="0" w:type="dxa"/>
              <w:left w:w="108" w:type="dxa"/>
              <w:bottom w:w="0" w:type="dxa"/>
              <w:right w:w="108" w:type="dxa"/>
            </w:tcMar>
            <w:vAlign w:val="center"/>
          </w:tcPr>
          <w:p w14:paraId="2E3F504E">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Z≥80000</w:t>
            </w:r>
          </w:p>
        </w:tc>
        <w:tc>
          <w:tcPr>
            <w:tcW w:w="1491" w:type="dxa"/>
            <w:shd w:val="clear" w:color="auto" w:fill="auto"/>
            <w:tcMar>
              <w:top w:w="0" w:type="dxa"/>
              <w:left w:w="108" w:type="dxa"/>
              <w:bottom w:w="0" w:type="dxa"/>
              <w:right w:w="108" w:type="dxa"/>
            </w:tcMar>
            <w:vAlign w:val="center"/>
          </w:tcPr>
          <w:p w14:paraId="3A25D00C">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5000≤Z＜80000</w:t>
            </w:r>
          </w:p>
        </w:tc>
        <w:tc>
          <w:tcPr>
            <w:tcW w:w="1315" w:type="dxa"/>
            <w:shd w:val="clear" w:color="auto" w:fill="auto"/>
            <w:tcMar>
              <w:top w:w="0" w:type="dxa"/>
              <w:left w:w="108" w:type="dxa"/>
              <w:bottom w:w="0" w:type="dxa"/>
              <w:right w:w="108" w:type="dxa"/>
            </w:tcMar>
            <w:vAlign w:val="center"/>
          </w:tcPr>
          <w:p w14:paraId="32FB8CF2">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300≤Z＜5000</w:t>
            </w:r>
          </w:p>
        </w:tc>
        <w:tc>
          <w:tcPr>
            <w:tcW w:w="908" w:type="dxa"/>
            <w:shd w:val="clear" w:color="auto" w:fill="auto"/>
            <w:tcMar>
              <w:top w:w="0" w:type="dxa"/>
              <w:left w:w="108" w:type="dxa"/>
              <w:bottom w:w="0" w:type="dxa"/>
              <w:right w:w="108" w:type="dxa"/>
            </w:tcMar>
            <w:vAlign w:val="center"/>
          </w:tcPr>
          <w:p w14:paraId="55B3808C">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Z＜300</w:t>
            </w:r>
          </w:p>
        </w:tc>
      </w:tr>
      <w:tr w14:paraId="0DD4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shd w:val="clear" w:color="auto" w:fill="auto"/>
            <w:tcMar>
              <w:top w:w="0" w:type="dxa"/>
              <w:left w:w="108" w:type="dxa"/>
              <w:bottom w:w="0" w:type="dxa"/>
              <w:right w:w="108" w:type="dxa"/>
            </w:tcMar>
            <w:vAlign w:val="center"/>
          </w:tcPr>
          <w:p w14:paraId="1CC32DB8">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批发业</w:t>
            </w:r>
          </w:p>
        </w:tc>
        <w:tc>
          <w:tcPr>
            <w:tcW w:w="1281" w:type="dxa"/>
            <w:shd w:val="clear" w:color="auto" w:fill="auto"/>
            <w:tcMar>
              <w:top w:w="0" w:type="dxa"/>
              <w:left w:w="108" w:type="dxa"/>
              <w:bottom w:w="0" w:type="dxa"/>
              <w:right w:w="108" w:type="dxa"/>
            </w:tcMar>
            <w:vAlign w:val="center"/>
          </w:tcPr>
          <w:p w14:paraId="380E48CB">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从业人员(X)</w:t>
            </w:r>
          </w:p>
        </w:tc>
        <w:tc>
          <w:tcPr>
            <w:tcW w:w="758" w:type="dxa"/>
            <w:shd w:val="clear" w:color="auto" w:fill="auto"/>
            <w:tcMar>
              <w:top w:w="0" w:type="dxa"/>
              <w:left w:w="108" w:type="dxa"/>
              <w:bottom w:w="0" w:type="dxa"/>
              <w:right w:w="108" w:type="dxa"/>
            </w:tcMar>
            <w:vAlign w:val="center"/>
          </w:tcPr>
          <w:p w14:paraId="64A0272A">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人</w:t>
            </w:r>
          </w:p>
        </w:tc>
        <w:tc>
          <w:tcPr>
            <w:tcW w:w="993" w:type="dxa"/>
            <w:shd w:val="clear" w:color="auto" w:fill="auto"/>
            <w:tcMar>
              <w:top w:w="0" w:type="dxa"/>
              <w:left w:w="108" w:type="dxa"/>
              <w:bottom w:w="0" w:type="dxa"/>
              <w:right w:w="108" w:type="dxa"/>
            </w:tcMar>
            <w:vAlign w:val="center"/>
          </w:tcPr>
          <w:p w14:paraId="35B46F41">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X≥200</w:t>
            </w:r>
          </w:p>
        </w:tc>
        <w:tc>
          <w:tcPr>
            <w:tcW w:w="1491" w:type="dxa"/>
            <w:shd w:val="clear" w:color="auto" w:fill="auto"/>
            <w:tcMar>
              <w:top w:w="0" w:type="dxa"/>
              <w:left w:w="108" w:type="dxa"/>
              <w:bottom w:w="0" w:type="dxa"/>
              <w:right w:w="108" w:type="dxa"/>
            </w:tcMar>
            <w:vAlign w:val="center"/>
          </w:tcPr>
          <w:p w14:paraId="69709A03">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20≤X＜200</w:t>
            </w:r>
          </w:p>
        </w:tc>
        <w:tc>
          <w:tcPr>
            <w:tcW w:w="1315" w:type="dxa"/>
            <w:shd w:val="clear" w:color="auto" w:fill="auto"/>
            <w:tcMar>
              <w:top w:w="0" w:type="dxa"/>
              <w:left w:w="108" w:type="dxa"/>
              <w:bottom w:w="0" w:type="dxa"/>
              <w:right w:w="108" w:type="dxa"/>
            </w:tcMar>
            <w:vAlign w:val="center"/>
          </w:tcPr>
          <w:p w14:paraId="5BD9AB07">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5≤X＜20</w:t>
            </w:r>
          </w:p>
        </w:tc>
        <w:tc>
          <w:tcPr>
            <w:tcW w:w="908" w:type="dxa"/>
            <w:shd w:val="clear" w:color="auto" w:fill="auto"/>
            <w:tcMar>
              <w:top w:w="0" w:type="dxa"/>
              <w:left w:w="108" w:type="dxa"/>
              <w:bottom w:w="0" w:type="dxa"/>
              <w:right w:w="108" w:type="dxa"/>
            </w:tcMar>
            <w:vAlign w:val="center"/>
          </w:tcPr>
          <w:p w14:paraId="6D012499">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X＜5</w:t>
            </w:r>
          </w:p>
        </w:tc>
      </w:tr>
      <w:tr w14:paraId="4D45B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041CCA53">
            <w:pPr>
              <w:spacing w:after="0" w:line="240" w:lineRule="auto"/>
              <w:ind w:left="105" w:leftChars="50"/>
              <w:rPr>
                <w:rFonts w:ascii="微软雅黑" w:hAnsi="微软雅黑" w:eastAsia="微软雅黑" w:cs="微软雅黑"/>
                <w:bCs/>
                <w:szCs w:val="21"/>
                <w:highlight w:val="none"/>
              </w:rPr>
            </w:pPr>
          </w:p>
        </w:tc>
        <w:tc>
          <w:tcPr>
            <w:tcW w:w="1281" w:type="dxa"/>
            <w:shd w:val="clear" w:color="auto" w:fill="auto"/>
            <w:tcMar>
              <w:top w:w="0" w:type="dxa"/>
              <w:left w:w="108" w:type="dxa"/>
              <w:bottom w:w="0" w:type="dxa"/>
              <w:right w:w="108" w:type="dxa"/>
            </w:tcMar>
            <w:vAlign w:val="center"/>
          </w:tcPr>
          <w:p w14:paraId="3D187B9F">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营业收入(Y)</w:t>
            </w:r>
          </w:p>
        </w:tc>
        <w:tc>
          <w:tcPr>
            <w:tcW w:w="758" w:type="dxa"/>
            <w:shd w:val="clear" w:color="auto" w:fill="auto"/>
            <w:tcMar>
              <w:top w:w="0" w:type="dxa"/>
              <w:left w:w="108" w:type="dxa"/>
              <w:bottom w:w="0" w:type="dxa"/>
              <w:right w:w="108" w:type="dxa"/>
            </w:tcMar>
            <w:vAlign w:val="center"/>
          </w:tcPr>
          <w:p w14:paraId="0C3B9CAF">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万元</w:t>
            </w:r>
          </w:p>
        </w:tc>
        <w:tc>
          <w:tcPr>
            <w:tcW w:w="993" w:type="dxa"/>
            <w:shd w:val="clear" w:color="auto" w:fill="auto"/>
            <w:tcMar>
              <w:top w:w="0" w:type="dxa"/>
              <w:left w:w="108" w:type="dxa"/>
              <w:bottom w:w="0" w:type="dxa"/>
              <w:right w:w="108" w:type="dxa"/>
            </w:tcMar>
            <w:vAlign w:val="center"/>
          </w:tcPr>
          <w:p w14:paraId="43184341">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Y≥40000</w:t>
            </w:r>
          </w:p>
        </w:tc>
        <w:tc>
          <w:tcPr>
            <w:tcW w:w="1491" w:type="dxa"/>
            <w:shd w:val="clear" w:color="auto" w:fill="auto"/>
            <w:tcMar>
              <w:top w:w="0" w:type="dxa"/>
              <w:left w:w="108" w:type="dxa"/>
              <w:bottom w:w="0" w:type="dxa"/>
              <w:right w:w="108" w:type="dxa"/>
            </w:tcMar>
            <w:vAlign w:val="center"/>
          </w:tcPr>
          <w:p w14:paraId="62F6B503">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5000≤Y＜40000</w:t>
            </w:r>
          </w:p>
        </w:tc>
        <w:tc>
          <w:tcPr>
            <w:tcW w:w="1315" w:type="dxa"/>
            <w:shd w:val="clear" w:color="auto" w:fill="auto"/>
            <w:tcMar>
              <w:top w:w="0" w:type="dxa"/>
              <w:left w:w="108" w:type="dxa"/>
              <w:bottom w:w="0" w:type="dxa"/>
              <w:right w:w="108" w:type="dxa"/>
            </w:tcMar>
            <w:vAlign w:val="center"/>
          </w:tcPr>
          <w:p w14:paraId="1952D9C6">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1000≤Y＜5000</w:t>
            </w:r>
          </w:p>
        </w:tc>
        <w:tc>
          <w:tcPr>
            <w:tcW w:w="908" w:type="dxa"/>
            <w:shd w:val="clear" w:color="auto" w:fill="auto"/>
            <w:tcMar>
              <w:top w:w="0" w:type="dxa"/>
              <w:left w:w="108" w:type="dxa"/>
              <w:bottom w:w="0" w:type="dxa"/>
              <w:right w:w="108" w:type="dxa"/>
            </w:tcMar>
            <w:vAlign w:val="center"/>
          </w:tcPr>
          <w:p w14:paraId="6297F025">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Y＜1000</w:t>
            </w:r>
          </w:p>
        </w:tc>
      </w:tr>
      <w:tr w14:paraId="216E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shd w:val="clear" w:color="auto" w:fill="auto"/>
            <w:tcMar>
              <w:top w:w="0" w:type="dxa"/>
              <w:left w:w="108" w:type="dxa"/>
              <w:bottom w:w="0" w:type="dxa"/>
              <w:right w:w="108" w:type="dxa"/>
            </w:tcMar>
            <w:vAlign w:val="center"/>
          </w:tcPr>
          <w:p w14:paraId="302057B2">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零售业</w:t>
            </w:r>
          </w:p>
        </w:tc>
        <w:tc>
          <w:tcPr>
            <w:tcW w:w="1281" w:type="dxa"/>
            <w:shd w:val="clear" w:color="auto" w:fill="auto"/>
            <w:tcMar>
              <w:top w:w="0" w:type="dxa"/>
              <w:left w:w="108" w:type="dxa"/>
              <w:bottom w:w="0" w:type="dxa"/>
              <w:right w:w="108" w:type="dxa"/>
            </w:tcMar>
            <w:vAlign w:val="center"/>
          </w:tcPr>
          <w:p w14:paraId="72884BE5">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从业人员(X)</w:t>
            </w:r>
          </w:p>
        </w:tc>
        <w:tc>
          <w:tcPr>
            <w:tcW w:w="758" w:type="dxa"/>
            <w:shd w:val="clear" w:color="auto" w:fill="auto"/>
            <w:tcMar>
              <w:top w:w="0" w:type="dxa"/>
              <w:left w:w="108" w:type="dxa"/>
              <w:bottom w:w="0" w:type="dxa"/>
              <w:right w:w="108" w:type="dxa"/>
            </w:tcMar>
            <w:vAlign w:val="center"/>
          </w:tcPr>
          <w:p w14:paraId="01E85A45">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人</w:t>
            </w:r>
          </w:p>
        </w:tc>
        <w:tc>
          <w:tcPr>
            <w:tcW w:w="993" w:type="dxa"/>
            <w:shd w:val="clear" w:color="auto" w:fill="auto"/>
            <w:tcMar>
              <w:top w:w="0" w:type="dxa"/>
              <w:left w:w="108" w:type="dxa"/>
              <w:bottom w:w="0" w:type="dxa"/>
              <w:right w:w="108" w:type="dxa"/>
            </w:tcMar>
            <w:vAlign w:val="center"/>
          </w:tcPr>
          <w:p w14:paraId="733D74E6">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X≥300</w:t>
            </w:r>
          </w:p>
        </w:tc>
        <w:tc>
          <w:tcPr>
            <w:tcW w:w="1491" w:type="dxa"/>
            <w:shd w:val="clear" w:color="auto" w:fill="auto"/>
            <w:tcMar>
              <w:top w:w="0" w:type="dxa"/>
              <w:left w:w="108" w:type="dxa"/>
              <w:bottom w:w="0" w:type="dxa"/>
              <w:right w:w="108" w:type="dxa"/>
            </w:tcMar>
            <w:vAlign w:val="center"/>
          </w:tcPr>
          <w:p w14:paraId="78004512">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50≤X＜300</w:t>
            </w:r>
          </w:p>
        </w:tc>
        <w:tc>
          <w:tcPr>
            <w:tcW w:w="1315" w:type="dxa"/>
            <w:shd w:val="clear" w:color="auto" w:fill="auto"/>
            <w:tcMar>
              <w:top w:w="0" w:type="dxa"/>
              <w:left w:w="108" w:type="dxa"/>
              <w:bottom w:w="0" w:type="dxa"/>
              <w:right w:w="108" w:type="dxa"/>
            </w:tcMar>
            <w:vAlign w:val="center"/>
          </w:tcPr>
          <w:p w14:paraId="3EB97510">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10≤X＜50</w:t>
            </w:r>
          </w:p>
        </w:tc>
        <w:tc>
          <w:tcPr>
            <w:tcW w:w="908" w:type="dxa"/>
            <w:shd w:val="clear" w:color="auto" w:fill="auto"/>
            <w:tcMar>
              <w:top w:w="0" w:type="dxa"/>
              <w:left w:w="108" w:type="dxa"/>
              <w:bottom w:w="0" w:type="dxa"/>
              <w:right w:w="108" w:type="dxa"/>
            </w:tcMar>
            <w:vAlign w:val="center"/>
          </w:tcPr>
          <w:p w14:paraId="729A0676">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X＜10</w:t>
            </w:r>
          </w:p>
        </w:tc>
      </w:tr>
      <w:tr w14:paraId="1792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7066628A">
            <w:pPr>
              <w:spacing w:after="0" w:line="240" w:lineRule="auto"/>
              <w:ind w:left="105" w:leftChars="50"/>
              <w:rPr>
                <w:rFonts w:ascii="微软雅黑" w:hAnsi="微软雅黑" w:eastAsia="微软雅黑" w:cs="微软雅黑"/>
                <w:bCs/>
                <w:szCs w:val="21"/>
                <w:highlight w:val="none"/>
              </w:rPr>
            </w:pPr>
          </w:p>
        </w:tc>
        <w:tc>
          <w:tcPr>
            <w:tcW w:w="1281" w:type="dxa"/>
            <w:shd w:val="clear" w:color="auto" w:fill="auto"/>
            <w:tcMar>
              <w:top w:w="0" w:type="dxa"/>
              <w:left w:w="108" w:type="dxa"/>
              <w:bottom w:w="0" w:type="dxa"/>
              <w:right w:w="108" w:type="dxa"/>
            </w:tcMar>
            <w:vAlign w:val="center"/>
          </w:tcPr>
          <w:p w14:paraId="27237703">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营业收入(Y)</w:t>
            </w:r>
          </w:p>
        </w:tc>
        <w:tc>
          <w:tcPr>
            <w:tcW w:w="758" w:type="dxa"/>
            <w:shd w:val="clear" w:color="auto" w:fill="auto"/>
            <w:tcMar>
              <w:top w:w="0" w:type="dxa"/>
              <w:left w:w="108" w:type="dxa"/>
              <w:bottom w:w="0" w:type="dxa"/>
              <w:right w:w="108" w:type="dxa"/>
            </w:tcMar>
            <w:vAlign w:val="center"/>
          </w:tcPr>
          <w:p w14:paraId="7F43B02E">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万元</w:t>
            </w:r>
          </w:p>
        </w:tc>
        <w:tc>
          <w:tcPr>
            <w:tcW w:w="993" w:type="dxa"/>
            <w:shd w:val="clear" w:color="auto" w:fill="auto"/>
            <w:tcMar>
              <w:top w:w="0" w:type="dxa"/>
              <w:left w:w="108" w:type="dxa"/>
              <w:bottom w:w="0" w:type="dxa"/>
              <w:right w:w="108" w:type="dxa"/>
            </w:tcMar>
            <w:vAlign w:val="center"/>
          </w:tcPr>
          <w:p w14:paraId="08F3D692">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Y≥20000</w:t>
            </w:r>
          </w:p>
        </w:tc>
        <w:tc>
          <w:tcPr>
            <w:tcW w:w="1491" w:type="dxa"/>
            <w:shd w:val="clear" w:color="auto" w:fill="auto"/>
            <w:tcMar>
              <w:top w:w="0" w:type="dxa"/>
              <w:left w:w="108" w:type="dxa"/>
              <w:bottom w:w="0" w:type="dxa"/>
              <w:right w:w="108" w:type="dxa"/>
            </w:tcMar>
            <w:vAlign w:val="center"/>
          </w:tcPr>
          <w:p w14:paraId="7CF0A47D">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500≤Y＜20000</w:t>
            </w:r>
          </w:p>
        </w:tc>
        <w:tc>
          <w:tcPr>
            <w:tcW w:w="1315" w:type="dxa"/>
            <w:shd w:val="clear" w:color="auto" w:fill="auto"/>
            <w:tcMar>
              <w:top w:w="0" w:type="dxa"/>
              <w:left w:w="108" w:type="dxa"/>
              <w:bottom w:w="0" w:type="dxa"/>
              <w:right w:w="108" w:type="dxa"/>
            </w:tcMar>
            <w:vAlign w:val="center"/>
          </w:tcPr>
          <w:p w14:paraId="54601764">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100≤Y＜500</w:t>
            </w:r>
          </w:p>
        </w:tc>
        <w:tc>
          <w:tcPr>
            <w:tcW w:w="908" w:type="dxa"/>
            <w:shd w:val="clear" w:color="auto" w:fill="auto"/>
            <w:tcMar>
              <w:top w:w="0" w:type="dxa"/>
              <w:left w:w="108" w:type="dxa"/>
              <w:bottom w:w="0" w:type="dxa"/>
              <w:right w:w="108" w:type="dxa"/>
            </w:tcMar>
            <w:vAlign w:val="center"/>
          </w:tcPr>
          <w:p w14:paraId="534C37D8">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Y＜100</w:t>
            </w:r>
          </w:p>
        </w:tc>
      </w:tr>
      <w:tr w14:paraId="7C956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shd w:val="clear" w:color="auto" w:fill="auto"/>
            <w:tcMar>
              <w:top w:w="0" w:type="dxa"/>
              <w:left w:w="108" w:type="dxa"/>
              <w:bottom w:w="0" w:type="dxa"/>
              <w:right w:w="108" w:type="dxa"/>
            </w:tcMar>
            <w:vAlign w:val="center"/>
          </w:tcPr>
          <w:p w14:paraId="179AAE9E">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交通运输业 *</w:t>
            </w:r>
          </w:p>
        </w:tc>
        <w:tc>
          <w:tcPr>
            <w:tcW w:w="1281" w:type="dxa"/>
            <w:shd w:val="clear" w:color="auto" w:fill="auto"/>
            <w:tcMar>
              <w:top w:w="0" w:type="dxa"/>
              <w:left w:w="108" w:type="dxa"/>
              <w:bottom w:w="0" w:type="dxa"/>
              <w:right w:w="108" w:type="dxa"/>
            </w:tcMar>
            <w:vAlign w:val="center"/>
          </w:tcPr>
          <w:p w14:paraId="6163E1CD">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从业人员(X)</w:t>
            </w:r>
          </w:p>
        </w:tc>
        <w:tc>
          <w:tcPr>
            <w:tcW w:w="758" w:type="dxa"/>
            <w:shd w:val="clear" w:color="auto" w:fill="auto"/>
            <w:tcMar>
              <w:top w:w="0" w:type="dxa"/>
              <w:left w:w="108" w:type="dxa"/>
              <w:bottom w:w="0" w:type="dxa"/>
              <w:right w:w="108" w:type="dxa"/>
            </w:tcMar>
            <w:vAlign w:val="center"/>
          </w:tcPr>
          <w:p w14:paraId="663D57BA">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人</w:t>
            </w:r>
          </w:p>
        </w:tc>
        <w:tc>
          <w:tcPr>
            <w:tcW w:w="993" w:type="dxa"/>
            <w:shd w:val="clear" w:color="auto" w:fill="auto"/>
            <w:tcMar>
              <w:top w:w="0" w:type="dxa"/>
              <w:left w:w="108" w:type="dxa"/>
              <w:bottom w:w="0" w:type="dxa"/>
              <w:right w:w="108" w:type="dxa"/>
            </w:tcMar>
            <w:vAlign w:val="center"/>
          </w:tcPr>
          <w:p w14:paraId="5EE41064">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X≥1000</w:t>
            </w:r>
          </w:p>
        </w:tc>
        <w:tc>
          <w:tcPr>
            <w:tcW w:w="1491" w:type="dxa"/>
            <w:shd w:val="clear" w:color="auto" w:fill="auto"/>
            <w:tcMar>
              <w:top w:w="0" w:type="dxa"/>
              <w:left w:w="108" w:type="dxa"/>
              <w:bottom w:w="0" w:type="dxa"/>
              <w:right w:w="108" w:type="dxa"/>
            </w:tcMar>
            <w:vAlign w:val="center"/>
          </w:tcPr>
          <w:p w14:paraId="2777938A">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300≤X＜1000</w:t>
            </w:r>
          </w:p>
        </w:tc>
        <w:tc>
          <w:tcPr>
            <w:tcW w:w="1315" w:type="dxa"/>
            <w:shd w:val="clear" w:color="auto" w:fill="auto"/>
            <w:tcMar>
              <w:top w:w="0" w:type="dxa"/>
              <w:left w:w="108" w:type="dxa"/>
              <w:bottom w:w="0" w:type="dxa"/>
              <w:right w:w="108" w:type="dxa"/>
            </w:tcMar>
            <w:vAlign w:val="center"/>
          </w:tcPr>
          <w:p w14:paraId="32EF77F9">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20≤X＜300</w:t>
            </w:r>
          </w:p>
        </w:tc>
        <w:tc>
          <w:tcPr>
            <w:tcW w:w="908" w:type="dxa"/>
            <w:shd w:val="clear" w:color="auto" w:fill="auto"/>
            <w:tcMar>
              <w:top w:w="0" w:type="dxa"/>
              <w:left w:w="108" w:type="dxa"/>
              <w:bottom w:w="0" w:type="dxa"/>
              <w:right w:w="108" w:type="dxa"/>
            </w:tcMar>
            <w:vAlign w:val="center"/>
          </w:tcPr>
          <w:p w14:paraId="21554A05">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X＜20</w:t>
            </w:r>
          </w:p>
        </w:tc>
      </w:tr>
      <w:tr w14:paraId="577E8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13CCECAF">
            <w:pPr>
              <w:spacing w:after="0" w:line="240" w:lineRule="auto"/>
              <w:ind w:left="105" w:leftChars="50"/>
              <w:rPr>
                <w:rFonts w:ascii="微软雅黑" w:hAnsi="微软雅黑" w:eastAsia="微软雅黑" w:cs="微软雅黑"/>
                <w:bCs/>
                <w:szCs w:val="21"/>
                <w:highlight w:val="none"/>
              </w:rPr>
            </w:pPr>
          </w:p>
        </w:tc>
        <w:tc>
          <w:tcPr>
            <w:tcW w:w="1281" w:type="dxa"/>
            <w:shd w:val="clear" w:color="auto" w:fill="auto"/>
            <w:tcMar>
              <w:top w:w="0" w:type="dxa"/>
              <w:left w:w="108" w:type="dxa"/>
              <w:bottom w:w="0" w:type="dxa"/>
              <w:right w:w="108" w:type="dxa"/>
            </w:tcMar>
            <w:vAlign w:val="center"/>
          </w:tcPr>
          <w:p w14:paraId="06C2D24F">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营业收入(Y)</w:t>
            </w:r>
          </w:p>
        </w:tc>
        <w:tc>
          <w:tcPr>
            <w:tcW w:w="758" w:type="dxa"/>
            <w:shd w:val="clear" w:color="auto" w:fill="auto"/>
            <w:tcMar>
              <w:top w:w="0" w:type="dxa"/>
              <w:left w:w="108" w:type="dxa"/>
              <w:bottom w:w="0" w:type="dxa"/>
              <w:right w:w="108" w:type="dxa"/>
            </w:tcMar>
            <w:vAlign w:val="center"/>
          </w:tcPr>
          <w:p w14:paraId="70FAE7E6">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万元</w:t>
            </w:r>
          </w:p>
        </w:tc>
        <w:tc>
          <w:tcPr>
            <w:tcW w:w="993" w:type="dxa"/>
            <w:shd w:val="clear" w:color="auto" w:fill="auto"/>
            <w:tcMar>
              <w:top w:w="0" w:type="dxa"/>
              <w:left w:w="108" w:type="dxa"/>
              <w:bottom w:w="0" w:type="dxa"/>
              <w:right w:w="108" w:type="dxa"/>
            </w:tcMar>
            <w:vAlign w:val="center"/>
          </w:tcPr>
          <w:p w14:paraId="0FA6D5EE">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Y≥30000</w:t>
            </w:r>
          </w:p>
        </w:tc>
        <w:tc>
          <w:tcPr>
            <w:tcW w:w="1491" w:type="dxa"/>
            <w:shd w:val="clear" w:color="auto" w:fill="auto"/>
            <w:tcMar>
              <w:top w:w="0" w:type="dxa"/>
              <w:left w:w="108" w:type="dxa"/>
              <w:bottom w:w="0" w:type="dxa"/>
              <w:right w:w="108" w:type="dxa"/>
            </w:tcMar>
            <w:vAlign w:val="center"/>
          </w:tcPr>
          <w:p w14:paraId="5DCC5606">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3000≤Y＜30000</w:t>
            </w:r>
          </w:p>
        </w:tc>
        <w:tc>
          <w:tcPr>
            <w:tcW w:w="1315" w:type="dxa"/>
            <w:shd w:val="clear" w:color="auto" w:fill="auto"/>
            <w:tcMar>
              <w:top w:w="0" w:type="dxa"/>
              <w:left w:w="108" w:type="dxa"/>
              <w:bottom w:w="0" w:type="dxa"/>
              <w:right w:w="108" w:type="dxa"/>
            </w:tcMar>
            <w:vAlign w:val="center"/>
          </w:tcPr>
          <w:p w14:paraId="5C7766F1">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200≤Y＜3000</w:t>
            </w:r>
          </w:p>
        </w:tc>
        <w:tc>
          <w:tcPr>
            <w:tcW w:w="908" w:type="dxa"/>
            <w:shd w:val="clear" w:color="auto" w:fill="auto"/>
            <w:tcMar>
              <w:top w:w="0" w:type="dxa"/>
              <w:left w:w="108" w:type="dxa"/>
              <w:bottom w:w="0" w:type="dxa"/>
              <w:right w:w="108" w:type="dxa"/>
            </w:tcMar>
            <w:vAlign w:val="center"/>
          </w:tcPr>
          <w:p w14:paraId="29483BEA">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Y＜200</w:t>
            </w:r>
          </w:p>
        </w:tc>
      </w:tr>
      <w:tr w14:paraId="0C57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shd w:val="clear" w:color="auto" w:fill="auto"/>
            <w:tcMar>
              <w:top w:w="0" w:type="dxa"/>
              <w:left w:w="108" w:type="dxa"/>
              <w:bottom w:w="0" w:type="dxa"/>
              <w:right w:w="108" w:type="dxa"/>
            </w:tcMar>
            <w:vAlign w:val="center"/>
          </w:tcPr>
          <w:p w14:paraId="02FDA27A">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仓储业</w:t>
            </w:r>
          </w:p>
        </w:tc>
        <w:tc>
          <w:tcPr>
            <w:tcW w:w="1281" w:type="dxa"/>
            <w:shd w:val="clear" w:color="auto" w:fill="auto"/>
            <w:tcMar>
              <w:top w:w="0" w:type="dxa"/>
              <w:left w:w="108" w:type="dxa"/>
              <w:bottom w:w="0" w:type="dxa"/>
              <w:right w:w="108" w:type="dxa"/>
            </w:tcMar>
            <w:vAlign w:val="center"/>
          </w:tcPr>
          <w:p w14:paraId="34A5F64E">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从业人员(X)</w:t>
            </w:r>
          </w:p>
        </w:tc>
        <w:tc>
          <w:tcPr>
            <w:tcW w:w="758" w:type="dxa"/>
            <w:shd w:val="clear" w:color="auto" w:fill="auto"/>
            <w:tcMar>
              <w:top w:w="0" w:type="dxa"/>
              <w:left w:w="108" w:type="dxa"/>
              <w:bottom w:w="0" w:type="dxa"/>
              <w:right w:w="108" w:type="dxa"/>
            </w:tcMar>
            <w:vAlign w:val="center"/>
          </w:tcPr>
          <w:p w14:paraId="3D7DCB29">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人</w:t>
            </w:r>
          </w:p>
        </w:tc>
        <w:tc>
          <w:tcPr>
            <w:tcW w:w="993" w:type="dxa"/>
            <w:shd w:val="clear" w:color="auto" w:fill="auto"/>
            <w:tcMar>
              <w:top w:w="0" w:type="dxa"/>
              <w:left w:w="108" w:type="dxa"/>
              <w:bottom w:w="0" w:type="dxa"/>
              <w:right w:w="108" w:type="dxa"/>
            </w:tcMar>
            <w:vAlign w:val="center"/>
          </w:tcPr>
          <w:p w14:paraId="568DB69D">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X≥200</w:t>
            </w:r>
          </w:p>
        </w:tc>
        <w:tc>
          <w:tcPr>
            <w:tcW w:w="1491" w:type="dxa"/>
            <w:shd w:val="clear" w:color="auto" w:fill="auto"/>
            <w:tcMar>
              <w:top w:w="0" w:type="dxa"/>
              <w:left w:w="108" w:type="dxa"/>
              <w:bottom w:w="0" w:type="dxa"/>
              <w:right w:w="108" w:type="dxa"/>
            </w:tcMar>
            <w:vAlign w:val="center"/>
          </w:tcPr>
          <w:p w14:paraId="62B03664">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100≤X＜200</w:t>
            </w:r>
          </w:p>
        </w:tc>
        <w:tc>
          <w:tcPr>
            <w:tcW w:w="1315" w:type="dxa"/>
            <w:shd w:val="clear" w:color="auto" w:fill="auto"/>
            <w:tcMar>
              <w:top w:w="0" w:type="dxa"/>
              <w:left w:w="108" w:type="dxa"/>
              <w:bottom w:w="0" w:type="dxa"/>
              <w:right w:w="108" w:type="dxa"/>
            </w:tcMar>
            <w:vAlign w:val="center"/>
          </w:tcPr>
          <w:p w14:paraId="6E8AF5E5">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20≤X＜100</w:t>
            </w:r>
          </w:p>
        </w:tc>
        <w:tc>
          <w:tcPr>
            <w:tcW w:w="908" w:type="dxa"/>
            <w:shd w:val="clear" w:color="auto" w:fill="auto"/>
            <w:tcMar>
              <w:top w:w="0" w:type="dxa"/>
              <w:left w:w="108" w:type="dxa"/>
              <w:bottom w:w="0" w:type="dxa"/>
              <w:right w:w="108" w:type="dxa"/>
            </w:tcMar>
            <w:vAlign w:val="center"/>
          </w:tcPr>
          <w:p w14:paraId="5D07830E">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X＜20</w:t>
            </w:r>
          </w:p>
        </w:tc>
      </w:tr>
      <w:tr w14:paraId="417D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5CD6423B">
            <w:pPr>
              <w:spacing w:after="0" w:line="240" w:lineRule="auto"/>
              <w:ind w:left="105" w:leftChars="50"/>
              <w:rPr>
                <w:rFonts w:ascii="微软雅黑" w:hAnsi="微软雅黑" w:eastAsia="微软雅黑" w:cs="微软雅黑"/>
                <w:bCs/>
                <w:szCs w:val="21"/>
                <w:highlight w:val="none"/>
              </w:rPr>
            </w:pPr>
          </w:p>
        </w:tc>
        <w:tc>
          <w:tcPr>
            <w:tcW w:w="1281" w:type="dxa"/>
            <w:shd w:val="clear" w:color="auto" w:fill="auto"/>
            <w:tcMar>
              <w:top w:w="0" w:type="dxa"/>
              <w:left w:w="108" w:type="dxa"/>
              <w:bottom w:w="0" w:type="dxa"/>
              <w:right w:w="108" w:type="dxa"/>
            </w:tcMar>
            <w:vAlign w:val="center"/>
          </w:tcPr>
          <w:p w14:paraId="60111665">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营业收入(Y)</w:t>
            </w:r>
          </w:p>
        </w:tc>
        <w:tc>
          <w:tcPr>
            <w:tcW w:w="758" w:type="dxa"/>
            <w:shd w:val="clear" w:color="auto" w:fill="auto"/>
            <w:tcMar>
              <w:top w:w="0" w:type="dxa"/>
              <w:left w:w="108" w:type="dxa"/>
              <w:bottom w:w="0" w:type="dxa"/>
              <w:right w:w="108" w:type="dxa"/>
            </w:tcMar>
            <w:vAlign w:val="center"/>
          </w:tcPr>
          <w:p w14:paraId="327F8BD0">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万元</w:t>
            </w:r>
          </w:p>
        </w:tc>
        <w:tc>
          <w:tcPr>
            <w:tcW w:w="993" w:type="dxa"/>
            <w:shd w:val="clear" w:color="auto" w:fill="auto"/>
            <w:tcMar>
              <w:top w:w="0" w:type="dxa"/>
              <w:left w:w="108" w:type="dxa"/>
              <w:bottom w:w="0" w:type="dxa"/>
              <w:right w:w="108" w:type="dxa"/>
            </w:tcMar>
            <w:vAlign w:val="center"/>
          </w:tcPr>
          <w:p w14:paraId="22DAB063">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Y≥30000</w:t>
            </w:r>
          </w:p>
        </w:tc>
        <w:tc>
          <w:tcPr>
            <w:tcW w:w="1491" w:type="dxa"/>
            <w:shd w:val="clear" w:color="auto" w:fill="auto"/>
            <w:tcMar>
              <w:top w:w="0" w:type="dxa"/>
              <w:left w:w="108" w:type="dxa"/>
              <w:bottom w:w="0" w:type="dxa"/>
              <w:right w:w="108" w:type="dxa"/>
            </w:tcMar>
            <w:vAlign w:val="center"/>
          </w:tcPr>
          <w:p w14:paraId="05EAB3CE">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1000≤Y＜30000</w:t>
            </w:r>
          </w:p>
        </w:tc>
        <w:tc>
          <w:tcPr>
            <w:tcW w:w="1315" w:type="dxa"/>
            <w:shd w:val="clear" w:color="auto" w:fill="auto"/>
            <w:tcMar>
              <w:top w:w="0" w:type="dxa"/>
              <w:left w:w="108" w:type="dxa"/>
              <w:bottom w:w="0" w:type="dxa"/>
              <w:right w:w="108" w:type="dxa"/>
            </w:tcMar>
            <w:vAlign w:val="center"/>
          </w:tcPr>
          <w:p w14:paraId="5A727FDD">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100≤Y＜1000</w:t>
            </w:r>
          </w:p>
        </w:tc>
        <w:tc>
          <w:tcPr>
            <w:tcW w:w="908" w:type="dxa"/>
            <w:shd w:val="clear" w:color="auto" w:fill="auto"/>
            <w:tcMar>
              <w:top w:w="0" w:type="dxa"/>
              <w:left w:w="108" w:type="dxa"/>
              <w:bottom w:w="0" w:type="dxa"/>
              <w:right w:w="108" w:type="dxa"/>
            </w:tcMar>
            <w:vAlign w:val="center"/>
          </w:tcPr>
          <w:p w14:paraId="19C1ABAD">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Y＜100</w:t>
            </w:r>
          </w:p>
        </w:tc>
      </w:tr>
      <w:tr w14:paraId="5D7C9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shd w:val="clear" w:color="auto" w:fill="auto"/>
            <w:tcMar>
              <w:top w:w="0" w:type="dxa"/>
              <w:left w:w="108" w:type="dxa"/>
              <w:bottom w:w="0" w:type="dxa"/>
              <w:right w:w="108" w:type="dxa"/>
            </w:tcMar>
            <w:vAlign w:val="center"/>
          </w:tcPr>
          <w:p w14:paraId="05942368">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邮政业</w:t>
            </w:r>
          </w:p>
        </w:tc>
        <w:tc>
          <w:tcPr>
            <w:tcW w:w="1281" w:type="dxa"/>
            <w:shd w:val="clear" w:color="auto" w:fill="auto"/>
            <w:tcMar>
              <w:top w:w="0" w:type="dxa"/>
              <w:left w:w="108" w:type="dxa"/>
              <w:bottom w:w="0" w:type="dxa"/>
              <w:right w:w="108" w:type="dxa"/>
            </w:tcMar>
            <w:vAlign w:val="center"/>
          </w:tcPr>
          <w:p w14:paraId="1CD0A6F5">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从业人员(X)</w:t>
            </w:r>
          </w:p>
        </w:tc>
        <w:tc>
          <w:tcPr>
            <w:tcW w:w="758" w:type="dxa"/>
            <w:shd w:val="clear" w:color="auto" w:fill="auto"/>
            <w:tcMar>
              <w:top w:w="0" w:type="dxa"/>
              <w:left w:w="108" w:type="dxa"/>
              <w:bottom w:w="0" w:type="dxa"/>
              <w:right w:w="108" w:type="dxa"/>
            </w:tcMar>
            <w:vAlign w:val="center"/>
          </w:tcPr>
          <w:p w14:paraId="732CB35B">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人</w:t>
            </w:r>
          </w:p>
        </w:tc>
        <w:tc>
          <w:tcPr>
            <w:tcW w:w="993" w:type="dxa"/>
            <w:shd w:val="clear" w:color="auto" w:fill="auto"/>
            <w:tcMar>
              <w:top w:w="0" w:type="dxa"/>
              <w:left w:w="108" w:type="dxa"/>
              <w:bottom w:w="0" w:type="dxa"/>
              <w:right w:w="108" w:type="dxa"/>
            </w:tcMar>
            <w:vAlign w:val="center"/>
          </w:tcPr>
          <w:p w14:paraId="32C6EA9B">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X≥1000</w:t>
            </w:r>
          </w:p>
        </w:tc>
        <w:tc>
          <w:tcPr>
            <w:tcW w:w="1491" w:type="dxa"/>
            <w:shd w:val="clear" w:color="auto" w:fill="auto"/>
            <w:tcMar>
              <w:top w:w="0" w:type="dxa"/>
              <w:left w:w="108" w:type="dxa"/>
              <w:bottom w:w="0" w:type="dxa"/>
              <w:right w:w="108" w:type="dxa"/>
            </w:tcMar>
            <w:vAlign w:val="center"/>
          </w:tcPr>
          <w:p w14:paraId="66479D0C">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300≤X＜1000</w:t>
            </w:r>
          </w:p>
        </w:tc>
        <w:tc>
          <w:tcPr>
            <w:tcW w:w="1315" w:type="dxa"/>
            <w:shd w:val="clear" w:color="auto" w:fill="auto"/>
            <w:tcMar>
              <w:top w:w="0" w:type="dxa"/>
              <w:left w:w="108" w:type="dxa"/>
              <w:bottom w:w="0" w:type="dxa"/>
              <w:right w:w="108" w:type="dxa"/>
            </w:tcMar>
            <w:vAlign w:val="center"/>
          </w:tcPr>
          <w:p w14:paraId="30FC9D3A">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20≤X＜300</w:t>
            </w:r>
          </w:p>
        </w:tc>
        <w:tc>
          <w:tcPr>
            <w:tcW w:w="908" w:type="dxa"/>
            <w:shd w:val="clear" w:color="auto" w:fill="auto"/>
            <w:tcMar>
              <w:top w:w="0" w:type="dxa"/>
              <w:left w:w="108" w:type="dxa"/>
              <w:bottom w:w="0" w:type="dxa"/>
              <w:right w:w="108" w:type="dxa"/>
            </w:tcMar>
            <w:vAlign w:val="center"/>
          </w:tcPr>
          <w:p w14:paraId="212B4B4F">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X＜20</w:t>
            </w:r>
          </w:p>
        </w:tc>
      </w:tr>
      <w:tr w14:paraId="7849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223CAFF9">
            <w:pPr>
              <w:spacing w:after="0" w:line="240" w:lineRule="auto"/>
              <w:ind w:left="105" w:leftChars="50"/>
              <w:rPr>
                <w:rFonts w:ascii="微软雅黑" w:hAnsi="微软雅黑" w:eastAsia="微软雅黑" w:cs="微软雅黑"/>
                <w:bCs/>
                <w:szCs w:val="21"/>
                <w:highlight w:val="none"/>
              </w:rPr>
            </w:pPr>
          </w:p>
        </w:tc>
        <w:tc>
          <w:tcPr>
            <w:tcW w:w="1281" w:type="dxa"/>
            <w:shd w:val="clear" w:color="auto" w:fill="auto"/>
            <w:tcMar>
              <w:top w:w="0" w:type="dxa"/>
              <w:left w:w="108" w:type="dxa"/>
              <w:bottom w:w="0" w:type="dxa"/>
              <w:right w:w="108" w:type="dxa"/>
            </w:tcMar>
            <w:vAlign w:val="center"/>
          </w:tcPr>
          <w:p w14:paraId="514A31EE">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营业收入(Y)</w:t>
            </w:r>
          </w:p>
        </w:tc>
        <w:tc>
          <w:tcPr>
            <w:tcW w:w="758" w:type="dxa"/>
            <w:shd w:val="clear" w:color="auto" w:fill="auto"/>
            <w:tcMar>
              <w:top w:w="0" w:type="dxa"/>
              <w:left w:w="108" w:type="dxa"/>
              <w:bottom w:w="0" w:type="dxa"/>
              <w:right w:w="108" w:type="dxa"/>
            </w:tcMar>
            <w:vAlign w:val="center"/>
          </w:tcPr>
          <w:p w14:paraId="79496026">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万元</w:t>
            </w:r>
          </w:p>
        </w:tc>
        <w:tc>
          <w:tcPr>
            <w:tcW w:w="993" w:type="dxa"/>
            <w:shd w:val="clear" w:color="auto" w:fill="auto"/>
            <w:tcMar>
              <w:top w:w="0" w:type="dxa"/>
              <w:left w:w="108" w:type="dxa"/>
              <w:bottom w:w="0" w:type="dxa"/>
              <w:right w:w="108" w:type="dxa"/>
            </w:tcMar>
            <w:vAlign w:val="center"/>
          </w:tcPr>
          <w:p w14:paraId="5ACE56B4">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Y≥30000</w:t>
            </w:r>
          </w:p>
        </w:tc>
        <w:tc>
          <w:tcPr>
            <w:tcW w:w="1491" w:type="dxa"/>
            <w:shd w:val="clear" w:color="auto" w:fill="auto"/>
            <w:tcMar>
              <w:top w:w="0" w:type="dxa"/>
              <w:left w:w="108" w:type="dxa"/>
              <w:bottom w:w="0" w:type="dxa"/>
              <w:right w:w="108" w:type="dxa"/>
            </w:tcMar>
            <w:vAlign w:val="center"/>
          </w:tcPr>
          <w:p w14:paraId="26B36CE5">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2000≤Y＜30000</w:t>
            </w:r>
          </w:p>
        </w:tc>
        <w:tc>
          <w:tcPr>
            <w:tcW w:w="1315" w:type="dxa"/>
            <w:shd w:val="clear" w:color="auto" w:fill="auto"/>
            <w:tcMar>
              <w:top w:w="0" w:type="dxa"/>
              <w:left w:w="108" w:type="dxa"/>
              <w:bottom w:w="0" w:type="dxa"/>
              <w:right w:w="108" w:type="dxa"/>
            </w:tcMar>
            <w:vAlign w:val="center"/>
          </w:tcPr>
          <w:p w14:paraId="6D4983B0">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100≤Y＜2000</w:t>
            </w:r>
          </w:p>
        </w:tc>
        <w:tc>
          <w:tcPr>
            <w:tcW w:w="908" w:type="dxa"/>
            <w:shd w:val="clear" w:color="auto" w:fill="auto"/>
            <w:tcMar>
              <w:top w:w="0" w:type="dxa"/>
              <w:left w:w="108" w:type="dxa"/>
              <w:bottom w:w="0" w:type="dxa"/>
              <w:right w:w="108" w:type="dxa"/>
            </w:tcMar>
            <w:vAlign w:val="center"/>
          </w:tcPr>
          <w:p w14:paraId="14BA1914">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Y＜100</w:t>
            </w:r>
          </w:p>
        </w:tc>
      </w:tr>
      <w:tr w14:paraId="5CCA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shd w:val="clear" w:color="auto" w:fill="auto"/>
            <w:tcMar>
              <w:top w:w="0" w:type="dxa"/>
              <w:left w:w="108" w:type="dxa"/>
              <w:bottom w:w="0" w:type="dxa"/>
              <w:right w:w="108" w:type="dxa"/>
            </w:tcMar>
            <w:vAlign w:val="center"/>
          </w:tcPr>
          <w:p w14:paraId="59B16DA6">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住宿业</w:t>
            </w:r>
          </w:p>
        </w:tc>
        <w:tc>
          <w:tcPr>
            <w:tcW w:w="1281" w:type="dxa"/>
            <w:shd w:val="clear" w:color="auto" w:fill="auto"/>
            <w:tcMar>
              <w:top w:w="0" w:type="dxa"/>
              <w:left w:w="108" w:type="dxa"/>
              <w:bottom w:w="0" w:type="dxa"/>
              <w:right w:w="108" w:type="dxa"/>
            </w:tcMar>
            <w:vAlign w:val="center"/>
          </w:tcPr>
          <w:p w14:paraId="500DEA2B">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从业人员(X)</w:t>
            </w:r>
          </w:p>
        </w:tc>
        <w:tc>
          <w:tcPr>
            <w:tcW w:w="758" w:type="dxa"/>
            <w:shd w:val="clear" w:color="auto" w:fill="auto"/>
            <w:tcMar>
              <w:top w:w="0" w:type="dxa"/>
              <w:left w:w="108" w:type="dxa"/>
              <w:bottom w:w="0" w:type="dxa"/>
              <w:right w:w="108" w:type="dxa"/>
            </w:tcMar>
            <w:vAlign w:val="center"/>
          </w:tcPr>
          <w:p w14:paraId="6C6A0ABB">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人</w:t>
            </w:r>
          </w:p>
        </w:tc>
        <w:tc>
          <w:tcPr>
            <w:tcW w:w="993" w:type="dxa"/>
            <w:shd w:val="clear" w:color="auto" w:fill="auto"/>
            <w:tcMar>
              <w:top w:w="0" w:type="dxa"/>
              <w:left w:w="108" w:type="dxa"/>
              <w:bottom w:w="0" w:type="dxa"/>
              <w:right w:w="108" w:type="dxa"/>
            </w:tcMar>
            <w:vAlign w:val="center"/>
          </w:tcPr>
          <w:p w14:paraId="2B97FB81">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X≥300</w:t>
            </w:r>
          </w:p>
        </w:tc>
        <w:tc>
          <w:tcPr>
            <w:tcW w:w="1491" w:type="dxa"/>
            <w:shd w:val="clear" w:color="auto" w:fill="auto"/>
            <w:tcMar>
              <w:top w:w="0" w:type="dxa"/>
              <w:left w:w="108" w:type="dxa"/>
              <w:bottom w:w="0" w:type="dxa"/>
              <w:right w:w="108" w:type="dxa"/>
            </w:tcMar>
            <w:vAlign w:val="center"/>
          </w:tcPr>
          <w:p w14:paraId="68CA89A1">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100≤X＜300</w:t>
            </w:r>
          </w:p>
        </w:tc>
        <w:tc>
          <w:tcPr>
            <w:tcW w:w="1315" w:type="dxa"/>
            <w:shd w:val="clear" w:color="auto" w:fill="auto"/>
            <w:tcMar>
              <w:top w:w="0" w:type="dxa"/>
              <w:left w:w="108" w:type="dxa"/>
              <w:bottom w:w="0" w:type="dxa"/>
              <w:right w:w="108" w:type="dxa"/>
            </w:tcMar>
            <w:vAlign w:val="center"/>
          </w:tcPr>
          <w:p w14:paraId="3B807282">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10≤X＜100</w:t>
            </w:r>
          </w:p>
        </w:tc>
        <w:tc>
          <w:tcPr>
            <w:tcW w:w="908" w:type="dxa"/>
            <w:shd w:val="clear" w:color="auto" w:fill="auto"/>
            <w:tcMar>
              <w:top w:w="0" w:type="dxa"/>
              <w:left w:w="108" w:type="dxa"/>
              <w:bottom w:w="0" w:type="dxa"/>
              <w:right w:w="108" w:type="dxa"/>
            </w:tcMar>
            <w:vAlign w:val="center"/>
          </w:tcPr>
          <w:p w14:paraId="54D618FF">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X＜10</w:t>
            </w:r>
          </w:p>
        </w:tc>
      </w:tr>
      <w:tr w14:paraId="13E2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4A980552">
            <w:pPr>
              <w:spacing w:after="0" w:line="240" w:lineRule="auto"/>
              <w:ind w:left="105" w:leftChars="50"/>
              <w:rPr>
                <w:rFonts w:ascii="微软雅黑" w:hAnsi="微软雅黑" w:eastAsia="微软雅黑" w:cs="微软雅黑"/>
                <w:bCs/>
                <w:szCs w:val="21"/>
                <w:highlight w:val="none"/>
              </w:rPr>
            </w:pPr>
          </w:p>
        </w:tc>
        <w:tc>
          <w:tcPr>
            <w:tcW w:w="1281" w:type="dxa"/>
            <w:shd w:val="clear" w:color="auto" w:fill="auto"/>
            <w:tcMar>
              <w:top w:w="0" w:type="dxa"/>
              <w:left w:w="108" w:type="dxa"/>
              <w:bottom w:w="0" w:type="dxa"/>
              <w:right w:w="108" w:type="dxa"/>
            </w:tcMar>
            <w:vAlign w:val="center"/>
          </w:tcPr>
          <w:p w14:paraId="22443C61">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营业收入(Y)</w:t>
            </w:r>
          </w:p>
        </w:tc>
        <w:tc>
          <w:tcPr>
            <w:tcW w:w="758" w:type="dxa"/>
            <w:shd w:val="clear" w:color="auto" w:fill="auto"/>
            <w:tcMar>
              <w:top w:w="0" w:type="dxa"/>
              <w:left w:w="108" w:type="dxa"/>
              <w:bottom w:w="0" w:type="dxa"/>
              <w:right w:w="108" w:type="dxa"/>
            </w:tcMar>
            <w:vAlign w:val="center"/>
          </w:tcPr>
          <w:p w14:paraId="1BAAF210">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万元</w:t>
            </w:r>
          </w:p>
        </w:tc>
        <w:tc>
          <w:tcPr>
            <w:tcW w:w="993" w:type="dxa"/>
            <w:shd w:val="clear" w:color="auto" w:fill="auto"/>
            <w:tcMar>
              <w:top w:w="0" w:type="dxa"/>
              <w:left w:w="108" w:type="dxa"/>
              <w:bottom w:w="0" w:type="dxa"/>
              <w:right w:w="108" w:type="dxa"/>
            </w:tcMar>
            <w:vAlign w:val="center"/>
          </w:tcPr>
          <w:p w14:paraId="13EB0873">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Y≥10000</w:t>
            </w:r>
          </w:p>
        </w:tc>
        <w:tc>
          <w:tcPr>
            <w:tcW w:w="1491" w:type="dxa"/>
            <w:shd w:val="clear" w:color="auto" w:fill="auto"/>
            <w:tcMar>
              <w:top w:w="0" w:type="dxa"/>
              <w:left w:w="108" w:type="dxa"/>
              <w:bottom w:w="0" w:type="dxa"/>
              <w:right w:w="108" w:type="dxa"/>
            </w:tcMar>
            <w:vAlign w:val="center"/>
          </w:tcPr>
          <w:p w14:paraId="36D23535">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2000≤Y＜10000</w:t>
            </w:r>
          </w:p>
        </w:tc>
        <w:tc>
          <w:tcPr>
            <w:tcW w:w="1315" w:type="dxa"/>
            <w:shd w:val="clear" w:color="auto" w:fill="auto"/>
            <w:tcMar>
              <w:top w:w="0" w:type="dxa"/>
              <w:left w:w="108" w:type="dxa"/>
              <w:bottom w:w="0" w:type="dxa"/>
              <w:right w:w="108" w:type="dxa"/>
            </w:tcMar>
            <w:vAlign w:val="center"/>
          </w:tcPr>
          <w:p w14:paraId="447754A1">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100≤Y＜2000</w:t>
            </w:r>
          </w:p>
        </w:tc>
        <w:tc>
          <w:tcPr>
            <w:tcW w:w="908" w:type="dxa"/>
            <w:shd w:val="clear" w:color="auto" w:fill="auto"/>
            <w:tcMar>
              <w:top w:w="0" w:type="dxa"/>
              <w:left w:w="108" w:type="dxa"/>
              <w:bottom w:w="0" w:type="dxa"/>
              <w:right w:w="108" w:type="dxa"/>
            </w:tcMar>
            <w:vAlign w:val="center"/>
          </w:tcPr>
          <w:p w14:paraId="0C2B6A19">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Y＜100</w:t>
            </w:r>
          </w:p>
        </w:tc>
      </w:tr>
      <w:tr w14:paraId="32BBA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shd w:val="clear" w:color="auto" w:fill="auto"/>
            <w:tcMar>
              <w:top w:w="0" w:type="dxa"/>
              <w:left w:w="108" w:type="dxa"/>
              <w:bottom w:w="0" w:type="dxa"/>
              <w:right w:w="108" w:type="dxa"/>
            </w:tcMar>
            <w:vAlign w:val="center"/>
          </w:tcPr>
          <w:p w14:paraId="2ED76134">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餐饮业</w:t>
            </w:r>
          </w:p>
        </w:tc>
        <w:tc>
          <w:tcPr>
            <w:tcW w:w="1281" w:type="dxa"/>
            <w:shd w:val="clear" w:color="auto" w:fill="auto"/>
            <w:tcMar>
              <w:top w:w="0" w:type="dxa"/>
              <w:left w:w="108" w:type="dxa"/>
              <w:bottom w:w="0" w:type="dxa"/>
              <w:right w:w="108" w:type="dxa"/>
            </w:tcMar>
            <w:vAlign w:val="center"/>
          </w:tcPr>
          <w:p w14:paraId="7DD8BB3F">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从业人员(X)</w:t>
            </w:r>
          </w:p>
        </w:tc>
        <w:tc>
          <w:tcPr>
            <w:tcW w:w="758" w:type="dxa"/>
            <w:shd w:val="clear" w:color="auto" w:fill="auto"/>
            <w:tcMar>
              <w:top w:w="0" w:type="dxa"/>
              <w:left w:w="108" w:type="dxa"/>
              <w:bottom w:w="0" w:type="dxa"/>
              <w:right w:w="108" w:type="dxa"/>
            </w:tcMar>
            <w:vAlign w:val="center"/>
          </w:tcPr>
          <w:p w14:paraId="23B8A620">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人</w:t>
            </w:r>
          </w:p>
        </w:tc>
        <w:tc>
          <w:tcPr>
            <w:tcW w:w="993" w:type="dxa"/>
            <w:shd w:val="clear" w:color="auto" w:fill="auto"/>
            <w:tcMar>
              <w:top w:w="0" w:type="dxa"/>
              <w:left w:w="108" w:type="dxa"/>
              <w:bottom w:w="0" w:type="dxa"/>
              <w:right w:w="108" w:type="dxa"/>
            </w:tcMar>
            <w:vAlign w:val="center"/>
          </w:tcPr>
          <w:p w14:paraId="631108A3">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X≥300</w:t>
            </w:r>
          </w:p>
        </w:tc>
        <w:tc>
          <w:tcPr>
            <w:tcW w:w="1491" w:type="dxa"/>
            <w:shd w:val="clear" w:color="auto" w:fill="auto"/>
            <w:tcMar>
              <w:top w:w="0" w:type="dxa"/>
              <w:left w:w="108" w:type="dxa"/>
              <w:bottom w:w="0" w:type="dxa"/>
              <w:right w:w="108" w:type="dxa"/>
            </w:tcMar>
            <w:vAlign w:val="center"/>
          </w:tcPr>
          <w:p w14:paraId="3027686D">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100≤X＜300</w:t>
            </w:r>
          </w:p>
        </w:tc>
        <w:tc>
          <w:tcPr>
            <w:tcW w:w="1315" w:type="dxa"/>
            <w:shd w:val="clear" w:color="auto" w:fill="auto"/>
            <w:tcMar>
              <w:top w:w="0" w:type="dxa"/>
              <w:left w:w="108" w:type="dxa"/>
              <w:bottom w:w="0" w:type="dxa"/>
              <w:right w:w="108" w:type="dxa"/>
            </w:tcMar>
            <w:vAlign w:val="center"/>
          </w:tcPr>
          <w:p w14:paraId="79E3A717">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10≤X＜100</w:t>
            </w:r>
          </w:p>
        </w:tc>
        <w:tc>
          <w:tcPr>
            <w:tcW w:w="908" w:type="dxa"/>
            <w:shd w:val="clear" w:color="auto" w:fill="auto"/>
            <w:tcMar>
              <w:top w:w="0" w:type="dxa"/>
              <w:left w:w="108" w:type="dxa"/>
              <w:bottom w:w="0" w:type="dxa"/>
              <w:right w:w="108" w:type="dxa"/>
            </w:tcMar>
            <w:vAlign w:val="center"/>
          </w:tcPr>
          <w:p w14:paraId="66599D40">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X＜10</w:t>
            </w:r>
          </w:p>
        </w:tc>
      </w:tr>
      <w:tr w14:paraId="03F5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744C40DE">
            <w:pPr>
              <w:spacing w:after="0" w:line="240" w:lineRule="auto"/>
              <w:ind w:left="105" w:leftChars="50"/>
              <w:rPr>
                <w:rFonts w:ascii="微软雅黑" w:hAnsi="微软雅黑" w:eastAsia="微软雅黑" w:cs="微软雅黑"/>
                <w:bCs/>
                <w:szCs w:val="21"/>
                <w:highlight w:val="none"/>
              </w:rPr>
            </w:pPr>
          </w:p>
        </w:tc>
        <w:tc>
          <w:tcPr>
            <w:tcW w:w="1281" w:type="dxa"/>
            <w:shd w:val="clear" w:color="auto" w:fill="auto"/>
            <w:tcMar>
              <w:top w:w="0" w:type="dxa"/>
              <w:left w:w="108" w:type="dxa"/>
              <w:bottom w:w="0" w:type="dxa"/>
              <w:right w:w="108" w:type="dxa"/>
            </w:tcMar>
            <w:vAlign w:val="center"/>
          </w:tcPr>
          <w:p w14:paraId="53B104E8">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营业收入(Y)</w:t>
            </w:r>
          </w:p>
        </w:tc>
        <w:tc>
          <w:tcPr>
            <w:tcW w:w="758" w:type="dxa"/>
            <w:shd w:val="clear" w:color="auto" w:fill="auto"/>
            <w:tcMar>
              <w:top w:w="0" w:type="dxa"/>
              <w:left w:w="108" w:type="dxa"/>
              <w:bottom w:w="0" w:type="dxa"/>
              <w:right w:w="108" w:type="dxa"/>
            </w:tcMar>
            <w:vAlign w:val="center"/>
          </w:tcPr>
          <w:p w14:paraId="0A758E96">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万元</w:t>
            </w:r>
          </w:p>
        </w:tc>
        <w:tc>
          <w:tcPr>
            <w:tcW w:w="993" w:type="dxa"/>
            <w:shd w:val="clear" w:color="auto" w:fill="auto"/>
            <w:tcMar>
              <w:top w:w="0" w:type="dxa"/>
              <w:left w:w="108" w:type="dxa"/>
              <w:bottom w:w="0" w:type="dxa"/>
              <w:right w:w="108" w:type="dxa"/>
            </w:tcMar>
            <w:vAlign w:val="center"/>
          </w:tcPr>
          <w:p w14:paraId="4254A470">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Y≥10000</w:t>
            </w:r>
          </w:p>
        </w:tc>
        <w:tc>
          <w:tcPr>
            <w:tcW w:w="1491" w:type="dxa"/>
            <w:shd w:val="clear" w:color="auto" w:fill="auto"/>
            <w:tcMar>
              <w:top w:w="0" w:type="dxa"/>
              <w:left w:w="108" w:type="dxa"/>
              <w:bottom w:w="0" w:type="dxa"/>
              <w:right w:w="108" w:type="dxa"/>
            </w:tcMar>
            <w:vAlign w:val="center"/>
          </w:tcPr>
          <w:p w14:paraId="6501B291">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2000≤Y＜10000</w:t>
            </w:r>
          </w:p>
        </w:tc>
        <w:tc>
          <w:tcPr>
            <w:tcW w:w="1315" w:type="dxa"/>
            <w:shd w:val="clear" w:color="auto" w:fill="auto"/>
            <w:tcMar>
              <w:top w:w="0" w:type="dxa"/>
              <w:left w:w="108" w:type="dxa"/>
              <w:bottom w:w="0" w:type="dxa"/>
              <w:right w:w="108" w:type="dxa"/>
            </w:tcMar>
            <w:vAlign w:val="center"/>
          </w:tcPr>
          <w:p w14:paraId="3D48B07F">
            <w:pPr>
              <w:spacing w:after="0" w:line="240" w:lineRule="auto"/>
              <w:ind w:left="105" w:leftChars="50"/>
              <w:jc w:val="center"/>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100≤Y＜2000</w:t>
            </w:r>
          </w:p>
        </w:tc>
        <w:tc>
          <w:tcPr>
            <w:tcW w:w="908" w:type="dxa"/>
            <w:shd w:val="clear" w:color="auto" w:fill="auto"/>
            <w:tcMar>
              <w:top w:w="0" w:type="dxa"/>
              <w:left w:w="108" w:type="dxa"/>
              <w:bottom w:w="0" w:type="dxa"/>
              <w:right w:w="108" w:type="dxa"/>
            </w:tcMar>
            <w:vAlign w:val="center"/>
          </w:tcPr>
          <w:p w14:paraId="7E562465">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Y＜100</w:t>
            </w:r>
          </w:p>
        </w:tc>
      </w:tr>
      <w:tr w14:paraId="411C6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shd w:val="clear" w:color="auto" w:fill="auto"/>
            <w:tcMar>
              <w:top w:w="0" w:type="dxa"/>
              <w:left w:w="108" w:type="dxa"/>
              <w:bottom w:w="0" w:type="dxa"/>
              <w:right w:w="108" w:type="dxa"/>
            </w:tcMar>
            <w:vAlign w:val="center"/>
          </w:tcPr>
          <w:p w14:paraId="13CF2941">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信息传输业 *</w:t>
            </w:r>
          </w:p>
        </w:tc>
        <w:tc>
          <w:tcPr>
            <w:tcW w:w="1281" w:type="dxa"/>
            <w:shd w:val="clear" w:color="auto" w:fill="auto"/>
            <w:tcMar>
              <w:top w:w="0" w:type="dxa"/>
              <w:left w:w="108" w:type="dxa"/>
              <w:bottom w:w="0" w:type="dxa"/>
              <w:right w:w="108" w:type="dxa"/>
            </w:tcMar>
            <w:vAlign w:val="center"/>
          </w:tcPr>
          <w:p w14:paraId="29C5A4F4">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从业人员(X)</w:t>
            </w:r>
          </w:p>
        </w:tc>
        <w:tc>
          <w:tcPr>
            <w:tcW w:w="758" w:type="dxa"/>
            <w:shd w:val="clear" w:color="auto" w:fill="auto"/>
            <w:tcMar>
              <w:top w:w="0" w:type="dxa"/>
              <w:left w:w="108" w:type="dxa"/>
              <w:bottom w:w="0" w:type="dxa"/>
              <w:right w:w="108" w:type="dxa"/>
            </w:tcMar>
            <w:vAlign w:val="center"/>
          </w:tcPr>
          <w:p w14:paraId="30D888EA">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人</w:t>
            </w:r>
          </w:p>
        </w:tc>
        <w:tc>
          <w:tcPr>
            <w:tcW w:w="993" w:type="dxa"/>
            <w:shd w:val="clear" w:color="auto" w:fill="auto"/>
            <w:tcMar>
              <w:top w:w="0" w:type="dxa"/>
              <w:left w:w="108" w:type="dxa"/>
              <w:bottom w:w="0" w:type="dxa"/>
              <w:right w:w="108" w:type="dxa"/>
            </w:tcMar>
            <w:vAlign w:val="center"/>
          </w:tcPr>
          <w:p w14:paraId="1EAC1A5D">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X≥2000</w:t>
            </w:r>
          </w:p>
        </w:tc>
        <w:tc>
          <w:tcPr>
            <w:tcW w:w="1491" w:type="dxa"/>
            <w:shd w:val="clear" w:color="auto" w:fill="auto"/>
            <w:tcMar>
              <w:top w:w="0" w:type="dxa"/>
              <w:left w:w="108" w:type="dxa"/>
              <w:bottom w:w="0" w:type="dxa"/>
              <w:right w:w="108" w:type="dxa"/>
            </w:tcMar>
            <w:vAlign w:val="center"/>
          </w:tcPr>
          <w:p w14:paraId="402755B3">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100≤X＜2000</w:t>
            </w:r>
          </w:p>
        </w:tc>
        <w:tc>
          <w:tcPr>
            <w:tcW w:w="1315" w:type="dxa"/>
            <w:shd w:val="clear" w:color="auto" w:fill="auto"/>
            <w:tcMar>
              <w:top w:w="0" w:type="dxa"/>
              <w:left w:w="108" w:type="dxa"/>
              <w:bottom w:w="0" w:type="dxa"/>
              <w:right w:w="108" w:type="dxa"/>
            </w:tcMar>
            <w:vAlign w:val="center"/>
          </w:tcPr>
          <w:p w14:paraId="677DB2F9">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10≤X＜100</w:t>
            </w:r>
          </w:p>
        </w:tc>
        <w:tc>
          <w:tcPr>
            <w:tcW w:w="908" w:type="dxa"/>
            <w:shd w:val="clear" w:color="auto" w:fill="auto"/>
            <w:tcMar>
              <w:top w:w="0" w:type="dxa"/>
              <w:left w:w="108" w:type="dxa"/>
              <w:bottom w:w="0" w:type="dxa"/>
              <w:right w:w="108" w:type="dxa"/>
            </w:tcMar>
            <w:vAlign w:val="center"/>
          </w:tcPr>
          <w:p w14:paraId="0E21F9E1">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X＜10</w:t>
            </w:r>
          </w:p>
        </w:tc>
      </w:tr>
      <w:tr w14:paraId="3AEEA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24CC7EF4">
            <w:pPr>
              <w:spacing w:after="0" w:line="240" w:lineRule="auto"/>
              <w:ind w:left="105" w:leftChars="50"/>
              <w:rPr>
                <w:rFonts w:ascii="微软雅黑" w:hAnsi="微软雅黑" w:eastAsia="微软雅黑" w:cs="微软雅黑"/>
                <w:bCs/>
                <w:szCs w:val="21"/>
                <w:highlight w:val="none"/>
              </w:rPr>
            </w:pPr>
          </w:p>
        </w:tc>
        <w:tc>
          <w:tcPr>
            <w:tcW w:w="1281" w:type="dxa"/>
            <w:shd w:val="clear" w:color="auto" w:fill="auto"/>
            <w:tcMar>
              <w:top w:w="0" w:type="dxa"/>
              <w:left w:w="108" w:type="dxa"/>
              <w:bottom w:w="0" w:type="dxa"/>
              <w:right w:w="108" w:type="dxa"/>
            </w:tcMar>
            <w:vAlign w:val="center"/>
          </w:tcPr>
          <w:p w14:paraId="337C8A2E">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营业收入(Y)</w:t>
            </w:r>
          </w:p>
        </w:tc>
        <w:tc>
          <w:tcPr>
            <w:tcW w:w="758" w:type="dxa"/>
            <w:shd w:val="clear" w:color="auto" w:fill="auto"/>
            <w:tcMar>
              <w:top w:w="0" w:type="dxa"/>
              <w:left w:w="108" w:type="dxa"/>
              <w:bottom w:w="0" w:type="dxa"/>
              <w:right w:w="108" w:type="dxa"/>
            </w:tcMar>
            <w:vAlign w:val="center"/>
          </w:tcPr>
          <w:p w14:paraId="490F9FF3">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万元</w:t>
            </w:r>
          </w:p>
        </w:tc>
        <w:tc>
          <w:tcPr>
            <w:tcW w:w="993" w:type="dxa"/>
            <w:shd w:val="clear" w:color="auto" w:fill="auto"/>
            <w:tcMar>
              <w:top w:w="0" w:type="dxa"/>
              <w:left w:w="108" w:type="dxa"/>
              <w:bottom w:w="0" w:type="dxa"/>
              <w:right w:w="108" w:type="dxa"/>
            </w:tcMar>
            <w:vAlign w:val="center"/>
          </w:tcPr>
          <w:p w14:paraId="5AB130C8">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Y≥100000</w:t>
            </w:r>
          </w:p>
        </w:tc>
        <w:tc>
          <w:tcPr>
            <w:tcW w:w="1491" w:type="dxa"/>
            <w:shd w:val="clear" w:color="auto" w:fill="auto"/>
            <w:tcMar>
              <w:top w:w="0" w:type="dxa"/>
              <w:left w:w="108" w:type="dxa"/>
              <w:bottom w:w="0" w:type="dxa"/>
              <w:right w:w="108" w:type="dxa"/>
            </w:tcMar>
            <w:vAlign w:val="center"/>
          </w:tcPr>
          <w:p w14:paraId="1CCEE613">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1000≤Y＜100000</w:t>
            </w:r>
          </w:p>
        </w:tc>
        <w:tc>
          <w:tcPr>
            <w:tcW w:w="1315" w:type="dxa"/>
            <w:shd w:val="clear" w:color="auto" w:fill="auto"/>
            <w:tcMar>
              <w:top w:w="0" w:type="dxa"/>
              <w:left w:w="108" w:type="dxa"/>
              <w:bottom w:w="0" w:type="dxa"/>
              <w:right w:w="108" w:type="dxa"/>
            </w:tcMar>
            <w:vAlign w:val="center"/>
          </w:tcPr>
          <w:p w14:paraId="4879B8F9">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100≤Y＜1000</w:t>
            </w:r>
          </w:p>
        </w:tc>
        <w:tc>
          <w:tcPr>
            <w:tcW w:w="908" w:type="dxa"/>
            <w:shd w:val="clear" w:color="auto" w:fill="auto"/>
            <w:tcMar>
              <w:top w:w="0" w:type="dxa"/>
              <w:left w:w="108" w:type="dxa"/>
              <w:bottom w:w="0" w:type="dxa"/>
              <w:right w:w="108" w:type="dxa"/>
            </w:tcMar>
            <w:vAlign w:val="center"/>
          </w:tcPr>
          <w:p w14:paraId="4BD39378">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Y＜100</w:t>
            </w:r>
          </w:p>
        </w:tc>
      </w:tr>
      <w:tr w14:paraId="21A3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60" w:type="dxa"/>
            <w:vMerge w:val="restart"/>
            <w:shd w:val="clear" w:color="auto" w:fill="auto"/>
            <w:tcMar>
              <w:top w:w="0" w:type="dxa"/>
              <w:left w:w="108" w:type="dxa"/>
              <w:bottom w:w="0" w:type="dxa"/>
              <w:right w:w="108" w:type="dxa"/>
            </w:tcMar>
            <w:vAlign w:val="center"/>
          </w:tcPr>
          <w:p w14:paraId="44BAF817">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pacing w:val="-12"/>
                <w:szCs w:val="21"/>
                <w:highlight w:val="none"/>
              </w:rPr>
              <w:t>软件和信息技术服</w:t>
            </w:r>
            <w:r>
              <w:rPr>
                <w:rFonts w:hint="eastAsia" w:ascii="微软雅黑" w:hAnsi="微软雅黑" w:eastAsia="微软雅黑" w:cs="微软雅黑"/>
                <w:szCs w:val="21"/>
                <w:highlight w:val="none"/>
              </w:rPr>
              <w:t>务业</w:t>
            </w:r>
          </w:p>
        </w:tc>
        <w:tc>
          <w:tcPr>
            <w:tcW w:w="1281" w:type="dxa"/>
            <w:shd w:val="clear" w:color="auto" w:fill="auto"/>
            <w:tcMar>
              <w:top w:w="0" w:type="dxa"/>
              <w:left w:w="108" w:type="dxa"/>
              <w:bottom w:w="0" w:type="dxa"/>
              <w:right w:w="108" w:type="dxa"/>
            </w:tcMar>
            <w:vAlign w:val="center"/>
          </w:tcPr>
          <w:p w14:paraId="5280FFC1">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从业人员(X)</w:t>
            </w:r>
          </w:p>
        </w:tc>
        <w:tc>
          <w:tcPr>
            <w:tcW w:w="758" w:type="dxa"/>
            <w:shd w:val="clear" w:color="auto" w:fill="auto"/>
            <w:tcMar>
              <w:top w:w="0" w:type="dxa"/>
              <w:left w:w="108" w:type="dxa"/>
              <w:bottom w:w="0" w:type="dxa"/>
              <w:right w:w="108" w:type="dxa"/>
            </w:tcMar>
            <w:vAlign w:val="center"/>
          </w:tcPr>
          <w:p w14:paraId="69BA4747">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人</w:t>
            </w:r>
          </w:p>
        </w:tc>
        <w:tc>
          <w:tcPr>
            <w:tcW w:w="993" w:type="dxa"/>
            <w:shd w:val="clear" w:color="auto" w:fill="auto"/>
            <w:tcMar>
              <w:top w:w="0" w:type="dxa"/>
              <w:left w:w="108" w:type="dxa"/>
              <w:bottom w:w="0" w:type="dxa"/>
              <w:right w:w="108" w:type="dxa"/>
            </w:tcMar>
            <w:vAlign w:val="center"/>
          </w:tcPr>
          <w:p w14:paraId="037F12EC">
            <w:pPr>
              <w:spacing w:after="0" w:line="240" w:lineRule="auto"/>
              <w:ind w:left="105" w:leftChars="50"/>
              <w:jc w:val="center"/>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X≥300</w:t>
            </w:r>
          </w:p>
        </w:tc>
        <w:tc>
          <w:tcPr>
            <w:tcW w:w="1491" w:type="dxa"/>
            <w:shd w:val="clear" w:color="auto" w:fill="auto"/>
            <w:tcMar>
              <w:top w:w="0" w:type="dxa"/>
              <w:left w:w="108" w:type="dxa"/>
              <w:bottom w:w="0" w:type="dxa"/>
              <w:right w:w="108" w:type="dxa"/>
            </w:tcMar>
            <w:vAlign w:val="center"/>
          </w:tcPr>
          <w:p w14:paraId="0F798A70">
            <w:pPr>
              <w:spacing w:after="0" w:line="240" w:lineRule="auto"/>
              <w:ind w:left="105" w:leftChars="50"/>
              <w:jc w:val="center"/>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100≤X＜300</w:t>
            </w:r>
          </w:p>
        </w:tc>
        <w:tc>
          <w:tcPr>
            <w:tcW w:w="1315" w:type="dxa"/>
            <w:shd w:val="clear" w:color="auto" w:fill="auto"/>
            <w:tcMar>
              <w:top w:w="0" w:type="dxa"/>
              <w:left w:w="108" w:type="dxa"/>
              <w:bottom w:w="0" w:type="dxa"/>
              <w:right w:w="108" w:type="dxa"/>
            </w:tcMar>
            <w:vAlign w:val="center"/>
          </w:tcPr>
          <w:p w14:paraId="66FBD409">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10≤X＜100</w:t>
            </w:r>
          </w:p>
        </w:tc>
        <w:tc>
          <w:tcPr>
            <w:tcW w:w="908" w:type="dxa"/>
            <w:shd w:val="clear" w:color="auto" w:fill="auto"/>
            <w:tcMar>
              <w:top w:w="0" w:type="dxa"/>
              <w:left w:w="108" w:type="dxa"/>
              <w:bottom w:w="0" w:type="dxa"/>
              <w:right w:w="108" w:type="dxa"/>
            </w:tcMar>
            <w:vAlign w:val="center"/>
          </w:tcPr>
          <w:p w14:paraId="5252354E">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X＜10</w:t>
            </w:r>
          </w:p>
        </w:tc>
      </w:tr>
      <w:tr w14:paraId="67C83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60" w:type="dxa"/>
            <w:vMerge w:val="continue"/>
            <w:vAlign w:val="center"/>
          </w:tcPr>
          <w:p w14:paraId="0A88E1BB">
            <w:pPr>
              <w:spacing w:after="0" w:line="240" w:lineRule="auto"/>
              <w:ind w:left="105" w:leftChars="50"/>
              <w:rPr>
                <w:rFonts w:ascii="微软雅黑" w:hAnsi="微软雅黑" w:eastAsia="微软雅黑" w:cs="微软雅黑"/>
                <w:bCs/>
                <w:szCs w:val="21"/>
                <w:highlight w:val="none"/>
              </w:rPr>
            </w:pPr>
          </w:p>
        </w:tc>
        <w:tc>
          <w:tcPr>
            <w:tcW w:w="1281" w:type="dxa"/>
            <w:shd w:val="clear" w:color="auto" w:fill="auto"/>
            <w:tcMar>
              <w:top w:w="0" w:type="dxa"/>
              <w:left w:w="108" w:type="dxa"/>
              <w:bottom w:w="0" w:type="dxa"/>
              <w:right w:w="108" w:type="dxa"/>
            </w:tcMar>
            <w:vAlign w:val="center"/>
          </w:tcPr>
          <w:p w14:paraId="0A9DAD29">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营业收入(Y)</w:t>
            </w:r>
          </w:p>
        </w:tc>
        <w:tc>
          <w:tcPr>
            <w:tcW w:w="758" w:type="dxa"/>
            <w:shd w:val="clear" w:color="auto" w:fill="auto"/>
            <w:tcMar>
              <w:top w:w="0" w:type="dxa"/>
              <w:left w:w="108" w:type="dxa"/>
              <w:bottom w:w="0" w:type="dxa"/>
              <w:right w:w="108" w:type="dxa"/>
            </w:tcMar>
            <w:vAlign w:val="center"/>
          </w:tcPr>
          <w:p w14:paraId="337D198E">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万元</w:t>
            </w:r>
          </w:p>
        </w:tc>
        <w:tc>
          <w:tcPr>
            <w:tcW w:w="993" w:type="dxa"/>
            <w:shd w:val="clear" w:color="auto" w:fill="auto"/>
            <w:tcMar>
              <w:top w:w="0" w:type="dxa"/>
              <w:left w:w="108" w:type="dxa"/>
              <w:bottom w:w="0" w:type="dxa"/>
              <w:right w:w="108" w:type="dxa"/>
            </w:tcMar>
            <w:vAlign w:val="center"/>
          </w:tcPr>
          <w:p w14:paraId="723D1D26">
            <w:pPr>
              <w:spacing w:after="0" w:line="240" w:lineRule="auto"/>
              <w:ind w:left="105" w:leftChars="50"/>
              <w:jc w:val="center"/>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Y≥10000</w:t>
            </w:r>
          </w:p>
        </w:tc>
        <w:tc>
          <w:tcPr>
            <w:tcW w:w="1491" w:type="dxa"/>
            <w:shd w:val="clear" w:color="auto" w:fill="auto"/>
            <w:tcMar>
              <w:top w:w="0" w:type="dxa"/>
              <w:left w:w="108" w:type="dxa"/>
              <w:bottom w:w="0" w:type="dxa"/>
              <w:right w:w="108" w:type="dxa"/>
            </w:tcMar>
            <w:vAlign w:val="center"/>
          </w:tcPr>
          <w:p w14:paraId="311EFEAD">
            <w:pPr>
              <w:spacing w:after="0" w:line="240" w:lineRule="auto"/>
              <w:ind w:left="105" w:leftChars="50"/>
              <w:jc w:val="center"/>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1000≤Y＜10000</w:t>
            </w:r>
          </w:p>
        </w:tc>
        <w:tc>
          <w:tcPr>
            <w:tcW w:w="1315" w:type="dxa"/>
            <w:shd w:val="clear" w:color="auto" w:fill="auto"/>
            <w:tcMar>
              <w:top w:w="0" w:type="dxa"/>
              <w:left w:w="108" w:type="dxa"/>
              <w:bottom w:w="0" w:type="dxa"/>
              <w:right w:w="108" w:type="dxa"/>
            </w:tcMar>
            <w:vAlign w:val="center"/>
          </w:tcPr>
          <w:p w14:paraId="6444A066">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50≤Y＜1000</w:t>
            </w:r>
          </w:p>
        </w:tc>
        <w:tc>
          <w:tcPr>
            <w:tcW w:w="908" w:type="dxa"/>
            <w:shd w:val="clear" w:color="auto" w:fill="auto"/>
            <w:tcMar>
              <w:top w:w="0" w:type="dxa"/>
              <w:left w:w="108" w:type="dxa"/>
              <w:bottom w:w="0" w:type="dxa"/>
              <w:right w:w="108" w:type="dxa"/>
            </w:tcMar>
            <w:vAlign w:val="center"/>
          </w:tcPr>
          <w:p w14:paraId="434F9A01">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Y＜50</w:t>
            </w:r>
          </w:p>
        </w:tc>
      </w:tr>
      <w:tr w14:paraId="1E39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60" w:type="dxa"/>
            <w:vMerge w:val="restart"/>
            <w:shd w:val="clear" w:color="auto" w:fill="auto"/>
            <w:tcMar>
              <w:top w:w="0" w:type="dxa"/>
              <w:left w:w="108" w:type="dxa"/>
              <w:bottom w:w="0" w:type="dxa"/>
              <w:right w:w="108" w:type="dxa"/>
            </w:tcMar>
            <w:vAlign w:val="center"/>
          </w:tcPr>
          <w:p w14:paraId="3603836A">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房地产开发经营</w:t>
            </w:r>
          </w:p>
        </w:tc>
        <w:tc>
          <w:tcPr>
            <w:tcW w:w="1281" w:type="dxa"/>
            <w:shd w:val="clear" w:color="auto" w:fill="auto"/>
            <w:tcMar>
              <w:top w:w="0" w:type="dxa"/>
              <w:left w:w="108" w:type="dxa"/>
              <w:bottom w:w="0" w:type="dxa"/>
              <w:right w:w="108" w:type="dxa"/>
            </w:tcMar>
            <w:vAlign w:val="center"/>
          </w:tcPr>
          <w:p w14:paraId="16B41293">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营业收入(Y)</w:t>
            </w:r>
          </w:p>
        </w:tc>
        <w:tc>
          <w:tcPr>
            <w:tcW w:w="758" w:type="dxa"/>
            <w:shd w:val="clear" w:color="auto" w:fill="auto"/>
            <w:tcMar>
              <w:top w:w="0" w:type="dxa"/>
              <w:left w:w="108" w:type="dxa"/>
              <w:bottom w:w="0" w:type="dxa"/>
              <w:right w:w="108" w:type="dxa"/>
            </w:tcMar>
            <w:vAlign w:val="center"/>
          </w:tcPr>
          <w:p w14:paraId="66FF3662">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万元</w:t>
            </w:r>
          </w:p>
        </w:tc>
        <w:tc>
          <w:tcPr>
            <w:tcW w:w="993" w:type="dxa"/>
            <w:shd w:val="clear" w:color="auto" w:fill="auto"/>
            <w:tcMar>
              <w:top w:w="0" w:type="dxa"/>
              <w:left w:w="108" w:type="dxa"/>
              <w:bottom w:w="0" w:type="dxa"/>
              <w:right w:w="108" w:type="dxa"/>
            </w:tcMar>
            <w:vAlign w:val="center"/>
          </w:tcPr>
          <w:p w14:paraId="3B820CEE">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Y≥200000</w:t>
            </w:r>
          </w:p>
        </w:tc>
        <w:tc>
          <w:tcPr>
            <w:tcW w:w="1491" w:type="dxa"/>
            <w:shd w:val="clear" w:color="auto" w:fill="auto"/>
            <w:tcMar>
              <w:top w:w="0" w:type="dxa"/>
              <w:left w:w="108" w:type="dxa"/>
              <w:bottom w:w="0" w:type="dxa"/>
              <w:right w:w="108" w:type="dxa"/>
            </w:tcMar>
            <w:vAlign w:val="center"/>
          </w:tcPr>
          <w:p w14:paraId="5FD2F0E4">
            <w:pPr>
              <w:spacing w:after="0" w:line="240" w:lineRule="auto"/>
              <w:ind w:left="105" w:leftChars="50"/>
              <w:jc w:val="center"/>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 1000≤Y＜200000</w:t>
            </w:r>
          </w:p>
        </w:tc>
        <w:tc>
          <w:tcPr>
            <w:tcW w:w="1315" w:type="dxa"/>
            <w:shd w:val="clear" w:color="auto" w:fill="auto"/>
            <w:tcMar>
              <w:top w:w="0" w:type="dxa"/>
              <w:left w:w="108" w:type="dxa"/>
              <w:bottom w:w="0" w:type="dxa"/>
              <w:right w:w="108" w:type="dxa"/>
            </w:tcMar>
            <w:vAlign w:val="center"/>
          </w:tcPr>
          <w:p w14:paraId="2D7A0C48">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100≤Y＜1000</w:t>
            </w:r>
          </w:p>
        </w:tc>
        <w:tc>
          <w:tcPr>
            <w:tcW w:w="908" w:type="dxa"/>
            <w:shd w:val="clear" w:color="auto" w:fill="auto"/>
            <w:tcMar>
              <w:top w:w="0" w:type="dxa"/>
              <w:left w:w="108" w:type="dxa"/>
              <w:bottom w:w="0" w:type="dxa"/>
              <w:right w:w="108" w:type="dxa"/>
            </w:tcMar>
            <w:vAlign w:val="center"/>
          </w:tcPr>
          <w:p w14:paraId="29C59256">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Y＜100</w:t>
            </w:r>
          </w:p>
        </w:tc>
      </w:tr>
      <w:tr w14:paraId="529A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60" w:type="dxa"/>
            <w:vMerge w:val="continue"/>
            <w:vAlign w:val="center"/>
          </w:tcPr>
          <w:p w14:paraId="1D03BBBC">
            <w:pPr>
              <w:spacing w:after="0" w:line="240" w:lineRule="auto"/>
              <w:ind w:left="105" w:leftChars="50"/>
              <w:rPr>
                <w:rFonts w:ascii="微软雅黑" w:hAnsi="微软雅黑" w:eastAsia="微软雅黑" w:cs="微软雅黑"/>
                <w:bCs/>
                <w:szCs w:val="21"/>
                <w:highlight w:val="none"/>
              </w:rPr>
            </w:pPr>
          </w:p>
        </w:tc>
        <w:tc>
          <w:tcPr>
            <w:tcW w:w="1281" w:type="dxa"/>
            <w:shd w:val="clear" w:color="auto" w:fill="auto"/>
            <w:tcMar>
              <w:top w:w="0" w:type="dxa"/>
              <w:left w:w="108" w:type="dxa"/>
              <w:bottom w:w="0" w:type="dxa"/>
              <w:right w:w="108" w:type="dxa"/>
            </w:tcMar>
            <w:vAlign w:val="center"/>
          </w:tcPr>
          <w:p w14:paraId="2AC50CA1">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资产总额(Z)</w:t>
            </w:r>
          </w:p>
        </w:tc>
        <w:tc>
          <w:tcPr>
            <w:tcW w:w="758" w:type="dxa"/>
            <w:shd w:val="clear" w:color="auto" w:fill="auto"/>
            <w:tcMar>
              <w:top w:w="0" w:type="dxa"/>
              <w:left w:w="108" w:type="dxa"/>
              <w:bottom w:w="0" w:type="dxa"/>
              <w:right w:w="108" w:type="dxa"/>
            </w:tcMar>
            <w:vAlign w:val="center"/>
          </w:tcPr>
          <w:p w14:paraId="42883075">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万元</w:t>
            </w:r>
          </w:p>
        </w:tc>
        <w:tc>
          <w:tcPr>
            <w:tcW w:w="993" w:type="dxa"/>
            <w:shd w:val="clear" w:color="auto" w:fill="auto"/>
            <w:tcMar>
              <w:top w:w="0" w:type="dxa"/>
              <w:left w:w="108" w:type="dxa"/>
              <w:bottom w:w="0" w:type="dxa"/>
              <w:right w:w="108" w:type="dxa"/>
            </w:tcMar>
            <w:vAlign w:val="center"/>
          </w:tcPr>
          <w:p w14:paraId="2F63C29D">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Z≥10000</w:t>
            </w:r>
          </w:p>
        </w:tc>
        <w:tc>
          <w:tcPr>
            <w:tcW w:w="1491" w:type="dxa"/>
            <w:shd w:val="clear" w:color="auto" w:fill="auto"/>
            <w:tcMar>
              <w:top w:w="0" w:type="dxa"/>
              <w:left w:w="108" w:type="dxa"/>
              <w:bottom w:w="0" w:type="dxa"/>
              <w:right w:w="108" w:type="dxa"/>
            </w:tcMar>
            <w:vAlign w:val="center"/>
          </w:tcPr>
          <w:p w14:paraId="5C2A841A">
            <w:pPr>
              <w:spacing w:after="0" w:line="240" w:lineRule="auto"/>
              <w:ind w:left="105" w:leftChars="50"/>
              <w:jc w:val="center"/>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5000≤Z＜10000</w:t>
            </w:r>
          </w:p>
        </w:tc>
        <w:tc>
          <w:tcPr>
            <w:tcW w:w="1315" w:type="dxa"/>
            <w:shd w:val="clear" w:color="auto" w:fill="auto"/>
            <w:tcMar>
              <w:top w:w="0" w:type="dxa"/>
              <w:left w:w="108" w:type="dxa"/>
              <w:bottom w:w="0" w:type="dxa"/>
              <w:right w:w="108" w:type="dxa"/>
            </w:tcMar>
            <w:vAlign w:val="center"/>
          </w:tcPr>
          <w:p w14:paraId="41EEE9E4">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2000≤Z＜5000  </w:t>
            </w:r>
          </w:p>
        </w:tc>
        <w:tc>
          <w:tcPr>
            <w:tcW w:w="908" w:type="dxa"/>
            <w:shd w:val="clear" w:color="auto" w:fill="auto"/>
            <w:tcMar>
              <w:top w:w="0" w:type="dxa"/>
              <w:left w:w="108" w:type="dxa"/>
              <w:bottom w:w="0" w:type="dxa"/>
              <w:right w:w="108" w:type="dxa"/>
            </w:tcMar>
            <w:vAlign w:val="center"/>
          </w:tcPr>
          <w:p w14:paraId="6098BF77">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Z＜2000</w:t>
            </w:r>
          </w:p>
        </w:tc>
      </w:tr>
      <w:tr w14:paraId="6071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60" w:type="dxa"/>
            <w:vMerge w:val="restart"/>
            <w:shd w:val="clear" w:color="auto" w:fill="auto"/>
            <w:tcMar>
              <w:top w:w="0" w:type="dxa"/>
              <w:left w:w="108" w:type="dxa"/>
              <w:bottom w:w="0" w:type="dxa"/>
              <w:right w:w="108" w:type="dxa"/>
            </w:tcMar>
            <w:vAlign w:val="center"/>
          </w:tcPr>
          <w:p w14:paraId="16B6078B">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物业管理</w:t>
            </w:r>
          </w:p>
        </w:tc>
        <w:tc>
          <w:tcPr>
            <w:tcW w:w="1281" w:type="dxa"/>
            <w:shd w:val="clear" w:color="auto" w:fill="auto"/>
            <w:tcMar>
              <w:top w:w="0" w:type="dxa"/>
              <w:left w:w="108" w:type="dxa"/>
              <w:bottom w:w="0" w:type="dxa"/>
              <w:right w:w="108" w:type="dxa"/>
            </w:tcMar>
            <w:vAlign w:val="center"/>
          </w:tcPr>
          <w:p w14:paraId="2E7DAF1B">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从业人员(X)</w:t>
            </w:r>
          </w:p>
        </w:tc>
        <w:tc>
          <w:tcPr>
            <w:tcW w:w="758" w:type="dxa"/>
            <w:shd w:val="clear" w:color="auto" w:fill="auto"/>
            <w:tcMar>
              <w:top w:w="0" w:type="dxa"/>
              <w:left w:w="108" w:type="dxa"/>
              <w:bottom w:w="0" w:type="dxa"/>
              <w:right w:w="108" w:type="dxa"/>
            </w:tcMar>
            <w:vAlign w:val="center"/>
          </w:tcPr>
          <w:p w14:paraId="40FF877D">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人</w:t>
            </w:r>
          </w:p>
        </w:tc>
        <w:tc>
          <w:tcPr>
            <w:tcW w:w="993" w:type="dxa"/>
            <w:shd w:val="clear" w:color="auto" w:fill="auto"/>
            <w:tcMar>
              <w:top w:w="0" w:type="dxa"/>
              <w:left w:w="108" w:type="dxa"/>
              <w:bottom w:w="0" w:type="dxa"/>
              <w:right w:w="108" w:type="dxa"/>
            </w:tcMar>
            <w:vAlign w:val="center"/>
          </w:tcPr>
          <w:p w14:paraId="2C17C196">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X≥1000</w:t>
            </w:r>
          </w:p>
        </w:tc>
        <w:tc>
          <w:tcPr>
            <w:tcW w:w="1491" w:type="dxa"/>
            <w:shd w:val="clear" w:color="auto" w:fill="auto"/>
            <w:tcMar>
              <w:top w:w="0" w:type="dxa"/>
              <w:left w:w="108" w:type="dxa"/>
              <w:bottom w:w="0" w:type="dxa"/>
              <w:right w:w="108" w:type="dxa"/>
            </w:tcMar>
            <w:vAlign w:val="center"/>
          </w:tcPr>
          <w:p w14:paraId="35818C4B">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300≤X＜1000</w:t>
            </w:r>
          </w:p>
        </w:tc>
        <w:tc>
          <w:tcPr>
            <w:tcW w:w="1315" w:type="dxa"/>
            <w:shd w:val="clear" w:color="auto" w:fill="auto"/>
            <w:tcMar>
              <w:top w:w="0" w:type="dxa"/>
              <w:left w:w="108" w:type="dxa"/>
              <w:bottom w:w="0" w:type="dxa"/>
              <w:right w:w="108" w:type="dxa"/>
            </w:tcMar>
            <w:vAlign w:val="center"/>
          </w:tcPr>
          <w:p w14:paraId="6F1D0F5E">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100≤X＜300</w:t>
            </w:r>
          </w:p>
        </w:tc>
        <w:tc>
          <w:tcPr>
            <w:tcW w:w="908" w:type="dxa"/>
            <w:shd w:val="clear" w:color="auto" w:fill="auto"/>
            <w:tcMar>
              <w:top w:w="0" w:type="dxa"/>
              <w:left w:w="108" w:type="dxa"/>
              <w:bottom w:w="0" w:type="dxa"/>
              <w:right w:w="108" w:type="dxa"/>
            </w:tcMar>
            <w:vAlign w:val="center"/>
          </w:tcPr>
          <w:p w14:paraId="57EF19E2">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X＜100</w:t>
            </w:r>
          </w:p>
        </w:tc>
      </w:tr>
      <w:tr w14:paraId="643E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60" w:type="dxa"/>
            <w:vMerge w:val="continue"/>
            <w:vAlign w:val="center"/>
          </w:tcPr>
          <w:p w14:paraId="05C8D5A4">
            <w:pPr>
              <w:spacing w:after="0" w:line="240" w:lineRule="auto"/>
              <w:ind w:left="105" w:leftChars="50"/>
              <w:rPr>
                <w:rFonts w:ascii="微软雅黑" w:hAnsi="微软雅黑" w:eastAsia="微软雅黑" w:cs="微软雅黑"/>
                <w:bCs/>
                <w:szCs w:val="21"/>
                <w:highlight w:val="none"/>
              </w:rPr>
            </w:pPr>
          </w:p>
        </w:tc>
        <w:tc>
          <w:tcPr>
            <w:tcW w:w="1281" w:type="dxa"/>
            <w:shd w:val="clear" w:color="auto" w:fill="auto"/>
            <w:tcMar>
              <w:top w:w="0" w:type="dxa"/>
              <w:left w:w="108" w:type="dxa"/>
              <w:bottom w:w="0" w:type="dxa"/>
              <w:right w:w="108" w:type="dxa"/>
            </w:tcMar>
            <w:vAlign w:val="center"/>
          </w:tcPr>
          <w:p w14:paraId="7CD2FE79">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营业收入(Y)</w:t>
            </w:r>
          </w:p>
        </w:tc>
        <w:tc>
          <w:tcPr>
            <w:tcW w:w="758" w:type="dxa"/>
            <w:shd w:val="clear" w:color="auto" w:fill="auto"/>
            <w:tcMar>
              <w:top w:w="0" w:type="dxa"/>
              <w:left w:w="108" w:type="dxa"/>
              <w:bottom w:w="0" w:type="dxa"/>
              <w:right w:w="108" w:type="dxa"/>
            </w:tcMar>
            <w:vAlign w:val="center"/>
          </w:tcPr>
          <w:p w14:paraId="55224B41">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万元</w:t>
            </w:r>
          </w:p>
        </w:tc>
        <w:tc>
          <w:tcPr>
            <w:tcW w:w="993" w:type="dxa"/>
            <w:shd w:val="clear" w:color="auto" w:fill="auto"/>
            <w:tcMar>
              <w:top w:w="0" w:type="dxa"/>
              <w:left w:w="108" w:type="dxa"/>
              <w:bottom w:w="0" w:type="dxa"/>
              <w:right w:w="108" w:type="dxa"/>
            </w:tcMar>
            <w:vAlign w:val="center"/>
          </w:tcPr>
          <w:p w14:paraId="2DE87AEB">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Y≥5000</w:t>
            </w:r>
          </w:p>
        </w:tc>
        <w:tc>
          <w:tcPr>
            <w:tcW w:w="1491" w:type="dxa"/>
            <w:shd w:val="clear" w:color="auto" w:fill="auto"/>
            <w:tcMar>
              <w:top w:w="0" w:type="dxa"/>
              <w:left w:w="108" w:type="dxa"/>
              <w:bottom w:w="0" w:type="dxa"/>
              <w:right w:w="108" w:type="dxa"/>
            </w:tcMar>
            <w:vAlign w:val="center"/>
          </w:tcPr>
          <w:p w14:paraId="33564C66">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1000≤Y＜5000</w:t>
            </w:r>
          </w:p>
        </w:tc>
        <w:tc>
          <w:tcPr>
            <w:tcW w:w="1315" w:type="dxa"/>
            <w:shd w:val="clear" w:color="auto" w:fill="auto"/>
            <w:tcMar>
              <w:top w:w="0" w:type="dxa"/>
              <w:left w:w="108" w:type="dxa"/>
              <w:bottom w:w="0" w:type="dxa"/>
              <w:right w:w="108" w:type="dxa"/>
            </w:tcMar>
            <w:vAlign w:val="center"/>
          </w:tcPr>
          <w:p w14:paraId="45D5661C">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500≤Y＜1000</w:t>
            </w:r>
          </w:p>
        </w:tc>
        <w:tc>
          <w:tcPr>
            <w:tcW w:w="908" w:type="dxa"/>
            <w:shd w:val="clear" w:color="auto" w:fill="auto"/>
            <w:tcMar>
              <w:top w:w="0" w:type="dxa"/>
              <w:left w:w="108" w:type="dxa"/>
              <w:bottom w:w="0" w:type="dxa"/>
              <w:right w:w="108" w:type="dxa"/>
            </w:tcMar>
            <w:vAlign w:val="center"/>
          </w:tcPr>
          <w:p w14:paraId="5763FD01">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Y＜500</w:t>
            </w:r>
          </w:p>
        </w:tc>
      </w:tr>
      <w:tr w14:paraId="6C84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60" w:type="dxa"/>
            <w:vMerge w:val="restart"/>
            <w:shd w:val="clear" w:color="auto" w:fill="auto"/>
            <w:tcMar>
              <w:top w:w="0" w:type="dxa"/>
              <w:left w:w="108" w:type="dxa"/>
              <w:bottom w:w="0" w:type="dxa"/>
              <w:right w:w="108" w:type="dxa"/>
            </w:tcMar>
            <w:vAlign w:val="center"/>
          </w:tcPr>
          <w:p w14:paraId="4362E62F">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租赁和商务服务业</w:t>
            </w:r>
          </w:p>
        </w:tc>
        <w:tc>
          <w:tcPr>
            <w:tcW w:w="1281" w:type="dxa"/>
            <w:shd w:val="clear" w:color="auto" w:fill="auto"/>
            <w:tcMar>
              <w:top w:w="0" w:type="dxa"/>
              <w:left w:w="108" w:type="dxa"/>
              <w:bottom w:w="0" w:type="dxa"/>
              <w:right w:w="108" w:type="dxa"/>
            </w:tcMar>
            <w:vAlign w:val="center"/>
          </w:tcPr>
          <w:p w14:paraId="43846005">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从业人员(X)</w:t>
            </w:r>
          </w:p>
        </w:tc>
        <w:tc>
          <w:tcPr>
            <w:tcW w:w="758" w:type="dxa"/>
            <w:shd w:val="clear" w:color="auto" w:fill="auto"/>
            <w:tcMar>
              <w:top w:w="0" w:type="dxa"/>
              <w:left w:w="108" w:type="dxa"/>
              <w:bottom w:w="0" w:type="dxa"/>
              <w:right w:w="108" w:type="dxa"/>
            </w:tcMar>
            <w:vAlign w:val="center"/>
          </w:tcPr>
          <w:p w14:paraId="141CF524">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人</w:t>
            </w:r>
          </w:p>
        </w:tc>
        <w:tc>
          <w:tcPr>
            <w:tcW w:w="993" w:type="dxa"/>
            <w:shd w:val="clear" w:color="auto" w:fill="auto"/>
            <w:tcMar>
              <w:top w:w="0" w:type="dxa"/>
              <w:left w:w="108" w:type="dxa"/>
              <w:bottom w:w="0" w:type="dxa"/>
              <w:right w:w="108" w:type="dxa"/>
            </w:tcMar>
            <w:vAlign w:val="center"/>
          </w:tcPr>
          <w:p w14:paraId="25699D62">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X≥300</w:t>
            </w:r>
          </w:p>
        </w:tc>
        <w:tc>
          <w:tcPr>
            <w:tcW w:w="1491" w:type="dxa"/>
            <w:shd w:val="clear" w:color="auto" w:fill="auto"/>
            <w:tcMar>
              <w:top w:w="0" w:type="dxa"/>
              <w:left w:w="108" w:type="dxa"/>
              <w:bottom w:w="0" w:type="dxa"/>
              <w:right w:w="108" w:type="dxa"/>
            </w:tcMar>
            <w:vAlign w:val="center"/>
          </w:tcPr>
          <w:p w14:paraId="02166BCF">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100≤X＜300</w:t>
            </w:r>
          </w:p>
        </w:tc>
        <w:tc>
          <w:tcPr>
            <w:tcW w:w="1315" w:type="dxa"/>
            <w:shd w:val="clear" w:color="auto" w:fill="auto"/>
            <w:tcMar>
              <w:top w:w="0" w:type="dxa"/>
              <w:left w:w="108" w:type="dxa"/>
              <w:bottom w:w="0" w:type="dxa"/>
              <w:right w:w="108" w:type="dxa"/>
            </w:tcMar>
            <w:vAlign w:val="center"/>
          </w:tcPr>
          <w:p w14:paraId="52A18E5B">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10≤X＜100</w:t>
            </w:r>
          </w:p>
        </w:tc>
        <w:tc>
          <w:tcPr>
            <w:tcW w:w="908" w:type="dxa"/>
            <w:shd w:val="clear" w:color="auto" w:fill="auto"/>
            <w:tcMar>
              <w:top w:w="0" w:type="dxa"/>
              <w:left w:w="108" w:type="dxa"/>
              <w:bottom w:w="0" w:type="dxa"/>
              <w:right w:w="108" w:type="dxa"/>
            </w:tcMar>
            <w:vAlign w:val="center"/>
          </w:tcPr>
          <w:p w14:paraId="58E9E479">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X＜10</w:t>
            </w:r>
          </w:p>
        </w:tc>
      </w:tr>
      <w:tr w14:paraId="4463A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60" w:type="dxa"/>
            <w:vMerge w:val="continue"/>
            <w:vAlign w:val="center"/>
          </w:tcPr>
          <w:p w14:paraId="7902D359">
            <w:pPr>
              <w:spacing w:after="0" w:line="240" w:lineRule="auto"/>
              <w:ind w:left="105" w:leftChars="50"/>
              <w:rPr>
                <w:rFonts w:ascii="微软雅黑" w:hAnsi="微软雅黑" w:eastAsia="微软雅黑" w:cs="微软雅黑"/>
                <w:bCs/>
                <w:szCs w:val="21"/>
                <w:highlight w:val="none"/>
              </w:rPr>
            </w:pPr>
          </w:p>
        </w:tc>
        <w:tc>
          <w:tcPr>
            <w:tcW w:w="1281" w:type="dxa"/>
            <w:shd w:val="clear" w:color="auto" w:fill="auto"/>
            <w:tcMar>
              <w:top w:w="0" w:type="dxa"/>
              <w:left w:w="108" w:type="dxa"/>
              <w:bottom w:w="0" w:type="dxa"/>
              <w:right w:w="108" w:type="dxa"/>
            </w:tcMar>
            <w:vAlign w:val="center"/>
          </w:tcPr>
          <w:p w14:paraId="38E8B63A">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资产总额(Z)</w:t>
            </w:r>
          </w:p>
        </w:tc>
        <w:tc>
          <w:tcPr>
            <w:tcW w:w="758" w:type="dxa"/>
            <w:shd w:val="clear" w:color="auto" w:fill="auto"/>
            <w:tcMar>
              <w:top w:w="0" w:type="dxa"/>
              <w:left w:w="108" w:type="dxa"/>
              <w:bottom w:w="0" w:type="dxa"/>
              <w:right w:w="108" w:type="dxa"/>
            </w:tcMar>
            <w:vAlign w:val="center"/>
          </w:tcPr>
          <w:p w14:paraId="7E142D0C">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万元</w:t>
            </w:r>
          </w:p>
        </w:tc>
        <w:tc>
          <w:tcPr>
            <w:tcW w:w="993" w:type="dxa"/>
            <w:shd w:val="clear" w:color="auto" w:fill="auto"/>
            <w:tcMar>
              <w:top w:w="0" w:type="dxa"/>
              <w:left w:w="108" w:type="dxa"/>
              <w:bottom w:w="0" w:type="dxa"/>
              <w:right w:w="108" w:type="dxa"/>
            </w:tcMar>
            <w:vAlign w:val="center"/>
          </w:tcPr>
          <w:p w14:paraId="1E000362">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Z≥120000</w:t>
            </w:r>
          </w:p>
        </w:tc>
        <w:tc>
          <w:tcPr>
            <w:tcW w:w="1491" w:type="dxa"/>
            <w:shd w:val="clear" w:color="auto" w:fill="auto"/>
            <w:tcMar>
              <w:top w:w="0" w:type="dxa"/>
              <w:left w:w="108" w:type="dxa"/>
              <w:bottom w:w="0" w:type="dxa"/>
              <w:right w:w="108" w:type="dxa"/>
            </w:tcMar>
            <w:vAlign w:val="center"/>
          </w:tcPr>
          <w:p w14:paraId="4A010699">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8000≤Z＜120000</w:t>
            </w:r>
          </w:p>
        </w:tc>
        <w:tc>
          <w:tcPr>
            <w:tcW w:w="1315" w:type="dxa"/>
            <w:shd w:val="clear" w:color="auto" w:fill="auto"/>
            <w:tcMar>
              <w:top w:w="0" w:type="dxa"/>
              <w:left w:w="108" w:type="dxa"/>
              <w:bottom w:w="0" w:type="dxa"/>
              <w:right w:w="108" w:type="dxa"/>
            </w:tcMar>
            <w:vAlign w:val="center"/>
          </w:tcPr>
          <w:p w14:paraId="5B5E827A">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100≤Z＜8000</w:t>
            </w:r>
          </w:p>
        </w:tc>
        <w:tc>
          <w:tcPr>
            <w:tcW w:w="908" w:type="dxa"/>
            <w:shd w:val="clear" w:color="auto" w:fill="auto"/>
            <w:tcMar>
              <w:top w:w="0" w:type="dxa"/>
              <w:left w:w="108" w:type="dxa"/>
              <w:bottom w:w="0" w:type="dxa"/>
              <w:right w:w="108" w:type="dxa"/>
            </w:tcMar>
            <w:vAlign w:val="center"/>
          </w:tcPr>
          <w:p w14:paraId="4B091FBA">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Z＜100</w:t>
            </w:r>
          </w:p>
        </w:tc>
      </w:tr>
      <w:tr w14:paraId="1445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shd w:val="clear" w:color="auto" w:fill="auto"/>
            <w:tcMar>
              <w:top w:w="0" w:type="dxa"/>
              <w:left w:w="108" w:type="dxa"/>
              <w:bottom w:w="0" w:type="dxa"/>
              <w:right w:w="108" w:type="dxa"/>
            </w:tcMar>
            <w:vAlign w:val="center"/>
          </w:tcPr>
          <w:p w14:paraId="631C4511">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其他未列明行业 *</w:t>
            </w:r>
          </w:p>
        </w:tc>
        <w:tc>
          <w:tcPr>
            <w:tcW w:w="1281" w:type="dxa"/>
            <w:shd w:val="clear" w:color="auto" w:fill="auto"/>
            <w:tcMar>
              <w:top w:w="0" w:type="dxa"/>
              <w:left w:w="108" w:type="dxa"/>
              <w:bottom w:w="0" w:type="dxa"/>
              <w:right w:w="108" w:type="dxa"/>
            </w:tcMar>
            <w:vAlign w:val="center"/>
          </w:tcPr>
          <w:p w14:paraId="22953168">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从业人员(X)</w:t>
            </w:r>
          </w:p>
        </w:tc>
        <w:tc>
          <w:tcPr>
            <w:tcW w:w="758" w:type="dxa"/>
            <w:shd w:val="clear" w:color="auto" w:fill="auto"/>
            <w:tcMar>
              <w:top w:w="0" w:type="dxa"/>
              <w:left w:w="108" w:type="dxa"/>
              <w:bottom w:w="0" w:type="dxa"/>
              <w:right w:w="108" w:type="dxa"/>
            </w:tcMar>
            <w:vAlign w:val="center"/>
          </w:tcPr>
          <w:p w14:paraId="51E961F2">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人</w:t>
            </w:r>
          </w:p>
        </w:tc>
        <w:tc>
          <w:tcPr>
            <w:tcW w:w="993" w:type="dxa"/>
            <w:shd w:val="clear" w:color="auto" w:fill="auto"/>
            <w:tcMar>
              <w:top w:w="0" w:type="dxa"/>
              <w:left w:w="108" w:type="dxa"/>
              <w:bottom w:w="0" w:type="dxa"/>
              <w:right w:w="108" w:type="dxa"/>
            </w:tcMar>
            <w:vAlign w:val="center"/>
          </w:tcPr>
          <w:p w14:paraId="45E8F272">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X≥300</w:t>
            </w:r>
          </w:p>
        </w:tc>
        <w:tc>
          <w:tcPr>
            <w:tcW w:w="1491" w:type="dxa"/>
            <w:shd w:val="clear" w:color="auto" w:fill="auto"/>
            <w:tcMar>
              <w:top w:w="0" w:type="dxa"/>
              <w:left w:w="108" w:type="dxa"/>
              <w:bottom w:w="0" w:type="dxa"/>
              <w:right w:w="108" w:type="dxa"/>
            </w:tcMar>
            <w:vAlign w:val="center"/>
          </w:tcPr>
          <w:p w14:paraId="00695374">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100≤X＜300</w:t>
            </w:r>
          </w:p>
        </w:tc>
        <w:tc>
          <w:tcPr>
            <w:tcW w:w="1315" w:type="dxa"/>
            <w:shd w:val="clear" w:color="auto" w:fill="auto"/>
            <w:tcMar>
              <w:top w:w="0" w:type="dxa"/>
              <w:left w:w="108" w:type="dxa"/>
              <w:bottom w:w="0" w:type="dxa"/>
              <w:right w:w="108" w:type="dxa"/>
            </w:tcMar>
            <w:vAlign w:val="center"/>
          </w:tcPr>
          <w:p w14:paraId="224932E9">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10≤X＜100</w:t>
            </w:r>
          </w:p>
        </w:tc>
        <w:tc>
          <w:tcPr>
            <w:tcW w:w="908" w:type="dxa"/>
            <w:shd w:val="clear" w:color="auto" w:fill="auto"/>
            <w:tcMar>
              <w:top w:w="0" w:type="dxa"/>
              <w:left w:w="108" w:type="dxa"/>
              <w:bottom w:w="0" w:type="dxa"/>
              <w:right w:w="108" w:type="dxa"/>
            </w:tcMar>
            <w:vAlign w:val="center"/>
          </w:tcPr>
          <w:p w14:paraId="082B8917">
            <w:pPr>
              <w:spacing w:after="0" w:line="240" w:lineRule="auto"/>
              <w:ind w:left="105" w:leftChars="5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X＜10</w:t>
            </w:r>
          </w:p>
        </w:tc>
      </w:tr>
    </w:tbl>
    <w:p w14:paraId="6A4C9D94">
      <w:pPr>
        <w:shd w:val="clear" w:color="auto" w:fill="FFFFFF"/>
        <w:spacing w:line="375" w:lineRule="atLeast"/>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 </w:t>
      </w:r>
      <w:r>
        <w:rPr>
          <w:rFonts w:hint="eastAsia" w:ascii="微软雅黑" w:hAnsi="微软雅黑" w:eastAsia="微软雅黑" w:cs="微软雅黑"/>
          <w:spacing w:val="8"/>
          <w:szCs w:val="21"/>
          <w:highlight w:val="none"/>
        </w:rPr>
        <w:t>　　说明：</w:t>
      </w:r>
    </w:p>
    <w:p w14:paraId="7FCBDD7B">
      <w:pPr>
        <w:shd w:val="clear" w:color="auto" w:fill="FFFFFF"/>
        <w:spacing w:line="330" w:lineRule="atLeast"/>
        <w:rPr>
          <w:rFonts w:ascii="微软雅黑" w:hAnsi="微软雅黑" w:eastAsia="微软雅黑" w:cs="微软雅黑"/>
          <w:bCs/>
          <w:szCs w:val="21"/>
          <w:highlight w:val="none"/>
        </w:rPr>
      </w:pPr>
      <w:r>
        <w:rPr>
          <w:rFonts w:hint="eastAsia" w:ascii="微软雅黑" w:hAnsi="微软雅黑" w:eastAsia="微软雅黑" w:cs="微软雅黑"/>
          <w:spacing w:val="8"/>
          <w:szCs w:val="21"/>
          <w:highlight w:val="none"/>
        </w:rPr>
        <w:t> 　　1.大型、中型和小型企业须同时满足所列指标的下限，否则下划一档；微型企业只须满足所列指标中的一项即可。</w:t>
      </w:r>
    </w:p>
    <w:p w14:paraId="17EFBFF7">
      <w:pPr>
        <w:shd w:val="clear" w:color="auto" w:fill="FFFFFF"/>
        <w:spacing w:line="330" w:lineRule="atLeast"/>
        <w:rPr>
          <w:rFonts w:ascii="微软雅黑" w:hAnsi="微软雅黑" w:eastAsia="微软雅黑" w:cs="微软雅黑"/>
          <w:bCs/>
          <w:szCs w:val="21"/>
          <w:highlight w:val="none"/>
        </w:rPr>
      </w:pPr>
      <w:r>
        <w:rPr>
          <w:rFonts w:hint="eastAsia" w:ascii="微软雅黑" w:hAnsi="微软雅黑" w:eastAsia="微软雅黑" w:cs="微软雅黑"/>
          <w:spacing w:val="8"/>
          <w:szCs w:val="21"/>
          <w:highlight w:val="none"/>
        </w:rPr>
        <w:t> 　　2.附表中各行业的范围以《国民经济行业分类》（GB/T4754-2011）为准。带*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55F3236">
      <w:pPr>
        <w:shd w:val="clear" w:color="auto" w:fill="FFFFFF"/>
        <w:spacing w:line="330" w:lineRule="atLeast"/>
        <w:rPr>
          <w:rFonts w:ascii="微软雅黑" w:hAnsi="微软雅黑" w:eastAsia="微软雅黑" w:cs="微软雅黑"/>
          <w:bCs/>
          <w:szCs w:val="21"/>
          <w:highlight w:val="none"/>
        </w:rPr>
      </w:pPr>
      <w:r>
        <w:rPr>
          <w:rFonts w:hint="eastAsia" w:ascii="微软雅黑" w:hAnsi="微软雅黑" w:eastAsia="微软雅黑" w:cs="微软雅黑"/>
          <w:spacing w:val="8"/>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ECEC151">
      <w:pPr>
        <w:pStyle w:val="29"/>
        <w:snapToGrid w:val="0"/>
        <w:spacing w:line="360" w:lineRule="auto"/>
        <w:ind w:left="5250"/>
        <w:rPr>
          <w:rFonts w:ascii="微软雅黑" w:hAnsi="微软雅黑" w:eastAsia="微软雅黑" w:cs="微软雅黑"/>
          <w:szCs w:val="21"/>
          <w:highlight w:val="none"/>
          <w:shd w:val="clear" w:color="auto" w:fill="FFFFFF"/>
        </w:rPr>
      </w:pPr>
    </w:p>
    <w:p w14:paraId="10172411">
      <w:pPr>
        <w:pStyle w:val="29"/>
        <w:snapToGrid w:val="0"/>
        <w:spacing w:line="360" w:lineRule="auto"/>
        <w:rPr>
          <w:rFonts w:ascii="微软雅黑" w:hAnsi="微软雅黑" w:eastAsia="微软雅黑" w:cs="微软雅黑"/>
          <w:b/>
          <w:szCs w:val="21"/>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Trebuchet MS">
    <w:panose1 w:val="020B0603020202020204"/>
    <w:charset w:val="00"/>
    <w:family w:val="swiss"/>
    <w:pitch w:val="default"/>
    <w:sig w:usb0="00000687" w:usb1="00000000" w:usb2="00000000" w:usb3="00000000" w:csb0="2000009F" w:csb1="00000000"/>
  </w:font>
  <w:font w:name="长城仿宋">
    <w:altName w:val="仿宋"/>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FDE9E">
    <w:pPr>
      <w:keepNext w:val="0"/>
      <w:keepLines w:val="0"/>
      <w:pageBreakBefore w:val="0"/>
      <w:widowControl w:val="0"/>
      <w:kinsoku/>
      <w:wordWrap/>
      <w:overflowPunct/>
      <w:topLinePunct w:val="0"/>
      <w:autoSpaceDE/>
      <w:autoSpaceDN/>
      <w:bidi w:val="0"/>
      <w:adjustRightInd/>
      <w:spacing w:line="240" w:lineRule="exact"/>
      <w:ind w:firstLine="540" w:firstLineChars="300"/>
      <w:textAlignment w:val="auto"/>
      <w:rPr>
        <w:rFonts w:ascii="宋体" w:hAnsi="宋体"/>
        <w:color w:val="366091"/>
        <w:sz w:val="18"/>
        <w:szCs w:val="18"/>
      </w:rPr>
    </w:pPr>
    <w:r>
      <w:rPr>
        <w:sz w:val="18"/>
        <w:szCs w:val="18"/>
      </w:rPr>
      <mc:AlternateContent>
        <mc:Choice Requires="wps">
          <w:drawing>
            <wp:anchor distT="0" distB="0" distL="114300" distR="114300" simplePos="0" relativeHeight="251672576" behindDoc="0" locked="0" layoutInCell="1" allowOverlap="1">
              <wp:simplePos x="0" y="0"/>
              <wp:positionH relativeFrom="margin">
                <wp:posOffset>5093335</wp:posOffset>
              </wp:positionH>
              <wp:positionV relativeFrom="paragraph">
                <wp:posOffset>63500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72B5412">
                          <w:pPr>
                            <w:pStyle w:val="3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401.05pt;margin-top:5pt;height:144pt;width:144pt;mso-position-horizontal-relative:margin;mso-wrap-style:none;z-index:251672576;mso-width-relative:page;mso-height-relative:page;" filled="f" stroked="f" coordsize="21600,21600" o:gfxdata="UEsDBAoAAAAAAIdO4kAAAAAAAAAAAAAAAAAEAAAAZHJzL1BLAwQUAAAACACHTuJAqzHhnNQAAAAL&#10;AQAADwAAAGRycy9kb3ducmV2LnhtbE2PMU/DMBCFdyT+g3VIbNROBkjTOB0qsbBREBKbG1/jiPgc&#10;2W6a/HuuE4z33qd37zX7xY9ixpiGQBqKjQKB1AU7UK/h8+P1qQKRsiFrxkCoYcUE+/b+rjG1DVd6&#10;x/mYe8EhlGqjweU81VKmzqE3aRMmJPbOIXqT+Yy9tNFcOdyPslTqWXozEH9wZsKDw+7nePEaXpav&#10;gFPCA36f5y66Ya3Gt1Xrx4dC7UBkXPIfDLf6XB1a7nQKF7JJjBoqVRaMsqF40w1QW8XKSUO5rRTI&#10;tpH/N7S/UEsDBBQAAAAIAIdO4kBAlEQlzQEAAKkDAAAOAAAAZHJzL2Uyb0RvYy54bWytU0tu2zAQ&#10;3QfoHQjuaykGWhiC5aCFkaJA0RZIcwCaoiwC/GGGtuQLtDfoqpvscy6fo0NKctp0k0U31Pz4Zt7j&#10;aH0zWMOOClB7V/PrRcmZctI32u1rfv/t9vWKM4zCNcJ4p2p+UshvNq+u1n2o1NJ33jQKGIE4rPpQ&#10;8y7GUBUFyk5ZgQsflKNk68GKSC7siwZET+jWFMuyfFv0HpoAXipEim7HJJ8Q4SWAvm21VFsvD1a5&#10;OKKCMiISJex0QL7J07atkvFL26KKzNScmMZ8UhOyd+ksNmtR7UGETstpBPGSEZ5xskI7anqB2ooo&#10;2AH0P1BWS/Do27iQ3hYjkawIsbgun2lz14mgMheSGsNFdPx/sPLz8Ssw3dAmvOHMCUsvfv754/zr&#10;8fzwnVGMBOoDVlR3F6gyDu/9QMVzHCmYeA8t2PQlRozyJO/pIq8aIpPp0mq5WpWUkpSbHcIvnq4H&#10;wPhBecuSUXOg98uyiuMnjGPpXJK6OX+rjclvaNxfAcIcIyovwXQ7MRknTlYcdsNEb+ebE7HraRFq&#10;7mjvOTMfHemcdmY2YDZ2s3EIoPddXqrUHcO7Q6SR8qSpwwhLDJNDL5i5TtuWVuRPP1c9/WG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sx4ZzUAAAACwEAAA8AAAAAAAAAAQAgAAAAIgAAAGRycy9k&#10;b3ducmV2LnhtbFBLAQIUABQAAAAIAIdO4kBAlEQlzQEAAKkDAAAOAAAAAAAAAAEAIAAAACMBAABk&#10;cnMvZTJvRG9jLnhtbFBLBQYAAAAABgAGAFkBAABiBQAAAAA=&#10;">
              <v:fill on="f" focussize="0,0"/>
              <v:stroke on="f"/>
              <v:imagedata o:title=""/>
              <o:lock v:ext="edit" aspectratio="f"/>
              <v:textbox inset="0mm,0mm,0mm,0mm" style="mso-fit-shape-to-text:t;">
                <w:txbxContent>
                  <w:p w14:paraId="072B5412">
                    <w:pPr>
                      <w:pStyle w:val="3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eastAsia="宋体" w:cs="Times New Roman"/>
        <w:color w:val="366091"/>
        <w:sz w:val="18"/>
        <w:szCs w:val="18"/>
        <w:lang w:eastAsia="zh-CN"/>
      </w:rPr>
      <mc:AlternateContent>
        <mc:Choice Requires="wps">
          <w:drawing>
            <wp:anchor distT="0" distB="0" distL="114300" distR="114300" simplePos="0" relativeHeight="251670528" behindDoc="0" locked="0" layoutInCell="1" allowOverlap="1">
              <wp:simplePos x="0" y="0"/>
              <wp:positionH relativeFrom="column">
                <wp:posOffset>40640</wp:posOffset>
              </wp:positionH>
              <wp:positionV relativeFrom="paragraph">
                <wp:posOffset>-44450</wp:posOffset>
              </wp:positionV>
              <wp:extent cx="5208270" cy="23495"/>
              <wp:effectExtent l="0" t="28575" r="11430" b="43180"/>
              <wp:wrapNone/>
              <wp:docPr id="6" name="直接箭头连接符 6"/>
              <wp:cNvGraphicFramePr/>
              <a:graphic xmlns:a="http://schemas.openxmlformats.org/drawingml/2006/main">
                <a:graphicData uri="http://schemas.microsoft.com/office/word/2010/wordprocessingShape">
                  <wps:wsp>
                    <wps:cNvCnPr/>
                    <wps:spPr>
                      <a:xfrm>
                        <a:off x="0" y="0"/>
                        <a:ext cx="5208270" cy="23495"/>
                      </a:xfrm>
                      <a:prstGeom prst="straightConnector1">
                        <a:avLst/>
                      </a:prstGeom>
                      <a:ln w="57150" cap="flat" cmpd="thinThick">
                        <a:solidFill>
                          <a:srgbClr val="2E74B5"/>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3.2pt;margin-top:-3.5pt;height:1.85pt;width:410.1pt;z-index:251670528;mso-width-relative:page;mso-height-relative:page;" filled="f" stroked="t" coordsize="21600,21600" o:gfxdata="UEsDBAoAAAAAAIdO4kAAAAAAAAAAAAAAAAAEAAAAZHJzL1BLAwQUAAAACACHTuJAacaYo9UAAAAH&#10;AQAADwAAAGRycy9kb3ducmV2LnhtbE2PzU7DMBCE70i8g7VI3Fo7MQppiFMJBEcOtEiImxubJMJe&#10;p7b79/YsJzjOzmjm23Z99o4dbUxTQAXFUgCz2Acz4aDgffuyqIGlrNFoF9AquNgE6+76qtWNCSd8&#10;s8dNHhiVYGq0gjHnueE89aP1Oi3DbJG8rxC9ziTjwE3UJyr3jpdCVNzrCWlh1LN9Gm3/vTl4BfKy&#10;ev2QhYyif3R5NXzu6+dyr9TtTSEegGV7zn9h+MUndOiIaRcOaBJzCqo7CipY3NNHZNdlVQHb0UFK&#10;4F3L//N3P1BLAwQUAAAACACHTuJAwj/7fg8CAAABBAAADgAAAGRycy9lMm9Eb2MueG1srVPNbhMx&#10;EL4j8Q6W72ST0KRllU0lkpYLgkiUB3Bsb9bCfxo72eQleAEkTtATcOqdp4HyGIy9aQrlkgOX3bFn&#10;5pv5vhlPzrdGk42EoJyt6KDXp0Ra7oSyq4q+vbp8ckZJiMwKpp2VFd3JQM+njx9NWl/KoWucFhII&#10;gthQtr6iTYy+LIrAG2lY6DkvLTprB4ZFPMKqEMBaRDe6GPb746J1IDw4LkPA23nnpHtEOAbQ1bXi&#10;cu742kgbO1SQmkWkFBrlA53mbuta8vi6roOMRFcUmcb8xSJoL9O3mE5YuQLmG8X3LbBjWnjAyTBl&#10;segBas4iI2tQ/0AZxcEFV8ced6boiGRFkMWg/0CbNw3zMnNBqYM/iB7+Hyx/tVkAUaKiY0osMzjw&#10;2w83P99/vv329cenm1/fPyb7yzUZJ6laH0rMmNkF7E/BLyDx3tZg0h8ZkW2Wd3eQV24j4Xg5GvbP&#10;hqeoPEff8OnJs1HCLO6TPYT4QjpDklHREIGpVRNnzlocpINBlphtXobYJd4lpMrakhZrnA5GqQLD&#10;zaxxI9A0HtnFRtkrnPG7DBGcVuJSaZ0SA6yWMw1kw3BHhhenJ8/v+vorLNWas9B0cdnVbQ+4tRXY&#10;DysbycSFFSTuPOpo8fnQ1JORghIt8bUlK0dGpvQxkSiOtqhREr6TOllLJ3Z5AvkeNyOruN/itHp/&#10;nnP2/cud/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xpij1QAAAAcBAAAPAAAAAAAAAAEAIAAA&#10;ACIAAABkcnMvZG93bnJldi54bWxQSwECFAAUAAAACACHTuJAwj/7fg8CAAABBAAADgAAAAAAAAAB&#10;ACAAAAAkAQAAZHJzL2Uyb0RvYy54bWxQSwUGAAAAAAYABgBZAQAApQUAAAAA&#10;">
              <v:fill on="f" focussize="0,0"/>
              <v:stroke weight="4.5pt" color="#2E74B5" linestyle="thinThick" joinstyle="round"/>
              <v:imagedata o:title=""/>
              <o:lock v:ext="edit" aspectratio="f"/>
            </v:shape>
          </w:pict>
        </mc:Fallback>
      </mc:AlternateContent>
    </w:r>
    <w:r>
      <w:rPr>
        <w:rFonts w:hint="eastAsia" w:ascii="宋体" w:hAnsi="宋体"/>
        <w:sz w:val="18"/>
        <w:szCs w:val="18"/>
      </w:rPr>
      <w:drawing>
        <wp:anchor distT="0" distB="0" distL="114300" distR="114300" simplePos="0" relativeHeight="251671552" behindDoc="0" locked="0" layoutInCell="1" allowOverlap="1">
          <wp:simplePos x="0" y="0"/>
          <wp:positionH relativeFrom="column">
            <wp:posOffset>-133350</wp:posOffset>
          </wp:positionH>
          <wp:positionV relativeFrom="paragraph">
            <wp:posOffset>18415</wp:posOffset>
          </wp:positionV>
          <wp:extent cx="407670" cy="415290"/>
          <wp:effectExtent l="0" t="0" r="11430" b="3810"/>
          <wp:wrapSquare wrapText="bothSides"/>
          <wp:docPr id="7" name="图片 0" descr="中际徽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中际徽标.jpg"/>
                  <pic:cNvPicPr>
                    <a:picLocks noChangeAspect="1"/>
                  </pic:cNvPicPr>
                </pic:nvPicPr>
                <pic:blipFill>
                  <a:blip r:embed="rId1"/>
                  <a:stretch>
                    <a:fillRect/>
                  </a:stretch>
                </pic:blipFill>
                <pic:spPr>
                  <a:xfrm>
                    <a:off x="0" y="0"/>
                    <a:ext cx="407670" cy="415290"/>
                  </a:xfrm>
                  <a:prstGeom prst="rect">
                    <a:avLst/>
                  </a:prstGeom>
                  <a:noFill/>
                  <a:ln>
                    <a:noFill/>
                  </a:ln>
                </pic:spPr>
              </pic:pic>
            </a:graphicData>
          </a:graphic>
        </wp:anchor>
      </w:drawing>
    </w:r>
    <w:r>
      <w:rPr>
        <w:rFonts w:hint="eastAsia" w:ascii="宋体" w:hAnsi="宋体"/>
        <w:color w:val="366091"/>
        <w:sz w:val="18"/>
        <w:szCs w:val="18"/>
      </w:rPr>
      <w:t>浙江中际工程项目管理有限公司</w:t>
    </w:r>
  </w:p>
  <w:p w14:paraId="3CFBC647">
    <w:pPr>
      <w:pStyle w:val="34"/>
      <w:keepNext w:val="0"/>
      <w:keepLines w:val="0"/>
      <w:pageBreakBefore w:val="0"/>
      <w:widowControl w:val="0"/>
      <w:kinsoku/>
      <w:wordWrap/>
      <w:overflowPunct/>
      <w:topLinePunct w:val="0"/>
      <w:autoSpaceDE/>
      <w:autoSpaceDN/>
      <w:bidi w:val="0"/>
      <w:adjustRightInd/>
      <w:spacing w:line="240" w:lineRule="exact"/>
      <w:jc w:val="both"/>
      <w:textAlignment w:val="auto"/>
      <w:rPr>
        <w:sz w:val="21"/>
        <w:szCs w:val="21"/>
      </w:rPr>
    </w:pPr>
    <w:r>
      <w:rPr>
        <w:rFonts w:hint="eastAsia" w:ascii="宋体" w:hAnsi="宋体"/>
        <w:color w:val="366091"/>
        <w:sz w:val="18"/>
        <w:szCs w:val="18"/>
      </w:rPr>
      <w:t xml:space="preserve">ZHEJIANG GEOKEY ENGINEERING PROJECT MANGEMENT CO. LTD. </w:t>
    </w: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43205"/>
              <wp:effectExtent l="0" t="0" r="0" b="0"/>
              <wp:wrapNone/>
              <wp:docPr id="5" name="文本框 3"/>
              <wp:cNvGraphicFramePr/>
              <a:graphic xmlns:a="http://schemas.openxmlformats.org/drawingml/2006/main">
                <a:graphicData uri="http://schemas.microsoft.com/office/word/2010/wordprocessingShape">
                  <wps:wsp>
                    <wps:cNvSpPr txBox="1"/>
                    <wps:spPr>
                      <a:xfrm>
                        <a:off x="0" y="0"/>
                        <a:ext cx="114935" cy="243205"/>
                      </a:xfrm>
                      <a:prstGeom prst="rect">
                        <a:avLst/>
                      </a:prstGeom>
                      <a:noFill/>
                      <a:ln>
                        <a:noFill/>
                      </a:ln>
                      <a:effectLst/>
                    </wps:spPr>
                    <wps:txbx>
                      <w:txbxContent>
                        <w:p w14:paraId="0CF8B96A">
                          <w:pPr>
                            <w:pStyle w:val="34"/>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9.15pt;width:9.05pt;mso-position-horizontal:center;mso-position-horizontal-relative:margin;mso-wrap-style:none;z-index:251659264;mso-width-relative:page;mso-height-relative:page;" filled="f" stroked="f" coordsize="21600,21600" o:gfxdata="UEsDBAoAAAAAAIdO4kAAAAAAAAAAAAAAAAAEAAAAZHJzL1BLAwQUAAAACACHTuJAjb0XotAAAAAD&#10;AQAADwAAAGRycy9kb3ducmV2LnhtbE2PwWrDMBBE74X+g9hCb43sBlLjWM4h0EtvTUOht421sUyl&#10;lZEUx/77Kr20l4Vhhpm3zW52VkwU4uBZQbkqQBB3Xg/cKzh+vD5VIGJC1mg9k4KFIuza+7sGa+2v&#10;/E7TIfUil3CsUYFJaayljJ0hh3HlR+LsnX1wmLIMvdQBr7ncWflcFBvpcOC8YHCkvaHu+3BxCl7m&#10;T09jpD19nacumGGp7Nui1ONDWWxBJJrTXxhu+Bkd2sx08hfWUVgF+ZH0e29eVYI4KVhXa5BtI/+z&#10;tz9QSwMEFAAAAAgAh07iQFFSDU/TAQAApQMAAA4AAABkcnMvZTJvRG9jLnhtbK1TS27bMBDdF8gd&#10;CO5ryXZSNILloIWRoEDRFkh6AJoiLQL8gUNb8gXaG3TVTfc9l8+RISU5bbrJohtqODN8M+/NaHXT&#10;G00OIoBytqbzWUmJsNw1yu5q+vXh9vVbSiAy2zDtrKjpUQC9WV+8WnW+EgvXOt2IQBDEQtX5mrYx&#10;+qoogLfCMJg5LywGpQuGRbyGXdEE1iG60cWiLN8UnQuND44LAPRuhiAdEcNLAJ2UiouN43sjbBxQ&#10;g9AsIiVolQe6zt1KKXj8LCWISHRNkWnMJxZBe5vOYr1i1S4w3yo+tsBe0sIzToYpi0XPUBsWGdkH&#10;9Q+UUTw4cDLOuDPFQCQrgizm5TNt7lvmReaCUoM/iw7/D5Z/OnwJRDU1vaLEMoMDP/34fvr5+/Tr&#10;G1kmeToPFWbde8yL/XvX49JMfkBnYt3LYNIX+RCMo7jHs7iij4SnR/PL6yUW4RhaXC4X5VVCKZ4e&#10;+wDxTjhDklHTgLPLkrLDR4hD6pSSall3q7TO89P2LwdiDh6RF2B8nXgM/SYr9tt+JLd1zRG5dbgE&#10;NbW485ToDxY1TvsyGWEytpOx90HtWmx0nrsE/24fsaXcaaowwCLDdMHpZa7jpqX1+POes57+rvU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b0XotAAAAADAQAADwAAAAAAAAABACAAAAAiAAAAZHJz&#10;L2Rvd25yZXYueG1sUEsBAhQAFAAAAAgAh07iQFFSDU/TAQAApQMAAA4AAAAAAAAAAQAgAAAAHwEA&#10;AGRycy9lMm9Eb2MueG1sUEsFBgAAAAAGAAYAWQEAAGQFAAAAAA==&#10;">
              <v:fill on="f" focussize="0,0"/>
              <v:stroke on="f"/>
              <v:imagedata o:title=""/>
              <o:lock v:ext="edit" aspectratio="f"/>
              <v:textbox inset="0mm,0mm,0mm,0mm" style="mso-fit-shape-to-text:t;">
                <w:txbxContent>
                  <w:p w14:paraId="0CF8B96A">
                    <w:pPr>
                      <w:pStyle w:val="3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1D884">
    <w:pPr>
      <w:pStyle w:val="34"/>
      <w:framePr w:wrap="around" w:vAnchor="text" w:hAnchor="margin" w:xAlign="right" w:y="1"/>
      <w:rPr>
        <w:rStyle w:val="58"/>
      </w:rPr>
    </w:pPr>
    <w:r>
      <w:fldChar w:fldCharType="begin"/>
    </w:r>
    <w:r>
      <w:rPr>
        <w:rStyle w:val="58"/>
      </w:rPr>
      <w:instrText xml:space="preserve">PAGE  </w:instrText>
    </w:r>
    <w:r>
      <w:fldChar w:fldCharType="end"/>
    </w:r>
  </w:p>
  <w:p w14:paraId="07851DD3">
    <w:pPr>
      <w:pStyle w:val="3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14306">
    <w:pPr>
      <w:pStyle w:val="3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4AA0A">
    <w:pPr>
      <w:keepNext w:val="0"/>
      <w:keepLines w:val="0"/>
      <w:pageBreakBefore w:val="0"/>
      <w:widowControl w:val="0"/>
      <w:kinsoku/>
      <w:wordWrap/>
      <w:overflowPunct/>
      <w:topLinePunct w:val="0"/>
      <w:autoSpaceDE/>
      <w:autoSpaceDN/>
      <w:bidi w:val="0"/>
      <w:adjustRightInd/>
      <w:spacing w:line="240" w:lineRule="exact"/>
      <w:ind w:firstLine="540" w:firstLineChars="300"/>
      <w:textAlignment w:val="auto"/>
      <w:rPr>
        <w:rFonts w:ascii="宋体" w:hAnsi="宋体"/>
        <w:color w:val="366091"/>
        <w:sz w:val="18"/>
        <w:szCs w:val="18"/>
      </w:rPr>
    </w:pPr>
    <w:r>
      <w:rPr>
        <w:sz w:val="18"/>
        <w:szCs w:val="18"/>
      </w:rPr>
      <mc:AlternateContent>
        <mc:Choice Requires="wps">
          <w:drawing>
            <wp:anchor distT="0" distB="0" distL="114300" distR="114300" simplePos="0" relativeHeight="251675648" behindDoc="0" locked="0" layoutInCell="1" allowOverlap="1">
              <wp:simplePos x="0" y="0"/>
              <wp:positionH relativeFrom="margin">
                <wp:posOffset>5093335</wp:posOffset>
              </wp:positionH>
              <wp:positionV relativeFrom="paragraph">
                <wp:posOffset>63500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2DD05B8">
                          <w:pPr>
                            <w:pStyle w:val="3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401.05pt;margin-top:5pt;height:144pt;width:144pt;mso-position-horizontal-relative:margin;mso-wrap-style:none;z-index:251675648;mso-width-relative:page;mso-height-relative:page;" filled="f" stroked="f" coordsize="21600,21600" o:gfxdata="UEsDBAoAAAAAAIdO4kAAAAAAAAAAAAAAAAAEAAAAZHJzL1BLAwQUAAAACACHTuJAqzHhnNQAAAAL&#10;AQAADwAAAGRycy9kb3ducmV2LnhtbE2PMU/DMBCFdyT+g3VIbNROBkjTOB0qsbBREBKbG1/jiPgc&#10;2W6a/HuuE4z33qd37zX7xY9ixpiGQBqKjQKB1AU7UK/h8+P1qQKRsiFrxkCoYcUE+/b+rjG1DVd6&#10;x/mYe8EhlGqjweU81VKmzqE3aRMmJPbOIXqT+Yy9tNFcOdyPslTqWXozEH9wZsKDw+7nePEaXpav&#10;gFPCA36f5y66Ya3Gt1Xrx4dC7UBkXPIfDLf6XB1a7nQKF7JJjBoqVRaMsqF40w1QW8XKSUO5rRTI&#10;tpH/N7S/UEsDBBQAAAAIAIdO4kACX2GkzAEAAKcDAAAOAAAAZHJzL2Uyb0RvYy54bWytU8GO0zAQ&#10;vSPxD5bvNNkeUBQ1XYGqRUgIkBY+wHWcxpLtsTxuk/4A/AEnLtz5rn4HYyfpLstlD1yc8cz4zbw3&#10;k83taA07qYAaXMNvViVnyklotTs0/OuXu1cVZxiFa4UBpxp+Vshvty9fbAZfqzX0YFoVGIE4rAff&#10;8D5GXxcFyl5ZgSvwylGwg2BFpGs4FG0QA6FbU6zL8nUxQGh9AKkQybubgnxGDM8BhK7TUu1AHq1y&#10;cUINyohIlLDXHvk2d9t1SsZPXYcqMtNwYhrzSUXI3qez2G5EfQjC91rOLYjntPCEkxXaUdEr1E5E&#10;wY5B/wNltQyA0MWVBFtMRLIixOKmfKLNfS+8ylxIavRX0fH/wcqPp8+B6bbhNHYnLA388uP75efv&#10;y69vrEryDB5ryrr3lBfHtzDS0ix+JGdiPXbBpi/xYRQncc9XcdUYmUyPqnVVlRSSFFsuhF88PPcB&#10;4zsFliWj4YGml0UVpw8Yp9QlJVVzcKeNyRM07i8HYU4elVdgfp2YTB0nK477caa3h/ZM7AZag4Y7&#10;2nrOzHtHKqeNWYywGPvFOPqgD31eqVQd/ZtjpJZyp6nCBEsM04Xml7nOu5YW5PE9Zz38X9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zHhnNQAAAALAQAADwAAAAAAAAABACAAAAAiAAAAZHJzL2Rv&#10;d25yZXYueG1sUEsBAhQAFAAAAAgAh07iQAJfYaTMAQAApwMAAA4AAAAAAAAAAQAgAAAAIwEAAGRy&#10;cy9lMm9Eb2MueG1sUEsFBgAAAAAGAAYAWQEAAGEFAAAAAA==&#10;">
              <v:fill on="f" focussize="0,0"/>
              <v:stroke on="f"/>
              <v:imagedata o:title=""/>
              <o:lock v:ext="edit" aspectratio="f"/>
              <v:textbox inset="0mm,0mm,0mm,0mm" style="mso-fit-shape-to-text:t;">
                <w:txbxContent>
                  <w:p w14:paraId="42DD05B8">
                    <w:pPr>
                      <w:pStyle w:val="3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eastAsia="宋体" w:cs="Times New Roman"/>
        <w:color w:val="366091"/>
        <w:sz w:val="18"/>
        <w:szCs w:val="18"/>
        <w:lang w:eastAsia="zh-CN"/>
      </w:rPr>
      <mc:AlternateContent>
        <mc:Choice Requires="wps">
          <w:drawing>
            <wp:anchor distT="0" distB="0" distL="114300" distR="114300" simplePos="0" relativeHeight="251673600" behindDoc="0" locked="0" layoutInCell="1" allowOverlap="1">
              <wp:simplePos x="0" y="0"/>
              <wp:positionH relativeFrom="column">
                <wp:posOffset>40640</wp:posOffset>
              </wp:positionH>
              <wp:positionV relativeFrom="paragraph">
                <wp:posOffset>-44450</wp:posOffset>
              </wp:positionV>
              <wp:extent cx="5208270" cy="23495"/>
              <wp:effectExtent l="0" t="28575" r="11430" b="43180"/>
              <wp:wrapNone/>
              <wp:docPr id="9" name="直接箭头连接符 9"/>
              <wp:cNvGraphicFramePr/>
              <a:graphic xmlns:a="http://schemas.openxmlformats.org/drawingml/2006/main">
                <a:graphicData uri="http://schemas.microsoft.com/office/word/2010/wordprocessingShape">
                  <wps:wsp>
                    <wps:cNvCnPr/>
                    <wps:spPr>
                      <a:xfrm>
                        <a:off x="0" y="0"/>
                        <a:ext cx="5208270" cy="23495"/>
                      </a:xfrm>
                      <a:prstGeom prst="straightConnector1">
                        <a:avLst/>
                      </a:prstGeom>
                      <a:ln w="57150" cap="flat" cmpd="thinThick">
                        <a:solidFill>
                          <a:srgbClr val="2E74B5"/>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3.2pt;margin-top:-3.5pt;height:1.85pt;width:410.1pt;z-index:251673600;mso-width-relative:page;mso-height-relative:page;" filled="f" stroked="t" coordsize="21600,21600" o:gfxdata="UEsDBAoAAAAAAIdO4kAAAAAAAAAAAAAAAAAEAAAAZHJzL1BLAwQUAAAACACHTuJAacaYo9UAAAAH&#10;AQAADwAAAGRycy9kb3ducmV2LnhtbE2PzU7DMBCE70i8g7VI3Fo7MQppiFMJBEcOtEiImxubJMJe&#10;p7b79/YsJzjOzmjm23Z99o4dbUxTQAXFUgCz2Acz4aDgffuyqIGlrNFoF9AquNgE6+76qtWNCSd8&#10;s8dNHhiVYGq0gjHnueE89aP1Oi3DbJG8rxC9ziTjwE3UJyr3jpdCVNzrCWlh1LN9Gm3/vTl4BfKy&#10;ev2QhYyif3R5NXzu6+dyr9TtTSEegGV7zn9h+MUndOiIaRcOaBJzCqo7CipY3NNHZNdlVQHb0UFK&#10;4F3L//N3P1BLAwQUAAAACACHTuJAiL4mlw8CAAABBAAADgAAAGRycy9lMm9Eb2MueG1srVPNbhMx&#10;EL4j8Q6W72ST0NBmlU0lkpYLgkiUB3Bsb9bCfxo72eQleAEkTtATcOqdp4HyGIy9aQrlkgOX3bFn&#10;5pv5vhlPzrdGk42EoJyt6KDXp0Ra7oSyq4q+vbp8ckZJiMwKpp2VFd3JQM+njx9NWl/KoWucFhII&#10;gthQtr6iTYy+LIrAG2lY6DkvLTprB4ZFPMKqEMBaRDe6GPb7z4rWgfDguAwBb+edk+4R4RhAV9eK&#10;y7njayNt7FBBahaRUmiUD3Sau61ryePrug4yEl1RZBrzF4ugvUzfYjph5QqYbxTft8COaeEBJ8OU&#10;xaIHqDmLjKxB/QNlFAcXXB173JmiI5IVQRaD/gNt3jTMy8wFpQ7+IHr4f7D81WYBRImKjimxzODA&#10;bz/c/Hz/+fbb1x+fbn59/5jsL9dknKRqfSgxY2YXsD8Fv4DEe1uDSX9kRLZZ3t1BXrmNhOPlaNg/&#10;G56i8hx9w6cn41HCLO6TPYT4QjpDklHREIGpVRNnzlocpINBlphtXobYJd4lpMrakhZrnA5GqQLD&#10;zaxxI9A0HtnFRtkrnPG7DBGcVuJSaZ0SA6yWMw1kw3BHhhenJ8/v+vorLNWas9B0cdnVbQ+4tRXY&#10;DysbycSFFSTuPOpo8fnQ1JORghIt8bUlK0dGpvQxkSiOtqhREr6TOllLJ3Z5AvkeNyOruN/itHp/&#10;nnP2/cud/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xpij1QAAAAcBAAAPAAAAAAAAAAEAIAAA&#10;ACIAAABkcnMvZG93bnJldi54bWxQSwECFAAUAAAACACHTuJAiL4mlw8CAAABBAAADgAAAAAAAAAB&#10;ACAAAAAkAQAAZHJzL2Uyb0RvYy54bWxQSwUGAAAAAAYABgBZAQAApQUAAAAA&#10;">
              <v:fill on="f" focussize="0,0"/>
              <v:stroke weight="4.5pt" color="#2E74B5" linestyle="thinThick" joinstyle="round"/>
              <v:imagedata o:title=""/>
              <o:lock v:ext="edit" aspectratio="f"/>
            </v:shape>
          </w:pict>
        </mc:Fallback>
      </mc:AlternateContent>
    </w:r>
    <w:r>
      <w:rPr>
        <w:rFonts w:hint="eastAsia" w:ascii="宋体" w:hAnsi="宋体"/>
        <w:sz w:val="18"/>
        <w:szCs w:val="18"/>
      </w:rPr>
      <w:drawing>
        <wp:anchor distT="0" distB="0" distL="114300" distR="114300" simplePos="0" relativeHeight="251674624" behindDoc="0" locked="0" layoutInCell="1" allowOverlap="1">
          <wp:simplePos x="0" y="0"/>
          <wp:positionH relativeFrom="column">
            <wp:posOffset>-133350</wp:posOffset>
          </wp:positionH>
          <wp:positionV relativeFrom="paragraph">
            <wp:posOffset>18415</wp:posOffset>
          </wp:positionV>
          <wp:extent cx="407670" cy="415290"/>
          <wp:effectExtent l="0" t="0" r="11430" b="3810"/>
          <wp:wrapSquare wrapText="bothSides"/>
          <wp:docPr id="10" name="图片 0" descr="中际徽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0" descr="中际徽标.jpg"/>
                  <pic:cNvPicPr>
                    <a:picLocks noChangeAspect="1"/>
                  </pic:cNvPicPr>
                </pic:nvPicPr>
                <pic:blipFill>
                  <a:blip r:embed="rId1"/>
                  <a:stretch>
                    <a:fillRect/>
                  </a:stretch>
                </pic:blipFill>
                <pic:spPr>
                  <a:xfrm>
                    <a:off x="0" y="0"/>
                    <a:ext cx="407670" cy="415290"/>
                  </a:xfrm>
                  <a:prstGeom prst="rect">
                    <a:avLst/>
                  </a:prstGeom>
                  <a:noFill/>
                  <a:ln>
                    <a:noFill/>
                  </a:ln>
                </pic:spPr>
              </pic:pic>
            </a:graphicData>
          </a:graphic>
        </wp:anchor>
      </w:drawing>
    </w:r>
    <w:r>
      <w:rPr>
        <w:rFonts w:hint="eastAsia" w:ascii="宋体" w:hAnsi="宋体"/>
        <w:color w:val="366091"/>
        <w:sz w:val="18"/>
        <w:szCs w:val="18"/>
      </w:rPr>
      <w:t>浙江中际工程项目管理有限公司</w:t>
    </w:r>
  </w:p>
  <w:p w14:paraId="0ECC3E1E">
    <w:pPr>
      <w:pStyle w:val="34"/>
    </w:pPr>
    <w:r>
      <w:rPr>
        <w:rFonts w:hint="eastAsia" w:ascii="宋体" w:hAnsi="宋体"/>
        <w:color w:val="366091"/>
        <w:sz w:val="18"/>
        <w:szCs w:val="18"/>
      </w:rPr>
      <w:t xml:space="preserve">ZHEJIANG GEOKEY ENGINEERING PROJECT MANGEMENT CO. LTD.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7A5DF">
    <w:pPr>
      <w:pStyle w:val="34"/>
      <w:framePr w:wrap="around" w:vAnchor="text" w:hAnchor="margin" w:xAlign="right" w:y="1"/>
      <w:rPr>
        <w:rStyle w:val="58"/>
      </w:rPr>
    </w:pPr>
    <w:r>
      <w:fldChar w:fldCharType="begin"/>
    </w:r>
    <w:r>
      <w:rPr>
        <w:rStyle w:val="58"/>
      </w:rPr>
      <w:instrText xml:space="preserve">PAGE  </w:instrText>
    </w:r>
    <w:r>
      <w:fldChar w:fldCharType="end"/>
    </w:r>
  </w:p>
  <w:p w14:paraId="6BBB5F36">
    <w:pPr>
      <w:pStyle w:val="3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1B99D">
    <w:pPr>
      <w:pStyle w:val="3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212F6">
    <w:pPr>
      <w:pStyle w:val="34"/>
      <w:framePr w:wrap="around" w:vAnchor="text" w:hAnchor="margin" w:xAlign="center" w:y="1"/>
      <w:ind w:right="360"/>
      <w:jc w:val="center"/>
      <w:rPr>
        <w:rStyle w:val="58"/>
      </w:rPr>
    </w:pPr>
  </w:p>
  <w:p w14:paraId="52E94172">
    <w:pPr>
      <w:pStyle w:val="34"/>
      <w:ind w:firstLine="7920" w:firstLineChars="4400"/>
    </w:pPr>
    <w:r>
      <w:fldChar w:fldCharType="begin"/>
    </w:r>
    <w:r>
      <w:instrText xml:space="preserve"> PAGE   \* MERGEFORMAT </w:instrText>
    </w:r>
    <w:r>
      <w:fldChar w:fldCharType="separate"/>
    </w:r>
    <w:r>
      <w:rPr>
        <w:lang w:val="zh-CN"/>
      </w:rPr>
      <w:t>24</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C910C">
    <w:pPr>
      <w:pStyle w:val="34"/>
      <w:spacing w:line="240" w:lineRule="auto"/>
      <w:ind w:left="535" w:leftChars="255" w:firstLine="1305" w:firstLineChars="725"/>
      <w:jc w:val="right"/>
    </w:pPr>
    <w:r>
      <w:rPr>
        <w:rFonts w:hint="eastAsia" w:ascii="宋体" w:hAnsi="宋体" w:eastAsia="宋体" w:cs="Times New Roman"/>
        <w:color w:val="366091"/>
        <w:lang w:eastAsia="zh-CN"/>
      </w:rPr>
      <mc:AlternateContent>
        <mc:Choice Requires="wps">
          <w:drawing>
            <wp:anchor distT="0" distB="0" distL="114300" distR="114300" simplePos="0" relativeHeight="251667456" behindDoc="0" locked="0" layoutInCell="1" allowOverlap="1">
              <wp:simplePos x="0" y="0"/>
              <wp:positionH relativeFrom="column">
                <wp:posOffset>32385</wp:posOffset>
              </wp:positionH>
              <wp:positionV relativeFrom="paragraph">
                <wp:posOffset>175895</wp:posOffset>
              </wp:positionV>
              <wp:extent cx="5226685" cy="6350"/>
              <wp:effectExtent l="0" t="28575" r="12065" b="41275"/>
              <wp:wrapNone/>
              <wp:docPr id="2" name="直接箭头连接符 2"/>
              <wp:cNvGraphicFramePr/>
              <a:graphic xmlns:a="http://schemas.openxmlformats.org/drawingml/2006/main">
                <a:graphicData uri="http://schemas.microsoft.com/office/word/2010/wordprocessingShape">
                  <wps:wsp>
                    <wps:cNvCnPr/>
                    <wps:spPr>
                      <a:xfrm>
                        <a:off x="0" y="0"/>
                        <a:ext cx="5226685" cy="6350"/>
                      </a:xfrm>
                      <a:prstGeom prst="straightConnector1">
                        <a:avLst/>
                      </a:prstGeom>
                      <a:ln w="57150" cap="flat" cmpd="thinThick">
                        <a:solidFill>
                          <a:srgbClr val="2E74B5"/>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2.55pt;margin-top:13.85pt;height:0.5pt;width:411.55pt;z-index:251667456;mso-width-relative:page;mso-height-relative:page;" filled="f" stroked="t" coordsize="21600,21600" o:gfxdata="UEsDBAoAAAAAAIdO4kAAAAAAAAAAAAAAAAAEAAAAZHJzL1BLAwQUAAAACACHTuJAEzBZ49QAAAAH&#10;AQAADwAAAGRycy9kb3ducmV2LnhtbE2OO0/DMBSFdyT+g3WR2KgdRxA3jVMJBCMDBQmxufFtEhHb&#10;qe2+/j2XCcbz0Dlfsz67iR0xpjF4DcVCAEPfBTv6XsPH+8udApay8dZMwaOGCyZYt9dXjaltOPk3&#10;PG5yz2jEp9poGHKea85TN6AzaRFm9JTtQnQmk4w9t9GcaNxNXArxwJ0ZPT0MZsanAbvvzcFpKC/L&#10;18+yKKPoHqe87L/26lnutb69KcQKWMZz/ivDLz6hQ0tM23DwNrFJw31BRQ2yqoBRrKSSwLZkqAp4&#10;2/D//O0PUEsDBBQAAAAIAIdO4kAuaRiYEAIAAAAEAAAOAAAAZHJzL2Uyb0RvYy54bWytU0uOEzEQ&#10;3SNxB8t70klDMqNWOiORzLBBEInhAI7tTlv4J5eTTi7BBZBYAStgNXtOA8MxKLtDBoZNFmy6y66q&#10;V/VelacXO6PJVgZQztZ0NBhSIi13Qtl1TV9fXz06pwQis4JpZ2VN9xLoxezhg2nnK1m61mkhA0EQ&#10;C1Xna9rG6KuiAN5Kw2DgvLTobFwwLOIxrAsRWIfoRhflcDgpOheED45LALxd9E56QAynALqmUVwu&#10;HN8YaWOPGqRmESlBqzzQWe62aSSPL5sGZCS6psg05i8WQXuVvsVsyqp1YL5V/NACO6WFe5wMUxaL&#10;HqEWLDKyCeofKKN4cOCaOODOFD2RrAiyGA3vafOqZV5mLig1+KPo8P9g+YvtMhAlalpSYpnBgd++&#10;u/nx9uPt1y/fP9z8/PY+2Z8/kTJJ1XmoMGNul+FwAr8MifeuCSb9kRHZZXn3R3nlLhKOl+OynEzO&#10;x5Rw9E0ej7P6xV2uDxCfSWdIMmoKMTC1buPcWYtzdGGUFWbb5xCxOib+TkiFtSUdljgbISzhDBez&#10;wYVA03gkF1tlr3HEbzIEOK3EldI6JUJYr+Y6kC3DFSkvz548HSeqCP9XWKq1YND2cdnVL09wGysw&#10;gVWtZOLSChL3HmW0+Hpo6slIQYmW+NiSlSMjU/qUSGxCW+wl6d4rnayVE/s8gHyPi5G7PSxx2rw/&#10;zzn77uHO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TMFnj1AAAAAcBAAAPAAAAAAAAAAEAIAAA&#10;ACIAAABkcnMvZG93bnJldi54bWxQSwECFAAUAAAACACHTuJALmkYmBACAAAABAAADgAAAAAAAAAB&#10;ACAAAAAjAQAAZHJzL2Uyb0RvYy54bWxQSwUGAAAAAAYABgBZAQAApQUAAAAA&#10;">
              <v:fill on="f" focussize="0,0"/>
              <v:stroke weight="4.5pt" color="#2E74B5" linestyle="thinThick" joinstyle="round"/>
              <v:imagedata o:title=""/>
              <o:lock v:ext="edit" aspectratio="f"/>
            </v:shape>
          </w:pict>
        </mc:Fallback>
      </mc:AlternateContent>
    </w:r>
    <w:r>
      <w:rPr>
        <w:rFonts w:hint="eastAsia" w:ascii="宋体" w:hAnsi="宋体" w:cs="Times New Roman"/>
        <w:color w:val="366091"/>
        <w:lang w:val="en-US" w:eastAsia="zh-CN"/>
      </w:rPr>
      <w:t>嘉兴市南湖区大桥镇中心小学2025年度教师疗休养项目</w:t>
    </w:r>
    <w:r>
      <w:rPr>
        <w:rFonts w:hint="eastAsia" w:ascii="宋体" w:hAnsi="宋体" w:eastAsia="宋体" w:cs="Times New Roman"/>
        <w:color w:val="366091"/>
        <w:lang w:val="en-US" w:eastAsia="zh-CN"/>
      </w:rPr>
      <w:t>•招标文件</w:t>
    </w:r>
    <w:r>
      <w:rPr>
        <w:sz w:val="18"/>
      </w:rPr>
      <w:pict>
        <v:shape id="PowerPlusWaterMarkObject53472" o:spid="_x0000_s3074" o:spt="136" type="#_x0000_t136" style="position:absolute;left:0pt;margin-left:-31.75pt;margin-top:323.45pt;height:50.1pt;width:537.15pt;mso-position-horizontal-relative:margin;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shape="t" fitpath="t" trim="t" xscale="f" string="浙江中际工程项目管理有限公司" style="font-family:微软雅黑;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2466B">
    <w:pPr>
      <w:pStyle w:val="35"/>
    </w:pPr>
    <w:r>
      <w:pict>
        <v:shape id="PowerPlusWaterMarkObject4865172" o:spid="_x0000_s3075" o:spt="136" type="#_x0000_t136" style="position:absolute;left:0pt;height:45.15pt;width:587.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F36F3">
    <w:pPr>
      <w:pStyle w:val="35"/>
    </w:pPr>
    <w:r>
      <w:pict>
        <v:shape id="PowerPlusWaterMarkObject4865171" o:spid="_x0000_s3073" o:spt="136" type="#_x0000_t136" style="position:absolute;left:0pt;height:45.15pt;width:587.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FA307">
    <w:pPr>
      <w:pStyle w:val="34"/>
      <w:spacing w:line="240" w:lineRule="auto"/>
      <w:ind w:left="535" w:leftChars="255" w:firstLine="1305" w:firstLineChars="725"/>
      <w:jc w:val="right"/>
    </w:pPr>
    <w:r>
      <w:rPr>
        <w:rFonts w:hint="eastAsia" w:ascii="宋体" w:hAnsi="宋体" w:eastAsia="宋体" w:cs="Times New Roman"/>
        <w:color w:val="366091"/>
        <w:lang w:eastAsia="zh-CN"/>
      </w:rPr>
      <mc:AlternateContent>
        <mc:Choice Requires="wps">
          <w:drawing>
            <wp:anchor distT="0" distB="0" distL="114300" distR="114300" simplePos="0" relativeHeight="251669504" behindDoc="0" locked="0" layoutInCell="1" allowOverlap="1">
              <wp:simplePos x="0" y="0"/>
              <wp:positionH relativeFrom="column">
                <wp:posOffset>32385</wp:posOffset>
              </wp:positionH>
              <wp:positionV relativeFrom="paragraph">
                <wp:posOffset>167640</wp:posOffset>
              </wp:positionV>
              <wp:extent cx="5247005" cy="8255"/>
              <wp:effectExtent l="0" t="28575" r="10795" b="39370"/>
              <wp:wrapNone/>
              <wp:docPr id="3" name="直接箭头连接符 3"/>
              <wp:cNvGraphicFramePr/>
              <a:graphic xmlns:a="http://schemas.openxmlformats.org/drawingml/2006/main">
                <a:graphicData uri="http://schemas.microsoft.com/office/word/2010/wordprocessingShape">
                  <wps:wsp>
                    <wps:cNvCnPr/>
                    <wps:spPr>
                      <a:xfrm flipV="1">
                        <a:off x="0" y="0"/>
                        <a:ext cx="5247005" cy="8255"/>
                      </a:xfrm>
                      <a:prstGeom prst="straightConnector1">
                        <a:avLst/>
                      </a:prstGeom>
                      <a:ln w="57150" cap="flat" cmpd="thinThick">
                        <a:solidFill>
                          <a:srgbClr val="2E74B5"/>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2.55pt;margin-top:13.2pt;height:0.65pt;width:413.15pt;z-index:251669504;mso-width-relative:page;mso-height-relative:page;" filled="f" stroked="t" coordsize="21600,21600" o:gfxdata="UEsDBAoAAAAAAIdO4kAAAAAAAAAAAAAAAAAEAAAAZHJzL1BLAwQUAAAACACHTuJAT9/Rb9UAAAAH&#10;AQAADwAAAGRycy9kb3ducmV2LnhtbE2OwU7DMBBE70j8g7VI3KjtAm0V4lRQqYgjtIDEzbWXJCJe&#10;R7GblL9nOcFtdmY0+8r1KXRixCG1kQzomQKB5KJvqTbwut9erUCkbMnbLhIa+MYE6+r8rLSFjxO9&#10;4LjLteARSoU10OTcF1Im12CwaRZ7JM4+4xBs5nOopR/sxOOhk3OlFjLYlvhDY3vcNOi+dsdgYHza&#10;P9DH9Oae8dGNyt5vN++1NubyQqs7EBlP+a8Mv/iMDhUzHeKRfBKdgVvNRQPzxQ0IjlfXmsWBjeUS&#10;ZFXK//zVD1BLAwQUAAAACACHTuJAzi1cFxUCAAAKBAAADgAAAGRycy9lMm9Eb2MueG1srVPNbhMx&#10;EL4j8Q6W72Q3aUOqVTaVSFouCCpRuDu2N2vhP42dbPISvAASJ+AEnHrnaaA8BmNvGqBccuBijT0z&#10;38z3zXh6vjWabCQE5WxNh4OSEmm5E8quavrq+vLRGSUhMiuYdlbWdCcDPZ89fDDtfCVHrnVaSCAI&#10;YkPV+Zq2MfqqKAJvpWFh4Ly06GwcGBbxCqtCAOsQ3ehiVJaPi86B8OC4DAFfF72T7hHhGEDXNIrL&#10;heNrI23sUUFqFpFSaJUPdJa7bRrJ44umCTISXVNkGvOJRdBeprOYTVm1AuZbxfctsGNauMfJMGWx&#10;6AFqwSIja1D/QBnFwQXXxAF3puiJZEWQxbC8p83LlnmZuaDUwR9ED/8Plj/fXAFRoqYnlFhmcOC3&#10;725+vP14+/XL9w83P7+9T/bnT+QkSdX5UGHG3F7B/hb8FSTe2wYMabTyr3GnshLIjWyz0LuD0HIb&#10;CcfH8eh0UpZjSjj6zkbjcQIvepSE5iHEp9IZkoyahghMrdo4d9biRB30FdjmWYh94l1CStaWdFhi&#10;MhzjkDnDFW1wNdA0HmnGVtlrHPab3GRwWolLpXVKDLBazjWQDcNlGV1MTp/c9fVXWKq1YKHt47Kr&#10;XyNwayuwH1a1kokLK0jceRTU4j+iqScjBSVa4rdLVo6MTOljIlEcbVGjNIFe82QtndjlUeR3XJGs&#10;4n6d0w7+ec/Zv7/w7B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39Fv1QAAAAcBAAAPAAAAAAAA&#10;AAEAIAAAACIAAABkcnMvZG93bnJldi54bWxQSwECFAAUAAAACACHTuJAzi1cFxUCAAAKBAAADgAA&#10;AAAAAAABACAAAAAkAQAAZHJzL2Uyb0RvYy54bWxQSwUGAAAAAAYABgBZAQAAqwUAAAAA&#10;">
              <v:fill on="f" focussize="0,0"/>
              <v:stroke weight="4.5pt" color="#2E74B5" linestyle="thinThick" joinstyle="round"/>
              <v:imagedata o:title=""/>
              <o:lock v:ext="edit" aspectratio="f"/>
            </v:shape>
          </w:pict>
        </mc:Fallback>
      </mc:AlternateContent>
    </w:r>
    <w:r>
      <w:rPr>
        <w:rFonts w:hint="eastAsia" w:ascii="宋体" w:hAnsi="宋体" w:cs="Times New Roman"/>
        <w:color w:val="366091"/>
        <w:lang w:val="en-US" w:eastAsia="zh-CN"/>
      </w:rPr>
      <w:t>嘉兴市南湖区大桥镇中心小学2025年度教师疗休养项目</w:t>
    </w:r>
    <w:r>
      <w:rPr>
        <w:rFonts w:hint="eastAsia" w:ascii="宋体" w:hAnsi="宋体" w:eastAsia="宋体" w:cs="Times New Roman"/>
        <w:color w:val="366091"/>
        <w:lang w:val="en-US" w:eastAsia="zh-CN"/>
      </w:rPr>
      <w:t>•招标文件</w:t>
    </w:r>
    <w:r>
      <w:rPr>
        <w:sz w:val="18"/>
      </w:rPr>
      <w:pict>
        <v:shape id="_x0000_s3077" o:spid="_x0000_s3077" o:spt="136" type="#_x0000_t136" style="position:absolute;left:0pt;margin-left:-31.75pt;margin-top:323.45pt;height:50.1pt;width:537.15pt;mso-position-horizontal-relative:margin;mso-position-vertical-relative:margin;rotation:-2949120f;z-index:-251648000;mso-width-relative:page;mso-height-relative:page;" fillcolor="#C0C0C0" filled="t" stroked="f" coordsize="21600,21600" adj="10800">
          <v:path/>
          <v:fill on="t" opacity="32768f" focussize="0,0"/>
          <v:stroke on="f"/>
          <v:imagedata o:title=""/>
          <o:lock v:ext="edit" aspectratio="t"/>
          <v:textpath on="t" fitshape="t" fitpath="t" trim="t" xscale="f" string="浙江中际工程项目管理有限公司" style="font-family:微软雅黑;font-size:36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9541D">
    <w:pPr>
      <w:pStyle w:val="35"/>
    </w:pPr>
    <w:r>
      <w:pict>
        <v:shape id="PowerPlusWaterMarkObject4865175" o:spid="_x0000_s3078" o:spt="136" type="#_x0000_t136" style="position:absolute;left:0pt;height:45.15pt;width:587.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EDC7A">
    <w:pPr>
      <w:pStyle w:val="35"/>
    </w:pPr>
    <w:r>
      <w:pict>
        <v:shape id="PowerPlusWaterMarkObject4865174" o:spid="_x0000_s3076" o:spt="136" type="#_x0000_t136" style="position:absolute;left:0pt;height:45.15pt;width:587.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B7CE3">
    <w:pPr>
      <w:pStyle w:val="35"/>
    </w:pPr>
    <w:r>
      <w:pict>
        <v:shape id="PowerPlusWaterMarkObject4865181" o:spid="_x0000_s3080" o:spt="136" type="#_x0000_t136" style="position:absolute;left:0pt;height:45.15pt;width:587.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15EFB">
    <w:pPr>
      <w:pStyle w:val="35"/>
    </w:pPr>
    <w:r>
      <w:pict>
        <v:shape id="PowerPlusWaterMarkObject4865180" o:spid="_x0000_s3079" o:spt="136" type="#_x0000_t136" style="position:absolute;left:0pt;height:45.15pt;width:587.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091FE"/>
    <w:multiLevelType w:val="singleLevel"/>
    <w:tmpl w:val="92A091FE"/>
    <w:lvl w:ilvl="0" w:tentative="0">
      <w:start w:val="1"/>
      <w:numFmt w:val="decimal"/>
      <w:lvlText w:val="%1."/>
      <w:lvlJc w:val="left"/>
      <w:pPr>
        <w:ind w:left="425" w:hanging="425"/>
      </w:pPr>
      <w:rPr>
        <w:rFonts w:hint="default"/>
      </w:rPr>
    </w:lvl>
  </w:abstractNum>
  <w:abstractNum w:abstractNumId="1">
    <w:nsid w:val="EB3E1868"/>
    <w:multiLevelType w:val="singleLevel"/>
    <w:tmpl w:val="EB3E1868"/>
    <w:lvl w:ilvl="0" w:tentative="0">
      <w:start w:val="4"/>
      <w:numFmt w:val="decimal"/>
      <w:suff w:val="nothing"/>
      <w:lvlText w:val="%1、"/>
      <w:lvlJc w:val="left"/>
    </w:lvl>
  </w:abstractNum>
  <w:abstractNum w:abstractNumId="2">
    <w:nsid w:val="00684585"/>
    <w:multiLevelType w:val="multilevel"/>
    <w:tmpl w:val="00684585"/>
    <w:lvl w:ilvl="0" w:tentative="0">
      <w:start w:val="1"/>
      <w:numFmt w:val="decimal"/>
      <w:pStyle w:val="531"/>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AB67EE"/>
    <w:multiLevelType w:val="multilevel"/>
    <w:tmpl w:val="03AB67EE"/>
    <w:lvl w:ilvl="0" w:tentative="0">
      <w:start w:val="1"/>
      <w:numFmt w:val="bullet"/>
      <w:pStyle w:val="496"/>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6F212CC"/>
    <w:multiLevelType w:val="multilevel"/>
    <w:tmpl w:val="06F212CC"/>
    <w:lvl w:ilvl="0" w:tentative="0">
      <w:start w:val="1"/>
      <w:numFmt w:val="decimal"/>
      <w:pStyle w:val="284"/>
      <w:lvlText w:val="2.%1."/>
      <w:lvlJc w:val="left"/>
      <w:pPr>
        <w:tabs>
          <w:tab w:val="left" w:pos="1145"/>
        </w:tabs>
        <w:ind w:left="1145" w:hanging="4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6240AB4"/>
    <w:multiLevelType w:val="multilevel"/>
    <w:tmpl w:val="16240AB4"/>
    <w:lvl w:ilvl="0" w:tentative="0">
      <w:start w:val="1"/>
      <w:numFmt w:val="bullet"/>
      <w:pStyle w:val="246"/>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D033215"/>
    <w:multiLevelType w:val="multilevel"/>
    <w:tmpl w:val="1D033215"/>
    <w:lvl w:ilvl="0" w:tentative="0">
      <w:start w:val="1"/>
      <w:numFmt w:val="bullet"/>
      <w:pStyle w:val="533"/>
      <w:lvlText w:val="◇"/>
      <w:lvlJc w:val="left"/>
      <w:pPr>
        <w:ind w:left="0" w:hanging="420"/>
      </w:pPr>
      <w:rPr>
        <w:rFonts w:hint="eastAsia" w:ascii="微软雅黑" w:hAnsi="微软雅黑" w:eastAsia="微软雅黑"/>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2387661"/>
    <w:multiLevelType w:val="multilevel"/>
    <w:tmpl w:val="22387661"/>
    <w:lvl w:ilvl="0" w:tentative="0">
      <w:start w:val="1"/>
      <w:numFmt w:val="decimal"/>
      <w:pStyle w:val="488"/>
      <w:lvlText w:val="8.3.3.%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D3B7F25"/>
    <w:multiLevelType w:val="multilevel"/>
    <w:tmpl w:val="2D3B7F25"/>
    <w:lvl w:ilvl="0" w:tentative="0">
      <w:start w:val="1"/>
      <w:numFmt w:val="decimal"/>
      <w:lvlText w:val="%1."/>
      <w:lvlJc w:val="left"/>
      <w:pPr>
        <w:ind w:left="786" w:hanging="36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9">
    <w:nsid w:val="2EE3724F"/>
    <w:multiLevelType w:val="multilevel"/>
    <w:tmpl w:val="2EE3724F"/>
    <w:lvl w:ilvl="0" w:tentative="0">
      <w:start w:val="1"/>
      <w:numFmt w:val="bullet"/>
      <w:pStyle w:val="472"/>
      <w:lvlText w:val=""/>
      <w:lvlJc w:val="left"/>
      <w:pPr>
        <w:tabs>
          <w:tab w:val="left" w:pos="704"/>
        </w:tabs>
        <w:ind w:left="704" w:hanging="420"/>
      </w:pPr>
      <w:rPr>
        <w:rFonts w:hint="default" w:ascii="Wingdings" w:hAnsi="Wingdings"/>
      </w:rPr>
    </w:lvl>
    <w:lvl w:ilvl="1" w:tentative="0">
      <w:start w:val="1"/>
      <w:numFmt w:val="bullet"/>
      <w:pStyle w:val="471"/>
      <w:lvlText w:val=""/>
      <w:lvlJc w:val="left"/>
      <w:pPr>
        <w:tabs>
          <w:tab w:val="left" w:pos="846"/>
        </w:tabs>
        <w:ind w:left="846"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10">
    <w:nsid w:val="47583D86"/>
    <w:multiLevelType w:val="multilevel"/>
    <w:tmpl w:val="47583D86"/>
    <w:lvl w:ilvl="0" w:tentative="0">
      <w:start w:val="1"/>
      <w:numFmt w:val="decimal"/>
      <w:lvlText w:val="4.4.%1"/>
      <w:lvlJc w:val="left"/>
      <w:pPr>
        <w:tabs>
          <w:tab w:val="left" w:pos="360"/>
        </w:tabs>
        <w:ind w:left="360" w:hanging="360"/>
      </w:pPr>
      <w:rPr>
        <w:rFonts w:hint="default"/>
      </w:rPr>
    </w:lvl>
    <w:lvl w:ilvl="1" w:tentative="0">
      <w:start w:val="1"/>
      <w:numFmt w:val="decimal"/>
      <w:lvlText w:val="4.4.2.%2"/>
      <w:lvlJc w:val="left"/>
      <w:pPr>
        <w:tabs>
          <w:tab w:val="left" w:pos="840"/>
        </w:tabs>
        <w:ind w:left="840" w:hanging="420"/>
      </w:pPr>
      <w:rPr>
        <w:rFonts w:hint="eastAsia"/>
      </w:rPr>
    </w:lvl>
    <w:lvl w:ilvl="2" w:tentative="0">
      <w:start w:val="1"/>
      <w:numFmt w:val="decimalEnclosedCircle"/>
      <w:pStyle w:val="493"/>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7FA0EFA"/>
    <w:multiLevelType w:val="multilevel"/>
    <w:tmpl w:val="47FA0EFA"/>
    <w:lvl w:ilvl="0" w:tentative="0">
      <w:start w:val="1"/>
      <w:numFmt w:val="bullet"/>
      <w:pStyle w:val="286"/>
      <w:lvlText w:val="●"/>
      <w:lvlJc w:val="left"/>
      <w:pPr>
        <w:ind w:left="360" w:hanging="360"/>
      </w:pPr>
      <w:rPr>
        <w:rFonts w:hint="default" w:ascii="Trebuchet MS" w:hAnsi="Trebuchet MS"/>
        <w:b w:val="0"/>
        <w:i w:val="0"/>
        <w:color w:val="AAAAAA"/>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48484612"/>
    <w:multiLevelType w:val="singleLevel"/>
    <w:tmpl w:val="48484612"/>
    <w:lvl w:ilvl="0" w:tentative="0">
      <w:start w:val="1"/>
      <w:numFmt w:val="bullet"/>
      <w:pStyle w:val="277"/>
      <w:lvlText w:val=""/>
      <w:lvlJc w:val="left"/>
      <w:pPr>
        <w:tabs>
          <w:tab w:val="left" w:pos="1843"/>
        </w:tabs>
        <w:ind w:left="1843" w:hanging="425"/>
      </w:pPr>
      <w:rPr>
        <w:rFonts w:hint="default" w:ascii="Wingdings" w:hAnsi="Wingdings"/>
        <w:sz w:val="20"/>
      </w:rPr>
    </w:lvl>
  </w:abstractNum>
  <w:abstractNum w:abstractNumId="13">
    <w:nsid w:val="4C714CCA"/>
    <w:multiLevelType w:val="multilevel"/>
    <w:tmpl w:val="4C714CCA"/>
    <w:lvl w:ilvl="0" w:tentative="0">
      <w:start w:val="1"/>
      <w:numFmt w:val="bullet"/>
      <w:pStyle w:val="5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509821AF"/>
    <w:multiLevelType w:val="multilevel"/>
    <w:tmpl w:val="509821AF"/>
    <w:lvl w:ilvl="0" w:tentative="0">
      <w:start w:val="1"/>
      <w:numFmt w:val="none"/>
      <w:pStyle w:val="290"/>
      <w:suff w:val="nothing"/>
      <w:lvlText w:val=""/>
      <w:lvlJc w:val="left"/>
      <w:pPr>
        <w:ind w:left="0" w:firstLine="0"/>
      </w:pPr>
      <w:rPr>
        <w:rFonts w:hint="default" w:ascii="Trebuchet MS" w:hAnsi="Trebuchet MS" w:eastAsia="宋体"/>
        <w:b w:val="0"/>
        <w:i w:val="0"/>
        <w:color w:val="0085C3"/>
        <w:sz w:val="24"/>
        <w:szCs w:val="24"/>
        <w:u w:val="none"/>
      </w:rPr>
    </w:lvl>
    <w:lvl w:ilvl="1" w:tentative="0">
      <w:start w:val="1"/>
      <w:numFmt w:val="none"/>
      <w:pStyle w:val="295"/>
      <w:suff w:val="nothing"/>
      <w:lvlText w:val=""/>
      <w:lvlJc w:val="left"/>
      <w:pPr>
        <w:ind w:left="0" w:firstLine="0"/>
      </w:pPr>
      <w:rPr>
        <w:rFonts w:hint="default" w:ascii="Trebuchet MS" w:hAnsi="Trebuchet MS" w:eastAsia="宋体"/>
        <w:b w:val="0"/>
        <w:i w:val="0"/>
        <w:color w:val="0085C3"/>
        <w:sz w:val="24"/>
        <w:szCs w:val="20"/>
        <w:u w:val="none"/>
      </w:rPr>
    </w:lvl>
    <w:lvl w:ilvl="2" w:tentative="0">
      <w:start w:val="1"/>
      <w:numFmt w:val="none"/>
      <w:pStyle w:val="291"/>
      <w:suff w:val="nothing"/>
      <w:lvlText w:val=""/>
      <w:lvlJc w:val="left"/>
      <w:pPr>
        <w:ind w:left="0" w:firstLine="0"/>
      </w:pPr>
      <w:rPr>
        <w:rFonts w:hint="default" w:ascii="Trebuchet MS" w:hAnsi="Trebuchet MS" w:eastAsia="宋体"/>
        <w:b w:val="0"/>
        <w:i w:val="0"/>
        <w:color w:val="0085C3"/>
        <w:sz w:val="22"/>
        <w:szCs w:val="18"/>
        <w:u w:val="none"/>
      </w:rPr>
    </w:lvl>
    <w:lvl w:ilvl="3" w:tentative="0">
      <w:start w:val="1"/>
      <w:numFmt w:val="none"/>
      <w:pStyle w:val="292"/>
      <w:suff w:val="nothing"/>
      <w:lvlText w:val=""/>
      <w:lvlJc w:val="left"/>
      <w:pPr>
        <w:ind w:left="0" w:firstLine="0"/>
      </w:pPr>
      <w:rPr>
        <w:rFonts w:hint="default" w:ascii="Trebuchet MS" w:hAnsi="Trebuchet MS" w:eastAsia="宋体"/>
        <w:b w:val="0"/>
        <w:i w:val="0"/>
        <w:color w:val="0085C3"/>
        <w:sz w:val="20"/>
        <w:szCs w:val="16"/>
        <w:u w:val="none"/>
      </w:rPr>
    </w:lvl>
    <w:lvl w:ilvl="4" w:tentative="0">
      <w:start w:val="1"/>
      <w:numFmt w:val="none"/>
      <w:pStyle w:val="293"/>
      <w:suff w:val="nothing"/>
      <w:lvlText w:val=""/>
      <w:lvlJc w:val="left"/>
      <w:pPr>
        <w:ind w:left="0" w:firstLine="0"/>
      </w:pPr>
      <w:rPr>
        <w:rFonts w:hint="default" w:ascii="Trebuchet MS" w:hAnsi="Trebuchet MS" w:eastAsia="宋体"/>
        <w:b w:val="0"/>
        <w:i w:val="0"/>
        <w:color w:val="0085C3"/>
        <w:sz w:val="18"/>
        <w:szCs w:val="16"/>
      </w:rPr>
    </w:lvl>
    <w:lvl w:ilvl="5" w:tentative="0">
      <w:start w:val="1"/>
      <w:numFmt w:val="none"/>
      <w:pStyle w:val="294"/>
      <w:suff w:val="nothing"/>
      <w:lvlText w:val=""/>
      <w:lvlJc w:val="left"/>
      <w:pPr>
        <w:ind w:left="0" w:firstLine="0"/>
      </w:pPr>
      <w:rPr>
        <w:rFonts w:hint="default" w:ascii="Trebuchet MS" w:hAnsi="Trebuchet MS" w:eastAsia="宋体"/>
        <w:b w:val="0"/>
        <w:i w:val="0"/>
        <w:color w:val="0085C3"/>
        <w:sz w:val="16"/>
        <w:szCs w:val="24"/>
      </w:rPr>
    </w:lvl>
    <w:lvl w:ilvl="6" w:tentative="0">
      <w:start w:val="1"/>
      <w:numFmt w:val="upperLetter"/>
      <w:pStyle w:val="287"/>
      <w:suff w:val="nothing"/>
      <w:lvlText w:val="附录%7:  "/>
      <w:lvlJc w:val="left"/>
      <w:pPr>
        <w:ind w:left="0" w:firstLine="0"/>
      </w:pPr>
      <w:rPr>
        <w:rFonts w:hint="default" w:ascii="Trebuchet MS" w:hAnsi="Trebuchet MS" w:eastAsia="宋体"/>
        <w:b/>
        <w:i w:val="0"/>
        <w:caps w:val="0"/>
        <w:strike w:val="0"/>
        <w:dstrike w:val="0"/>
        <w:vanish w:val="0"/>
        <w:color w:val="0085C3"/>
        <w:sz w:val="36"/>
        <w:szCs w:val="20"/>
        <w:vertAlign w:val="baseline"/>
      </w:rPr>
    </w:lvl>
    <w:lvl w:ilvl="7" w:tentative="0">
      <w:start w:val="1"/>
      <w:numFmt w:val="decimal"/>
      <w:pStyle w:val="288"/>
      <w:suff w:val="nothing"/>
      <w:lvlText w:val="%7.%8  "/>
      <w:lvlJc w:val="left"/>
      <w:pPr>
        <w:ind w:left="0" w:firstLine="0"/>
      </w:pPr>
      <w:rPr>
        <w:rFonts w:hint="default" w:ascii="Trebuchet MS" w:hAnsi="Trebuchet MS"/>
        <w:b/>
        <w:i w:val="0"/>
        <w:color w:val="0085C3"/>
        <w:sz w:val="32"/>
        <w:szCs w:val="22"/>
      </w:rPr>
    </w:lvl>
    <w:lvl w:ilvl="8" w:tentative="0">
      <w:start w:val="1"/>
      <w:numFmt w:val="decimal"/>
      <w:pStyle w:val="289"/>
      <w:suff w:val="nothing"/>
      <w:lvlText w:val="%7.%8.%9  "/>
      <w:lvlJc w:val="left"/>
      <w:pPr>
        <w:ind w:left="0" w:firstLine="0"/>
      </w:pPr>
      <w:rPr>
        <w:rFonts w:hint="default" w:ascii="Trebuchet MS" w:hAnsi="Trebuchet MS"/>
        <w:b/>
        <w:i w:val="0"/>
        <w:color w:val="0085C3"/>
        <w:sz w:val="28"/>
        <w:szCs w:val="20"/>
      </w:rPr>
    </w:lvl>
  </w:abstractNum>
  <w:abstractNum w:abstractNumId="15">
    <w:nsid w:val="55B005B9"/>
    <w:multiLevelType w:val="multilevel"/>
    <w:tmpl w:val="55B005B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595675C2"/>
    <w:multiLevelType w:val="multilevel"/>
    <w:tmpl w:val="595675C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5C0C7826"/>
    <w:multiLevelType w:val="multilevel"/>
    <w:tmpl w:val="5C0C7826"/>
    <w:lvl w:ilvl="0" w:tentative="0">
      <w:start w:val="2"/>
      <w:numFmt w:val="decimal"/>
      <w:lvlText w:val="%1"/>
      <w:lvlJc w:val="left"/>
      <w:pPr>
        <w:ind w:left="600" w:hanging="600"/>
      </w:pPr>
      <w:rPr>
        <w:rFonts w:hint="default"/>
      </w:rPr>
    </w:lvl>
    <w:lvl w:ilvl="1" w:tentative="0">
      <w:start w:val="7"/>
      <w:numFmt w:val="decimal"/>
      <w:lvlText w:val="%1.%2"/>
      <w:lvlJc w:val="left"/>
      <w:pPr>
        <w:ind w:left="800" w:hanging="600"/>
      </w:pPr>
      <w:rPr>
        <w:rFonts w:hint="default"/>
      </w:rPr>
    </w:lvl>
    <w:lvl w:ilvl="2" w:tentative="0">
      <w:start w:val="7"/>
      <w:numFmt w:val="decimal"/>
      <w:lvlText w:val="%1.%2.%3"/>
      <w:lvlJc w:val="left"/>
      <w:pPr>
        <w:ind w:left="1120" w:hanging="720"/>
      </w:pPr>
      <w:rPr>
        <w:rFonts w:hint="default"/>
      </w:rPr>
    </w:lvl>
    <w:lvl w:ilvl="3" w:tentative="0">
      <w:start w:val="1"/>
      <w:numFmt w:val="decimal"/>
      <w:pStyle w:val="518"/>
      <w:lvlText w:val="%1.%2.%3.%4"/>
      <w:lvlJc w:val="left"/>
      <w:pPr>
        <w:ind w:left="1320" w:hanging="720"/>
      </w:pPr>
      <w:rPr>
        <w:rFonts w:hint="default"/>
      </w:rPr>
    </w:lvl>
    <w:lvl w:ilvl="4" w:tentative="0">
      <w:start w:val="1"/>
      <w:numFmt w:val="decimal"/>
      <w:lvlText w:val="%1.%2.%3.%4.%5"/>
      <w:lvlJc w:val="left"/>
      <w:pPr>
        <w:ind w:left="1880" w:hanging="1080"/>
      </w:pPr>
      <w:rPr>
        <w:rFonts w:hint="default"/>
      </w:rPr>
    </w:lvl>
    <w:lvl w:ilvl="5" w:tentative="0">
      <w:start w:val="1"/>
      <w:numFmt w:val="decimal"/>
      <w:lvlText w:val="%1.%2.%3.%4.%5.%6"/>
      <w:lvlJc w:val="left"/>
      <w:pPr>
        <w:ind w:left="2080" w:hanging="1080"/>
      </w:pPr>
      <w:rPr>
        <w:rFonts w:hint="default"/>
      </w:rPr>
    </w:lvl>
    <w:lvl w:ilvl="6" w:tentative="0">
      <w:start w:val="1"/>
      <w:numFmt w:val="decimal"/>
      <w:lvlText w:val="%1.%2.%3.%4.%5.%6.%7"/>
      <w:lvlJc w:val="left"/>
      <w:pPr>
        <w:ind w:left="2280" w:hanging="1080"/>
      </w:pPr>
      <w:rPr>
        <w:rFonts w:hint="default"/>
      </w:rPr>
    </w:lvl>
    <w:lvl w:ilvl="7" w:tentative="0">
      <w:start w:val="1"/>
      <w:numFmt w:val="decimal"/>
      <w:lvlText w:val="%1.%2.%3.%4.%5.%6.%7.%8"/>
      <w:lvlJc w:val="left"/>
      <w:pPr>
        <w:ind w:left="2840" w:hanging="1440"/>
      </w:pPr>
      <w:rPr>
        <w:rFonts w:hint="default"/>
      </w:rPr>
    </w:lvl>
    <w:lvl w:ilvl="8" w:tentative="0">
      <w:start w:val="1"/>
      <w:numFmt w:val="decimal"/>
      <w:lvlText w:val="%1.%2.%3.%4.%5.%6.%7.%8.%9"/>
      <w:lvlJc w:val="left"/>
      <w:pPr>
        <w:ind w:left="3040" w:hanging="1440"/>
      </w:pPr>
      <w:rPr>
        <w:rFonts w:hint="default"/>
      </w:rPr>
    </w:lvl>
  </w:abstractNum>
  <w:abstractNum w:abstractNumId="18">
    <w:nsid w:val="65F53776"/>
    <w:multiLevelType w:val="multilevel"/>
    <w:tmpl w:val="65F53776"/>
    <w:lvl w:ilvl="0" w:tentative="0">
      <w:start w:val="1"/>
      <w:numFmt w:val="japaneseCounting"/>
      <w:lvlText w:val="第%1章"/>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84A1E8D"/>
    <w:multiLevelType w:val="multilevel"/>
    <w:tmpl w:val="684A1E8D"/>
    <w:lvl w:ilvl="0" w:tentative="0">
      <w:start w:val="1"/>
      <w:numFmt w:val="bullet"/>
      <w:pStyle w:val="247"/>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20">
    <w:nsid w:val="69DA2676"/>
    <w:multiLevelType w:val="multilevel"/>
    <w:tmpl w:val="69DA2676"/>
    <w:lvl w:ilvl="0" w:tentative="0">
      <w:start w:val="1"/>
      <w:numFmt w:val="bullet"/>
      <w:pStyle w:val="536"/>
      <w:lvlText w:val="＞"/>
      <w:lvlJc w:val="left"/>
      <w:pPr>
        <w:ind w:left="902" w:hanging="420"/>
      </w:pPr>
      <w:rPr>
        <w:rFonts w:hint="eastAsia" w:ascii="微软雅黑" w:hAnsi="微软雅黑" w:eastAsia="微软雅黑"/>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21">
    <w:nsid w:val="6E993F20"/>
    <w:multiLevelType w:val="multilevel"/>
    <w:tmpl w:val="6E993F20"/>
    <w:lvl w:ilvl="0" w:tentative="0">
      <w:start w:val="1"/>
      <w:numFmt w:val="decimal"/>
      <w:pStyle w:val="490"/>
      <w:lvlText w:val="8.%1"/>
      <w:lvlJc w:val="left"/>
      <w:pPr>
        <w:ind w:left="420" w:hanging="420"/>
      </w:pPr>
      <w:rPr>
        <w:rFonts w:hint="eastAsia" w:ascii="宋体" w:hAnsi="宋体" w:eastAsia="宋体"/>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0023C59"/>
    <w:multiLevelType w:val="multilevel"/>
    <w:tmpl w:val="70023C59"/>
    <w:lvl w:ilvl="0" w:tentative="0">
      <w:start w:val="1"/>
      <w:numFmt w:val="bullet"/>
      <w:lvlText w:val=""/>
      <w:lvlJc w:val="left"/>
      <w:pPr>
        <w:ind w:left="846" w:hanging="420"/>
      </w:pPr>
      <w:rPr>
        <w:rFonts w:hint="default" w:ascii="Wingdings" w:hAnsi="Wingdings"/>
        <w:b/>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pStyle w:val="411"/>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3">
    <w:nsid w:val="7C564804"/>
    <w:multiLevelType w:val="multilevel"/>
    <w:tmpl w:val="7C564804"/>
    <w:lvl w:ilvl="0" w:tentative="0">
      <w:start w:val="1"/>
      <w:numFmt w:val="decimal"/>
      <w:pStyle w:val="238"/>
      <w:lvlText w:val="%1"/>
      <w:lvlJc w:val="left"/>
      <w:pPr>
        <w:ind w:left="629" w:hanging="629"/>
      </w:pPr>
      <w:rPr>
        <w:rFonts w:hint="eastAsia"/>
      </w:rPr>
    </w:lvl>
    <w:lvl w:ilvl="1" w:tentative="0">
      <w:start w:val="1"/>
      <w:numFmt w:val="decimal"/>
      <w:pStyle w:val="239"/>
      <w:lvlText w:val="%1.%2"/>
      <w:lvlJc w:val="left"/>
      <w:pPr>
        <w:ind w:left="629" w:hanging="629"/>
      </w:pPr>
      <w:rPr>
        <w:rFonts w:hint="eastAsia"/>
      </w:rPr>
    </w:lvl>
    <w:lvl w:ilvl="2" w:tentative="0">
      <w:start w:val="1"/>
      <w:numFmt w:val="decimal"/>
      <w:pStyle w:val="240"/>
      <w:lvlText w:val="%1.%2.%3"/>
      <w:lvlJc w:val="left"/>
      <w:pPr>
        <w:ind w:left="629" w:hanging="629"/>
      </w:pPr>
      <w:rPr>
        <w:rFonts w:hint="eastAsia"/>
      </w:rPr>
    </w:lvl>
    <w:lvl w:ilvl="3" w:tentative="0">
      <w:start w:val="1"/>
      <w:numFmt w:val="decimal"/>
      <w:pStyle w:val="241"/>
      <w:lvlText w:val="%1.%2.%3.%4"/>
      <w:lvlJc w:val="left"/>
      <w:pPr>
        <w:ind w:left="629" w:hanging="629"/>
      </w:pPr>
      <w:rPr>
        <w:rFonts w:hint="eastAsia"/>
      </w:rPr>
    </w:lvl>
    <w:lvl w:ilvl="4" w:tentative="0">
      <w:start w:val="1"/>
      <w:numFmt w:val="decimal"/>
      <w:pStyle w:val="242"/>
      <w:lvlText w:val="%1.%2.%3.%4.%5"/>
      <w:lvlJc w:val="left"/>
      <w:pPr>
        <w:ind w:left="629" w:hanging="629"/>
      </w:pPr>
      <w:rPr>
        <w:rFonts w:hint="eastAsia"/>
      </w:rPr>
    </w:lvl>
    <w:lvl w:ilvl="5" w:tentative="0">
      <w:start w:val="1"/>
      <w:numFmt w:val="decimal"/>
      <w:pStyle w:val="245"/>
      <w:lvlText w:val="表%6"/>
      <w:lvlJc w:val="left"/>
      <w:pPr>
        <w:ind w:left="629" w:hanging="629"/>
      </w:pPr>
      <w:rPr>
        <w:rFonts w:hint="eastAsia"/>
      </w:rPr>
    </w:lvl>
    <w:lvl w:ilvl="6" w:tentative="0">
      <w:start w:val="1"/>
      <w:numFmt w:val="decimal"/>
      <w:lvlRestart w:val="1"/>
      <w:pStyle w:val="244"/>
      <w:suff w:val="space"/>
      <w:lvlText w:val="图 %1-%7"/>
      <w:lvlJc w:val="left"/>
      <w:pPr>
        <w:ind w:left="4599" w:hanging="629"/>
      </w:pPr>
      <w:rPr>
        <w:rFonts w:hint="eastAsia"/>
      </w:rPr>
    </w:lvl>
    <w:lvl w:ilvl="7" w:tentative="0">
      <w:start w:val="1"/>
      <w:numFmt w:val="decimal"/>
      <w:lvlText w:val="%1.%2.%3.%4.%5.%6.%7.%8"/>
      <w:lvlJc w:val="left"/>
      <w:pPr>
        <w:ind w:left="629" w:hanging="629"/>
      </w:pPr>
      <w:rPr>
        <w:rFonts w:hint="eastAsia"/>
      </w:rPr>
    </w:lvl>
    <w:lvl w:ilvl="8" w:tentative="0">
      <w:start w:val="1"/>
      <w:numFmt w:val="decimal"/>
      <w:lvlText w:val="%1.%2.%3.%4.%5.%6.%7.%8.%9"/>
      <w:lvlJc w:val="left"/>
      <w:pPr>
        <w:ind w:left="629" w:hanging="629"/>
      </w:pPr>
      <w:rPr>
        <w:rFonts w:hint="eastAsia"/>
      </w:rPr>
    </w:lvl>
  </w:abstractNum>
  <w:abstractNum w:abstractNumId="24">
    <w:nsid w:val="7DAA347A"/>
    <w:multiLevelType w:val="multilevel"/>
    <w:tmpl w:val="7DAA347A"/>
    <w:lvl w:ilvl="0" w:tentative="0">
      <w:start w:val="1"/>
      <w:numFmt w:val="japaneseCounting"/>
      <w:lvlText w:val="第%1条"/>
      <w:lvlJc w:val="left"/>
      <w:pPr>
        <w:tabs>
          <w:tab w:val="left" w:pos="1157"/>
        </w:tabs>
        <w:ind w:left="1157" w:hanging="735"/>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num w:numId="1">
    <w:abstractNumId w:val="23"/>
  </w:num>
  <w:num w:numId="2">
    <w:abstractNumId w:val="5"/>
  </w:num>
  <w:num w:numId="3">
    <w:abstractNumId w:val="19"/>
  </w:num>
  <w:num w:numId="4">
    <w:abstractNumId w:val="12"/>
  </w:num>
  <w:num w:numId="5">
    <w:abstractNumId w:val="4"/>
  </w:num>
  <w:num w:numId="6">
    <w:abstractNumId w:val="11"/>
  </w:num>
  <w:num w:numId="7">
    <w:abstractNumId w:val="14"/>
  </w:num>
  <w:num w:numId="8">
    <w:abstractNumId w:val="22"/>
  </w:num>
  <w:num w:numId="9">
    <w:abstractNumId w:val="9"/>
  </w:num>
  <w:num w:numId="10">
    <w:abstractNumId w:val="7"/>
  </w:num>
  <w:num w:numId="11">
    <w:abstractNumId w:val="21"/>
  </w:num>
  <w:num w:numId="12">
    <w:abstractNumId w:val="10"/>
  </w:num>
  <w:num w:numId="13">
    <w:abstractNumId w:val="3"/>
  </w:num>
  <w:num w:numId="14">
    <w:abstractNumId w:val="17"/>
  </w:num>
  <w:num w:numId="15">
    <w:abstractNumId w:val="2"/>
  </w:num>
  <w:num w:numId="16">
    <w:abstractNumId w:val="6"/>
  </w:num>
  <w:num w:numId="17">
    <w:abstractNumId w:val="13"/>
  </w:num>
  <w:num w:numId="18">
    <w:abstractNumId w:val="20"/>
  </w:num>
  <w:num w:numId="19">
    <w:abstractNumId w:val="18"/>
  </w:num>
  <w:num w:numId="20">
    <w:abstractNumId w:val="1"/>
  </w:num>
  <w:num w:numId="21">
    <w:abstractNumId w:val="8"/>
  </w:num>
  <w:num w:numId="22">
    <w:abstractNumId w:val="15"/>
  </w:num>
  <w:num w:numId="23">
    <w:abstractNumId w:val="16"/>
  </w:num>
  <w:num w:numId="24">
    <w:abstractNumId w:val="2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documentProtection w:enforcement="0"/>
  <w:defaultTabStop w:val="105"/>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mMDQ4NjVjYTZkODMyNzRkMzMzYWIxMzBlMzY1ZDQifQ=="/>
  </w:docVars>
  <w:rsids>
    <w:rsidRoot w:val="00172A27"/>
    <w:rsid w:val="00000511"/>
    <w:rsid w:val="000006A5"/>
    <w:rsid w:val="000023DC"/>
    <w:rsid w:val="00004E52"/>
    <w:rsid w:val="00005657"/>
    <w:rsid w:val="000116CD"/>
    <w:rsid w:val="00015404"/>
    <w:rsid w:val="00017A48"/>
    <w:rsid w:val="0002213E"/>
    <w:rsid w:val="00023B6B"/>
    <w:rsid w:val="0002587C"/>
    <w:rsid w:val="00035D5E"/>
    <w:rsid w:val="0004151C"/>
    <w:rsid w:val="00041EA5"/>
    <w:rsid w:val="00043839"/>
    <w:rsid w:val="000604EE"/>
    <w:rsid w:val="00062B85"/>
    <w:rsid w:val="000644A5"/>
    <w:rsid w:val="00064E3A"/>
    <w:rsid w:val="00067EE6"/>
    <w:rsid w:val="00070DF6"/>
    <w:rsid w:val="00072083"/>
    <w:rsid w:val="000733E8"/>
    <w:rsid w:val="0007441D"/>
    <w:rsid w:val="00077BDF"/>
    <w:rsid w:val="00081881"/>
    <w:rsid w:val="00081D3E"/>
    <w:rsid w:val="00087297"/>
    <w:rsid w:val="0009075B"/>
    <w:rsid w:val="00091BDB"/>
    <w:rsid w:val="00092737"/>
    <w:rsid w:val="00096AC8"/>
    <w:rsid w:val="000977D1"/>
    <w:rsid w:val="000A3958"/>
    <w:rsid w:val="000A42EA"/>
    <w:rsid w:val="000B2C9B"/>
    <w:rsid w:val="000B5CD6"/>
    <w:rsid w:val="000B7EBB"/>
    <w:rsid w:val="000C0166"/>
    <w:rsid w:val="000C08EC"/>
    <w:rsid w:val="000C700C"/>
    <w:rsid w:val="000D04DE"/>
    <w:rsid w:val="000D4B1D"/>
    <w:rsid w:val="000D5233"/>
    <w:rsid w:val="000D5371"/>
    <w:rsid w:val="000D549B"/>
    <w:rsid w:val="000E2149"/>
    <w:rsid w:val="000E58F4"/>
    <w:rsid w:val="000E5D86"/>
    <w:rsid w:val="000E7167"/>
    <w:rsid w:val="000F351C"/>
    <w:rsid w:val="000F67AE"/>
    <w:rsid w:val="000F6B7B"/>
    <w:rsid w:val="000F741D"/>
    <w:rsid w:val="000F761E"/>
    <w:rsid w:val="000F773A"/>
    <w:rsid w:val="0010113D"/>
    <w:rsid w:val="001011B5"/>
    <w:rsid w:val="001108E1"/>
    <w:rsid w:val="00110C79"/>
    <w:rsid w:val="0011197C"/>
    <w:rsid w:val="00112255"/>
    <w:rsid w:val="00112B16"/>
    <w:rsid w:val="00113957"/>
    <w:rsid w:val="00113FC7"/>
    <w:rsid w:val="0011414D"/>
    <w:rsid w:val="00114E28"/>
    <w:rsid w:val="00117238"/>
    <w:rsid w:val="001209D6"/>
    <w:rsid w:val="0012126B"/>
    <w:rsid w:val="00121BD9"/>
    <w:rsid w:val="00123B4A"/>
    <w:rsid w:val="00127AA8"/>
    <w:rsid w:val="00127E90"/>
    <w:rsid w:val="00130234"/>
    <w:rsid w:val="0013174E"/>
    <w:rsid w:val="00131DBD"/>
    <w:rsid w:val="00133A2F"/>
    <w:rsid w:val="00136E07"/>
    <w:rsid w:val="00143377"/>
    <w:rsid w:val="00152308"/>
    <w:rsid w:val="00152C1C"/>
    <w:rsid w:val="001561BF"/>
    <w:rsid w:val="0015726C"/>
    <w:rsid w:val="00160243"/>
    <w:rsid w:val="00161FD3"/>
    <w:rsid w:val="00162C95"/>
    <w:rsid w:val="00163C2C"/>
    <w:rsid w:val="00163EC2"/>
    <w:rsid w:val="0016451C"/>
    <w:rsid w:val="00166E5C"/>
    <w:rsid w:val="00172745"/>
    <w:rsid w:val="00172A27"/>
    <w:rsid w:val="00176503"/>
    <w:rsid w:val="00176925"/>
    <w:rsid w:val="00177404"/>
    <w:rsid w:val="00182477"/>
    <w:rsid w:val="00182DBB"/>
    <w:rsid w:val="001839D9"/>
    <w:rsid w:val="00185D10"/>
    <w:rsid w:val="00186B2C"/>
    <w:rsid w:val="00190127"/>
    <w:rsid w:val="001943A3"/>
    <w:rsid w:val="00194A46"/>
    <w:rsid w:val="0019645E"/>
    <w:rsid w:val="001A3617"/>
    <w:rsid w:val="001A45CD"/>
    <w:rsid w:val="001A57CB"/>
    <w:rsid w:val="001A6572"/>
    <w:rsid w:val="001A693B"/>
    <w:rsid w:val="001B03EB"/>
    <w:rsid w:val="001B3639"/>
    <w:rsid w:val="001B475E"/>
    <w:rsid w:val="001B6045"/>
    <w:rsid w:val="001B6B4C"/>
    <w:rsid w:val="001B6F7D"/>
    <w:rsid w:val="001B7948"/>
    <w:rsid w:val="001B7CED"/>
    <w:rsid w:val="001C0673"/>
    <w:rsid w:val="001C2DEC"/>
    <w:rsid w:val="001C2EAF"/>
    <w:rsid w:val="001C4030"/>
    <w:rsid w:val="001C4595"/>
    <w:rsid w:val="001C564C"/>
    <w:rsid w:val="001D6C40"/>
    <w:rsid w:val="001D748F"/>
    <w:rsid w:val="001E0460"/>
    <w:rsid w:val="001E1308"/>
    <w:rsid w:val="001E1C8B"/>
    <w:rsid w:val="001E2A2A"/>
    <w:rsid w:val="001E674B"/>
    <w:rsid w:val="001F06A5"/>
    <w:rsid w:val="001F6E62"/>
    <w:rsid w:val="002016BF"/>
    <w:rsid w:val="0020404B"/>
    <w:rsid w:val="002058EF"/>
    <w:rsid w:val="002130FC"/>
    <w:rsid w:val="0021416C"/>
    <w:rsid w:val="002142B8"/>
    <w:rsid w:val="00214533"/>
    <w:rsid w:val="00214BF5"/>
    <w:rsid w:val="002158E8"/>
    <w:rsid w:val="00217D21"/>
    <w:rsid w:val="00222A49"/>
    <w:rsid w:val="00226127"/>
    <w:rsid w:val="002274A3"/>
    <w:rsid w:val="00231144"/>
    <w:rsid w:val="00231691"/>
    <w:rsid w:val="0023255F"/>
    <w:rsid w:val="00233877"/>
    <w:rsid w:val="0023659D"/>
    <w:rsid w:val="00237EC6"/>
    <w:rsid w:val="002455BF"/>
    <w:rsid w:val="00245DC9"/>
    <w:rsid w:val="00246C65"/>
    <w:rsid w:val="00247312"/>
    <w:rsid w:val="00247466"/>
    <w:rsid w:val="0025395F"/>
    <w:rsid w:val="00253BE1"/>
    <w:rsid w:val="00256FC0"/>
    <w:rsid w:val="00257210"/>
    <w:rsid w:val="00257D38"/>
    <w:rsid w:val="00261343"/>
    <w:rsid w:val="00261496"/>
    <w:rsid w:val="00262DAB"/>
    <w:rsid w:val="00267263"/>
    <w:rsid w:val="00270DED"/>
    <w:rsid w:val="00271C1C"/>
    <w:rsid w:val="00273871"/>
    <w:rsid w:val="00273AAF"/>
    <w:rsid w:val="00274EB9"/>
    <w:rsid w:val="00277F24"/>
    <w:rsid w:val="00281738"/>
    <w:rsid w:val="00281FA9"/>
    <w:rsid w:val="0028350F"/>
    <w:rsid w:val="0028580B"/>
    <w:rsid w:val="0028616E"/>
    <w:rsid w:val="0029221A"/>
    <w:rsid w:val="00294EBD"/>
    <w:rsid w:val="0029784E"/>
    <w:rsid w:val="002A37A3"/>
    <w:rsid w:val="002A4C97"/>
    <w:rsid w:val="002B431A"/>
    <w:rsid w:val="002B5E50"/>
    <w:rsid w:val="002B70EF"/>
    <w:rsid w:val="002B738A"/>
    <w:rsid w:val="002C5391"/>
    <w:rsid w:val="002C5645"/>
    <w:rsid w:val="002C67AD"/>
    <w:rsid w:val="002C696B"/>
    <w:rsid w:val="002D3144"/>
    <w:rsid w:val="002D329C"/>
    <w:rsid w:val="002D61CF"/>
    <w:rsid w:val="002D7762"/>
    <w:rsid w:val="002E4C7D"/>
    <w:rsid w:val="002E51AF"/>
    <w:rsid w:val="002E5542"/>
    <w:rsid w:val="002E743E"/>
    <w:rsid w:val="002E770A"/>
    <w:rsid w:val="002F1683"/>
    <w:rsid w:val="002F1789"/>
    <w:rsid w:val="002F19DC"/>
    <w:rsid w:val="002F3C12"/>
    <w:rsid w:val="002F5B6D"/>
    <w:rsid w:val="002F73EC"/>
    <w:rsid w:val="002F7560"/>
    <w:rsid w:val="002F77AF"/>
    <w:rsid w:val="003031BB"/>
    <w:rsid w:val="003045F0"/>
    <w:rsid w:val="00313496"/>
    <w:rsid w:val="00322642"/>
    <w:rsid w:val="00322C8A"/>
    <w:rsid w:val="00324D7B"/>
    <w:rsid w:val="00330353"/>
    <w:rsid w:val="003317CC"/>
    <w:rsid w:val="00332E9F"/>
    <w:rsid w:val="00337D01"/>
    <w:rsid w:val="003449E7"/>
    <w:rsid w:val="003459AD"/>
    <w:rsid w:val="00346B98"/>
    <w:rsid w:val="003476E0"/>
    <w:rsid w:val="0035076B"/>
    <w:rsid w:val="003509BA"/>
    <w:rsid w:val="0035575A"/>
    <w:rsid w:val="0035634D"/>
    <w:rsid w:val="00363A85"/>
    <w:rsid w:val="00365CC4"/>
    <w:rsid w:val="00367A55"/>
    <w:rsid w:val="003701D9"/>
    <w:rsid w:val="003705F7"/>
    <w:rsid w:val="00377345"/>
    <w:rsid w:val="0038109F"/>
    <w:rsid w:val="0038182E"/>
    <w:rsid w:val="0038266F"/>
    <w:rsid w:val="00384EBA"/>
    <w:rsid w:val="00384FF3"/>
    <w:rsid w:val="00386A98"/>
    <w:rsid w:val="003920DD"/>
    <w:rsid w:val="00393CE9"/>
    <w:rsid w:val="0039489A"/>
    <w:rsid w:val="0039732A"/>
    <w:rsid w:val="003A1D41"/>
    <w:rsid w:val="003A2BDC"/>
    <w:rsid w:val="003A47C5"/>
    <w:rsid w:val="003B0EA2"/>
    <w:rsid w:val="003B5D54"/>
    <w:rsid w:val="003C0AC9"/>
    <w:rsid w:val="003C14C3"/>
    <w:rsid w:val="003C464E"/>
    <w:rsid w:val="003C6425"/>
    <w:rsid w:val="003C6E0F"/>
    <w:rsid w:val="003D238A"/>
    <w:rsid w:val="003D457A"/>
    <w:rsid w:val="003D5714"/>
    <w:rsid w:val="003D6EF8"/>
    <w:rsid w:val="003D70C7"/>
    <w:rsid w:val="003D7B46"/>
    <w:rsid w:val="003E097B"/>
    <w:rsid w:val="003E4323"/>
    <w:rsid w:val="003E5776"/>
    <w:rsid w:val="003E793F"/>
    <w:rsid w:val="003F0954"/>
    <w:rsid w:val="003F3E50"/>
    <w:rsid w:val="003F58FE"/>
    <w:rsid w:val="0040064E"/>
    <w:rsid w:val="0040260D"/>
    <w:rsid w:val="00402919"/>
    <w:rsid w:val="00405D62"/>
    <w:rsid w:val="00410D4F"/>
    <w:rsid w:val="00411640"/>
    <w:rsid w:val="00415963"/>
    <w:rsid w:val="00415D83"/>
    <w:rsid w:val="00416A95"/>
    <w:rsid w:val="00422D39"/>
    <w:rsid w:val="00424337"/>
    <w:rsid w:val="004249C7"/>
    <w:rsid w:val="0042552E"/>
    <w:rsid w:val="00426764"/>
    <w:rsid w:val="00426E54"/>
    <w:rsid w:val="00426E94"/>
    <w:rsid w:val="004271A3"/>
    <w:rsid w:val="0042746B"/>
    <w:rsid w:val="004305B2"/>
    <w:rsid w:val="0043353B"/>
    <w:rsid w:val="0043483A"/>
    <w:rsid w:val="004453F8"/>
    <w:rsid w:val="0045171D"/>
    <w:rsid w:val="00456313"/>
    <w:rsid w:val="00461B48"/>
    <w:rsid w:val="00464DAA"/>
    <w:rsid w:val="00466D7D"/>
    <w:rsid w:val="0047010B"/>
    <w:rsid w:val="00474292"/>
    <w:rsid w:val="00477D6C"/>
    <w:rsid w:val="00480F31"/>
    <w:rsid w:val="00482768"/>
    <w:rsid w:val="00483B12"/>
    <w:rsid w:val="00487863"/>
    <w:rsid w:val="00494F9D"/>
    <w:rsid w:val="004A02B2"/>
    <w:rsid w:val="004A0DBA"/>
    <w:rsid w:val="004A0E81"/>
    <w:rsid w:val="004A2332"/>
    <w:rsid w:val="004A325D"/>
    <w:rsid w:val="004A4B4B"/>
    <w:rsid w:val="004A6689"/>
    <w:rsid w:val="004B31DD"/>
    <w:rsid w:val="004C72D3"/>
    <w:rsid w:val="004C7F59"/>
    <w:rsid w:val="004D14AD"/>
    <w:rsid w:val="004D279B"/>
    <w:rsid w:val="004D5747"/>
    <w:rsid w:val="004D5BE0"/>
    <w:rsid w:val="004E0F33"/>
    <w:rsid w:val="004F571C"/>
    <w:rsid w:val="004F77A0"/>
    <w:rsid w:val="0050117A"/>
    <w:rsid w:val="00502AA0"/>
    <w:rsid w:val="005054CB"/>
    <w:rsid w:val="00510B15"/>
    <w:rsid w:val="0051216E"/>
    <w:rsid w:val="00512230"/>
    <w:rsid w:val="005254EA"/>
    <w:rsid w:val="00530901"/>
    <w:rsid w:val="00532233"/>
    <w:rsid w:val="0054376F"/>
    <w:rsid w:val="005442DB"/>
    <w:rsid w:val="00546EDA"/>
    <w:rsid w:val="005474A4"/>
    <w:rsid w:val="0055094F"/>
    <w:rsid w:val="00551E18"/>
    <w:rsid w:val="00552D07"/>
    <w:rsid w:val="00563357"/>
    <w:rsid w:val="00564D97"/>
    <w:rsid w:val="00567B58"/>
    <w:rsid w:val="005715AD"/>
    <w:rsid w:val="0057313B"/>
    <w:rsid w:val="005806CF"/>
    <w:rsid w:val="00581601"/>
    <w:rsid w:val="00583154"/>
    <w:rsid w:val="00584A88"/>
    <w:rsid w:val="0058518B"/>
    <w:rsid w:val="00586313"/>
    <w:rsid w:val="005910AB"/>
    <w:rsid w:val="005929DC"/>
    <w:rsid w:val="005A0173"/>
    <w:rsid w:val="005A1BB4"/>
    <w:rsid w:val="005A3215"/>
    <w:rsid w:val="005A48D7"/>
    <w:rsid w:val="005A4C42"/>
    <w:rsid w:val="005A6DF5"/>
    <w:rsid w:val="005A7696"/>
    <w:rsid w:val="005A791E"/>
    <w:rsid w:val="005B1D3E"/>
    <w:rsid w:val="005B23B7"/>
    <w:rsid w:val="005B48A2"/>
    <w:rsid w:val="005B4A8A"/>
    <w:rsid w:val="005C299D"/>
    <w:rsid w:val="005C4D5D"/>
    <w:rsid w:val="005D02E9"/>
    <w:rsid w:val="005D09CD"/>
    <w:rsid w:val="005D0F60"/>
    <w:rsid w:val="005D1091"/>
    <w:rsid w:val="005D1BEB"/>
    <w:rsid w:val="005D3E00"/>
    <w:rsid w:val="005D7B2F"/>
    <w:rsid w:val="005D7D8E"/>
    <w:rsid w:val="005D7DF2"/>
    <w:rsid w:val="005E0B2B"/>
    <w:rsid w:val="005E15DE"/>
    <w:rsid w:val="005E17A0"/>
    <w:rsid w:val="005E2904"/>
    <w:rsid w:val="005E3514"/>
    <w:rsid w:val="005E3EA2"/>
    <w:rsid w:val="005E48C4"/>
    <w:rsid w:val="005E4AE2"/>
    <w:rsid w:val="005E4F00"/>
    <w:rsid w:val="005E682B"/>
    <w:rsid w:val="005F072E"/>
    <w:rsid w:val="005F0C64"/>
    <w:rsid w:val="005F6552"/>
    <w:rsid w:val="005F6EE9"/>
    <w:rsid w:val="00603D97"/>
    <w:rsid w:val="00605D8B"/>
    <w:rsid w:val="00607CAC"/>
    <w:rsid w:val="006132C0"/>
    <w:rsid w:val="00622814"/>
    <w:rsid w:val="006240CF"/>
    <w:rsid w:val="00624988"/>
    <w:rsid w:val="00626281"/>
    <w:rsid w:val="006315A3"/>
    <w:rsid w:val="00632FD3"/>
    <w:rsid w:val="00635ED1"/>
    <w:rsid w:val="0064011D"/>
    <w:rsid w:val="00640CE0"/>
    <w:rsid w:val="0064232C"/>
    <w:rsid w:val="00642D53"/>
    <w:rsid w:val="006551A8"/>
    <w:rsid w:val="00656C46"/>
    <w:rsid w:val="00662139"/>
    <w:rsid w:val="006670DD"/>
    <w:rsid w:val="006722DD"/>
    <w:rsid w:val="0067678C"/>
    <w:rsid w:val="00676D64"/>
    <w:rsid w:val="00676F7C"/>
    <w:rsid w:val="006851EC"/>
    <w:rsid w:val="00686F48"/>
    <w:rsid w:val="00692E3A"/>
    <w:rsid w:val="00693E22"/>
    <w:rsid w:val="00696493"/>
    <w:rsid w:val="00697521"/>
    <w:rsid w:val="00697DEB"/>
    <w:rsid w:val="006A095B"/>
    <w:rsid w:val="006A1C49"/>
    <w:rsid w:val="006A1D93"/>
    <w:rsid w:val="006A3D70"/>
    <w:rsid w:val="006A6F53"/>
    <w:rsid w:val="006A7477"/>
    <w:rsid w:val="006A7EAA"/>
    <w:rsid w:val="006B43F5"/>
    <w:rsid w:val="006B5F89"/>
    <w:rsid w:val="006C062D"/>
    <w:rsid w:val="006C1653"/>
    <w:rsid w:val="006C1945"/>
    <w:rsid w:val="006C3BCD"/>
    <w:rsid w:val="006C4B87"/>
    <w:rsid w:val="006C4C2F"/>
    <w:rsid w:val="006C525E"/>
    <w:rsid w:val="006C7928"/>
    <w:rsid w:val="006D3568"/>
    <w:rsid w:val="006D3ED4"/>
    <w:rsid w:val="006D65FD"/>
    <w:rsid w:val="006D736E"/>
    <w:rsid w:val="006E0FC0"/>
    <w:rsid w:val="006E1BFE"/>
    <w:rsid w:val="006E25F1"/>
    <w:rsid w:val="006E3404"/>
    <w:rsid w:val="006E5A77"/>
    <w:rsid w:val="006F0289"/>
    <w:rsid w:val="006F1346"/>
    <w:rsid w:val="006F1B8E"/>
    <w:rsid w:val="006F24EC"/>
    <w:rsid w:val="006F38D1"/>
    <w:rsid w:val="006F54EB"/>
    <w:rsid w:val="007028CA"/>
    <w:rsid w:val="0070517C"/>
    <w:rsid w:val="00707EF9"/>
    <w:rsid w:val="00717DD0"/>
    <w:rsid w:val="00717E59"/>
    <w:rsid w:val="007218D0"/>
    <w:rsid w:val="007237C8"/>
    <w:rsid w:val="0073177C"/>
    <w:rsid w:val="007321ED"/>
    <w:rsid w:val="00732945"/>
    <w:rsid w:val="00733032"/>
    <w:rsid w:val="007353A6"/>
    <w:rsid w:val="00735C79"/>
    <w:rsid w:val="00740BC6"/>
    <w:rsid w:val="00744513"/>
    <w:rsid w:val="007458BB"/>
    <w:rsid w:val="00747B60"/>
    <w:rsid w:val="00760CBD"/>
    <w:rsid w:val="007619E4"/>
    <w:rsid w:val="0076237B"/>
    <w:rsid w:val="0076315B"/>
    <w:rsid w:val="00765CF0"/>
    <w:rsid w:val="00766181"/>
    <w:rsid w:val="007674BF"/>
    <w:rsid w:val="00773888"/>
    <w:rsid w:val="007739B4"/>
    <w:rsid w:val="00773C4B"/>
    <w:rsid w:val="00774654"/>
    <w:rsid w:val="00780680"/>
    <w:rsid w:val="00790C19"/>
    <w:rsid w:val="00792B7E"/>
    <w:rsid w:val="007938AC"/>
    <w:rsid w:val="007A6928"/>
    <w:rsid w:val="007B392C"/>
    <w:rsid w:val="007B3FE6"/>
    <w:rsid w:val="007B4277"/>
    <w:rsid w:val="007B7686"/>
    <w:rsid w:val="007C018D"/>
    <w:rsid w:val="007C03E8"/>
    <w:rsid w:val="007C32B9"/>
    <w:rsid w:val="007C6C19"/>
    <w:rsid w:val="007D134B"/>
    <w:rsid w:val="007D1C01"/>
    <w:rsid w:val="007D3034"/>
    <w:rsid w:val="007D5A83"/>
    <w:rsid w:val="007D7157"/>
    <w:rsid w:val="007E0EC3"/>
    <w:rsid w:val="007E11F3"/>
    <w:rsid w:val="007E1B08"/>
    <w:rsid w:val="007E23FE"/>
    <w:rsid w:val="007E2FE0"/>
    <w:rsid w:val="007E4A26"/>
    <w:rsid w:val="007F14E2"/>
    <w:rsid w:val="007F3D0B"/>
    <w:rsid w:val="007F3FF1"/>
    <w:rsid w:val="007F645F"/>
    <w:rsid w:val="00805D87"/>
    <w:rsid w:val="008128E7"/>
    <w:rsid w:val="00812C9C"/>
    <w:rsid w:val="0081329A"/>
    <w:rsid w:val="00815FE6"/>
    <w:rsid w:val="00816F0B"/>
    <w:rsid w:val="00817EFD"/>
    <w:rsid w:val="00820B7E"/>
    <w:rsid w:val="00825AC3"/>
    <w:rsid w:val="0082649A"/>
    <w:rsid w:val="00827727"/>
    <w:rsid w:val="00833778"/>
    <w:rsid w:val="00833DED"/>
    <w:rsid w:val="00836238"/>
    <w:rsid w:val="00836948"/>
    <w:rsid w:val="008421A3"/>
    <w:rsid w:val="00842B72"/>
    <w:rsid w:val="00855376"/>
    <w:rsid w:val="00855DF5"/>
    <w:rsid w:val="00856711"/>
    <w:rsid w:val="00857FE3"/>
    <w:rsid w:val="0086289B"/>
    <w:rsid w:val="00863328"/>
    <w:rsid w:val="00866119"/>
    <w:rsid w:val="00870A6A"/>
    <w:rsid w:val="00872D17"/>
    <w:rsid w:val="008750FE"/>
    <w:rsid w:val="00876D9F"/>
    <w:rsid w:val="00880549"/>
    <w:rsid w:val="008813C4"/>
    <w:rsid w:val="008919A3"/>
    <w:rsid w:val="00897550"/>
    <w:rsid w:val="00897C6E"/>
    <w:rsid w:val="00897D29"/>
    <w:rsid w:val="008A060C"/>
    <w:rsid w:val="008A3955"/>
    <w:rsid w:val="008A638A"/>
    <w:rsid w:val="008A7AFB"/>
    <w:rsid w:val="008B0FFF"/>
    <w:rsid w:val="008B218E"/>
    <w:rsid w:val="008B5E6B"/>
    <w:rsid w:val="008C0721"/>
    <w:rsid w:val="008C0990"/>
    <w:rsid w:val="008C3B2E"/>
    <w:rsid w:val="008C4C49"/>
    <w:rsid w:val="008C6001"/>
    <w:rsid w:val="008D1F88"/>
    <w:rsid w:val="008D2728"/>
    <w:rsid w:val="008D3DAD"/>
    <w:rsid w:val="008D4640"/>
    <w:rsid w:val="008D4FC1"/>
    <w:rsid w:val="008D79F2"/>
    <w:rsid w:val="008E2CB7"/>
    <w:rsid w:val="008E68EA"/>
    <w:rsid w:val="008F0F86"/>
    <w:rsid w:val="008F30D0"/>
    <w:rsid w:val="008F62CD"/>
    <w:rsid w:val="008F6DBD"/>
    <w:rsid w:val="009115DA"/>
    <w:rsid w:val="0091465D"/>
    <w:rsid w:val="009150F9"/>
    <w:rsid w:val="00915133"/>
    <w:rsid w:val="00915DC2"/>
    <w:rsid w:val="009163E4"/>
    <w:rsid w:val="009210A1"/>
    <w:rsid w:val="0092382B"/>
    <w:rsid w:val="00924A2B"/>
    <w:rsid w:val="00925001"/>
    <w:rsid w:val="00926BF5"/>
    <w:rsid w:val="00931C19"/>
    <w:rsid w:val="00934710"/>
    <w:rsid w:val="009429CF"/>
    <w:rsid w:val="009429DF"/>
    <w:rsid w:val="00942F20"/>
    <w:rsid w:val="009430E0"/>
    <w:rsid w:val="009464CC"/>
    <w:rsid w:val="00947506"/>
    <w:rsid w:val="00947673"/>
    <w:rsid w:val="009510FC"/>
    <w:rsid w:val="00951A05"/>
    <w:rsid w:val="00952916"/>
    <w:rsid w:val="009545E8"/>
    <w:rsid w:val="00954670"/>
    <w:rsid w:val="009552DE"/>
    <w:rsid w:val="0096022E"/>
    <w:rsid w:val="009652FF"/>
    <w:rsid w:val="00965B39"/>
    <w:rsid w:val="00965CA3"/>
    <w:rsid w:val="009723FB"/>
    <w:rsid w:val="00972670"/>
    <w:rsid w:val="0097381B"/>
    <w:rsid w:val="00980697"/>
    <w:rsid w:val="00980A21"/>
    <w:rsid w:val="00980F90"/>
    <w:rsid w:val="00982319"/>
    <w:rsid w:val="00982506"/>
    <w:rsid w:val="009857BA"/>
    <w:rsid w:val="00985C9C"/>
    <w:rsid w:val="0099197C"/>
    <w:rsid w:val="00991EA4"/>
    <w:rsid w:val="00992B4C"/>
    <w:rsid w:val="009A07C8"/>
    <w:rsid w:val="009A3972"/>
    <w:rsid w:val="009A56CC"/>
    <w:rsid w:val="009B33BC"/>
    <w:rsid w:val="009B4526"/>
    <w:rsid w:val="009B6A51"/>
    <w:rsid w:val="009B7368"/>
    <w:rsid w:val="009C0244"/>
    <w:rsid w:val="009C0962"/>
    <w:rsid w:val="009C6E0C"/>
    <w:rsid w:val="009D1A95"/>
    <w:rsid w:val="009D4D3B"/>
    <w:rsid w:val="009D4FCE"/>
    <w:rsid w:val="009E3B2F"/>
    <w:rsid w:val="009E4AAD"/>
    <w:rsid w:val="009E5FFA"/>
    <w:rsid w:val="009F1AA8"/>
    <w:rsid w:val="009F1E5C"/>
    <w:rsid w:val="009F3143"/>
    <w:rsid w:val="009F3701"/>
    <w:rsid w:val="009F377A"/>
    <w:rsid w:val="009F56BE"/>
    <w:rsid w:val="009F748A"/>
    <w:rsid w:val="009F74A5"/>
    <w:rsid w:val="009F7B93"/>
    <w:rsid w:val="00A0029B"/>
    <w:rsid w:val="00A01076"/>
    <w:rsid w:val="00A03624"/>
    <w:rsid w:val="00A04CB5"/>
    <w:rsid w:val="00A111A5"/>
    <w:rsid w:val="00A131B5"/>
    <w:rsid w:val="00A13D50"/>
    <w:rsid w:val="00A15936"/>
    <w:rsid w:val="00A226AC"/>
    <w:rsid w:val="00A307DE"/>
    <w:rsid w:val="00A41944"/>
    <w:rsid w:val="00A41E0C"/>
    <w:rsid w:val="00A45B2C"/>
    <w:rsid w:val="00A47036"/>
    <w:rsid w:val="00A50B71"/>
    <w:rsid w:val="00A52C21"/>
    <w:rsid w:val="00A55AE6"/>
    <w:rsid w:val="00A5724A"/>
    <w:rsid w:val="00A602EC"/>
    <w:rsid w:val="00A6049C"/>
    <w:rsid w:val="00A625B7"/>
    <w:rsid w:val="00A62886"/>
    <w:rsid w:val="00A70EA9"/>
    <w:rsid w:val="00A722AA"/>
    <w:rsid w:val="00A74678"/>
    <w:rsid w:val="00A75467"/>
    <w:rsid w:val="00A76ADE"/>
    <w:rsid w:val="00A820B4"/>
    <w:rsid w:val="00A82326"/>
    <w:rsid w:val="00A825FF"/>
    <w:rsid w:val="00A84D62"/>
    <w:rsid w:val="00A852F3"/>
    <w:rsid w:val="00A86285"/>
    <w:rsid w:val="00A863B5"/>
    <w:rsid w:val="00A87C86"/>
    <w:rsid w:val="00A951EC"/>
    <w:rsid w:val="00AA414B"/>
    <w:rsid w:val="00AA47D7"/>
    <w:rsid w:val="00AA557B"/>
    <w:rsid w:val="00AA6C77"/>
    <w:rsid w:val="00AA7949"/>
    <w:rsid w:val="00AB0574"/>
    <w:rsid w:val="00AB0C64"/>
    <w:rsid w:val="00AB0F57"/>
    <w:rsid w:val="00AB6824"/>
    <w:rsid w:val="00AB70DD"/>
    <w:rsid w:val="00AC0995"/>
    <w:rsid w:val="00AC4302"/>
    <w:rsid w:val="00AC7123"/>
    <w:rsid w:val="00AC7F96"/>
    <w:rsid w:val="00AD069B"/>
    <w:rsid w:val="00AD4FA0"/>
    <w:rsid w:val="00AE7E3C"/>
    <w:rsid w:val="00AF3C99"/>
    <w:rsid w:val="00AF3DFC"/>
    <w:rsid w:val="00AF53D3"/>
    <w:rsid w:val="00AF7C87"/>
    <w:rsid w:val="00B01960"/>
    <w:rsid w:val="00B01C41"/>
    <w:rsid w:val="00B06295"/>
    <w:rsid w:val="00B07089"/>
    <w:rsid w:val="00B103AD"/>
    <w:rsid w:val="00B15CFC"/>
    <w:rsid w:val="00B20ECE"/>
    <w:rsid w:val="00B211A8"/>
    <w:rsid w:val="00B21D8D"/>
    <w:rsid w:val="00B31E78"/>
    <w:rsid w:val="00B331E8"/>
    <w:rsid w:val="00B33EF4"/>
    <w:rsid w:val="00B33FFA"/>
    <w:rsid w:val="00B340C4"/>
    <w:rsid w:val="00B372B4"/>
    <w:rsid w:val="00B40C25"/>
    <w:rsid w:val="00B42126"/>
    <w:rsid w:val="00B42204"/>
    <w:rsid w:val="00B43C9A"/>
    <w:rsid w:val="00B44CD4"/>
    <w:rsid w:val="00B471AC"/>
    <w:rsid w:val="00B53B7D"/>
    <w:rsid w:val="00B5500F"/>
    <w:rsid w:val="00B6620C"/>
    <w:rsid w:val="00B66AE8"/>
    <w:rsid w:val="00B73208"/>
    <w:rsid w:val="00B75F2E"/>
    <w:rsid w:val="00B77408"/>
    <w:rsid w:val="00B80632"/>
    <w:rsid w:val="00B840B0"/>
    <w:rsid w:val="00B86EBD"/>
    <w:rsid w:val="00B86FC7"/>
    <w:rsid w:val="00B87561"/>
    <w:rsid w:val="00B87A3C"/>
    <w:rsid w:val="00B93F35"/>
    <w:rsid w:val="00B9429B"/>
    <w:rsid w:val="00B945F5"/>
    <w:rsid w:val="00B94DEC"/>
    <w:rsid w:val="00B958DE"/>
    <w:rsid w:val="00B97B90"/>
    <w:rsid w:val="00BA26B6"/>
    <w:rsid w:val="00BA3945"/>
    <w:rsid w:val="00BA43DA"/>
    <w:rsid w:val="00BA6594"/>
    <w:rsid w:val="00BA66B2"/>
    <w:rsid w:val="00BB093A"/>
    <w:rsid w:val="00BB1880"/>
    <w:rsid w:val="00BB28BE"/>
    <w:rsid w:val="00BB374D"/>
    <w:rsid w:val="00BC4B30"/>
    <w:rsid w:val="00BC4DF6"/>
    <w:rsid w:val="00BC7A6E"/>
    <w:rsid w:val="00BD1967"/>
    <w:rsid w:val="00BD3E69"/>
    <w:rsid w:val="00BE1F1A"/>
    <w:rsid w:val="00BE3A80"/>
    <w:rsid w:val="00BE49DF"/>
    <w:rsid w:val="00BF0B2A"/>
    <w:rsid w:val="00BF5147"/>
    <w:rsid w:val="00BF64C8"/>
    <w:rsid w:val="00BF7339"/>
    <w:rsid w:val="00C04C7F"/>
    <w:rsid w:val="00C04F98"/>
    <w:rsid w:val="00C0681F"/>
    <w:rsid w:val="00C11409"/>
    <w:rsid w:val="00C17581"/>
    <w:rsid w:val="00C209E9"/>
    <w:rsid w:val="00C22B98"/>
    <w:rsid w:val="00C2318A"/>
    <w:rsid w:val="00C27B04"/>
    <w:rsid w:val="00C3107E"/>
    <w:rsid w:val="00C312D5"/>
    <w:rsid w:val="00C31C4C"/>
    <w:rsid w:val="00C34DD2"/>
    <w:rsid w:val="00C352EB"/>
    <w:rsid w:val="00C360ED"/>
    <w:rsid w:val="00C439F4"/>
    <w:rsid w:val="00C44808"/>
    <w:rsid w:val="00C5062D"/>
    <w:rsid w:val="00C554B6"/>
    <w:rsid w:val="00C6075D"/>
    <w:rsid w:val="00C61C36"/>
    <w:rsid w:val="00C63C13"/>
    <w:rsid w:val="00C643D9"/>
    <w:rsid w:val="00C659EF"/>
    <w:rsid w:val="00C65D59"/>
    <w:rsid w:val="00C706AB"/>
    <w:rsid w:val="00C70B62"/>
    <w:rsid w:val="00C7431A"/>
    <w:rsid w:val="00C7726F"/>
    <w:rsid w:val="00C8287E"/>
    <w:rsid w:val="00C830AC"/>
    <w:rsid w:val="00C837C1"/>
    <w:rsid w:val="00C84A44"/>
    <w:rsid w:val="00C856CD"/>
    <w:rsid w:val="00C87907"/>
    <w:rsid w:val="00C9002C"/>
    <w:rsid w:val="00C91E86"/>
    <w:rsid w:val="00C9476D"/>
    <w:rsid w:val="00C978DC"/>
    <w:rsid w:val="00CA02F3"/>
    <w:rsid w:val="00CA0ADB"/>
    <w:rsid w:val="00CA184D"/>
    <w:rsid w:val="00CA3213"/>
    <w:rsid w:val="00CA5915"/>
    <w:rsid w:val="00CA709F"/>
    <w:rsid w:val="00CA7135"/>
    <w:rsid w:val="00CA75FD"/>
    <w:rsid w:val="00CB2371"/>
    <w:rsid w:val="00CB3350"/>
    <w:rsid w:val="00CB4394"/>
    <w:rsid w:val="00CB4DA7"/>
    <w:rsid w:val="00CB7206"/>
    <w:rsid w:val="00CC0020"/>
    <w:rsid w:val="00CC0276"/>
    <w:rsid w:val="00CC1F85"/>
    <w:rsid w:val="00CC49F2"/>
    <w:rsid w:val="00CC65CC"/>
    <w:rsid w:val="00CD00A0"/>
    <w:rsid w:val="00CD013D"/>
    <w:rsid w:val="00CD30C4"/>
    <w:rsid w:val="00CD7664"/>
    <w:rsid w:val="00CE27F6"/>
    <w:rsid w:val="00CE384C"/>
    <w:rsid w:val="00CE411B"/>
    <w:rsid w:val="00CE7184"/>
    <w:rsid w:val="00CF1A97"/>
    <w:rsid w:val="00CF5103"/>
    <w:rsid w:val="00D01E88"/>
    <w:rsid w:val="00D027C6"/>
    <w:rsid w:val="00D0357C"/>
    <w:rsid w:val="00D066B0"/>
    <w:rsid w:val="00D0719D"/>
    <w:rsid w:val="00D1033A"/>
    <w:rsid w:val="00D1193B"/>
    <w:rsid w:val="00D11A73"/>
    <w:rsid w:val="00D124B9"/>
    <w:rsid w:val="00D13787"/>
    <w:rsid w:val="00D145FB"/>
    <w:rsid w:val="00D168BC"/>
    <w:rsid w:val="00D20319"/>
    <w:rsid w:val="00D20518"/>
    <w:rsid w:val="00D21065"/>
    <w:rsid w:val="00D2347E"/>
    <w:rsid w:val="00D24CEE"/>
    <w:rsid w:val="00D31F21"/>
    <w:rsid w:val="00D33908"/>
    <w:rsid w:val="00D3491A"/>
    <w:rsid w:val="00D40CA2"/>
    <w:rsid w:val="00D41E4A"/>
    <w:rsid w:val="00D43E43"/>
    <w:rsid w:val="00D44718"/>
    <w:rsid w:val="00D474F7"/>
    <w:rsid w:val="00D47F87"/>
    <w:rsid w:val="00D51A59"/>
    <w:rsid w:val="00D524F1"/>
    <w:rsid w:val="00D52C6D"/>
    <w:rsid w:val="00D55420"/>
    <w:rsid w:val="00D560EC"/>
    <w:rsid w:val="00D571C3"/>
    <w:rsid w:val="00D640CD"/>
    <w:rsid w:val="00D65239"/>
    <w:rsid w:val="00D67AE4"/>
    <w:rsid w:val="00D75A5B"/>
    <w:rsid w:val="00D7795F"/>
    <w:rsid w:val="00D800FC"/>
    <w:rsid w:val="00D8049F"/>
    <w:rsid w:val="00D806E7"/>
    <w:rsid w:val="00D85B0D"/>
    <w:rsid w:val="00D911AF"/>
    <w:rsid w:val="00D91739"/>
    <w:rsid w:val="00D95FAF"/>
    <w:rsid w:val="00DA51F5"/>
    <w:rsid w:val="00DB496B"/>
    <w:rsid w:val="00DB52AA"/>
    <w:rsid w:val="00DB5A8E"/>
    <w:rsid w:val="00DC1106"/>
    <w:rsid w:val="00DC1696"/>
    <w:rsid w:val="00DC39E4"/>
    <w:rsid w:val="00DC4BD4"/>
    <w:rsid w:val="00DC4D78"/>
    <w:rsid w:val="00DC5E69"/>
    <w:rsid w:val="00DD33E7"/>
    <w:rsid w:val="00DD478C"/>
    <w:rsid w:val="00DE3323"/>
    <w:rsid w:val="00DE6573"/>
    <w:rsid w:val="00DE7D1D"/>
    <w:rsid w:val="00DF2F1A"/>
    <w:rsid w:val="00DF5638"/>
    <w:rsid w:val="00DF5CF4"/>
    <w:rsid w:val="00DF62AB"/>
    <w:rsid w:val="00DF7222"/>
    <w:rsid w:val="00DF7CD1"/>
    <w:rsid w:val="00E05D2E"/>
    <w:rsid w:val="00E07306"/>
    <w:rsid w:val="00E10E0B"/>
    <w:rsid w:val="00E15104"/>
    <w:rsid w:val="00E16577"/>
    <w:rsid w:val="00E16A19"/>
    <w:rsid w:val="00E23944"/>
    <w:rsid w:val="00E241B8"/>
    <w:rsid w:val="00E2590E"/>
    <w:rsid w:val="00E259EB"/>
    <w:rsid w:val="00E27438"/>
    <w:rsid w:val="00E300F0"/>
    <w:rsid w:val="00E30B66"/>
    <w:rsid w:val="00E30D9F"/>
    <w:rsid w:val="00E34513"/>
    <w:rsid w:val="00E34FFA"/>
    <w:rsid w:val="00E36684"/>
    <w:rsid w:val="00E402F6"/>
    <w:rsid w:val="00E40964"/>
    <w:rsid w:val="00E41FCF"/>
    <w:rsid w:val="00E42D95"/>
    <w:rsid w:val="00E4713D"/>
    <w:rsid w:val="00E508AC"/>
    <w:rsid w:val="00E53597"/>
    <w:rsid w:val="00E57A20"/>
    <w:rsid w:val="00E60C89"/>
    <w:rsid w:val="00E61600"/>
    <w:rsid w:val="00E61ECF"/>
    <w:rsid w:val="00E640FF"/>
    <w:rsid w:val="00E70CE3"/>
    <w:rsid w:val="00E720AB"/>
    <w:rsid w:val="00E739B5"/>
    <w:rsid w:val="00E74082"/>
    <w:rsid w:val="00E756E4"/>
    <w:rsid w:val="00E811FD"/>
    <w:rsid w:val="00E837AD"/>
    <w:rsid w:val="00E86E4F"/>
    <w:rsid w:val="00E9047F"/>
    <w:rsid w:val="00E9136D"/>
    <w:rsid w:val="00E93056"/>
    <w:rsid w:val="00EA0605"/>
    <w:rsid w:val="00EA06A6"/>
    <w:rsid w:val="00EA1F05"/>
    <w:rsid w:val="00EA217B"/>
    <w:rsid w:val="00EA6CB8"/>
    <w:rsid w:val="00EA7EC7"/>
    <w:rsid w:val="00EB1DD9"/>
    <w:rsid w:val="00EB2769"/>
    <w:rsid w:val="00EB45A3"/>
    <w:rsid w:val="00EB5A98"/>
    <w:rsid w:val="00EB7A98"/>
    <w:rsid w:val="00EC0EC6"/>
    <w:rsid w:val="00EC17BF"/>
    <w:rsid w:val="00EC1D34"/>
    <w:rsid w:val="00EC248A"/>
    <w:rsid w:val="00EC5225"/>
    <w:rsid w:val="00EC661F"/>
    <w:rsid w:val="00EC704C"/>
    <w:rsid w:val="00ED20FD"/>
    <w:rsid w:val="00ED27C5"/>
    <w:rsid w:val="00ED748C"/>
    <w:rsid w:val="00ED75DC"/>
    <w:rsid w:val="00ED7A53"/>
    <w:rsid w:val="00EE0D8E"/>
    <w:rsid w:val="00EE100E"/>
    <w:rsid w:val="00EE14C8"/>
    <w:rsid w:val="00EF079C"/>
    <w:rsid w:val="00EF0ED2"/>
    <w:rsid w:val="00EF4A3A"/>
    <w:rsid w:val="00F0119A"/>
    <w:rsid w:val="00F029D2"/>
    <w:rsid w:val="00F04016"/>
    <w:rsid w:val="00F0590E"/>
    <w:rsid w:val="00F07689"/>
    <w:rsid w:val="00F102EF"/>
    <w:rsid w:val="00F13460"/>
    <w:rsid w:val="00F14893"/>
    <w:rsid w:val="00F14A0A"/>
    <w:rsid w:val="00F17EF2"/>
    <w:rsid w:val="00F20B55"/>
    <w:rsid w:val="00F213A4"/>
    <w:rsid w:val="00F23837"/>
    <w:rsid w:val="00F25AFC"/>
    <w:rsid w:val="00F31A14"/>
    <w:rsid w:val="00F341D7"/>
    <w:rsid w:val="00F3515B"/>
    <w:rsid w:val="00F36047"/>
    <w:rsid w:val="00F36AF4"/>
    <w:rsid w:val="00F37A30"/>
    <w:rsid w:val="00F41457"/>
    <w:rsid w:val="00F4263A"/>
    <w:rsid w:val="00F43A0E"/>
    <w:rsid w:val="00F4660A"/>
    <w:rsid w:val="00F477D6"/>
    <w:rsid w:val="00F47C6D"/>
    <w:rsid w:val="00F5031E"/>
    <w:rsid w:val="00F50BF8"/>
    <w:rsid w:val="00F54FC7"/>
    <w:rsid w:val="00F56828"/>
    <w:rsid w:val="00F61572"/>
    <w:rsid w:val="00F67B5B"/>
    <w:rsid w:val="00F704BF"/>
    <w:rsid w:val="00F72ECC"/>
    <w:rsid w:val="00F8016A"/>
    <w:rsid w:val="00F85C6D"/>
    <w:rsid w:val="00F87ED7"/>
    <w:rsid w:val="00F9106D"/>
    <w:rsid w:val="00F916A3"/>
    <w:rsid w:val="00F93934"/>
    <w:rsid w:val="00F95FF5"/>
    <w:rsid w:val="00F97F43"/>
    <w:rsid w:val="00FA17F9"/>
    <w:rsid w:val="00FA2CE3"/>
    <w:rsid w:val="00FA6841"/>
    <w:rsid w:val="00FB1C3C"/>
    <w:rsid w:val="00FB276D"/>
    <w:rsid w:val="00FB2B5D"/>
    <w:rsid w:val="00FB56EB"/>
    <w:rsid w:val="00FB75D8"/>
    <w:rsid w:val="00FB7878"/>
    <w:rsid w:val="00FC06F1"/>
    <w:rsid w:val="00FC240F"/>
    <w:rsid w:val="00FC3058"/>
    <w:rsid w:val="00FC3B24"/>
    <w:rsid w:val="00FC4CEA"/>
    <w:rsid w:val="00FC6C1C"/>
    <w:rsid w:val="00FD015F"/>
    <w:rsid w:val="00FD0B91"/>
    <w:rsid w:val="00FD4038"/>
    <w:rsid w:val="00FD51D8"/>
    <w:rsid w:val="00FD5902"/>
    <w:rsid w:val="00FD6759"/>
    <w:rsid w:val="00FE048C"/>
    <w:rsid w:val="00FE0893"/>
    <w:rsid w:val="00FF0BBA"/>
    <w:rsid w:val="00FF3268"/>
    <w:rsid w:val="00FF6C33"/>
    <w:rsid w:val="017267F1"/>
    <w:rsid w:val="03753E15"/>
    <w:rsid w:val="03E56DE9"/>
    <w:rsid w:val="0409396C"/>
    <w:rsid w:val="044004C3"/>
    <w:rsid w:val="045C19CC"/>
    <w:rsid w:val="04701149"/>
    <w:rsid w:val="0581765F"/>
    <w:rsid w:val="05F7030C"/>
    <w:rsid w:val="063412BA"/>
    <w:rsid w:val="06DE0BBA"/>
    <w:rsid w:val="07CB55B8"/>
    <w:rsid w:val="07EC3359"/>
    <w:rsid w:val="08386FF2"/>
    <w:rsid w:val="08C34BBF"/>
    <w:rsid w:val="08E77320"/>
    <w:rsid w:val="097B7903"/>
    <w:rsid w:val="0BF14EFC"/>
    <w:rsid w:val="0C28640C"/>
    <w:rsid w:val="0C503E87"/>
    <w:rsid w:val="0C6A07D3"/>
    <w:rsid w:val="0CEB3F31"/>
    <w:rsid w:val="0CFC35E9"/>
    <w:rsid w:val="0F424F28"/>
    <w:rsid w:val="0FB6614C"/>
    <w:rsid w:val="102313C5"/>
    <w:rsid w:val="103B5AD8"/>
    <w:rsid w:val="10526028"/>
    <w:rsid w:val="10DA5614"/>
    <w:rsid w:val="112E40BB"/>
    <w:rsid w:val="11435C78"/>
    <w:rsid w:val="11615DD7"/>
    <w:rsid w:val="11AA39D9"/>
    <w:rsid w:val="11F76665"/>
    <w:rsid w:val="13C81C69"/>
    <w:rsid w:val="13D80718"/>
    <w:rsid w:val="142568A6"/>
    <w:rsid w:val="154C2217"/>
    <w:rsid w:val="1615355E"/>
    <w:rsid w:val="171F7A6D"/>
    <w:rsid w:val="1733240B"/>
    <w:rsid w:val="1741632F"/>
    <w:rsid w:val="17484873"/>
    <w:rsid w:val="17D17958"/>
    <w:rsid w:val="184C73A4"/>
    <w:rsid w:val="186A5605"/>
    <w:rsid w:val="19400D06"/>
    <w:rsid w:val="19A660C9"/>
    <w:rsid w:val="1A067E7C"/>
    <w:rsid w:val="1A2426B7"/>
    <w:rsid w:val="1A277D03"/>
    <w:rsid w:val="1AAE6209"/>
    <w:rsid w:val="1CBF4223"/>
    <w:rsid w:val="1CD001DE"/>
    <w:rsid w:val="1CD75B49"/>
    <w:rsid w:val="1D7E37D5"/>
    <w:rsid w:val="1D927B8A"/>
    <w:rsid w:val="1E307F52"/>
    <w:rsid w:val="1E485CD4"/>
    <w:rsid w:val="1F071EB1"/>
    <w:rsid w:val="1FCA34C0"/>
    <w:rsid w:val="201C16E2"/>
    <w:rsid w:val="20C3273D"/>
    <w:rsid w:val="21106911"/>
    <w:rsid w:val="21534A92"/>
    <w:rsid w:val="218559A1"/>
    <w:rsid w:val="222571AB"/>
    <w:rsid w:val="222B18ED"/>
    <w:rsid w:val="23554F21"/>
    <w:rsid w:val="24925221"/>
    <w:rsid w:val="24B764AD"/>
    <w:rsid w:val="26847CE6"/>
    <w:rsid w:val="296F00F0"/>
    <w:rsid w:val="298C7B83"/>
    <w:rsid w:val="299A1F81"/>
    <w:rsid w:val="29B80978"/>
    <w:rsid w:val="2B3776E5"/>
    <w:rsid w:val="2B8E2581"/>
    <w:rsid w:val="2C372F57"/>
    <w:rsid w:val="2C3E6847"/>
    <w:rsid w:val="2CD62AA4"/>
    <w:rsid w:val="2D6D7CCB"/>
    <w:rsid w:val="2DE90FA8"/>
    <w:rsid w:val="2E775F66"/>
    <w:rsid w:val="2E892267"/>
    <w:rsid w:val="2EEB70FA"/>
    <w:rsid w:val="2F0A2CDC"/>
    <w:rsid w:val="2F4751E0"/>
    <w:rsid w:val="2F9D7605"/>
    <w:rsid w:val="30392108"/>
    <w:rsid w:val="31C72A95"/>
    <w:rsid w:val="321D581C"/>
    <w:rsid w:val="32972A82"/>
    <w:rsid w:val="34126BED"/>
    <w:rsid w:val="34131645"/>
    <w:rsid w:val="344C0300"/>
    <w:rsid w:val="354D7E05"/>
    <w:rsid w:val="35AF7627"/>
    <w:rsid w:val="35D16999"/>
    <w:rsid w:val="37450FB3"/>
    <w:rsid w:val="375C0B95"/>
    <w:rsid w:val="377A7B9E"/>
    <w:rsid w:val="37A202BF"/>
    <w:rsid w:val="37A63553"/>
    <w:rsid w:val="37BE35FD"/>
    <w:rsid w:val="38BD2122"/>
    <w:rsid w:val="3A0D7803"/>
    <w:rsid w:val="3A38196A"/>
    <w:rsid w:val="3A792402"/>
    <w:rsid w:val="3B007157"/>
    <w:rsid w:val="3B5F0C53"/>
    <w:rsid w:val="3BF30486"/>
    <w:rsid w:val="3D167A38"/>
    <w:rsid w:val="3D76583D"/>
    <w:rsid w:val="3DD2597A"/>
    <w:rsid w:val="3DE47EF7"/>
    <w:rsid w:val="3E241CE0"/>
    <w:rsid w:val="3EC610F2"/>
    <w:rsid w:val="3FCF05DD"/>
    <w:rsid w:val="40532D51"/>
    <w:rsid w:val="409A0980"/>
    <w:rsid w:val="40B803C6"/>
    <w:rsid w:val="41931657"/>
    <w:rsid w:val="423239B5"/>
    <w:rsid w:val="42444DEA"/>
    <w:rsid w:val="424566C9"/>
    <w:rsid w:val="425506EE"/>
    <w:rsid w:val="42676762"/>
    <w:rsid w:val="429E4757"/>
    <w:rsid w:val="42F12CC4"/>
    <w:rsid w:val="43AE09CA"/>
    <w:rsid w:val="44EE2122"/>
    <w:rsid w:val="453E3FB2"/>
    <w:rsid w:val="47011269"/>
    <w:rsid w:val="47E03E04"/>
    <w:rsid w:val="480D0344"/>
    <w:rsid w:val="48AE46E9"/>
    <w:rsid w:val="497D1385"/>
    <w:rsid w:val="49CE2BD5"/>
    <w:rsid w:val="49D722FD"/>
    <w:rsid w:val="4A515FB0"/>
    <w:rsid w:val="4A590F64"/>
    <w:rsid w:val="4C7D2384"/>
    <w:rsid w:val="4DD97243"/>
    <w:rsid w:val="4EDC7717"/>
    <w:rsid w:val="4F2C0025"/>
    <w:rsid w:val="4FE07124"/>
    <w:rsid w:val="5067032E"/>
    <w:rsid w:val="50A47B05"/>
    <w:rsid w:val="50EC34D7"/>
    <w:rsid w:val="50F1639A"/>
    <w:rsid w:val="523A78CD"/>
    <w:rsid w:val="52D15FEF"/>
    <w:rsid w:val="52E9295F"/>
    <w:rsid w:val="53FCD369"/>
    <w:rsid w:val="55172916"/>
    <w:rsid w:val="55392A77"/>
    <w:rsid w:val="56B36A01"/>
    <w:rsid w:val="56B41CA7"/>
    <w:rsid w:val="56FD343E"/>
    <w:rsid w:val="577E6260"/>
    <w:rsid w:val="584D69C9"/>
    <w:rsid w:val="5872133B"/>
    <w:rsid w:val="588B2AA8"/>
    <w:rsid w:val="58B901A3"/>
    <w:rsid w:val="59790718"/>
    <w:rsid w:val="59D900ED"/>
    <w:rsid w:val="59DE3233"/>
    <w:rsid w:val="59E82FE3"/>
    <w:rsid w:val="5C697392"/>
    <w:rsid w:val="5DF97BF7"/>
    <w:rsid w:val="5E8B0F7E"/>
    <w:rsid w:val="61905239"/>
    <w:rsid w:val="619A0388"/>
    <w:rsid w:val="619B6B1B"/>
    <w:rsid w:val="62F118C7"/>
    <w:rsid w:val="62F315A2"/>
    <w:rsid w:val="633A0B27"/>
    <w:rsid w:val="643C1282"/>
    <w:rsid w:val="645F453A"/>
    <w:rsid w:val="648562DD"/>
    <w:rsid w:val="64BF72F8"/>
    <w:rsid w:val="65CE39EF"/>
    <w:rsid w:val="65E86DE9"/>
    <w:rsid w:val="65EE6DAE"/>
    <w:rsid w:val="66B510C3"/>
    <w:rsid w:val="66CB5CA3"/>
    <w:rsid w:val="67531826"/>
    <w:rsid w:val="69222DFC"/>
    <w:rsid w:val="6942558D"/>
    <w:rsid w:val="69677412"/>
    <w:rsid w:val="69BF098B"/>
    <w:rsid w:val="6A146186"/>
    <w:rsid w:val="6B0845B4"/>
    <w:rsid w:val="6B7FEDE6"/>
    <w:rsid w:val="6B8A29E0"/>
    <w:rsid w:val="6C380996"/>
    <w:rsid w:val="6D106D64"/>
    <w:rsid w:val="6D6A2C5E"/>
    <w:rsid w:val="6D997B37"/>
    <w:rsid w:val="6DAA3701"/>
    <w:rsid w:val="6DC01176"/>
    <w:rsid w:val="6E163A2D"/>
    <w:rsid w:val="6E573888"/>
    <w:rsid w:val="6F2F8328"/>
    <w:rsid w:val="6F3354AB"/>
    <w:rsid w:val="6FD15E60"/>
    <w:rsid w:val="70253CA1"/>
    <w:rsid w:val="70552D71"/>
    <w:rsid w:val="70862F4F"/>
    <w:rsid w:val="70DA0006"/>
    <w:rsid w:val="716B0B80"/>
    <w:rsid w:val="71DF161A"/>
    <w:rsid w:val="71F00EB5"/>
    <w:rsid w:val="727A7B45"/>
    <w:rsid w:val="728D3940"/>
    <w:rsid w:val="736B56E0"/>
    <w:rsid w:val="74FD4A5E"/>
    <w:rsid w:val="756B5E6B"/>
    <w:rsid w:val="758A734F"/>
    <w:rsid w:val="75D11F84"/>
    <w:rsid w:val="763F2041"/>
    <w:rsid w:val="78727511"/>
    <w:rsid w:val="787B4617"/>
    <w:rsid w:val="78986F77"/>
    <w:rsid w:val="78D4613E"/>
    <w:rsid w:val="79020895"/>
    <w:rsid w:val="797430F5"/>
    <w:rsid w:val="79786DA9"/>
    <w:rsid w:val="79C577F8"/>
    <w:rsid w:val="7A2A3635"/>
    <w:rsid w:val="7ADD7A6C"/>
    <w:rsid w:val="7B33647E"/>
    <w:rsid w:val="7B733C9D"/>
    <w:rsid w:val="7CA53A11"/>
    <w:rsid w:val="7D0B56CC"/>
    <w:rsid w:val="7DA4016C"/>
    <w:rsid w:val="7DF41044"/>
    <w:rsid w:val="7F9069CB"/>
    <w:rsid w:val="7FE64A6C"/>
    <w:rsid w:val="DFE6D51F"/>
    <w:rsid w:val="FA7F1BAE"/>
    <w:rsid w:val="FBAEB14F"/>
    <w:rsid w:val="FFB3688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5"/>
    <w:qFormat/>
    <w:uiPriority w:val="9"/>
    <w:pPr>
      <w:keepNext/>
      <w:keepLines/>
      <w:spacing w:beforeLines="150" w:line="360" w:lineRule="auto"/>
      <w:jc w:val="left"/>
      <w:outlineLvl w:val="0"/>
    </w:pPr>
    <w:rPr>
      <w:rFonts w:eastAsia="微软雅黑"/>
      <w:b/>
      <w:bCs/>
      <w:kern w:val="44"/>
      <w:szCs w:val="44"/>
    </w:rPr>
  </w:style>
  <w:style w:type="paragraph" w:styleId="3">
    <w:name w:val="heading 2"/>
    <w:basedOn w:val="1"/>
    <w:next w:val="1"/>
    <w:link w:val="78"/>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1"/>
    <w:link w:val="77"/>
    <w:qFormat/>
    <w:uiPriority w:val="9"/>
    <w:pPr>
      <w:keepNext/>
      <w:keepLines/>
      <w:spacing w:before="260" w:after="260" w:line="360" w:lineRule="auto"/>
      <w:ind w:firstLine="602" w:firstLineChars="200"/>
      <w:outlineLvl w:val="2"/>
    </w:pPr>
    <w:rPr>
      <w:rFonts w:ascii="仿宋_GB2312" w:eastAsia="仿宋_GB2312"/>
      <w:b/>
      <w:bCs/>
      <w:sz w:val="30"/>
      <w:szCs w:val="20"/>
    </w:rPr>
  </w:style>
  <w:style w:type="paragraph" w:styleId="5">
    <w:name w:val="heading 4"/>
    <w:basedOn w:val="1"/>
    <w:next w:val="1"/>
    <w:link w:val="76"/>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link w:val="80"/>
    <w:qFormat/>
    <w:uiPriority w:val="9"/>
    <w:pPr>
      <w:keepNext/>
      <w:keepLines/>
      <w:spacing w:before="280" w:after="290" w:line="376" w:lineRule="auto"/>
      <w:outlineLvl w:val="4"/>
    </w:pPr>
    <w:rPr>
      <w:rFonts w:ascii="Calibri" w:hAnsi="Calibri"/>
      <w:b/>
      <w:bCs/>
      <w:sz w:val="28"/>
      <w:szCs w:val="28"/>
    </w:rPr>
  </w:style>
  <w:style w:type="paragraph" w:styleId="7">
    <w:name w:val="heading 6"/>
    <w:basedOn w:val="1"/>
    <w:next w:val="1"/>
    <w:link w:val="81"/>
    <w:qFormat/>
    <w:uiPriority w:val="0"/>
    <w:pPr>
      <w:keepNext/>
      <w:keepLines/>
      <w:spacing w:before="240" w:after="64" w:line="320" w:lineRule="auto"/>
      <w:outlineLvl w:val="5"/>
    </w:pPr>
    <w:rPr>
      <w:rFonts w:ascii="Cambria" w:hAnsi="Cambria"/>
      <w:b/>
      <w:bCs/>
      <w:sz w:val="24"/>
    </w:rPr>
  </w:style>
  <w:style w:type="paragraph" w:styleId="8">
    <w:name w:val="heading 7"/>
    <w:basedOn w:val="1"/>
    <w:next w:val="1"/>
    <w:link w:val="82"/>
    <w:qFormat/>
    <w:uiPriority w:val="0"/>
    <w:pPr>
      <w:keepNext/>
      <w:keepLines/>
      <w:spacing w:before="240" w:after="64" w:line="320" w:lineRule="auto"/>
      <w:ind w:left="1296" w:hanging="1296"/>
      <w:outlineLvl w:val="6"/>
    </w:pPr>
    <w:rPr>
      <w:b/>
      <w:bCs/>
      <w:sz w:val="24"/>
    </w:rPr>
  </w:style>
  <w:style w:type="paragraph" w:styleId="9">
    <w:name w:val="heading 8"/>
    <w:basedOn w:val="1"/>
    <w:next w:val="1"/>
    <w:link w:val="83"/>
    <w:qFormat/>
    <w:uiPriority w:val="0"/>
    <w:pPr>
      <w:keepNext/>
      <w:keepLines/>
      <w:spacing w:before="240" w:after="64" w:line="320" w:lineRule="auto"/>
      <w:ind w:left="1440" w:hanging="1440"/>
      <w:outlineLvl w:val="7"/>
    </w:pPr>
    <w:rPr>
      <w:rFonts w:ascii="Cambria" w:hAnsi="Cambria"/>
      <w:sz w:val="24"/>
    </w:rPr>
  </w:style>
  <w:style w:type="paragraph" w:styleId="10">
    <w:name w:val="heading 9"/>
    <w:basedOn w:val="1"/>
    <w:next w:val="1"/>
    <w:link w:val="84"/>
    <w:qFormat/>
    <w:uiPriority w:val="0"/>
    <w:pPr>
      <w:keepNext/>
      <w:keepLines/>
      <w:spacing w:before="240" w:after="64" w:line="320" w:lineRule="auto"/>
      <w:ind w:left="1584" w:hanging="1584"/>
      <w:outlineLvl w:val="8"/>
    </w:pPr>
    <w:rPr>
      <w:rFonts w:ascii="Cambria" w:hAnsi="Cambria"/>
    </w:rPr>
  </w:style>
  <w:style w:type="character" w:default="1" w:styleId="56">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2">
    <w:name w:val="Note Heading"/>
    <w:basedOn w:val="1"/>
    <w:next w:val="1"/>
    <w:link w:val="387"/>
    <w:qFormat/>
    <w:uiPriority w:val="0"/>
    <w:pPr>
      <w:spacing w:after="0" w:line="360" w:lineRule="auto"/>
      <w:jc w:val="center"/>
    </w:pPr>
    <w:rPr>
      <w:rFonts w:ascii="DFKai-SB" w:hAnsi="DFKai-SB" w:eastAsia="DFKai-SB"/>
      <w:kern w:val="0"/>
      <w:sz w:val="20"/>
      <w:szCs w:val="20"/>
    </w:rPr>
  </w:style>
  <w:style w:type="paragraph" w:styleId="13">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4">
    <w:name w:val="Normal Indent"/>
    <w:basedOn w:val="1"/>
    <w:link w:val="79"/>
    <w:qFormat/>
    <w:uiPriority w:val="0"/>
    <w:pPr>
      <w:ind w:firstLine="420"/>
    </w:pPr>
    <w:rPr>
      <w:szCs w:val="20"/>
    </w:rPr>
  </w:style>
  <w:style w:type="paragraph" w:styleId="15">
    <w:name w:val="caption"/>
    <w:basedOn w:val="1"/>
    <w:next w:val="1"/>
    <w:link w:val="261"/>
    <w:qFormat/>
    <w:uiPriority w:val="0"/>
    <w:pPr>
      <w:spacing w:before="152"/>
    </w:pPr>
    <w:rPr>
      <w:rFonts w:ascii="Arial" w:hAnsi="Arial" w:eastAsia="黑体" w:cs="Arial"/>
      <w:sz w:val="20"/>
      <w:szCs w:val="20"/>
    </w:rPr>
  </w:style>
  <w:style w:type="paragraph" w:styleId="16">
    <w:name w:val="Document Map"/>
    <w:basedOn w:val="1"/>
    <w:link w:val="123"/>
    <w:qFormat/>
    <w:uiPriority w:val="0"/>
    <w:pPr>
      <w:shd w:val="clear" w:color="auto" w:fill="000080"/>
    </w:pPr>
  </w:style>
  <w:style w:type="paragraph" w:styleId="17">
    <w:name w:val="annotation text"/>
    <w:basedOn w:val="1"/>
    <w:link w:val="117"/>
    <w:qFormat/>
    <w:uiPriority w:val="99"/>
    <w:pPr>
      <w:jc w:val="left"/>
    </w:pPr>
  </w:style>
  <w:style w:type="paragraph" w:styleId="18">
    <w:name w:val="Body Text 3"/>
    <w:basedOn w:val="1"/>
    <w:link w:val="103"/>
    <w:qFormat/>
    <w:uiPriority w:val="99"/>
    <w:pPr>
      <w:spacing w:after="120"/>
    </w:pPr>
    <w:rPr>
      <w:sz w:val="16"/>
      <w:szCs w:val="16"/>
    </w:rPr>
  </w:style>
  <w:style w:type="paragraph" w:styleId="19">
    <w:name w:val="Body Text"/>
    <w:basedOn w:val="1"/>
    <w:next w:val="20"/>
    <w:link w:val="92"/>
    <w:qFormat/>
    <w:uiPriority w:val="0"/>
    <w:pPr>
      <w:spacing w:after="120"/>
    </w:pPr>
  </w:style>
  <w:style w:type="paragraph" w:styleId="20">
    <w:name w:val="Body Text First Indent"/>
    <w:basedOn w:val="19"/>
    <w:next w:val="1"/>
    <w:link w:val="91"/>
    <w:unhideWhenUsed/>
    <w:qFormat/>
    <w:uiPriority w:val="0"/>
    <w:pPr>
      <w:ind w:firstLine="420" w:firstLineChars="100"/>
    </w:pPr>
    <w:rPr>
      <w:rFonts w:ascii="Calibri" w:hAnsi="Calibri"/>
    </w:rPr>
  </w:style>
  <w:style w:type="paragraph" w:styleId="21">
    <w:name w:val="Body Text Indent"/>
    <w:basedOn w:val="1"/>
    <w:link w:val="101"/>
    <w:qFormat/>
    <w:uiPriority w:val="99"/>
    <w:pPr>
      <w:spacing w:line="200" w:lineRule="exact"/>
      <w:ind w:firstLine="301"/>
    </w:pPr>
    <w:rPr>
      <w:rFonts w:ascii="宋体" w:hAnsi="Courier New"/>
      <w:spacing w:val="-4"/>
      <w:sz w:val="18"/>
      <w:szCs w:val="20"/>
    </w:rPr>
  </w:style>
  <w:style w:type="paragraph" w:styleId="22">
    <w:name w:val="List Number 3"/>
    <w:basedOn w:val="1"/>
    <w:qFormat/>
    <w:uiPriority w:val="0"/>
    <w:pPr>
      <w:tabs>
        <w:tab w:val="left" w:pos="1200"/>
      </w:tabs>
      <w:spacing w:after="0" w:line="240" w:lineRule="auto"/>
      <w:ind w:left="765" w:hanging="360"/>
    </w:pPr>
  </w:style>
  <w:style w:type="paragraph" w:styleId="23">
    <w:name w:val="List 2"/>
    <w:basedOn w:val="1"/>
    <w:qFormat/>
    <w:uiPriority w:val="0"/>
    <w:pPr>
      <w:ind w:left="100" w:leftChars="200" w:hanging="200" w:hangingChars="200"/>
    </w:pPr>
  </w:style>
  <w:style w:type="paragraph" w:styleId="24">
    <w:name w:val="List Continue"/>
    <w:basedOn w:val="1"/>
    <w:qFormat/>
    <w:uiPriority w:val="0"/>
    <w:pPr>
      <w:spacing w:after="120" w:line="360" w:lineRule="auto"/>
      <w:ind w:left="420" w:leftChars="200"/>
      <w:contextualSpacing/>
    </w:pPr>
  </w:style>
  <w:style w:type="paragraph" w:styleId="25">
    <w:name w:val="Block Text"/>
    <w:basedOn w:val="1"/>
    <w:qFormat/>
    <w:uiPriority w:val="0"/>
    <w:pPr>
      <w:spacing w:after="0" w:line="360" w:lineRule="auto"/>
      <w:ind w:left="420" w:right="-159" w:firstLine="420"/>
    </w:pPr>
  </w:style>
  <w:style w:type="paragraph" w:styleId="26">
    <w:name w:val="HTML Address"/>
    <w:basedOn w:val="1"/>
    <w:link w:val="385"/>
    <w:qFormat/>
    <w:uiPriority w:val="0"/>
    <w:pPr>
      <w:spacing w:after="0" w:line="360" w:lineRule="auto"/>
    </w:pPr>
    <w:rPr>
      <w:rFonts w:ascii="宋体" w:hAnsi="宋体"/>
      <w:i/>
      <w:iCs/>
      <w:kern w:val="0"/>
      <w:sz w:val="20"/>
    </w:rPr>
  </w:style>
  <w:style w:type="paragraph" w:styleId="27">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28">
    <w:name w:val="toc 3"/>
    <w:basedOn w:val="1"/>
    <w:next w:val="1"/>
    <w:qFormat/>
    <w:uiPriority w:val="39"/>
    <w:pPr>
      <w:ind w:left="840" w:leftChars="400"/>
    </w:pPr>
  </w:style>
  <w:style w:type="paragraph" w:styleId="29">
    <w:name w:val="Plain Text"/>
    <w:basedOn w:val="1"/>
    <w:link w:val="89"/>
    <w:qFormat/>
    <w:uiPriority w:val="0"/>
    <w:rPr>
      <w:rFonts w:ascii="宋体" w:hAnsi="Courier New"/>
      <w:szCs w:val="20"/>
    </w:rPr>
  </w:style>
  <w:style w:type="paragraph" w:styleId="30">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31">
    <w:name w:val="Date"/>
    <w:basedOn w:val="1"/>
    <w:next w:val="1"/>
    <w:link w:val="105"/>
    <w:qFormat/>
    <w:uiPriority w:val="0"/>
    <w:pPr>
      <w:ind w:left="2500" w:leftChars="2500"/>
    </w:pPr>
    <w:rPr>
      <w:rFonts w:eastAsia="楷体_GB2312"/>
      <w:sz w:val="32"/>
      <w:szCs w:val="20"/>
    </w:rPr>
  </w:style>
  <w:style w:type="paragraph" w:styleId="32">
    <w:name w:val="Body Text Indent 2"/>
    <w:basedOn w:val="1"/>
    <w:link w:val="128"/>
    <w:qFormat/>
    <w:uiPriority w:val="0"/>
    <w:pPr>
      <w:snapToGrid w:val="0"/>
      <w:ind w:firstLine="542" w:firstLineChars="225"/>
    </w:pPr>
    <w:rPr>
      <w:rFonts w:ascii="仿宋_GB2312" w:hAnsi="宋体" w:cs="Arial"/>
      <w:b/>
      <w:bCs/>
      <w:color w:val="000000"/>
      <w:sz w:val="24"/>
    </w:rPr>
  </w:style>
  <w:style w:type="paragraph" w:styleId="33">
    <w:name w:val="Balloon Text"/>
    <w:basedOn w:val="1"/>
    <w:link w:val="102"/>
    <w:qFormat/>
    <w:uiPriority w:val="99"/>
    <w:rPr>
      <w:sz w:val="18"/>
      <w:szCs w:val="18"/>
    </w:rPr>
  </w:style>
  <w:style w:type="paragraph" w:styleId="34">
    <w:name w:val="footer"/>
    <w:basedOn w:val="1"/>
    <w:link w:val="106"/>
    <w:qFormat/>
    <w:uiPriority w:val="99"/>
    <w:pPr>
      <w:tabs>
        <w:tab w:val="center" w:pos="4153"/>
        <w:tab w:val="right" w:pos="8306"/>
      </w:tabs>
      <w:snapToGrid w:val="0"/>
      <w:jc w:val="left"/>
    </w:pPr>
    <w:rPr>
      <w:sz w:val="18"/>
      <w:szCs w:val="18"/>
    </w:rPr>
  </w:style>
  <w:style w:type="paragraph" w:styleId="35">
    <w:name w:val="header"/>
    <w:basedOn w:val="1"/>
    <w:link w:val="109"/>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tabs>
        <w:tab w:val="right" w:leader="dot" w:pos="8296"/>
      </w:tabs>
      <w:spacing w:beforeLines="50" w:afterLines="50" w:line="400" w:lineRule="exact"/>
      <w:ind w:firstLine="480" w:firstLineChars="200"/>
    </w:pPr>
    <w:rPr>
      <w:rFonts w:ascii="宋体" w:hAnsi="宋体"/>
      <w:color w:val="000000"/>
      <w:sz w:val="24"/>
    </w:rPr>
  </w:style>
  <w:style w:type="paragraph" w:styleId="37">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38">
    <w:name w:val="Subtitle"/>
    <w:basedOn w:val="1"/>
    <w:next w:val="1"/>
    <w:link w:val="95"/>
    <w:qFormat/>
    <w:uiPriority w:val="0"/>
    <w:pPr>
      <w:spacing w:before="240" w:after="60" w:line="312" w:lineRule="auto"/>
      <w:jc w:val="center"/>
      <w:outlineLvl w:val="1"/>
    </w:pPr>
    <w:rPr>
      <w:rFonts w:ascii="Cambria" w:hAnsi="Cambria"/>
      <w:b/>
      <w:bCs/>
      <w:kern w:val="28"/>
      <w:sz w:val="32"/>
      <w:szCs w:val="32"/>
    </w:rPr>
  </w:style>
  <w:style w:type="paragraph" w:styleId="39">
    <w:name w:val="List"/>
    <w:basedOn w:val="1"/>
    <w:link w:val="98"/>
    <w:qFormat/>
    <w:uiPriority w:val="0"/>
    <w:pPr>
      <w:ind w:left="200" w:hanging="200" w:hangingChars="200"/>
      <w:contextualSpacing/>
    </w:pPr>
  </w:style>
  <w:style w:type="paragraph" w:styleId="40">
    <w:name w:val="footnote text"/>
    <w:basedOn w:val="1"/>
    <w:link w:val="200"/>
    <w:unhideWhenUsed/>
    <w:qFormat/>
    <w:uiPriority w:val="0"/>
    <w:pPr>
      <w:snapToGrid w:val="0"/>
      <w:jc w:val="left"/>
    </w:pPr>
    <w:rPr>
      <w:rFonts w:hint="eastAsia" w:ascii="Calibri" w:hAnsi="Calibri"/>
      <w:sz w:val="18"/>
    </w:rPr>
  </w:style>
  <w:style w:type="paragraph" w:styleId="41">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42">
    <w:name w:val="Body Text Indent 3"/>
    <w:basedOn w:val="1"/>
    <w:link w:val="87"/>
    <w:qFormat/>
    <w:uiPriority w:val="0"/>
    <w:pPr>
      <w:snapToGrid w:val="0"/>
      <w:ind w:firstLine="480" w:firstLineChars="200"/>
      <w:jc w:val="left"/>
    </w:pPr>
    <w:rPr>
      <w:rFonts w:ascii="仿宋_GB2312" w:hAnsi="宋体" w:eastAsia="仿宋_GB2312"/>
      <w:color w:val="000000"/>
      <w:sz w:val="24"/>
    </w:rPr>
  </w:style>
  <w:style w:type="paragraph" w:styleId="43">
    <w:name w:val="table of figures"/>
    <w:basedOn w:val="1"/>
    <w:next w:val="1"/>
    <w:qFormat/>
    <w:uiPriority w:val="0"/>
    <w:pPr>
      <w:tabs>
        <w:tab w:val="left" w:pos="1270"/>
      </w:tabs>
      <w:spacing w:line="360" w:lineRule="auto"/>
      <w:ind w:left="1270" w:hanging="420"/>
      <w:jc w:val="left"/>
    </w:pPr>
    <w:rPr>
      <w:smallCaps/>
      <w:sz w:val="20"/>
      <w:szCs w:val="20"/>
    </w:rPr>
  </w:style>
  <w:style w:type="paragraph" w:styleId="44">
    <w:name w:val="toc 2"/>
    <w:basedOn w:val="1"/>
    <w:next w:val="1"/>
    <w:qFormat/>
    <w:uiPriority w:val="39"/>
    <w:pPr>
      <w:tabs>
        <w:tab w:val="right" w:leader="dot" w:pos="8296"/>
      </w:tabs>
      <w:spacing w:beforeLines="50" w:afterLines="50" w:line="400" w:lineRule="exact"/>
      <w:ind w:left="480" w:leftChars="200" w:hanging="60"/>
    </w:pPr>
  </w:style>
  <w:style w:type="paragraph" w:styleId="45">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46">
    <w:name w:val="Body Text 2"/>
    <w:basedOn w:val="1"/>
    <w:link w:val="141"/>
    <w:qFormat/>
    <w:uiPriority w:val="0"/>
    <w:pPr>
      <w:spacing w:after="120" w:line="480" w:lineRule="auto"/>
    </w:pPr>
  </w:style>
  <w:style w:type="paragraph" w:styleId="47">
    <w:name w:val="HTML Preformatted"/>
    <w:basedOn w:val="1"/>
    <w:link w:val="13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48">
    <w:name w:val="Normal (Web)"/>
    <w:basedOn w:val="1"/>
    <w:link w:val="547"/>
    <w:qFormat/>
    <w:uiPriority w:val="99"/>
    <w:pPr>
      <w:widowControl/>
      <w:spacing w:before="100" w:beforeAutospacing="1" w:after="100" w:afterAutospacing="1"/>
      <w:jc w:val="left"/>
    </w:pPr>
    <w:rPr>
      <w:rFonts w:ascii="宋体" w:hAnsi="宋体" w:cs="宋体"/>
      <w:kern w:val="0"/>
      <w:sz w:val="24"/>
    </w:rPr>
  </w:style>
  <w:style w:type="paragraph" w:styleId="49">
    <w:name w:val="index 1"/>
    <w:basedOn w:val="1"/>
    <w:next w:val="1"/>
    <w:semiHidden/>
    <w:qFormat/>
    <w:uiPriority w:val="0"/>
    <w:pPr>
      <w:spacing w:after="0" w:line="360" w:lineRule="auto"/>
      <w:ind w:firstLine="480" w:firstLineChars="200"/>
      <w:jc w:val="left"/>
    </w:pPr>
    <w:rPr>
      <w:rFonts w:eastAsia="微软雅黑"/>
      <w:szCs w:val="20"/>
    </w:rPr>
  </w:style>
  <w:style w:type="paragraph" w:styleId="50">
    <w:name w:val="Title"/>
    <w:basedOn w:val="1"/>
    <w:next w:val="1"/>
    <w:link w:val="90"/>
    <w:qFormat/>
    <w:uiPriority w:val="0"/>
    <w:pPr>
      <w:spacing w:before="240" w:after="60"/>
      <w:jc w:val="center"/>
      <w:outlineLvl w:val="0"/>
    </w:pPr>
    <w:rPr>
      <w:rFonts w:ascii="Cambria" w:hAnsi="Cambria"/>
      <w:b/>
      <w:bCs/>
      <w:sz w:val="32"/>
      <w:szCs w:val="32"/>
    </w:rPr>
  </w:style>
  <w:style w:type="paragraph" w:styleId="51">
    <w:name w:val="annotation subject"/>
    <w:basedOn w:val="17"/>
    <w:next w:val="17"/>
    <w:link w:val="139"/>
    <w:qFormat/>
    <w:uiPriority w:val="0"/>
    <w:rPr>
      <w:b/>
      <w:bCs/>
    </w:rPr>
  </w:style>
  <w:style w:type="paragraph" w:styleId="52">
    <w:name w:val="Body Text First Indent 2"/>
    <w:basedOn w:val="21"/>
    <w:link w:val="203"/>
    <w:unhideWhenUsed/>
    <w:qFormat/>
    <w:uiPriority w:val="0"/>
    <w:pPr>
      <w:spacing w:after="120" w:line="360" w:lineRule="auto"/>
      <w:ind w:left="420" w:leftChars="200" w:firstLine="420" w:firstLineChars="200"/>
    </w:pPr>
    <w:rPr>
      <w:sz w:val="24"/>
    </w:rPr>
  </w:style>
  <w:style w:type="table" w:styleId="54">
    <w:name w:val="Table Grid"/>
    <w:basedOn w:val="53"/>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5">
    <w:name w:val="Table Elegant"/>
    <w:basedOn w:val="5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57">
    <w:name w:val="Strong"/>
    <w:qFormat/>
    <w:uiPriority w:val="22"/>
    <w:rPr>
      <w:b/>
      <w:bCs/>
    </w:rPr>
  </w:style>
  <w:style w:type="character" w:styleId="58">
    <w:name w:val="page number"/>
    <w:basedOn w:val="56"/>
    <w:qFormat/>
    <w:uiPriority w:val="0"/>
  </w:style>
  <w:style w:type="character" w:styleId="59">
    <w:name w:val="FollowedHyperlink"/>
    <w:qFormat/>
    <w:uiPriority w:val="99"/>
    <w:rPr>
      <w:color w:val="800080"/>
      <w:u w:val="single"/>
    </w:rPr>
  </w:style>
  <w:style w:type="character" w:styleId="60">
    <w:name w:val="Emphasis"/>
    <w:qFormat/>
    <w:uiPriority w:val="0"/>
    <w:rPr>
      <w:color w:val="CC0000"/>
    </w:rPr>
  </w:style>
  <w:style w:type="character" w:styleId="61">
    <w:name w:val="HTML Definition"/>
    <w:qFormat/>
    <w:uiPriority w:val="0"/>
    <w:rPr>
      <w:i/>
      <w:iCs/>
    </w:rPr>
  </w:style>
  <w:style w:type="character" w:styleId="62">
    <w:name w:val="HTML Typewriter"/>
    <w:qFormat/>
    <w:uiPriority w:val="0"/>
    <w:rPr>
      <w:rFonts w:ascii="黑体" w:hAnsi="Courier New" w:eastAsia="黑体"/>
      <w:sz w:val="14"/>
    </w:rPr>
  </w:style>
  <w:style w:type="character" w:styleId="63">
    <w:name w:val="HTML Acronym"/>
    <w:qFormat/>
    <w:uiPriority w:val="0"/>
  </w:style>
  <w:style w:type="character" w:styleId="64">
    <w:name w:val="HTML Variable"/>
    <w:qFormat/>
    <w:uiPriority w:val="0"/>
    <w:rPr>
      <w:i/>
      <w:iCs/>
    </w:rPr>
  </w:style>
  <w:style w:type="character" w:styleId="65">
    <w:name w:val="Hyperlink"/>
    <w:qFormat/>
    <w:uiPriority w:val="99"/>
    <w:rPr>
      <w:color w:val="0000FF"/>
      <w:u w:val="single"/>
    </w:rPr>
  </w:style>
  <w:style w:type="character" w:styleId="66">
    <w:name w:val="HTML Code"/>
    <w:qFormat/>
    <w:uiPriority w:val="0"/>
    <w:rPr>
      <w:rFonts w:ascii="Courier New" w:hAnsi="Courier New"/>
      <w:sz w:val="20"/>
      <w:szCs w:val="20"/>
    </w:rPr>
  </w:style>
  <w:style w:type="character" w:styleId="67">
    <w:name w:val="annotation reference"/>
    <w:qFormat/>
    <w:uiPriority w:val="99"/>
    <w:rPr>
      <w:sz w:val="21"/>
      <w:szCs w:val="21"/>
    </w:rPr>
  </w:style>
  <w:style w:type="character" w:styleId="68">
    <w:name w:val="HTML Cite"/>
    <w:qFormat/>
    <w:uiPriority w:val="0"/>
    <w:rPr>
      <w:i/>
      <w:iCs/>
    </w:rPr>
  </w:style>
  <w:style w:type="character" w:styleId="69">
    <w:name w:val="footnote reference"/>
    <w:basedOn w:val="56"/>
    <w:unhideWhenUsed/>
    <w:qFormat/>
    <w:uiPriority w:val="99"/>
    <w:rPr>
      <w:rFonts w:hint="default" w:ascii="Times New Roman"/>
      <w:sz w:val="24"/>
      <w:vertAlign w:val="superscript"/>
    </w:rPr>
  </w:style>
  <w:style w:type="character" w:styleId="70">
    <w:name w:val="HTML Keyboard"/>
    <w:qFormat/>
    <w:uiPriority w:val="0"/>
    <w:rPr>
      <w:rFonts w:ascii="Courier New" w:hAnsi="Courier New"/>
      <w:sz w:val="20"/>
      <w:szCs w:val="20"/>
    </w:rPr>
  </w:style>
  <w:style w:type="character" w:styleId="71">
    <w:name w:val="HTML Sample"/>
    <w:qFormat/>
    <w:uiPriority w:val="0"/>
    <w:rPr>
      <w:rFonts w:ascii="Courier New" w:hAnsi="Courier New"/>
    </w:rPr>
  </w:style>
  <w:style w:type="paragraph" w:customStyle="1" w:styleId="72">
    <w:name w:val="标准正文"/>
    <w:basedOn w:val="1"/>
    <w:qFormat/>
    <w:uiPriority w:val="0"/>
    <w:pPr>
      <w:spacing w:line="360" w:lineRule="auto"/>
      <w:ind w:firstLine="200" w:firstLineChars="200"/>
    </w:pPr>
    <w:rPr>
      <w:rFonts w:ascii="Calibri" w:hAnsi="Calibri"/>
      <w:sz w:val="24"/>
      <w:szCs w:val="20"/>
    </w:rPr>
  </w:style>
  <w:style w:type="paragraph" w:customStyle="1" w:styleId="73">
    <w:name w:val="表格文字"/>
    <w:basedOn w:val="74"/>
    <w:next w:val="19"/>
    <w:qFormat/>
    <w:uiPriority w:val="0"/>
    <w:pPr>
      <w:spacing w:after="0" w:line="360" w:lineRule="auto"/>
      <w:ind w:firstLine="480" w:firstLineChars="200"/>
      <w:jc w:val="left"/>
    </w:pPr>
  </w:style>
  <w:style w:type="paragraph" w:customStyle="1" w:styleId="74">
    <w:name w:val="表格文字（两侧对齐）"/>
    <w:basedOn w:val="1"/>
    <w:qFormat/>
    <w:uiPriority w:val="0"/>
    <w:pPr>
      <w:snapToGrid w:val="0"/>
    </w:pPr>
    <w:rPr>
      <w:sz w:val="20"/>
    </w:rPr>
  </w:style>
  <w:style w:type="character" w:customStyle="1" w:styleId="75">
    <w:name w:val="标题 1 字符"/>
    <w:basedOn w:val="56"/>
    <w:link w:val="2"/>
    <w:qFormat/>
    <w:uiPriority w:val="9"/>
    <w:rPr>
      <w:rFonts w:eastAsia="微软雅黑"/>
      <w:b/>
      <w:bCs/>
      <w:kern w:val="44"/>
      <w:sz w:val="21"/>
      <w:szCs w:val="44"/>
    </w:rPr>
  </w:style>
  <w:style w:type="character" w:customStyle="1" w:styleId="76">
    <w:name w:val="标题 4 字符"/>
    <w:link w:val="5"/>
    <w:qFormat/>
    <w:uiPriority w:val="0"/>
    <w:rPr>
      <w:rFonts w:ascii="Arial" w:hAnsi="Arial" w:eastAsia="黑体"/>
      <w:b/>
      <w:bCs/>
      <w:kern w:val="2"/>
      <w:sz w:val="28"/>
      <w:szCs w:val="28"/>
      <w:lang w:val="en-US" w:eastAsia="zh-CN" w:bidi="ar-SA"/>
    </w:rPr>
  </w:style>
  <w:style w:type="character" w:customStyle="1" w:styleId="77">
    <w:name w:val="标题 3 字符"/>
    <w:link w:val="4"/>
    <w:qFormat/>
    <w:uiPriority w:val="9"/>
    <w:rPr>
      <w:rFonts w:ascii="仿宋_GB2312" w:eastAsia="仿宋_GB2312"/>
      <w:b/>
      <w:bCs/>
      <w:kern w:val="2"/>
      <w:sz w:val="30"/>
      <w:lang w:val="en-US" w:eastAsia="zh-CN" w:bidi="ar-SA"/>
    </w:rPr>
  </w:style>
  <w:style w:type="character" w:customStyle="1" w:styleId="78">
    <w:name w:val="标题 2 字符"/>
    <w:link w:val="3"/>
    <w:qFormat/>
    <w:uiPriority w:val="0"/>
    <w:rPr>
      <w:rFonts w:ascii="仿宋_GB2312" w:eastAsia="仿宋_GB2312"/>
      <w:b/>
      <w:sz w:val="36"/>
      <w:lang w:val="en-US" w:eastAsia="zh-CN" w:bidi="ar-SA"/>
    </w:rPr>
  </w:style>
  <w:style w:type="character" w:customStyle="1" w:styleId="79">
    <w:name w:val="正文缩进 字符"/>
    <w:link w:val="14"/>
    <w:qFormat/>
    <w:uiPriority w:val="0"/>
    <w:rPr>
      <w:rFonts w:eastAsia="宋体"/>
      <w:kern w:val="2"/>
      <w:sz w:val="21"/>
      <w:lang w:val="en-US" w:eastAsia="zh-CN" w:bidi="ar-SA"/>
    </w:rPr>
  </w:style>
  <w:style w:type="character" w:customStyle="1" w:styleId="80">
    <w:name w:val="标题 5 字符"/>
    <w:link w:val="6"/>
    <w:qFormat/>
    <w:uiPriority w:val="9"/>
    <w:rPr>
      <w:rFonts w:ascii="Calibri" w:hAnsi="Calibri" w:eastAsia="宋体"/>
      <w:b/>
      <w:bCs/>
      <w:kern w:val="2"/>
      <w:sz w:val="28"/>
      <w:szCs w:val="28"/>
      <w:lang w:val="en-US" w:eastAsia="zh-CN" w:bidi="ar-SA"/>
    </w:rPr>
  </w:style>
  <w:style w:type="character" w:customStyle="1" w:styleId="81">
    <w:name w:val="标题 6 字符"/>
    <w:link w:val="7"/>
    <w:qFormat/>
    <w:uiPriority w:val="0"/>
    <w:rPr>
      <w:rFonts w:ascii="Cambria" w:hAnsi="Cambria" w:eastAsia="宋体"/>
      <w:b/>
      <w:bCs/>
      <w:kern w:val="2"/>
      <w:sz w:val="24"/>
      <w:szCs w:val="24"/>
      <w:lang w:val="en-US" w:eastAsia="zh-CN" w:bidi="ar-SA"/>
    </w:rPr>
  </w:style>
  <w:style w:type="character" w:customStyle="1" w:styleId="82">
    <w:name w:val="标题 7 字符"/>
    <w:link w:val="8"/>
    <w:qFormat/>
    <w:uiPriority w:val="0"/>
    <w:rPr>
      <w:rFonts w:eastAsia="宋体"/>
      <w:b/>
      <w:bCs/>
      <w:kern w:val="2"/>
      <w:sz w:val="24"/>
      <w:szCs w:val="24"/>
      <w:lang w:val="en-US" w:eastAsia="zh-CN" w:bidi="ar-SA"/>
    </w:rPr>
  </w:style>
  <w:style w:type="character" w:customStyle="1" w:styleId="83">
    <w:name w:val="标题 8 字符"/>
    <w:link w:val="9"/>
    <w:qFormat/>
    <w:uiPriority w:val="0"/>
    <w:rPr>
      <w:rFonts w:ascii="Cambria" w:hAnsi="Cambria" w:eastAsia="宋体"/>
      <w:kern w:val="2"/>
      <w:sz w:val="24"/>
      <w:szCs w:val="24"/>
      <w:lang w:val="en-US" w:eastAsia="zh-CN" w:bidi="ar-SA"/>
    </w:rPr>
  </w:style>
  <w:style w:type="character" w:customStyle="1" w:styleId="84">
    <w:name w:val="标题 9 字符"/>
    <w:link w:val="10"/>
    <w:qFormat/>
    <w:uiPriority w:val="0"/>
    <w:rPr>
      <w:rFonts w:ascii="Cambria" w:hAnsi="Cambria" w:eastAsia="宋体"/>
      <w:kern w:val="2"/>
      <w:sz w:val="21"/>
      <w:szCs w:val="24"/>
      <w:lang w:val="en-US" w:eastAsia="zh-CN" w:bidi="ar-SA"/>
    </w:rPr>
  </w:style>
  <w:style w:type="character" w:customStyle="1" w:styleId="85">
    <w:name w:val="纯文本 字符1"/>
    <w:semiHidden/>
    <w:qFormat/>
    <w:uiPriority w:val="99"/>
    <w:rPr>
      <w:rFonts w:ascii="等线" w:hAnsi="Courier New" w:cs="Courier New"/>
      <w:szCs w:val="24"/>
    </w:rPr>
  </w:style>
  <w:style w:type="character" w:customStyle="1" w:styleId="86">
    <w:name w:val="纯文本 Char3"/>
    <w:qFormat/>
    <w:uiPriority w:val="0"/>
    <w:rPr>
      <w:rFonts w:ascii="宋体" w:hAnsi="Courier New" w:eastAsia="宋体"/>
      <w:kern w:val="2"/>
      <w:sz w:val="24"/>
      <w:szCs w:val="24"/>
      <w:lang w:val="en-US" w:eastAsia="zh-CN" w:bidi="ar-SA"/>
    </w:rPr>
  </w:style>
  <w:style w:type="character" w:customStyle="1" w:styleId="87">
    <w:name w:val="正文文本缩进 3 字符"/>
    <w:basedOn w:val="56"/>
    <w:link w:val="42"/>
    <w:qFormat/>
    <w:uiPriority w:val="0"/>
    <w:rPr>
      <w:rFonts w:ascii="仿宋_GB2312" w:hAnsi="宋体" w:eastAsia="仿宋_GB2312"/>
      <w:color w:val="000000"/>
      <w:kern w:val="2"/>
      <w:sz w:val="24"/>
      <w:szCs w:val="24"/>
    </w:rPr>
  </w:style>
  <w:style w:type="character" w:customStyle="1" w:styleId="88">
    <w:name w:val="apple-converted-space"/>
    <w:basedOn w:val="56"/>
    <w:qFormat/>
    <w:uiPriority w:val="0"/>
  </w:style>
  <w:style w:type="character" w:customStyle="1" w:styleId="89">
    <w:name w:val="纯文本 字符"/>
    <w:link w:val="29"/>
    <w:qFormat/>
    <w:uiPriority w:val="0"/>
    <w:rPr>
      <w:rFonts w:ascii="宋体" w:hAnsi="Courier New" w:eastAsia="宋体"/>
      <w:kern w:val="2"/>
      <w:sz w:val="21"/>
      <w:lang w:val="en-US" w:eastAsia="zh-CN" w:bidi="ar-SA"/>
    </w:rPr>
  </w:style>
  <w:style w:type="character" w:customStyle="1" w:styleId="90">
    <w:name w:val="标题 字符"/>
    <w:link w:val="50"/>
    <w:qFormat/>
    <w:uiPriority w:val="0"/>
    <w:rPr>
      <w:rFonts w:ascii="Cambria" w:hAnsi="Cambria" w:eastAsia="宋体"/>
      <w:b/>
      <w:bCs/>
      <w:kern w:val="2"/>
      <w:sz w:val="32"/>
      <w:szCs w:val="32"/>
      <w:lang w:bidi="ar-SA"/>
    </w:rPr>
  </w:style>
  <w:style w:type="character" w:customStyle="1" w:styleId="91">
    <w:name w:val="正文文本首行缩进 字符"/>
    <w:basedOn w:val="92"/>
    <w:link w:val="20"/>
    <w:qFormat/>
    <w:uiPriority w:val="0"/>
    <w:rPr>
      <w:rFonts w:ascii="Calibri" w:hAnsi="Calibri" w:eastAsia="宋体"/>
      <w:kern w:val="2"/>
      <w:sz w:val="21"/>
      <w:szCs w:val="24"/>
      <w:lang w:val="en-US" w:eastAsia="zh-CN" w:bidi="ar-SA"/>
    </w:rPr>
  </w:style>
  <w:style w:type="character" w:customStyle="1" w:styleId="92">
    <w:name w:val="正文文本 字符"/>
    <w:link w:val="19"/>
    <w:qFormat/>
    <w:uiPriority w:val="0"/>
    <w:rPr>
      <w:rFonts w:eastAsia="宋体"/>
      <w:kern w:val="2"/>
      <w:sz w:val="21"/>
      <w:szCs w:val="24"/>
      <w:lang w:val="en-US" w:eastAsia="zh-CN" w:bidi="ar-SA"/>
    </w:rPr>
  </w:style>
  <w:style w:type="character" w:customStyle="1" w:styleId="93">
    <w:name w:val="标题 1 Char Char"/>
    <w:qFormat/>
    <w:uiPriority w:val="0"/>
    <w:rPr>
      <w:rFonts w:eastAsia="宋体"/>
      <w:b/>
      <w:spacing w:val="-2"/>
      <w:sz w:val="24"/>
      <w:lang w:val="en-US" w:eastAsia="zh-CN" w:bidi="ar-SA"/>
    </w:rPr>
  </w:style>
  <w:style w:type="character" w:customStyle="1" w:styleId="94">
    <w:name w:val="标题 2 Char"/>
    <w:qFormat/>
    <w:uiPriority w:val="9"/>
    <w:rPr>
      <w:rFonts w:ascii="仿宋_GB2312" w:eastAsia="仿宋_GB2312"/>
      <w:b/>
      <w:sz w:val="36"/>
      <w:lang w:val="en-US" w:eastAsia="zh-CN" w:bidi="ar-SA"/>
    </w:rPr>
  </w:style>
  <w:style w:type="character" w:customStyle="1" w:styleId="95">
    <w:name w:val="副标题 字符"/>
    <w:basedOn w:val="56"/>
    <w:link w:val="38"/>
    <w:qFormat/>
    <w:uiPriority w:val="0"/>
    <w:rPr>
      <w:rFonts w:ascii="Cambria" w:hAnsi="Cambria"/>
      <w:b/>
      <w:bCs/>
      <w:kern w:val="28"/>
      <w:sz w:val="32"/>
      <w:szCs w:val="32"/>
    </w:rPr>
  </w:style>
  <w:style w:type="character" w:customStyle="1" w:styleId="96">
    <w:name w:val="List Paragraph Char"/>
    <w:link w:val="97"/>
    <w:qFormat/>
    <w:uiPriority w:val="0"/>
    <w:rPr>
      <w:kern w:val="2"/>
      <w:sz w:val="21"/>
      <w:lang w:bidi="ar-SA"/>
    </w:rPr>
  </w:style>
  <w:style w:type="paragraph" w:customStyle="1" w:styleId="97">
    <w:name w:val="列出段落1"/>
    <w:basedOn w:val="1"/>
    <w:link w:val="96"/>
    <w:qFormat/>
    <w:uiPriority w:val="0"/>
    <w:pPr>
      <w:ind w:firstLine="420" w:firstLineChars="200"/>
    </w:pPr>
    <w:rPr>
      <w:szCs w:val="20"/>
    </w:rPr>
  </w:style>
  <w:style w:type="character" w:customStyle="1" w:styleId="98">
    <w:name w:val="列表 字符"/>
    <w:link w:val="39"/>
    <w:qFormat/>
    <w:uiPriority w:val="0"/>
    <w:rPr>
      <w:kern w:val="2"/>
      <w:sz w:val="21"/>
      <w:szCs w:val="24"/>
    </w:rPr>
  </w:style>
  <w:style w:type="character" w:customStyle="1" w:styleId="99">
    <w:name w:val="投标书正文 Char Char"/>
    <w:link w:val="100"/>
    <w:qFormat/>
    <w:uiPriority w:val="0"/>
    <w:rPr>
      <w:rFonts w:eastAsia="Times New Roman"/>
      <w:kern w:val="2"/>
      <w:sz w:val="24"/>
      <w:szCs w:val="24"/>
      <w:lang w:val="en-US" w:eastAsia="zh-CN" w:bidi="ar-SA"/>
    </w:rPr>
  </w:style>
  <w:style w:type="paragraph" w:customStyle="1" w:styleId="100">
    <w:name w:val="投标书正文"/>
    <w:link w:val="99"/>
    <w:qFormat/>
    <w:uiPriority w:val="0"/>
    <w:pPr>
      <w:autoSpaceDE w:val="0"/>
      <w:spacing w:after="160" w:line="360" w:lineRule="auto"/>
      <w:ind w:firstLine="200" w:firstLineChars="200"/>
    </w:pPr>
    <w:rPr>
      <w:rFonts w:ascii="Times New Roman" w:hAnsi="Times New Roman" w:eastAsia="Times New Roman" w:cs="Times New Roman"/>
      <w:kern w:val="2"/>
      <w:sz w:val="24"/>
      <w:szCs w:val="24"/>
      <w:lang w:val="en-US" w:eastAsia="zh-CN" w:bidi="ar-SA"/>
    </w:rPr>
  </w:style>
  <w:style w:type="character" w:customStyle="1" w:styleId="101">
    <w:name w:val="正文文本缩进 字符1"/>
    <w:link w:val="21"/>
    <w:qFormat/>
    <w:uiPriority w:val="0"/>
    <w:rPr>
      <w:rFonts w:ascii="宋体" w:hAnsi="Courier New" w:eastAsia="宋体"/>
      <w:spacing w:val="-4"/>
      <w:kern w:val="2"/>
      <w:sz w:val="18"/>
      <w:lang w:val="en-US" w:eastAsia="zh-CN" w:bidi="ar-SA"/>
    </w:rPr>
  </w:style>
  <w:style w:type="character" w:customStyle="1" w:styleId="102">
    <w:name w:val="批注框文本 字符1"/>
    <w:link w:val="33"/>
    <w:qFormat/>
    <w:uiPriority w:val="99"/>
    <w:rPr>
      <w:rFonts w:eastAsia="宋体"/>
      <w:kern w:val="2"/>
      <w:sz w:val="18"/>
      <w:szCs w:val="18"/>
      <w:lang w:val="en-US" w:eastAsia="zh-CN" w:bidi="ar-SA"/>
    </w:rPr>
  </w:style>
  <w:style w:type="character" w:customStyle="1" w:styleId="103">
    <w:name w:val="正文文本 3 字符"/>
    <w:basedOn w:val="56"/>
    <w:link w:val="18"/>
    <w:qFormat/>
    <w:uiPriority w:val="99"/>
    <w:rPr>
      <w:kern w:val="2"/>
      <w:sz w:val="16"/>
      <w:szCs w:val="16"/>
    </w:rPr>
  </w:style>
  <w:style w:type="character" w:customStyle="1" w:styleId="104">
    <w:name w:val="htd0"/>
    <w:basedOn w:val="56"/>
    <w:qFormat/>
    <w:uiPriority w:val="0"/>
  </w:style>
  <w:style w:type="character" w:customStyle="1" w:styleId="105">
    <w:name w:val="日期 字符"/>
    <w:link w:val="31"/>
    <w:qFormat/>
    <w:uiPriority w:val="0"/>
    <w:rPr>
      <w:rFonts w:eastAsia="楷体_GB2312"/>
      <w:kern w:val="2"/>
      <w:sz w:val="32"/>
    </w:rPr>
  </w:style>
  <w:style w:type="character" w:customStyle="1" w:styleId="106">
    <w:name w:val="页脚 字符1"/>
    <w:link w:val="34"/>
    <w:qFormat/>
    <w:uiPriority w:val="0"/>
    <w:rPr>
      <w:rFonts w:eastAsia="宋体"/>
      <w:kern w:val="2"/>
      <w:sz w:val="18"/>
      <w:szCs w:val="18"/>
      <w:lang w:val="en-US" w:eastAsia="zh-CN" w:bidi="ar-SA"/>
    </w:rPr>
  </w:style>
  <w:style w:type="character" w:customStyle="1" w:styleId="107">
    <w:name w:val="投标书正文无序编号 Char Char"/>
    <w:link w:val="108"/>
    <w:qFormat/>
    <w:uiPriority w:val="0"/>
    <w:rPr>
      <w:kern w:val="2"/>
      <w:sz w:val="24"/>
      <w:szCs w:val="24"/>
    </w:rPr>
  </w:style>
  <w:style w:type="paragraph" w:customStyle="1" w:styleId="108">
    <w:name w:val="投标书正文无序编号"/>
    <w:basedOn w:val="100"/>
    <w:link w:val="107"/>
    <w:qFormat/>
    <w:uiPriority w:val="0"/>
    <w:pPr>
      <w:tabs>
        <w:tab w:val="left" w:pos="780"/>
        <w:tab w:val="left" w:pos="902"/>
      </w:tabs>
      <w:adjustRightInd w:val="0"/>
      <w:ind w:left="780" w:hanging="360" w:firstLineChars="0"/>
    </w:pPr>
    <w:rPr>
      <w:rFonts w:eastAsia="宋体"/>
    </w:rPr>
  </w:style>
  <w:style w:type="character" w:customStyle="1" w:styleId="109">
    <w:name w:val="页眉 字符"/>
    <w:link w:val="35"/>
    <w:qFormat/>
    <w:uiPriority w:val="0"/>
    <w:rPr>
      <w:rFonts w:eastAsia="宋体"/>
      <w:kern w:val="2"/>
      <w:sz w:val="18"/>
      <w:szCs w:val="18"/>
      <w:lang w:val="en-US" w:eastAsia="zh-CN" w:bidi="ar-SA"/>
    </w:rPr>
  </w:style>
  <w:style w:type="character" w:customStyle="1" w:styleId="110">
    <w:name w:val="表格正文 Char"/>
    <w:basedOn w:val="56"/>
    <w:link w:val="111"/>
    <w:qFormat/>
    <w:uiPriority w:val="0"/>
    <w:rPr>
      <w:kern w:val="2"/>
      <w:sz w:val="21"/>
      <w:szCs w:val="24"/>
    </w:rPr>
  </w:style>
  <w:style w:type="paragraph" w:customStyle="1" w:styleId="111">
    <w:name w:val="表格正文"/>
    <w:basedOn w:val="1"/>
    <w:link w:val="110"/>
    <w:qFormat/>
    <w:uiPriority w:val="0"/>
  </w:style>
  <w:style w:type="character" w:customStyle="1" w:styleId="112">
    <w:name w:val="纯文本 Char1"/>
    <w:link w:val="113"/>
    <w:qFormat/>
    <w:uiPriority w:val="99"/>
    <w:rPr>
      <w:rFonts w:ascii="宋体" w:hAnsi="Courier New" w:eastAsia="宋体"/>
      <w:kern w:val="2"/>
      <w:sz w:val="24"/>
      <w:lang w:bidi="ar-SA"/>
    </w:rPr>
  </w:style>
  <w:style w:type="paragraph" w:customStyle="1" w:styleId="113">
    <w:name w:val="纯文本1"/>
    <w:basedOn w:val="1"/>
    <w:link w:val="112"/>
    <w:qFormat/>
    <w:uiPriority w:val="99"/>
    <w:pPr>
      <w:spacing w:afterLines="50"/>
    </w:pPr>
    <w:rPr>
      <w:rFonts w:ascii="宋体" w:hAnsi="Courier New"/>
      <w:sz w:val="24"/>
      <w:szCs w:val="20"/>
    </w:rPr>
  </w:style>
  <w:style w:type="character" w:customStyle="1" w:styleId="114">
    <w:name w:val="HIK 段分 2 Char"/>
    <w:basedOn w:val="94"/>
    <w:link w:val="115"/>
    <w:qFormat/>
    <w:uiPriority w:val="0"/>
    <w:rPr>
      <w:rFonts w:ascii="宋体" w:hAnsi="等线 Light" w:eastAsia="仿宋_GB2312"/>
      <w:bCs/>
      <w:kern w:val="2"/>
      <w:sz w:val="32"/>
      <w:szCs w:val="32"/>
      <w:lang w:val="en-US" w:eastAsia="zh-CN" w:bidi="ar-SA"/>
    </w:rPr>
  </w:style>
  <w:style w:type="paragraph" w:customStyle="1" w:styleId="115">
    <w:name w:val="HIK 段分 2"/>
    <w:basedOn w:val="3"/>
    <w:next w:val="1"/>
    <w:link w:val="114"/>
    <w:qFormat/>
    <w:uiPriority w:val="0"/>
    <w:pPr>
      <w:pageBreakBefore/>
      <w:adjustRightInd/>
      <w:snapToGrid/>
      <w:spacing w:before="100" w:after="100"/>
      <w:ind w:left="576" w:hanging="576"/>
      <w:jc w:val="left"/>
      <w:textAlignment w:val="auto"/>
    </w:pPr>
    <w:rPr>
      <w:rFonts w:ascii="宋体" w:hAnsi="等线 Light" w:eastAsia="宋体"/>
      <w:bCs/>
      <w:kern w:val="2"/>
      <w:sz w:val="32"/>
      <w:szCs w:val="32"/>
    </w:rPr>
  </w:style>
  <w:style w:type="character" w:customStyle="1" w:styleId="116">
    <w:name w:val="Char Char7"/>
    <w:qFormat/>
    <w:uiPriority w:val="0"/>
    <w:rPr>
      <w:rFonts w:ascii="Times New Roman" w:hAnsi="Times New Roman" w:eastAsia="宋体" w:cs="Times New Roman"/>
      <w:szCs w:val="24"/>
    </w:rPr>
  </w:style>
  <w:style w:type="character" w:customStyle="1" w:styleId="117">
    <w:name w:val="批注文字 字符"/>
    <w:link w:val="17"/>
    <w:qFormat/>
    <w:uiPriority w:val="99"/>
    <w:rPr>
      <w:rFonts w:eastAsia="宋体"/>
      <w:kern w:val="2"/>
      <w:sz w:val="21"/>
      <w:szCs w:val="24"/>
      <w:lang w:val="en-US" w:eastAsia="zh-CN" w:bidi="ar-SA"/>
    </w:rPr>
  </w:style>
  <w:style w:type="character" w:customStyle="1" w:styleId="118">
    <w:name w:val="方案正文-样式 小四 行距: 1.5 倍行距 Char Char"/>
    <w:link w:val="119"/>
    <w:qFormat/>
    <w:uiPriority w:val="0"/>
    <w:rPr>
      <w:kern w:val="2"/>
      <w:sz w:val="24"/>
      <w:lang w:bidi="ar-SA"/>
    </w:rPr>
  </w:style>
  <w:style w:type="paragraph" w:customStyle="1" w:styleId="119">
    <w:name w:val="方案正文-样式 小四 行距: 1.5 倍行距"/>
    <w:basedOn w:val="1"/>
    <w:link w:val="118"/>
    <w:qFormat/>
    <w:uiPriority w:val="0"/>
    <w:pPr>
      <w:spacing w:line="360" w:lineRule="auto"/>
      <w:ind w:firstLine="480" w:firstLineChars="200"/>
    </w:pPr>
    <w:rPr>
      <w:sz w:val="24"/>
      <w:szCs w:val="20"/>
    </w:rPr>
  </w:style>
  <w:style w:type="character" w:customStyle="1" w:styleId="120">
    <w:name w:val="批注主题 Char1"/>
    <w:qFormat/>
    <w:uiPriority w:val="0"/>
    <w:rPr>
      <w:b/>
      <w:bCs/>
      <w:kern w:val="2"/>
      <w:sz w:val="21"/>
      <w:szCs w:val="24"/>
    </w:rPr>
  </w:style>
  <w:style w:type="character" w:customStyle="1" w:styleId="121">
    <w:name w:val="正文缩进 Char"/>
    <w:qFormat/>
    <w:uiPriority w:val="0"/>
    <w:rPr>
      <w:kern w:val="2"/>
      <w:sz w:val="21"/>
    </w:rPr>
  </w:style>
  <w:style w:type="character" w:customStyle="1" w:styleId="122">
    <w:name w:val="正文文本缩进 Char"/>
    <w:qFormat/>
    <w:uiPriority w:val="99"/>
    <w:rPr>
      <w:rFonts w:ascii="宋体" w:hAnsi="Courier New"/>
      <w:spacing w:val="-4"/>
      <w:kern w:val="2"/>
      <w:sz w:val="18"/>
    </w:rPr>
  </w:style>
  <w:style w:type="character" w:customStyle="1" w:styleId="123">
    <w:name w:val="文档结构图 字符"/>
    <w:link w:val="16"/>
    <w:qFormat/>
    <w:uiPriority w:val="0"/>
    <w:rPr>
      <w:rFonts w:eastAsia="宋体"/>
      <w:kern w:val="2"/>
      <w:sz w:val="21"/>
      <w:szCs w:val="24"/>
      <w:lang w:val="en-US" w:eastAsia="zh-CN" w:bidi="ar-SA"/>
    </w:rPr>
  </w:style>
  <w:style w:type="character" w:customStyle="1" w:styleId="124">
    <w:name w:val="正文文本缩进 字符"/>
    <w:qFormat/>
    <w:uiPriority w:val="0"/>
    <w:rPr>
      <w:rFonts w:ascii="宋体" w:hAnsi="Courier New" w:eastAsia="宋体"/>
      <w:spacing w:val="-4"/>
      <w:kern w:val="2"/>
      <w:sz w:val="18"/>
      <w:lang w:val="en-US" w:eastAsia="zh-CN" w:bidi="ar-SA"/>
    </w:rPr>
  </w:style>
  <w:style w:type="character" w:customStyle="1" w:styleId="125">
    <w:name w:val="批注框文本 字符"/>
    <w:semiHidden/>
    <w:qFormat/>
    <w:uiPriority w:val="99"/>
    <w:rPr>
      <w:rFonts w:ascii="Times New Roman" w:hAnsi="Times New Roman" w:eastAsia="宋体"/>
      <w:kern w:val="2"/>
      <w:sz w:val="18"/>
      <w:szCs w:val="18"/>
    </w:rPr>
  </w:style>
  <w:style w:type="character" w:customStyle="1" w:styleId="126">
    <w:name w:val="列表段落 字符"/>
    <w:basedOn w:val="56"/>
    <w:link w:val="127"/>
    <w:qFormat/>
    <w:uiPriority w:val="99"/>
    <w:rPr>
      <w:rFonts w:ascii="Calibri" w:hAnsi="Calibri" w:cs="Calibri"/>
      <w:kern w:val="2"/>
      <w:sz w:val="21"/>
      <w:szCs w:val="21"/>
    </w:rPr>
  </w:style>
  <w:style w:type="paragraph" w:styleId="127">
    <w:name w:val="List Paragraph"/>
    <w:basedOn w:val="1"/>
    <w:link w:val="126"/>
    <w:qFormat/>
    <w:uiPriority w:val="99"/>
    <w:pPr>
      <w:ind w:firstLine="420" w:firstLineChars="200"/>
    </w:pPr>
    <w:rPr>
      <w:rFonts w:ascii="Calibri" w:hAnsi="Calibri" w:cs="Calibri"/>
      <w:szCs w:val="21"/>
    </w:rPr>
  </w:style>
  <w:style w:type="character" w:customStyle="1" w:styleId="128">
    <w:name w:val="正文文本缩进 2 字符"/>
    <w:basedOn w:val="56"/>
    <w:link w:val="32"/>
    <w:qFormat/>
    <w:uiPriority w:val="0"/>
    <w:rPr>
      <w:rFonts w:ascii="仿宋_GB2312" w:hAnsi="宋体" w:cs="Arial"/>
      <w:b/>
      <w:bCs/>
      <w:color w:val="000000"/>
      <w:kern w:val="2"/>
      <w:sz w:val="24"/>
      <w:szCs w:val="24"/>
    </w:rPr>
  </w:style>
  <w:style w:type="character" w:customStyle="1" w:styleId="129">
    <w:name w:val="HTML 预设格式 Char"/>
    <w:basedOn w:val="56"/>
    <w:qFormat/>
    <w:uiPriority w:val="0"/>
    <w:rPr>
      <w:rFonts w:ascii="Courier New" w:hAnsi="Courier New" w:cs="Courier New"/>
      <w:kern w:val="2"/>
    </w:rPr>
  </w:style>
  <w:style w:type="character" w:customStyle="1" w:styleId="130">
    <w:name w:val="HTML 预设格式 字符"/>
    <w:basedOn w:val="56"/>
    <w:link w:val="47"/>
    <w:qFormat/>
    <w:locked/>
    <w:uiPriority w:val="0"/>
    <w:rPr>
      <w:rFonts w:ascii="宋体" w:hAnsi="宋体" w:cs="宋体"/>
      <w:kern w:val="2"/>
      <w:sz w:val="24"/>
      <w:szCs w:val="24"/>
    </w:rPr>
  </w:style>
  <w:style w:type="character" w:customStyle="1" w:styleId="131">
    <w:name w:val="HIK 段分 4 Char"/>
    <w:basedOn w:val="76"/>
    <w:link w:val="132"/>
    <w:qFormat/>
    <w:uiPriority w:val="0"/>
    <w:rPr>
      <w:rFonts w:ascii="宋体" w:hAnsi="等线 Light" w:eastAsia="黑体"/>
      <w:kern w:val="2"/>
      <w:sz w:val="28"/>
      <w:szCs w:val="28"/>
      <w:lang w:val="en-US" w:eastAsia="zh-CN" w:bidi="ar-SA"/>
    </w:rPr>
  </w:style>
  <w:style w:type="paragraph" w:customStyle="1" w:styleId="132">
    <w:name w:val="HIK 段分 4"/>
    <w:basedOn w:val="5"/>
    <w:next w:val="1"/>
    <w:link w:val="131"/>
    <w:qFormat/>
    <w:uiPriority w:val="0"/>
    <w:pPr>
      <w:keepLines w:val="0"/>
      <w:pageBreakBefore/>
      <w:spacing w:before="60" w:after="60" w:line="360" w:lineRule="auto"/>
      <w:ind w:left="864" w:hanging="864"/>
      <w:jc w:val="left"/>
    </w:pPr>
    <w:rPr>
      <w:rFonts w:ascii="宋体" w:hAnsi="等线 Light" w:eastAsia="宋体"/>
    </w:rPr>
  </w:style>
  <w:style w:type="character" w:customStyle="1" w:styleId="133">
    <w:name w:val="副标题 Char1"/>
    <w:basedOn w:val="56"/>
    <w:qFormat/>
    <w:uiPriority w:val="11"/>
    <w:rPr>
      <w:rFonts w:ascii="Cambria" w:hAnsi="Cambria" w:cs="Times New Roman"/>
      <w:b/>
      <w:bCs/>
      <w:kern w:val="28"/>
      <w:sz w:val="32"/>
      <w:szCs w:val="32"/>
      <w:lang w:eastAsia="en-US"/>
    </w:rPr>
  </w:style>
  <w:style w:type="character" w:customStyle="1" w:styleId="134">
    <w:name w:val="批注文字 Char1"/>
    <w:qFormat/>
    <w:uiPriority w:val="0"/>
    <w:rPr>
      <w:kern w:val="2"/>
      <w:sz w:val="21"/>
      <w:szCs w:val="24"/>
    </w:rPr>
  </w:style>
  <w:style w:type="character" w:customStyle="1" w:styleId="135">
    <w:name w:val="页眉 Char"/>
    <w:qFormat/>
    <w:uiPriority w:val="99"/>
    <w:rPr>
      <w:kern w:val="2"/>
      <w:sz w:val="18"/>
      <w:szCs w:val="18"/>
    </w:rPr>
  </w:style>
  <w:style w:type="character" w:customStyle="1" w:styleId="136">
    <w:name w:val="unnamed1"/>
    <w:basedOn w:val="56"/>
    <w:qFormat/>
    <w:uiPriority w:val="0"/>
  </w:style>
  <w:style w:type="character" w:customStyle="1" w:styleId="137">
    <w:name w:val="HIK 段分 3 Char"/>
    <w:basedOn w:val="77"/>
    <w:link w:val="138"/>
    <w:qFormat/>
    <w:uiPriority w:val="0"/>
    <w:rPr>
      <w:rFonts w:ascii="宋体" w:hAnsi="等线" w:eastAsia="仿宋_GB2312"/>
      <w:kern w:val="2"/>
      <w:sz w:val="30"/>
      <w:szCs w:val="32"/>
      <w:lang w:val="en-US" w:eastAsia="zh-CN" w:bidi="ar-SA"/>
    </w:rPr>
  </w:style>
  <w:style w:type="paragraph" w:customStyle="1" w:styleId="138">
    <w:name w:val="HIK 段分 3"/>
    <w:basedOn w:val="4"/>
    <w:next w:val="1"/>
    <w:link w:val="137"/>
    <w:qFormat/>
    <w:uiPriority w:val="0"/>
    <w:pPr>
      <w:keepLines w:val="0"/>
      <w:pageBreakBefore/>
      <w:spacing w:before="80" w:after="80"/>
      <w:ind w:left="720" w:hanging="720" w:firstLineChars="0"/>
      <w:jc w:val="left"/>
    </w:pPr>
    <w:rPr>
      <w:rFonts w:ascii="宋体" w:hAnsi="等线" w:eastAsia="宋体"/>
      <w:szCs w:val="32"/>
    </w:rPr>
  </w:style>
  <w:style w:type="character" w:customStyle="1" w:styleId="139">
    <w:name w:val="批注主题 字符"/>
    <w:link w:val="51"/>
    <w:qFormat/>
    <w:uiPriority w:val="0"/>
    <w:rPr>
      <w:rFonts w:eastAsia="宋体"/>
      <w:b/>
      <w:bCs/>
      <w:kern w:val="2"/>
      <w:sz w:val="21"/>
      <w:szCs w:val="24"/>
      <w:lang w:val="en-US" w:eastAsia="zh-CN" w:bidi="ar-SA"/>
    </w:rPr>
  </w:style>
  <w:style w:type="character" w:customStyle="1" w:styleId="140">
    <w:name w:val="普通文字 Char Char2"/>
    <w:qFormat/>
    <w:uiPriority w:val="0"/>
    <w:rPr>
      <w:rFonts w:ascii="宋体" w:hAnsi="Courier New" w:eastAsia="宋体"/>
      <w:kern w:val="2"/>
      <w:sz w:val="21"/>
      <w:lang w:val="en-US" w:eastAsia="zh-CN" w:bidi="ar-SA"/>
    </w:rPr>
  </w:style>
  <w:style w:type="character" w:customStyle="1" w:styleId="141">
    <w:name w:val="正文文本 2 字符"/>
    <w:basedOn w:val="56"/>
    <w:link w:val="46"/>
    <w:qFormat/>
    <w:uiPriority w:val="0"/>
    <w:rPr>
      <w:kern w:val="2"/>
      <w:sz w:val="21"/>
      <w:szCs w:val="24"/>
    </w:rPr>
  </w:style>
  <w:style w:type="character" w:customStyle="1" w:styleId="142">
    <w:name w:val="HIK 段分 5 Char"/>
    <w:basedOn w:val="80"/>
    <w:link w:val="143"/>
    <w:qFormat/>
    <w:uiPriority w:val="0"/>
    <w:rPr>
      <w:rFonts w:ascii="宋体" w:hAnsi="等线" w:eastAsia="宋体"/>
      <w:kern w:val="2"/>
      <w:sz w:val="24"/>
      <w:szCs w:val="28"/>
      <w:lang w:val="en-US" w:eastAsia="zh-CN" w:bidi="ar-SA"/>
    </w:rPr>
  </w:style>
  <w:style w:type="paragraph" w:customStyle="1" w:styleId="143">
    <w:name w:val="HIK 段分 5"/>
    <w:basedOn w:val="6"/>
    <w:next w:val="1"/>
    <w:link w:val="142"/>
    <w:qFormat/>
    <w:uiPriority w:val="0"/>
    <w:pPr>
      <w:keepLines w:val="0"/>
      <w:pageBreakBefore/>
      <w:spacing w:before="60" w:after="60" w:line="360" w:lineRule="auto"/>
      <w:ind w:left="1008" w:hanging="1008"/>
      <w:jc w:val="left"/>
    </w:pPr>
    <w:rPr>
      <w:rFonts w:ascii="宋体" w:hAnsi="等线"/>
      <w:sz w:val="24"/>
    </w:rPr>
  </w:style>
  <w:style w:type="character" w:customStyle="1" w:styleId="144">
    <w:name w:val="标准正文格式 Char Char"/>
    <w:link w:val="145"/>
    <w:qFormat/>
    <w:uiPriority w:val="0"/>
    <w:rPr>
      <w:rFonts w:ascii="宋体" w:eastAsia="仿宋_GB2312" w:cs="宋体"/>
      <w:color w:val="000000"/>
      <w:sz w:val="24"/>
    </w:rPr>
  </w:style>
  <w:style w:type="paragraph" w:customStyle="1" w:styleId="145">
    <w:name w:val="标准正文格式"/>
    <w:basedOn w:val="1"/>
    <w:link w:val="144"/>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146">
    <w:name w:val="无间隔 字符"/>
    <w:basedOn w:val="56"/>
    <w:link w:val="147"/>
    <w:qFormat/>
    <w:uiPriority w:val="1"/>
    <w:rPr>
      <w:kern w:val="2"/>
      <w:sz w:val="21"/>
      <w:szCs w:val="22"/>
      <w:lang w:val="en-US" w:eastAsia="zh-CN" w:bidi="ar-SA"/>
    </w:rPr>
  </w:style>
  <w:style w:type="paragraph" w:styleId="147">
    <w:name w:val="No Spacing"/>
    <w:link w:val="146"/>
    <w:qFormat/>
    <w:uiPriority w:val="1"/>
    <w:pPr>
      <w:widowControl w:val="0"/>
      <w:spacing w:after="160" w:line="259" w:lineRule="auto"/>
    </w:pPr>
    <w:rPr>
      <w:rFonts w:ascii="Times New Roman" w:hAnsi="Times New Roman" w:eastAsia="宋体" w:cs="Times New Roman"/>
      <w:kern w:val="2"/>
      <w:sz w:val="21"/>
      <w:szCs w:val="22"/>
      <w:lang w:val="en-US" w:eastAsia="zh-CN" w:bidi="ar-SA"/>
    </w:rPr>
  </w:style>
  <w:style w:type="character" w:customStyle="1" w:styleId="148">
    <w:name w:val="正文缩进 字符1"/>
    <w:qFormat/>
    <w:uiPriority w:val="0"/>
    <w:rPr>
      <w:rFonts w:eastAsia="宋体"/>
      <w:kern w:val="2"/>
      <w:sz w:val="21"/>
      <w:lang w:val="en-US" w:eastAsia="zh-CN" w:bidi="ar-SA"/>
    </w:rPr>
  </w:style>
  <w:style w:type="paragraph" w:customStyle="1" w:styleId="149">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50">
    <w:name w:val="TOC 标题1"/>
    <w:basedOn w:val="2"/>
    <w:next w:val="1"/>
    <w:qFormat/>
    <w:uiPriority w:val="0"/>
    <w:pPr>
      <w:widowControl/>
      <w:spacing w:before="480" w:line="276" w:lineRule="auto"/>
      <w:outlineLvl w:val="9"/>
    </w:pPr>
    <w:rPr>
      <w:rFonts w:ascii="Cambria" w:hAnsi="Cambria"/>
      <w:color w:val="365F91"/>
      <w:kern w:val="0"/>
      <w:sz w:val="28"/>
      <w:szCs w:val="28"/>
    </w:rPr>
  </w:style>
  <w:style w:type="paragraph" w:customStyle="1" w:styleId="151">
    <w:name w:val="Default"/>
    <w:qFormat/>
    <w:uiPriority w:val="0"/>
    <w:pPr>
      <w:widowControl w:val="0"/>
      <w:autoSpaceDE w:val="0"/>
      <w:autoSpaceDN w:val="0"/>
      <w:adjustRightInd w:val="0"/>
      <w:spacing w:before="120" w:after="120" w:line="259" w:lineRule="auto"/>
    </w:pPr>
    <w:rPr>
      <w:rFonts w:ascii="宋体" w:hAnsi="Times New Roman" w:eastAsia="宋体" w:cs="宋体"/>
      <w:color w:val="000000"/>
      <w:sz w:val="24"/>
      <w:szCs w:val="24"/>
      <w:lang w:val="en-US" w:eastAsia="zh-CN" w:bidi="ar-SA"/>
    </w:rPr>
  </w:style>
  <w:style w:type="paragraph" w:customStyle="1" w:styleId="152">
    <w:name w:val="正文 New"/>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153">
    <w:name w:val="纯文本11"/>
    <w:basedOn w:val="1"/>
    <w:qFormat/>
    <w:uiPriority w:val="0"/>
    <w:pPr>
      <w:adjustRightInd w:val="0"/>
      <w:textAlignment w:val="baseline"/>
    </w:pPr>
    <w:rPr>
      <w:rFonts w:ascii="宋体" w:hAnsi="Courier New" w:eastAsia="楷体_GB2312"/>
      <w:sz w:val="26"/>
      <w:szCs w:val="20"/>
    </w:rPr>
  </w:style>
  <w:style w:type="paragraph" w:customStyle="1" w:styleId="154">
    <w:name w:val="TOC 标题11"/>
    <w:basedOn w:val="2"/>
    <w:next w:val="1"/>
    <w:qFormat/>
    <w:uiPriority w:val="39"/>
    <w:pPr>
      <w:widowControl/>
      <w:spacing w:before="480" w:line="276" w:lineRule="auto"/>
      <w:outlineLvl w:val="9"/>
    </w:pPr>
    <w:rPr>
      <w:rFonts w:ascii="Cambria" w:hAnsi="Cambria"/>
      <w:color w:val="365F91"/>
      <w:kern w:val="0"/>
      <w:sz w:val="28"/>
      <w:szCs w:val="28"/>
    </w:rPr>
  </w:style>
  <w:style w:type="paragraph" w:customStyle="1" w:styleId="155">
    <w:name w:val="xl8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56">
    <w:name w:val="Char"/>
    <w:basedOn w:val="1"/>
    <w:qFormat/>
    <w:uiPriority w:val="0"/>
    <w:pPr>
      <w:tabs>
        <w:tab w:val="left" w:pos="360"/>
      </w:tabs>
    </w:pPr>
    <w:rPr>
      <w:sz w:val="24"/>
    </w:rPr>
  </w:style>
  <w:style w:type="paragraph" w:customStyle="1" w:styleId="157">
    <w:name w:val="正文段"/>
    <w:basedOn w:val="1"/>
    <w:qFormat/>
    <w:uiPriority w:val="0"/>
    <w:pPr>
      <w:widowControl/>
      <w:snapToGrid w:val="0"/>
      <w:spacing w:afterLines="50"/>
      <w:ind w:firstLine="200" w:firstLineChars="200"/>
    </w:pPr>
    <w:rPr>
      <w:kern w:val="0"/>
      <w:sz w:val="24"/>
      <w:szCs w:val="20"/>
    </w:rPr>
  </w:style>
  <w:style w:type="paragraph" w:customStyle="1" w:styleId="158">
    <w:name w:val="font6"/>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59">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60">
    <w:name w:val="p17"/>
    <w:basedOn w:val="1"/>
    <w:qFormat/>
    <w:uiPriority w:val="0"/>
    <w:pPr>
      <w:widowControl/>
    </w:pPr>
    <w:rPr>
      <w:kern w:val="0"/>
      <w:szCs w:val="21"/>
    </w:rPr>
  </w:style>
  <w:style w:type="paragraph" w:customStyle="1" w:styleId="16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6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163">
    <w:name w:val="Char Char1 Char"/>
    <w:basedOn w:val="1"/>
    <w:qFormat/>
    <w:uiPriority w:val="0"/>
    <w:pPr>
      <w:tabs>
        <w:tab w:val="left" w:pos="360"/>
      </w:tabs>
    </w:pPr>
    <w:rPr>
      <w:sz w:val="24"/>
    </w:rPr>
  </w:style>
  <w:style w:type="paragraph" w:customStyle="1" w:styleId="164">
    <w:name w:val="默认段落字体 Para Char Char Char Char Char Char Char Char Char1 Char Char Char Char"/>
    <w:basedOn w:val="1"/>
    <w:qFormat/>
    <w:uiPriority w:val="0"/>
    <w:rPr>
      <w:rFonts w:ascii="Tahoma" w:hAnsi="Tahoma"/>
      <w:sz w:val="24"/>
      <w:szCs w:val="20"/>
    </w:rPr>
  </w:style>
  <w:style w:type="paragraph" w:customStyle="1" w:styleId="165">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66">
    <w:name w:val="正文1"/>
    <w:qFormat/>
    <w:uiPriority w:val="0"/>
    <w:pPr>
      <w:widowControl w:val="0"/>
      <w:spacing w:after="160" w:line="259" w:lineRule="auto"/>
      <w:jc w:val="both"/>
    </w:pPr>
    <w:rPr>
      <w:rFonts w:hint="eastAsia" w:ascii="Times New Roman" w:hAnsi="Times New Roman" w:eastAsia="宋体" w:cs="Times New Roman"/>
      <w:kern w:val="2"/>
      <w:sz w:val="21"/>
      <w:lang w:val="en-US" w:eastAsia="zh-CN" w:bidi="ar-SA"/>
    </w:rPr>
  </w:style>
  <w:style w:type="paragraph" w:customStyle="1" w:styleId="167">
    <w:name w:val="1 Char Char Char Char"/>
    <w:basedOn w:val="1"/>
    <w:qFormat/>
    <w:uiPriority w:val="0"/>
    <w:rPr>
      <w:rFonts w:ascii="Tahoma" w:hAnsi="Tahoma"/>
      <w:sz w:val="24"/>
      <w:szCs w:val="20"/>
    </w:rPr>
  </w:style>
  <w:style w:type="paragraph" w:customStyle="1" w:styleId="168">
    <w:name w:val="正文 New New New New"/>
    <w:qFormat/>
    <w:uiPriority w:val="0"/>
    <w:pPr>
      <w:widowControl w:val="0"/>
      <w:spacing w:after="160" w:line="259" w:lineRule="auto"/>
      <w:jc w:val="both"/>
    </w:pPr>
    <w:rPr>
      <w:rFonts w:ascii="Times New Roman" w:hAnsi="Times New Roman" w:eastAsia="Arial Unicode MS" w:cs="Arial Unicode MS"/>
      <w:color w:val="000000"/>
      <w:u w:color="000000"/>
      <w:lang w:val="en-US" w:eastAsia="zh-CN" w:bidi="ar-SA"/>
    </w:rPr>
  </w:style>
  <w:style w:type="paragraph" w:customStyle="1" w:styleId="16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0">
    <w:name w:val="GTA正文-2"/>
    <w:basedOn w:val="1"/>
    <w:qFormat/>
    <w:uiPriority w:val="0"/>
    <w:pPr>
      <w:snapToGrid w:val="0"/>
      <w:spacing w:beforeLines="50" w:after="156" w:line="480" w:lineRule="atLeast"/>
      <w:ind w:firstLine="480" w:firstLineChars="200"/>
      <w:jc w:val="left"/>
    </w:pPr>
    <w:rPr>
      <w:rFonts w:ascii="微软雅黑" w:hAnsi="微软雅黑" w:eastAsia="微软雅黑" w:cs="Arial"/>
      <w:kern w:val="0"/>
      <w:sz w:val="24"/>
      <w:lang w:eastAsia="en-US"/>
    </w:rPr>
  </w:style>
  <w:style w:type="paragraph" w:customStyle="1" w:styleId="17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72">
    <w:name w:val="正文－恩普"/>
    <w:basedOn w:val="14"/>
    <w:qFormat/>
    <w:uiPriority w:val="0"/>
    <w:pPr>
      <w:widowControl/>
      <w:spacing w:line="360" w:lineRule="auto"/>
      <w:ind w:firstLine="480" w:firstLineChars="200"/>
      <w:jc w:val="left"/>
    </w:pPr>
    <w:rPr>
      <w:kern w:val="0"/>
      <w:sz w:val="24"/>
    </w:rPr>
  </w:style>
  <w:style w:type="paragraph" w:customStyle="1" w:styleId="173">
    <w:name w:val="表内文字"/>
    <w:basedOn w:val="1"/>
    <w:qFormat/>
    <w:uiPriority w:val="0"/>
    <w:pPr>
      <w:jc w:val="center"/>
    </w:pPr>
    <w:rPr>
      <w:rFonts w:ascii="仿宋_GB2312" w:eastAsia="仿宋_GB2312"/>
      <w:sz w:val="24"/>
    </w:rPr>
  </w:style>
  <w:style w:type="paragraph" w:customStyle="1" w:styleId="17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5">
    <w:name w:val="正文 New New New New New New"/>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paragraph" w:customStyle="1" w:styleId="17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7">
    <w:name w:val="xl7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180">
    <w:name w:val="font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81">
    <w:name w:val="Char1"/>
    <w:basedOn w:val="1"/>
    <w:qFormat/>
    <w:uiPriority w:val="0"/>
    <w:rPr>
      <w:rFonts w:ascii="仿宋_GB2312" w:eastAsia="仿宋_GB2312"/>
      <w:b/>
      <w:sz w:val="32"/>
      <w:szCs w:val="32"/>
    </w:rPr>
  </w:style>
  <w:style w:type="paragraph" w:customStyle="1" w:styleId="182">
    <w:name w:val="纯文本12"/>
    <w:basedOn w:val="1"/>
    <w:qFormat/>
    <w:uiPriority w:val="0"/>
    <w:pPr>
      <w:spacing w:afterLines="50"/>
    </w:pPr>
    <w:rPr>
      <w:rFonts w:ascii="宋体" w:hAnsi="Courier New"/>
      <w:sz w:val="24"/>
      <w:szCs w:val="20"/>
    </w:rPr>
  </w:style>
  <w:style w:type="paragraph" w:customStyle="1" w:styleId="183">
    <w:name w:val="Char Char Char Char Char Char Char"/>
    <w:basedOn w:val="1"/>
    <w:qFormat/>
    <w:uiPriority w:val="0"/>
    <w:rPr>
      <w:szCs w:val="21"/>
    </w:rPr>
  </w:style>
  <w:style w:type="paragraph" w:customStyle="1" w:styleId="18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85">
    <w:name w:val="p16"/>
    <w:basedOn w:val="1"/>
    <w:qFormat/>
    <w:uiPriority w:val="0"/>
    <w:pPr>
      <w:widowControl/>
    </w:pPr>
    <w:rPr>
      <w:kern w:val="0"/>
      <w:szCs w:val="21"/>
    </w:rPr>
  </w:style>
  <w:style w:type="paragraph" w:customStyle="1" w:styleId="186">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87">
    <w:name w:val="HIK图文"/>
    <w:qFormat/>
    <w:uiPriority w:val="0"/>
    <w:pPr>
      <w:spacing w:after="160" w:line="360" w:lineRule="auto"/>
      <w:jc w:val="center"/>
    </w:pPr>
    <w:rPr>
      <w:rFonts w:ascii="宋体" w:hAnsi="等线" w:eastAsia="宋体" w:cs="Times New Roman"/>
      <w:kern w:val="2"/>
      <w:sz w:val="24"/>
      <w:szCs w:val="22"/>
      <w:lang w:val="en-US" w:eastAsia="zh-CN" w:bidi="ar-SA"/>
    </w:rPr>
  </w:style>
  <w:style w:type="paragraph" w:customStyle="1" w:styleId="188">
    <w:name w:val="HIK项目标号"/>
    <w:basedOn w:val="1"/>
    <w:next w:val="1"/>
    <w:qFormat/>
    <w:uiPriority w:val="0"/>
    <w:pPr>
      <w:spacing w:line="360" w:lineRule="auto"/>
      <w:ind w:left="420" w:firstLine="200" w:firstLineChars="200"/>
      <w:jc w:val="left"/>
    </w:pPr>
    <w:rPr>
      <w:rFonts w:ascii="Arial" w:hAnsi="Arial" w:cs="宋体"/>
      <w:sz w:val="24"/>
      <w:szCs w:val="20"/>
    </w:rPr>
  </w:style>
  <w:style w:type="paragraph" w:customStyle="1" w:styleId="189">
    <w:name w:val="Char Char Char Char Char Char"/>
    <w:basedOn w:val="1"/>
    <w:qFormat/>
    <w:uiPriority w:val="0"/>
    <w:pPr>
      <w:ind w:firstLine="200" w:firstLineChars="200"/>
    </w:pPr>
  </w:style>
  <w:style w:type="paragraph" w:customStyle="1" w:styleId="190">
    <w:name w:val="默认段落字体 Para Char Char Char Char"/>
    <w:basedOn w:val="1"/>
    <w:qFormat/>
    <w:uiPriority w:val="0"/>
  </w:style>
  <w:style w:type="paragraph" w:customStyle="1" w:styleId="191">
    <w:name w:val="font10"/>
    <w:basedOn w:val="1"/>
    <w:qFormat/>
    <w:uiPriority w:val="0"/>
    <w:pPr>
      <w:widowControl/>
      <w:spacing w:before="100" w:beforeAutospacing="1" w:after="100" w:afterAutospacing="1"/>
      <w:jc w:val="left"/>
    </w:pPr>
    <w:rPr>
      <w:rFonts w:ascii="宋体" w:hAnsi="宋体" w:cs="宋体"/>
      <w:color w:val="FF0000"/>
      <w:kern w:val="0"/>
      <w:sz w:val="18"/>
      <w:szCs w:val="18"/>
    </w:rPr>
  </w:style>
  <w:style w:type="paragraph" w:customStyle="1" w:styleId="192">
    <w:name w:val="正文2"/>
    <w:link w:val="539"/>
    <w:qFormat/>
    <w:uiPriority w:val="0"/>
    <w:pPr>
      <w:widowControl w:val="0"/>
      <w:spacing w:after="160" w:line="259" w:lineRule="auto"/>
      <w:jc w:val="both"/>
    </w:pPr>
    <w:rPr>
      <w:rFonts w:hint="eastAsia" w:ascii="Times New Roman" w:hAnsi="Times New Roman" w:eastAsia="宋体" w:cs="Times New Roman"/>
      <w:kern w:val="2"/>
      <w:sz w:val="21"/>
      <w:lang w:val="en-US" w:eastAsia="zh-CN" w:bidi="ar-SA"/>
    </w:rPr>
  </w:style>
  <w:style w:type="table" w:customStyle="1" w:styleId="193">
    <w:name w:val="Table Normal"/>
    <w:unhideWhenUsed/>
    <w:qFormat/>
    <w:uiPriority w:val="2"/>
    <w:pPr>
      <w:widowControl w:val="0"/>
    </w:pPr>
    <w:rPr>
      <w:sz w:val="22"/>
      <w:szCs w:val="22"/>
      <w:lang w:eastAsia="en-US"/>
    </w:rPr>
    <w:tblPr>
      <w:tblCellMar>
        <w:top w:w="0" w:type="dxa"/>
        <w:left w:w="0" w:type="dxa"/>
        <w:bottom w:w="0" w:type="dxa"/>
        <w:right w:w="0" w:type="dxa"/>
      </w:tblCellMar>
    </w:tblPr>
  </w:style>
  <w:style w:type="paragraph" w:customStyle="1" w:styleId="194">
    <w:name w:val="1"/>
    <w:basedOn w:val="2"/>
    <w:qFormat/>
    <w:uiPriority w:val="0"/>
    <w:pPr>
      <w:adjustRightInd w:val="0"/>
      <w:snapToGrid w:val="0"/>
      <w:spacing w:before="240" w:after="240" w:line="348" w:lineRule="auto"/>
    </w:pPr>
    <w:rPr>
      <w:rFonts w:ascii="Calibri" w:hAnsi="Calibri" w:eastAsia="宋体" w:cs="宋体"/>
    </w:rPr>
  </w:style>
  <w:style w:type="character" w:customStyle="1" w:styleId="195">
    <w:name w:val="bookmark-item"/>
    <w:basedOn w:val="56"/>
    <w:qFormat/>
    <w:uiPriority w:val="0"/>
  </w:style>
  <w:style w:type="character" w:customStyle="1" w:styleId="196">
    <w:name w:val="sub"/>
    <w:basedOn w:val="56"/>
    <w:qFormat/>
    <w:uiPriority w:val="0"/>
  </w:style>
  <w:style w:type="paragraph" w:customStyle="1" w:styleId="197">
    <w:name w:val="样式 段 + 四号 首行缩进:  2 字符 行距: 1.5 倍行距"/>
    <w:basedOn w:val="1"/>
    <w:qFormat/>
    <w:uiPriority w:val="0"/>
    <w:pPr>
      <w:widowControl/>
      <w:autoSpaceDE w:val="0"/>
      <w:autoSpaceDN w:val="0"/>
      <w:ind w:firstLine="560" w:firstLineChars="200"/>
    </w:pPr>
    <w:rPr>
      <w:rFonts w:ascii="宋体" w:cs="宋体"/>
      <w:kern w:val="0"/>
      <w:szCs w:val="22"/>
    </w:rPr>
  </w:style>
  <w:style w:type="paragraph" w:customStyle="1" w:styleId="198">
    <w:name w:val="正文_0"/>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character" w:customStyle="1" w:styleId="199">
    <w:name w:val="font01"/>
    <w:qFormat/>
    <w:uiPriority w:val="0"/>
    <w:rPr>
      <w:rFonts w:hint="default" w:ascii="Times New Roman" w:hAnsi="Times New Roman" w:cs="Times New Roman"/>
      <w:color w:val="000000"/>
      <w:sz w:val="21"/>
      <w:szCs w:val="21"/>
      <w:u w:val="none"/>
    </w:rPr>
  </w:style>
  <w:style w:type="character" w:customStyle="1" w:styleId="200">
    <w:name w:val="脚注文本 字符"/>
    <w:basedOn w:val="56"/>
    <w:link w:val="40"/>
    <w:qFormat/>
    <w:uiPriority w:val="0"/>
    <w:rPr>
      <w:rFonts w:ascii="Calibri" w:hAnsi="Calibri"/>
      <w:kern w:val="2"/>
      <w:sz w:val="18"/>
      <w:szCs w:val="24"/>
    </w:rPr>
  </w:style>
  <w:style w:type="paragraph" w:customStyle="1" w:styleId="201">
    <w:name w:val="CM11"/>
    <w:basedOn w:val="151"/>
    <w:next w:val="151"/>
    <w:unhideWhenUsed/>
    <w:qFormat/>
    <w:uiPriority w:val="99"/>
    <w:pPr>
      <w:spacing w:before="0" w:after="0" w:line="520" w:lineRule="atLeast"/>
    </w:pPr>
    <w:rPr>
      <w:rFonts w:hint="eastAsia" w:ascii="仿宋" w:eastAsia="仿宋" w:cs="Times New Roman"/>
      <w:szCs w:val="20"/>
    </w:rPr>
  </w:style>
  <w:style w:type="paragraph" w:customStyle="1" w:styleId="202">
    <w:name w:val="列出段落2"/>
    <w:basedOn w:val="1"/>
    <w:qFormat/>
    <w:uiPriority w:val="0"/>
    <w:pPr>
      <w:spacing w:after="0" w:line="240" w:lineRule="auto"/>
      <w:ind w:firstLine="420" w:firstLineChars="200"/>
    </w:pPr>
  </w:style>
  <w:style w:type="character" w:customStyle="1" w:styleId="203">
    <w:name w:val="正文文本首行缩进 2 字符"/>
    <w:basedOn w:val="101"/>
    <w:link w:val="52"/>
    <w:qFormat/>
    <w:uiPriority w:val="0"/>
    <w:rPr>
      <w:rFonts w:ascii="宋体" w:hAnsi="Courier New" w:eastAsia="宋体"/>
      <w:spacing w:val="-4"/>
      <w:kern w:val="2"/>
      <w:sz w:val="24"/>
      <w:lang w:val="en-US" w:eastAsia="zh-CN" w:bidi="ar-SA"/>
    </w:rPr>
  </w:style>
  <w:style w:type="character" w:customStyle="1" w:styleId="204">
    <w:name w:val="列出段落 Char2"/>
    <w:qFormat/>
    <w:uiPriority w:val="34"/>
    <w:rPr>
      <w:kern w:val="2"/>
      <w:sz w:val="21"/>
      <w:szCs w:val="22"/>
    </w:rPr>
  </w:style>
  <w:style w:type="paragraph" w:customStyle="1" w:styleId="205">
    <w:name w:val="字元 字元"/>
    <w:basedOn w:val="1"/>
    <w:qFormat/>
    <w:uiPriority w:val="0"/>
    <w:pPr>
      <w:widowControl/>
      <w:spacing w:line="240" w:lineRule="exact"/>
      <w:jc w:val="left"/>
    </w:pPr>
    <w:rPr>
      <w:rFonts w:ascii="Verdana" w:hAnsi="Verdana"/>
      <w:kern w:val="0"/>
      <w:sz w:val="20"/>
      <w:szCs w:val="20"/>
      <w:lang w:eastAsia="en-US"/>
    </w:rPr>
  </w:style>
  <w:style w:type="character" w:customStyle="1" w:styleId="206">
    <w:name w:val="样式 标题 5 + (西文) 黑体 三号 Char Char Char Char Char Char Char"/>
    <w:qFormat/>
    <w:uiPriority w:val="0"/>
    <w:rPr>
      <w:rFonts w:ascii="黑体" w:hAnsi="黑体" w:eastAsia="宋体"/>
      <w:bCs/>
      <w:kern w:val="2"/>
      <w:sz w:val="24"/>
      <w:szCs w:val="28"/>
      <w:lang w:val="en-US" w:eastAsia="zh-CN" w:bidi="ar-SA"/>
    </w:rPr>
  </w:style>
  <w:style w:type="paragraph" w:customStyle="1" w:styleId="207">
    <w:name w:val="列出段落3"/>
    <w:basedOn w:val="1"/>
    <w:qFormat/>
    <w:uiPriority w:val="0"/>
    <w:pPr>
      <w:spacing w:after="0" w:line="240" w:lineRule="auto"/>
      <w:ind w:firstLine="420" w:firstLineChars="200"/>
    </w:pPr>
    <w:rPr>
      <w:rFonts w:ascii="Calibri" w:hAnsi="Calibri"/>
      <w:szCs w:val="22"/>
    </w:rPr>
  </w:style>
  <w:style w:type="paragraph" w:customStyle="1" w:styleId="208">
    <w:name w:val="字元 字元11"/>
    <w:basedOn w:val="1"/>
    <w:qFormat/>
    <w:uiPriority w:val="0"/>
    <w:pPr>
      <w:widowControl/>
      <w:spacing w:line="240" w:lineRule="exact"/>
      <w:jc w:val="left"/>
    </w:pPr>
    <w:rPr>
      <w:sz w:val="28"/>
      <w:szCs w:val="20"/>
    </w:rPr>
  </w:style>
  <w:style w:type="paragraph" w:customStyle="1" w:styleId="209">
    <w:name w:val="TOC 标题2"/>
    <w:basedOn w:val="2"/>
    <w:next w:val="1"/>
    <w:qFormat/>
    <w:uiPriority w:val="39"/>
    <w:pPr>
      <w:widowControl/>
      <w:spacing w:before="480" w:after="0" w:line="276" w:lineRule="auto"/>
      <w:outlineLvl w:val="9"/>
    </w:pPr>
    <w:rPr>
      <w:rFonts w:ascii="Cambria" w:hAnsi="Cambria" w:eastAsia="宋体"/>
      <w:color w:val="365F91"/>
      <w:kern w:val="0"/>
      <w:sz w:val="28"/>
      <w:szCs w:val="28"/>
    </w:rPr>
  </w:style>
  <w:style w:type="paragraph" w:customStyle="1" w:styleId="210">
    <w:name w:val="封面第一行"/>
    <w:basedOn w:val="1"/>
    <w:qFormat/>
    <w:uiPriority w:val="0"/>
    <w:pPr>
      <w:spacing w:after="0" w:line="360" w:lineRule="auto"/>
      <w:jc w:val="center"/>
    </w:pPr>
    <w:rPr>
      <w:rFonts w:ascii="黑体" w:hAnsi="宋体" w:eastAsia="黑体" w:cs="宋体"/>
      <w:sz w:val="56"/>
      <w:szCs w:val="20"/>
    </w:rPr>
  </w:style>
  <w:style w:type="paragraph" w:customStyle="1" w:styleId="211">
    <w:name w:val="字元 字元1"/>
    <w:basedOn w:val="1"/>
    <w:qFormat/>
    <w:uiPriority w:val="0"/>
    <w:pPr>
      <w:widowControl/>
      <w:spacing w:line="240" w:lineRule="exact"/>
      <w:jc w:val="left"/>
    </w:pPr>
    <w:rPr>
      <w:sz w:val="28"/>
      <w:szCs w:val="20"/>
    </w:rPr>
  </w:style>
  <w:style w:type="character" w:customStyle="1" w:styleId="212">
    <w:name w:val="普通文字 Char Char1"/>
    <w:qFormat/>
    <w:uiPriority w:val="0"/>
    <w:rPr>
      <w:rFonts w:ascii="宋体" w:hAnsi="Courier New" w:eastAsia="宋体"/>
      <w:kern w:val="2"/>
      <w:sz w:val="24"/>
      <w:szCs w:val="24"/>
      <w:lang w:val="en-US" w:eastAsia="zh-CN" w:bidi="ar-SA"/>
    </w:rPr>
  </w:style>
  <w:style w:type="character" w:customStyle="1" w:styleId="213">
    <w:name w:val="Heading 0 Char"/>
    <w:qFormat/>
    <w:uiPriority w:val="0"/>
    <w:rPr>
      <w:rFonts w:eastAsia="宋体"/>
      <w:b/>
      <w:bCs/>
      <w:kern w:val="44"/>
      <w:sz w:val="32"/>
      <w:szCs w:val="44"/>
      <w:lang w:val="en-US" w:eastAsia="zh-CN" w:bidi="ar-SA"/>
    </w:rPr>
  </w:style>
  <w:style w:type="character" w:customStyle="1" w:styleId="214">
    <w:name w:val="Heading 2 Hidden Char"/>
    <w:qFormat/>
    <w:uiPriority w:val="0"/>
    <w:rPr>
      <w:rFonts w:ascii="Arial" w:hAnsi="Arial" w:eastAsia="黑体"/>
      <w:b/>
      <w:bCs/>
      <w:kern w:val="2"/>
      <w:sz w:val="32"/>
      <w:szCs w:val="32"/>
      <w:lang w:val="en-US" w:eastAsia="zh-CN" w:bidi="ar-SA"/>
    </w:rPr>
  </w:style>
  <w:style w:type="character" w:customStyle="1" w:styleId="215">
    <w:name w:val="h4 Char1"/>
    <w:qFormat/>
    <w:uiPriority w:val="0"/>
    <w:rPr>
      <w:rFonts w:ascii="Cambria" w:hAnsi="Cambria" w:eastAsia="宋体" w:cs="Times New Roman"/>
      <w:b/>
      <w:bCs/>
      <w:kern w:val="2"/>
      <w:sz w:val="28"/>
      <w:szCs w:val="28"/>
    </w:rPr>
  </w:style>
  <w:style w:type="character" w:customStyle="1" w:styleId="216">
    <w:name w:val="h5 Char"/>
    <w:qFormat/>
    <w:uiPriority w:val="0"/>
    <w:rPr>
      <w:rFonts w:eastAsia="宋体"/>
      <w:b/>
      <w:bCs/>
      <w:kern w:val="2"/>
      <w:sz w:val="28"/>
      <w:szCs w:val="28"/>
      <w:lang w:val="en-US" w:eastAsia="zh-CN" w:bidi="ar-SA"/>
    </w:rPr>
  </w:style>
  <w:style w:type="character" w:customStyle="1" w:styleId="217">
    <w:name w:val="表正文 Char"/>
    <w:qFormat/>
    <w:uiPriority w:val="0"/>
    <w:rPr>
      <w:rFonts w:eastAsia="宋体"/>
      <w:kern w:val="2"/>
      <w:sz w:val="21"/>
      <w:lang w:val="en-US" w:eastAsia="zh-CN" w:bidi="ar-SA"/>
    </w:rPr>
  </w:style>
  <w:style w:type="character" w:customStyle="1" w:styleId="218">
    <w:name w:val="Char Char20"/>
    <w:qFormat/>
    <w:uiPriority w:val="0"/>
    <w:rPr>
      <w:rFonts w:ascii="仿宋_GB2312" w:hAnsi="宋体" w:eastAsia="仿宋_GB2312"/>
      <w:color w:val="000000"/>
      <w:kern w:val="2"/>
      <w:sz w:val="24"/>
      <w:szCs w:val="24"/>
    </w:rPr>
  </w:style>
  <w:style w:type="character" w:customStyle="1" w:styleId="219">
    <w:name w:val="Char Char19"/>
    <w:qFormat/>
    <w:locked/>
    <w:uiPriority w:val="0"/>
    <w:rPr>
      <w:rFonts w:eastAsia="黑体"/>
      <w:snapToGrid w:val="0"/>
      <w:sz w:val="18"/>
      <w:szCs w:val="18"/>
    </w:rPr>
  </w:style>
  <w:style w:type="character" w:customStyle="1" w:styleId="220">
    <w:name w:val="Char Char18"/>
    <w:qFormat/>
    <w:locked/>
    <w:uiPriority w:val="0"/>
    <w:rPr>
      <w:kern w:val="2"/>
      <w:sz w:val="18"/>
      <w:szCs w:val="18"/>
    </w:rPr>
  </w:style>
  <w:style w:type="character" w:customStyle="1" w:styleId="221">
    <w:name w:val="Char Char16"/>
    <w:qFormat/>
    <w:uiPriority w:val="0"/>
    <w:rPr>
      <w:rFonts w:eastAsia="楷体_GB2312"/>
      <w:kern w:val="2"/>
      <w:sz w:val="32"/>
    </w:rPr>
  </w:style>
  <w:style w:type="character" w:customStyle="1" w:styleId="222">
    <w:name w:val="正文文字首行缩进 Char"/>
    <w:qFormat/>
    <w:uiPriority w:val="0"/>
    <w:rPr>
      <w:rFonts w:ascii="宋体" w:hAnsi="Courier New"/>
      <w:spacing w:val="-4"/>
      <w:kern w:val="2"/>
      <w:sz w:val="18"/>
    </w:rPr>
  </w:style>
  <w:style w:type="paragraph" w:customStyle="1" w:styleId="223">
    <w:name w:val="Char21"/>
    <w:basedOn w:val="2"/>
    <w:qFormat/>
    <w:uiPriority w:val="0"/>
    <w:pPr>
      <w:adjustRightInd w:val="0"/>
      <w:snapToGrid w:val="0"/>
      <w:spacing w:before="240" w:after="240" w:line="348" w:lineRule="auto"/>
    </w:pPr>
    <w:rPr>
      <w:rFonts w:eastAsia="宋体"/>
    </w:rPr>
  </w:style>
  <w:style w:type="paragraph" w:customStyle="1" w:styleId="224">
    <w:name w:val="f1"/>
    <w:basedOn w:val="1"/>
    <w:qFormat/>
    <w:uiPriority w:val="0"/>
    <w:pPr>
      <w:widowControl/>
      <w:spacing w:before="100" w:beforeAutospacing="1" w:after="100" w:afterAutospacing="1" w:line="240" w:lineRule="auto"/>
      <w:jc w:val="center"/>
    </w:pPr>
    <w:rPr>
      <w:rFonts w:ascii="Helvetica" w:hAnsi="Helvetica" w:cs="Helvetica"/>
      <w:b/>
      <w:bCs/>
      <w:color w:val="FF8080"/>
      <w:spacing w:val="160"/>
      <w:kern w:val="0"/>
      <w:sz w:val="80"/>
      <w:szCs w:val="80"/>
    </w:rPr>
  </w:style>
  <w:style w:type="paragraph" w:customStyle="1" w:styleId="225">
    <w:name w:val="Char Char Char Char Char Char1"/>
    <w:basedOn w:val="1"/>
    <w:qFormat/>
    <w:uiPriority w:val="0"/>
    <w:pPr>
      <w:widowControl/>
      <w:spacing w:line="240" w:lineRule="exact"/>
      <w:jc w:val="left"/>
    </w:pPr>
    <w:rPr>
      <w:kern w:val="0"/>
      <w:szCs w:val="20"/>
    </w:rPr>
  </w:style>
  <w:style w:type="paragraph" w:customStyle="1" w:styleId="226">
    <w:name w:val="Plain Text1"/>
    <w:basedOn w:val="1"/>
    <w:qFormat/>
    <w:uiPriority w:val="0"/>
    <w:pPr>
      <w:adjustRightInd w:val="0"/>
      <w:spacing w:after="0" w:line="240" w:lineRule="auto"/>
      <w:textAlignment w:val="baseline"/>
    </w:pPr>
    <w:rPr>
      <w:rFonts w:ascii="宋体" w:hAnsi="Courier New" w:eastAsia="楷体_GB2312"/>
      <w:sz w:val="26"/>
      <w:szCs w:val="20"/>
    </w:rPr>
  </w:style>
  <w:style w:type="character" w:customStyle="1" w:styleId="227">
    <w:name w:val="Char Char"/>
    <w:qFormat/>
    <w:uiPriority w:val="0"/>
    <w:rPr>
      <w:rFonts w:ascii="宋体" w:hAnsi="Courier New" w:eastAsia="楷体_GB2312"/>
      <w:kern w:val="2"/>
      <w:sz w:val="26"/>
      <w:lang w:val="en-US" w:eastAsia="zh-CN" w:bidi="ar-SA"/>
    </w:rPr>
  </w:style>
  <w:style w:type="paragraph" w:customStyle="1" w:styleId="228">
    <w:name w:val="Char Char12"/>
    <w:basedOn w:val="1"/>
    <w:qFormat/>
    <w:uiPriority w:val="0"/>
    <w:pPr>
      <w:spacing w:after="0" w:line="240" w:lineRule="auto"/>
    </w:pPr>
    <w:rPr>
      <w:szCs w:val="21"/>
    </w:rPr>
  </w:style>
  <w:style w:type="paragraph" w:customStyle="1" w:styleId="229">
    <w:name w:val="Char Char Char Char Char Char Char1"/>
    <w:basedOn w:val="1"/>
    <w:qFormat/>
    <w:uiPriority w:val="0"/>
    <w:pPr>
      <w:spacing w:after="0" w:line="240" w:lineRule="auto"/>
    </w:pPr>
    <w:rPr>
      <w:szCs w:val="21"/>
    </w:rPr>
  </w:style>
  <w:style w:type="paragraph" w:customStyle="1" w:styleId="230">
    <w:name w:val="_Style 213"/>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customStyle="1" w:styleId="231">
    <w:name w:val="Char Char11"/>
    <w:qFormat/>
    <w:uiPriority w:val="0"/>
    <w:rPr>
      <w:rFonts w:ascii="Cambria" w:hAnsi="Cambria" w:cs="Times New Roman"/>
      <w:b/>
      <w:bCs/>
      <w:kern w:val="2"/>
      <w:sz w:val="32"/>
      <w:szCs w:val="32"/>
    </w:rPr>
  </w:style>
  <w:style w:type="paragraph" w:customStyle="1" w:styleId="232">
    <w:name w:val="Normal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233">
    <w:name w:val="标准正文格式 Char"/>
    <w:qFormat/>
    <w:uiPriority w:val="0"/>
    <w:rPr>
      <w:rFonts w:ascii="宋体" w:hAnsi="Times New Roman" w:eastAsia="仿宋" w:cs="Times New Roman"/>
      <w:color w:val="000000"/>
      <w:kern w:val="0"/>
      <w:sz w:val="24"/>
      <w:szCs w:val="20"/>
    </w:rPr>
  </w:style>
  <w:style w:type="paragraph" w:customStyle="1" w:styleId="234">
    <w:name w:val="List Paragraph2"/>
    <w:basedOn w:val="1"/>
    <w:qFormat/>
    <w:uiPriority w:val="0"/>
    <w:pPr>
      <w:autoSpaceDE w:val="0"/>
      <w:autoSpaceDN w:val="0"/>
      <w:adjustRightInd w:val="0"/>
      <w:spacing w:after="0" w:line="240" w:lineRule="auto"/>
      <w:ind w:firstLine="420" w:firstLineChars="200"/>
    </w:pPr>
    <w:rPr>
      <w:color w:val="000000"/>
      <w:kern w:val="0"/>
      <w:szCs w:val="21"/>
    </w:rPr>
  </w:style>
  <w:style w:type="character" w:customStyle="1" w:styleId="235">
    <w:name w:val="Char Char10"/>
    <w:qFormat/>
    <w:uiPriority w:val="0"/>
    <w:rPr>
      <w:kern w:val="2"/>
      <w:sz w:val="21"/>
      <w:szCs w:val="24"/>
    </w:rPr>
  </w:style>
  <w:style w:type="character" w:customStyle="1" w:styleId="236">
    <w:name w:val="H3 Char"/>
    <w:qFormat/>
    <w:uiPriority w:val="0"/>
    <w:rPr>
      <w:rFonts w:ascii="Times New Roman" w:hAnsi="Times New Roman" w:eastAsia="宋体" w:cs="Times New Roman"/>
      <w:b/>
      <w:bCs/>
      <w:sz w:val="24"/>
      <w:szCs w:val="32"/>
    </w:rPr>
  </w:style>
  <w:style w:type="character" w:customStyle="1" w:styleId="237">
    <w:name w:val="h4 Char"/>
    <w:qFormat/>
    <w:uiPriority w:val="0"/>
    <w:rPr>
      <w:rFonts w:ascii="Arial" w:hAnsi="Arial" w:eastAsia="黑体" w:cs="Times New Roman"/>
      <w:b/>
      <w:bCs/>
      <w:sz w:val="28"/>
      <w:szCs w:val="28"/>
    </w:rPr>
  </w:style>
  <w:style w:type="paragraph" w:customStyle="1" w:styleId="238">
    <w:name w:val="Title1"/>
    <w:basedOn w:val="2"/>
    <w:next w:val="239"/>
    <w:qFormat/>
    <w:uiPriority w:val="0"/>
    <w:pPr>
      <w:numPr>
        <w:ilvl w:val="0"/>
        <w:numId w:val="1"/>
      </w:numPr>
      <w:spacing w:before="240" w:after="240"/>
      <w:jc w:val="both"/>
    </w:pPr>
    <w:rPr>
      <w:rFonts w:eastAsia="仿宋"/>
      <w:sz w:val="36"/>
    </w:rPr>
  </w:style>
  <w:style w:type="paragraph" w:customStyle="1" w:styleId="239">
    <w:name w:val="Title2"/>
    <w:basedOn w:val="3"/>
    <w:next w:val="29"/>
    <w:qFormat/>
    <w:uiPriority w:val="0"/>
    <w:pPr>
      <w:keepLines/>
      <w:numPr>
        <w:ilvl w:val="1"/>
        <w:numId w:val="1"/>
      </w:numPr>
      <w:adjustRightInd/>
      <w:snapToGrid/>
      <w:spacing w:before="200" w:after="200"/>
      <w:jc w:val="both"/>
      <w:textAlignment w:val="auto"/>
    </w:pPr>
    <w:rPr>
      <w:rFonts w:ascii="Times New Roman" w:eastAsia="仿宋"/>
      <w:bCs/>
      <w:sz w:val="32"/>
      <w:szCs w:val="32"/>
    </w:rPr>
  </w:style>
  <w:style w:type="paragraph" w:customStyle="1" w:styleId="240">
    <w:name w:val="Title3"/>
    <w:basedOn w:val="4"/>
    <w:next w:val="29"/>
    <w:qFormat/>
    <w:uiPriority w:val="0"/>
    <w:pPr>
      <w:numPr>
        <w:ilvl w:val="2"/>
        <w:numId w:val="1"/>
      </w:numPr>
      <w:spacing w:before="160" w:after="160"/>
      <w:ind w:firstLine="0" w:firstLineChars="0"/>
    </w:pPr>
    <w:rPr>
      <w:rFonts w:ascii="Calibri" w:hAnsi="Calibri" w:eastAsia="仿宋"/>
      <w:szCs w:val="32"/>
    </w:rPr>
  </w:style>
  <w:style w:type="paragraph" w:customStyle="1" w:styleId="241">
    <w:name w:val="Title4"/>
    <w:basedOn w:val="5"/>
    <w:next w:val="29"/>
    <w:qFormat/>
    <w:uiPriority w:val="0"/>
    <w:pPr>
      <w:numPr>
        <w:ilvl w:val="3"/>
        <w:numId w:val="1"/>
      </w:numPr>
      <w:spacing w:before="160" w:after="160" w:line="360" w:lineRule="auto"/>
    </w:pPr>
    <w:rPr>
      <w:rFonts w:ascii="Times New Roman" w:hAnsi="Times New Roman" w:eastAsia="仿宋"/>
      <w:kern w:val="0"/>
    </w:rPr>
  </w:style>
  <w:style w:type="paragraph" w:customStyle="1" w:styleId="242">
    <w:name w:val="Title5"/>
    <w:basedOn w:val="6"/>
    <w:next w:val="29"/>
    <w:qFormat/>
    <w:uiPriority w:val="0"/>
    <w:pPr>
      <w:numPr>
        <w:ilvl w:val="4"/>
        <w:numId w:val="1"/>
      </w:numPr>
      <w:spacing w:before="120" w:after="120" w:line="360" w:lineRule="auto"/>
    </w:pPr>
    <w:rPr>
      <w:rFonts w:ascii="Times New Roman" w:hAnsi="Times New Roman" w:eastAsia="仿宋"/>
      <w:kern w:val="0"/>
    </w:rPr>
  </w:style>
  <w:style w:type="paragraph" w:customStyle="1" w:styleId="243">
    <w:name w:val="Image"/>
    <w:basedOn w:val="207"/>
    <w:qFormat/>
    <w:uiPriority w:val="0"/>
    <w:pPr>
      <w:ind w:firstLine="0" w:firstLineChars="0"/>
      <w:jc w:val="center"/>
    </w:pPr>
    <w:rPr>
      <w:rFonts w:ascii="Times New Roman" w:hAnsi="Times New Roman"/>
      <w:szCs w:val="21"/>
    </w:rPr>
  </w:style>
  <w:style w:type="paragraph" w:customStyle="1" w:styleId="244">
    <w:name w:val="Image-T"/>
    <w:basedOn w:val="243"/>
    <w:next w:val="243"/>
    <w:qFormat/>
    <w:uiPriority w:val="0"/>
    <w:pPr>
      <w:numPr>
        <w:ilvl w:val="6"/>
        <w:numId w:val="1"/>
      </w:numPr>
      <w:spacing w:afterLines="50"/>
      <w:ind w:left="896"/>
    </w:pPr>
    <w:rPr>
      <w:rFonts w:eastAsia="仿宋"/>
    </w:rPr>
  </w:style>
  <w:style w:type="paragraph" w:customStyle="1" w:styleId="245">
    <w:name w:val="Table-T"/>
    <w:basedOn w:val="244"/>
    <w:next w:val="1"/>
    <w:qFormat/>
    <w:uiPriority w:val="0"/>
    <w:pPr>
      <w:numPr>
        <w:ilvl w:val="5"/>
      </w:numPr>
      <w:spacing w:beforeLines="50" w:afterLines="0"/>
    </w:pPr>
  </w:style>
  <w:style w:type="paragraph" w:customStyle="1" w:styleId="246">
    <w:name w:val="Text 1"/>
    <w:basedOn w:val="29"/>
    <w:qFormat/>
    <w:uiPriority w:val="0"/>
    <w:pPr>
      <w:numPr>
        <w:ilvl w:val="0"/>
        <w:numId w:val="2"/>
      </w:numPr>
      <w:spacing w:after="0" w:line="360" w:lineRule="auto"/>
      <w:ind w:left="839" w:hanging="357"/>
      <w:jc w:val="left"/>
    </w:pPr>
    <w:rPr>
      <w:rFonts w:ascii="Times New Roman" w:hAnsi="Times New Roman" w:eastAsia="仿宋"/>
      <w:kern w:val="0"/>
      <w:sz w:val="24"/>
      <w:szCs w:val="21"/>
    </w:rPr>
  </w:style>
  <w:style w:type="paragraph" w:customStyle="1" w:styleId="247">
    <w:name w:val="Text3"/>
    <w:basedOn w:val="246"/>
    <w:next w:val="29"/>
    <w:qFormat/>
    <w:uiPriority w:val="0"/>
    <w:pPr>
      <w:numPr>
        <w:numId w:val="3"/>
      </w:numPr>
    </w:pPr>
    <w:rPr>
      <w:b/>
    </w:rPr>
  </w:style>
  <w:style w:type="paragraph" w:customStyle="1" w:styleId="248">
    <w:name w:val="Table"/>
    <w:basedOn w:val="243"/>
    <w:qFormat/>
    <w:uiPriority w:val="0"/>
    <w:rPr>
      <w:rFonts w:eastAsia="仿宋"/>
    </w:rPr>
  </w:style>
  <w:style w:type="character" w:customStyle="1" w:styleId="249">
    <w:name w:val="h Char"/>
    <w:qFormat/>
    <w:uiPriority w:val="0"/>
    <w:rPr>
      <w:rFonts w:eastAsia="仿宋_GB2312"/>
      <w:kern w:val="2"/>
      <w:sz w:val="18"/>
    </w:rPr>
  </w:style>
  <w:style w:type="paragraph" w:customStyle="1" w:styleId="250">
    <w:name w:val="无间隔1"/>
    <w:link w:val="251"/>
    <w:qFormat/>
    <w:uiPriority w:val="0"/>
    <w:rPr>
      <w:rFonts w:ascii="Calibri" w:hAnsi="Calibri" w:eastAsia="宋体" w:cs="Times New Roman"/>
      <w:sz w:val="22"/>
      <w:szCs w:val="22"/>
      <w:lang w:val="en-US" w:eastAsia="zh-CN" w:bidi="ar-SA"/>
    </w:rPr>
  </w:style>
  <w:style w:type="character" w:customStyle="1" w:styleId="251">
    <w:name w:val="No Spacing Char"/>
    <w:link w:val="250"/>
    <w:qFormat/>
    <w:uiPriority w:val="0"/>
    <w:rPr>
      <w:rFonts w:ascii="Calibri" w:hAnsi="Calibri"/>
      <w:sz w:val="22"/>
      <w:szCs w:val="22"/>
    </w:rPr>
  </w:style>
  <w:style w:type="paragraph" w:customStyle="1" w:styleId="252">
    <w:name w:val="标题1"/>
    <w:basedOn w:val="50"/>
    <w:qFormat/>
    <w:uiPriority w:val="0"/>
    <w:pPr>
      <w:spacing w:before="480" w:line="240" w:lineRule="auto"/>
    </w:pPr>
    <w:rPr>
      <w:rFonts w:ascii="Times New Roman" w:hAnsi="Times New Roman"/>
      <w:kern w:val="0"/>
      <w:sz w:val="44"/>
    </w:rPr>
  </w:style>
  <w:style w:type="paragraph" w:customStyle="1" w:styleId="253">
    <w:name w:val="页眉1"/>
    <w:basedOn w:val="35"/>
    <w:qFormat/>
    <w:uiPriority w:val="0"/>
    <w:pPr>
      <w:spacing w:after="0" w:line="240" w:lineRule="auto"/>
      <w:jc w:val="left"/>
    </w:pPr>
    <w:rPr>
      <w:kern w:val="0"/>
    </w:rPr>
  </w:style>
  <w:style w:type="character" w:customStyle="1" w:styleId="254">
    <w:name w:val="书籍标题1"/>
    <w:qFormat/>
    <w:uiPriority w:val="0"/>
    <w:rPr>
      <w:b/>
      <w:bCs/>
      <w:i/>
      <w:iCs/>
      <w:spacing w:val="5"/>
    </w:rPr>
  </w:style>
  <w:style w:type="character" w:customStyle="1" w:styleId="255">
    <w:name w:val="明显参考1"/>
    <w:qFormat/>
    <w:uiPriority w:val="0"/>
    <w:rPr>
      <w:b/>
      <w:bCs/>
      <w:smallCaps/>
      <w:color w:val="4F81BD"/>
      <w:spacing w:val="5"/>
    </w:rPr>
  </w:style>
  <w:style w:type="character" w:customStyle="1" w:styleId="256">
    <w:name w:val="明显强调1"/>
    <w:qFormat/>
    <w:uiPriority w:val="0"/>
    <w:rPr>
      <w:i/>
      <w:iCs/>
      <w:color w:val="4F81BD"/>
    </w:rPr>
  </w:style>
  <w:style w:type="paragraph" w:customStyle="1" w:styleId="257">
    <w:name w:val="明显引用1"/>
    <w:basedOn w:val="1"/>
    <w:next w:val="1"/>
    <w:link w:val="258"/>
    <w:qFormat/>
    <w:uiPriority w:val="0"/>
    <w:pPr>
      <w:pBdr>
        <w:top w:val="single" w:color="4F81BD" w:sz="4" w:space="10"/>
        <w:bottom w:val="single" w:color="4F81BD" w:sz="4" w:space="10"/>
      </w:pBdr>
      <w:spacing w:before="360" w:after="360" w:line="240" w:lineRule="auto"/>
      <w:ind w:left="864" w:right="864"/>
      <w:jc w:val="center"/>
    </w:pPr>
    <w:rPr>
      <w:rFonts w:ascii="Calibri" w:hAnsi="Calibri"/>
      <w:i/>
      <w:iCs/>
      <w:color w:val="4F81BD"/>
      <w:szCs w:val="21"/>
    </w:rPr>
  </w:style>
  <w:style w:type="character" w:customStyle="1" w:styleId="258">
    <w:name w:val="Intense Quote Char"/>
    <w:link w:val="257"/>
    <w:qFormat/>
    <w:uiPriority w:val="0"/>
    <w:rPr>
      <w:rFonts w:ascii="Calibri" w:hAnsi="Calibri"/>
      <w:i/>
      <w:iCs/>
      <w:color w:val="4F81BD"/>
      <w:kern w:val="2"/>
      <w:sz w:val="21"/>
      <w:szCs w:val="21"/>
    </w:rPr>
  </w:style>
  <w:style w:type="character" w:customStyle="1" w:styleId="259">
    <w:name w:val="不明显参考1"/>
    <w:qFormat/>
    <w:uiPriority w:val="0"/>
    <w:rPr>
      <w:smallCaps/>
      <w:color w:val="5A5A5A"/>
    </w:rPr>
  </w:style>
  <w:style w:type="paragraph" w:customStyle="1" w:styleId="260">
    <w:name w:val="样式 Table text + 段前: 0.5 行"/>
    <w:basedOn w:val="245"/>
    <w:qFormat/>
    <w:uiPriority w:val="0"/>
    <w:pPr>
      <w:numPr>
        <w:ilvl w:val="0"/>
        <w:numId w:val="0"/>
      </w:numPr>
      <w:tabs>
        <w:tab w:val="left" w:pos="2942"/>
      </w:tabs>
      <w:ind w:left="2942" w:hanging="420"/>
    </w:pPr>
    <w:rPr>
      <w:rFonts w:cs="宋体"/>
      <w:szCs w:val="20"/>
    </w:rPr>
  </w:style>
  <w:style w:type="character" w:customStyle="1" w:styleId="261">
    <w:name w:val="题注 字符"/>
    <w:link w:val="15"/>
    <w:qFormat/>
    <w:uiPriority w:val="0"/>
    <w:rPr>
      <w:rFonts w:ascii="Arial" w:hAnsi="Arial" w:eastAsia="黑体" w:cs="Arial"/>
      <w:kern w:val="2"/>
    </w:rPr>
  </w:style>
  <w:style w:type="paragraph" w:customStyle="1" w:styleId="262">
    <w:name w:val="1样式-正文"/>
    <w:basedOn w:val="1"/>
    <w:link w:val="263"/>
    <w:qFormat/>
    <w:uiPriority w:val="0"/>
    <w:pPr>
      <w:spacing w:after="0" w:line="360" w:lineRule="auto"/>
      <w:ind w:firstLine="482"/>
      <w:jc w:val="left"/>
    </w:pPr>
    <w:rPr>
      <w:rFonts w:ascii="Calibri" w:hAnsi="Calibri"/>
      <w:bCs/>
      <w:szCs w:val="21"/>
      <w:lang w:val="zh-CN"/>
    </w:rPr>
  </w:style>
  <w:style w:type="character" w:customStyle="1" w:styleId="263">
    <w:name w:val="1样式-正文 Char"/>
    <w:link w:val="262"/>
    <w:qFormat/>
    <w:uiPriority w:val="0"/>
    <w:rPr>
      <w:rFonts w:ascii="Calibri" w:hAnsi="Calibri"/>
      <w:bCs/>
      <w:kern w:val="2"/>
      <w:sz w:val="21"/>
      <w:szCs w:val="21"/>
      <w:lang w:val="zh-CN"/>
    </w:rPr>
  </w:style>
  <w:style w:type="character" w:customStyle="1" w:styleId="264">
    <w:name w:val="Char Char13"/>
    <w:qFormat/>
    <w:uiPriority w:val="0"/>
    <w:rPr>
      <w:rFonts w:eastAsia="宋体"/>
      <w:b/>
      <w:bCs/>
      <w:kern w:val="44"/>
      <w:sz w:val="36"/>
      <w:szCs w:val="44"/>
      <w:lang w:val="en-US" w:eastAsia="zh-CN" w:bidi="ar-SA"/>
    </w:rPr>
  </w:style>
  <w:style w:type="character" w:customStyle="1" w:styleId="265">
    <w:name w:val="content1"/>
    <w:qFormat/>
    <w:uiPriority w:val="0"/>
    <w:rPr>
      <w:sz w:val="18"/>
      <w:szCs w:val="18"/>
    </w:rPr>
  </w:style>
  <w:style w:type="character" w:customStyle="1" w:styleId="266">
    <w:name w:val="point_normal1"/>
    <w:semiHidden/>
    <w:qFormat/>
    <w:uiPriority w:val="0"/>
    <w:rPr>
      <w:rFonts w:hint="default" w:ascii="Arial" w:hAnsi="Arial" w:cs="Arial"/>
      <w:sz w:val="18"/>
      <w:szCs w:val="18"/>
    </w:rPr>
  </w:style>
  <w:style w:type="character" w:customStyle="1" w:styleId="267">
    <w:name w:val="para1"/>
    <w:semiHidden/>
    <w:qFormat/>
    <w:uiPriority w:val="0"/>
    <w:rPr>
      <w:rFonts w:hint="default" w:ascii="Arial" w:hAnsi="Arial" w:cs="Arial"/>
      <w:sz w:val="18"/>
      <w:szCs w:val="18"/>
    </w:rPr>
  </w:style>
  <w:style w:type="paragraph" w:customStyle="1" w:styleId="268">
    <w:name w:val="xl38"/>
    <w:basedOn w:val="1"/>
    <w:semiHidden/>
    <w:qFormat/>
    <w:uiPriority w:val="0"/>
    <w:pPr>
      <w:widowControl/>
      <w:pBdr>
        <w:left w:val="single" w:color="auto" w:sz="4" w:space="0"/>
        <w:bottom w:val="single" w:color="auto" w:sz="4" w:space="0"/>
        <w:right w:val="single" w:color="auto" w:sz="8" w:space="0"/>
      </w:pBdr>
      <w:spacing w:before="100" w:beforeAutospacing="1" w:after="100" w:afterAutospacing="1" w:line="360" w:lineRule="auto"/>
      <w:jc w:val="center"/>
      <w:textAlignment w:val="top"/>
    </w:pPr>
    <w:rPr>
      <w:kern w:val="0"/>
      <w:sz w:val="20"/>
      <w:szCs w:val="20"/>
    </w:rPr>
  </w:style>
  <w:style w:type="character" w:customStyle="1" w:styleId="269">
    <w:name w:val="point_small1"/>
    <w:semiHidden/>
    <w:qFormat/>
    <w:uiPriority w:val="0"/>
    <w:rPr>
      <w:rFonts w:hint="default" w:ascii="Arial" w:hAnsi="Arial" w:cs="Arial"/>
      <w:sz w:val="18"/>
      <w:szCs w:val="18"/>
    </w:rPr>
  </w:style>
  <w:style w:type="character" w:customStyle="1" w:styleId="270">
    <w:name w:val="tcontent1"/>
    <w:qFormat/>
    <w:uiPriority w:val="0"/>
    <w:rPr>
      <w:color w:val="333333"/>
      <w:sz w:val="18"/>
      <w:szCs w:val="18"/>
    </w:rPr>
  </w:style>
  <w:style w:type="character" w:customStyle="1" w:styleId="271">
    <w:name w:val="para"/>
    <w:basedOn w:val="56"/>
    <w:qFormat/>
    <w:uiPriority w:val="0"/>
  </w:style>
  <w:style w:type="character" w:customStyle="1" w:styleId="272">
    <w:name w:val="titlestylelight1"/>
    <w:qFormat/>
    <w:uiPriority w:val="0"/>
    <w:rPr>
      <w:rFonts w:hint="default" w:ascii="Arial" w:hAnsi="Arial" w:cs="Arial"/>
      <w:b/>
      <w:bCs/>
      <w:color w:val="666666"/>
      <w:sz w:val="18"/>
      <w:szCs w:val="18"/>
    </w:rPr>
  </w:style>
  <w:style w:type="paragraph" w:customStyle="1" w:styleId="273">
    <w:name w:val="默认段落字体 Para Char"/>
    <w:basedOn w:val="1"/>
    <w:qFormat/>
    <w:uiPriority w:val="0"/>
    <w:pPr>
      <w:adjustRightInd w:val="0"/>
      <w:spacing w:after="0" w:line="360" w:lineRule="auto"/>
    </w:pPr>
    <w:rPr>
      <w:kern w:val="0"/>
      <w:sz w:val="24"/>
      <w:szCs w:val="20"/>
    </w:rPr>
  </w:style>
  <w:style w:type="character" w:customStyle="1" w:styleId="274">
    <w:name w:val="apple-style-span"/>
    <w:basedOn w:val="56"/>
    <w:qFormat/>
    <w:uiPriority w:val="0"/>
  </w:style>
  <w:style w:type="paragraph" w:customStyle="1" w:styleId="275">
    <w:name w:val="Char1 Char Char Char"/>
    <w:basedOn w:val="1"/>
    <w:qFormat/>
    <w:uiPriority w:val="0"/>
    <w:pPr>
      <w:spacing w:after="0" w:line="360" w:lineRule="auto"/>
    </w:pPr>
    <w:rPr>
      <w:rFonts w:eastAsia="仿宋_GB2312"/>
      <w:sz w:val="28"/>
    </w:rPr>
  </w:style>
  <w:style w:type="paragraph" w:customStyle="1" w:styleId="276">
    <w:name w:val="msolistparagraph"/>
    <w:basedOn w:val="1"/>
    <w:qFormat/>
    <w:uiPriority w:val="0"/>
    <w:pPr>
      <w:spacing w:after="0" w:line="360" w:lineRule="auto"/>
      <w:ind w:firstLine="420" w:firstLineChars="200"/>
    </w:pPr>
    <w:rPr>
      <w:rFonts w:ascii="Calibri" w:hAnsi="Calibri"/>
      <w:szCs w:val="21"/>
    </w:rPr>
  </w:style>
  <w:style w:type="paragraph" w:customStyle="1" w:styleId="277">
    <w:name w:val="Tabletext"/>
    <w:qFormat/>
    <w:uiPriority w:val="0"/>
    <w:pPr>
      <w:numPr>
        <w:ilvl w:val="0"/>
        <w:numId w:val="4"/>
      </w:numPr>
      <w:suppressLineNumbers/>
      <w:tabs>
        <w:tab w:val="clear" w:pos="1843"/>
      </w:tabs>
      <w:spacing w:before="30" w:after="20"/>
      <w:ind w:left="0" w:firstLine="0"/>
    </w:pPr>
    <w:rPr>
      <w:rFonts w:ascii="Arial" w:hAnsi="Arial" w:eastAsia="宋体" w:cs="Times New Roman"/>
      <w:sz w:val="16"/>
      <w:lang w:val="en-US" w:eastAsia="en-US" w:bidi="ar-SA"/>
    </w:rPr>
  </w:style>
  <w:style w:type="paragraph" w:customStyle="1" w:styleId="278">
    <w:name w:val="正文样式"/>
    <w:basedOn w:val="1"/>
    <w:qFormat/>
    <w:uiPriority w:val="0"/>
    <w:pPr>
      <w:spacing w:beforeLines="50" w:after="0" w:line="312" w:lineRule="auto"/>
      <w:ind w:firstLine="200" w:firstLineChars="200"/>
    </w:pPr>
    <w:rPr>
      <w:sz w:val="24"/>
    </w:rPr>
  </w:style>
  <w:style w:type="paragraph" w:customStyle="1" w:styleId="279">
    <w:name w:val="正文文本 21"/>
    <w:basedOn w:val="1"/>
    <w:qFormat/>
    <w:uiPriority w:val="0"/>
    <w:pPr>
      <w:spacing w:after="120" w:line="480" w:lineRule="auto"/>
    </w:pPr>
    <w:rPr>
      <w:rFonts w:ascii="Calibri" w:hAnsi="Calibri"/>
      <w:kern w:val="0"/>
      <w:sz w:val="20"/>
    </w:rPr>
  </w:style>
  <w:style w:type="paragraph" w:customStyle="1" w:styleId="280">
    <w:name w:val="Char Char Char Char"/>
    <w:basedOn w:val="1"/>
    <w:qFormat/>
    <w:uiPriority w:val="99"/>
    <w:pPr>
      <w:spacing w:after="0" w:line="360" w:lineRule="auto"/>
    </w:pPr>
    <w:rPr>
      <w:szCs w:val="20"/>
    </w:rPr>
  </w:style>
  <w:style w:type="character" w:customStyle="1" w:styleId="281">
    <w:name w:val="不明显强调1"/>
    <w:qFormat/>
    <w:uiPriority w:val="0"/>
    <w:rPr>
      <w:i/>
      <w:iCs/>
      <w:color w:val="808080"/>
    </w:rPr>
  </w:style>
  <w:style w:type="character" w:customStyle="1" w:styleId="282">
    <w:name w:val="正文对齐 Char1"/>
    <w:qFormat/>
    <w:uiPriority w:val="0"/>
    <w:rPr>
      <w:rFonts w:ascii="Times New Roman" w:hAnsi="Times New Roman" w:eastAsia="楷体_GB2312" w:cs="Times New Roman"/>
      <w:sz w:val="24"/>
      <w:szCs w:val="20"/>
    </w:rPr>
  </w:style>
  <w:style w:type="character" w:customStyle="1" w:styleId="283">
    <w:name w:val="Char Char14"/>
    <w:qFormat/>
    <w:uiPriority w:val="0"/>
    <w:rPr>
      <w:rFonts w:hAnsi="宋体" w:eastAsia="仿宋_GB2312"/>
      <w:b/>
      <w:bCs/>
      <w:kern w:val="2"/>
      <w:sz w:val="24"/>
    </w:rPr>
  </w:style>
  <w:style w:type="paragraph" w:customStyle="1" w:styleId="284">
    <w:name w:val="xl25"/>
    <w:basedOn w:val="1"/>
    <w:qFormat/>
    <w:uiPriority w:val="0"/>
    <w:pPr>
      <w:widowControl/>
      <w:numPr>
        <w:ilvl w:val="0"/>
        <w:numId w:val="5"/>
      </w:numPr>
      <w:tabs>
        <w:tab w:val="clear" w:pos="1145"/>
      </w:tabs>
      <w:spacing w:before="100" w:beforeAutospacing="1" w:after="100" w:afterAutospacing="1" w:line="360" w:lineRule="auto"/>
      <w:ind w:left="0" w:firstLine="0"/>
      <w:jc w:val="center"/>
    </w:pPr>
    <w:rPr>
      <w:rFonts w:ascii="宋体" w:hAnsi="宋体"/>
      <w:kern w:val="0"/>
      <w:sz w:val="24"/>
    </w:rPr>
  </w:style>
  <w:style w:type="paragraph" w:customStyle="1" w:styleId="285">
    <w:name w:val="DB Body"/>
    <w:qFormat/>
    <w:uiPriority w:val="0"/>
    <w:pPr>
      <w:tabs>
        <w:tab w:val="left" w:pos="4536"/>
        <w:tab w:val="left" w:pos="8505"/>
      </w:tabs>
      <w:spacing w:before="120" w:after="80" w:line="360" w:lineRule="auto"/>
    </w:pPr>
    <w:rPr>
      <w:rFonts w:ascii="Trebuchet MS" w:hAnsi="Trebuchet MS" w:eastAsia="宋体" w:cs="Times New Roman"/>
      <w:sz w:val="21"/>
      <w:szCs w:val="24"/>
      <w:lang w:val="en-GB" w:eastAsia="en-US" w:bidi="ar-SA"/>
    </w:rPr>
  </w:style>
  <w:style w:type="paragraph" w:customStyle="1" w:styleId="286">
    <w:name w:val="DB Bullet 1"/>
    <w:qFormat/>
    <w:uiPriority w:val="0"/>
    <w:pPr>
      <w:numPr>
        <w:ilvl w:val="0"/>
        <w:numId w:val="6"/>
      </w:numPr>
      <w:tabs>
        <w:tab w:val="left" w:pos="567"/>
      </w:tabs>
      <w:spacing w:before="80" w:after="60" w:line="360" w:lineRule="auto"/>
    </w:pPr>
    <w:rPr>
      <w:rFonts w:ascii="Trebuchet MS" w:hAnsi="Trebuchet MS" w:eastAsia="宋体" w:cs="Times New Roman"/>
      <w:sz w:val="21"/>
      <w:szCs w:val="24"/>
      <w:lang w:val="en-GB" w:eastAsia="en-US" w:bidi="ar-SA"/>
    </w:rPr>
  </w:style>
  <w:style w:type="paragraph" w:customStyle="1" w:styleId="287">
    <w:name w:val="DH Heading A1 (with #)"/>
    <w:next w:val="1"/>
    <w:qFormat/>
    <w:uiPriority w:val="0"/>
    <w:pPr>
      <w:keepNext/>
      <w:pageBreakBefore/>
      <w:numPr>
        <w:ilvl w:val="6"/>
        <w:numId w:val="7"/>
      </w:numPr>
      <w:snapToGrid w:val="0"/>
      <w:spacing w:before="240" w:after="240" w:line="360" w:lineRule="auto"/>
      <w:outlineLvl w:val="0"/>
    </w:pPr>
    <w:rPr>
      <w:rFonts w:ascii="Trebuchet MS" w:hAnsi="Trebuchet MS" w:eastAsia="宋体" w:cs="Times New Roman"/>
      <w:b/>
      <w:bCs/>
      <w:color w:val="0085C3"/>
      <w:sz w:val="36"/>
      <w:szCs w:val="36"/>
      <w:lang w:val="en-GB" w:eastAsia="en-US" w:bidi="ar-SA"/>
    </w:rPr>
  </w:style>
  <w:style w:type="paragraph" w:customStyle="1" w:styleId="288">
    <w:name w:val="DH Heading A2 (with #)"/>
    <w:next w:val="285"/>
    <w:qFormat/>
    <w:uiPriority w:val="0"/>
    <w:pPr>
      <w:keepNext/>
      <w:numPr>
        <w:ilvl w:val="7"/>
        <w:numId w:val="7"/>
      </w:numPr>
      <w:snapToGrid w:val="0"/>
      <w:spacing w:before="240" w:after="120" w:line="360" w:lineRule="auto"/>
      <w:outlineLvl w:val="1"/>
    </w:pPr>
    <w:rPr>
      <w:rFonts w:ascii="Trebuchet MS" w:hAnsi="Trebuchet MS" w:eastAsia="宋体" w:cs="Times New Roman"/>
      <w:b/>
      <w:color w:val="0085C3"/>
      <w:sz w:val="32"/>
      <w:szCs w:val="30"/>
      <w:lang w:val="en-GB" w:eastAsia="en-US" w:bidi="ar-SA"/>
    </w:rPr>
  </w:style>
  <w:style w:type="paragraph" w:customStyle="1" w:styleId="289">
    <w:name w:val="DH Heading A3 (with #)"/>
    <w:next w:val="285"/>
    <w:qFormat/>
    <w:uiPriority w:val="0"/>
    <w:pPr>
      <w:keepNext/>
      <w:numPr>
        <w:ilvl w:val="8"/>
        <w:numId w:val="7"/>
      </w:numPr>
      <w:snapToGrid w:val="0"/>
      <w:spacing w:before="120" w:after="120" w:line="360" w:lineRule="auto"/>
      <w:outlineLvl w:val="2"/>
    </w:pPr>
    <w:rPr>
      <w:rFonts w:ascii="Trebuchet MS" w:hAnsi="Trebuchet MS" w:eastAsia="宋体" w:cs="Times New Roman"/>
      <w:b/>
      <w:iCs/>
      <w:color w:val="0085C3"/>
      <w:sz w:val="28"/>
      <w:szCs w:val="24"/>
      <w:lang w:val="en-GB" w:eastAsia="en-US" w:bidi="ar-SA"/>
    </w:rPr>
  </w:style>
  <w:style w:type="paragraph" w:customStyle="1" w:styleId="290">
    <w:name w:val="DH Heading 1"/>
    <w:basedOn w:val="1"/>
    <w:next w:val="285"/>
    <w:qFormat/>
    <w:uiPriority w:val="0"/>
    <w:pPr>
      <w:keepNext/>
      <w:pageBreakBefore/>
      <w:widowControl/>
      <w:numPr>
        <w:ilvl w:val="0"/>
        <w:numId w:val="7"/>
      </w:numPr>
      <w:snapToGrid w:val="0"/>
      <w:spacing w:before="240" w:after="240" w:line="360" w:lineRule="auto"/>
      <w:jc w:val="center"/>
      <w:outlineLvl w:val="0"/>
    </w:pPr>
    <w:rPr>
      <w:rFonts w:ascii="Trebuchet MS" w:hAnsi="Trebuchet MS" w:cs="Arial"/>
      <w:b/>
      <w:bCs/>
      <w:color w:val="0085C3"/>
      <w:kern w:val="32"/>
      <w:sz w:val="40"/>
      <w:szCs w:val="36"/>
    </w:rPr>
  </w:style>
  <w:style w:type="paragraph" w:customStyle="1" w:styleId="291">
    <w:name w:val="DH Heading 3"/>
    <w:basedOn w:val="1"/>
    <w:next w:val="285"/>
    <w:qFormat/>
    <w:uiPriority w:val="0"/>
    <w:pPr>
      <w:keepNext/>
      <w:widowControl/>
      <w:numPr>
        <w:ilvl w:val="2"/>
        <w:numId w:val="7"/>
      </w:numPr>
      <w:suppressAutoHyphens/>
      <w:adjustRightInd w:val="0"/>
      <w:snapToGrid w:val="0"/>
      <w:spacing w:before="120" w:after="120" w:line="360" w:lineRule="auto"/>
      <w:jc w:val="left"/>
      <w:outlineLvl w:val="2"/>
    </w:pPr>
    <w:rPr>
      <w:rFonts w:ascii="Trebuchet MS" w:hAnsi="Trebuchet MS" w:cs="Arial"/>
      <w:b/>
      <w:bCs/>
      <w:iCs/>
      <w:color w:val="0085C3"/>
      <w:kern w:val="0"/>
      <w:sz w:val="32"/>
      <w:szCs w:val="30"/>
    </w:rPr>
  </w:style>
  <w:style w:type="paragraph" w:customStyle="1" w:styleId="292">
    <w:name w:val="DH Heading 4"/>
    <w:next w:val="285"/>
    <w:qFormat/>
    <w:uiPriority w:val="0"/>
    <w:pPr>
      <w:keepNext/>
      <w:numPr>
        <w:ilvl w:val="3"/>
        <w:numId w:val="7"/>
      </w:numPr>
      <w:suppressAutoHyphens/>
      <w:adjustRightInd w:val="0"/>
      <w:snapToGrid w:val="0"/>
      <w:spacing w:before="120" w:after="120" w:line="360" w:lineRule="auto"/>
      <w:outlineLvl w:val="3"/>
    </w:pPr>
    <w:rPr>
      <w:rFonts w:ascii="Trebuchet MS" w:hAnsi="Trebuchet MS" w:eastAsia="宋体" w:cs="Arial"/>
      <w:b/>
      <w:bCs/>
      <w:color w:val="0085C3"/>
      <w:sz w:val="28"/>
      <w:szCs w:val="24"/>
      <w:lang w:val="en-GB" w:eastAsia="en-US" w:bidi="ar-SA"/>
    </w:rPr>
  </w:style>
  <w:style w:type="paragraph" w:customStyle="1" w:styleId="293">
    <w:name w:val="DH Heading 5"/>
    <w:next w:val="285"/>
    <w:qFormat/>
    <w:uiPriority w:val="0"/>
    <w:pPr>
      <w:keepNext/>
      <w:numPr>
        <w:ilvl w:val="4"/>
        <w:numId w:val="7"/>
      </w:numPr>
      <w:snapToGrid w:val="0"/>
      <w:spacing w:before="120" w:after="120" w:line="360" w:lineRule="auto"/>
      <w:outlineLvl w:val="4"/>
    </w:pPr>
    <w:rPr>
      <w:rFonts w:ascii="Trebuchet MS" w:hAnsi="Trebuchet MS" w:eastAsia="宋体" w:cs="Times New Roman"/>
      <w:b/>
      <w:bCs/>
      <w:color w:val="0085C3"/>
      <w:sz w:val="25"/>
      <w:szCs w:val="21"/>
      <w:lang w:val="en-GB" w:eastAsia="en-US" w:bidi="ar-SA"/>
    </w:rPr>
  </w:style>
  <w:style w:type="paragraph" w:customStyle="1" w:styleId="294">
    <w:name w:val="DH Heading 6"/>
    <w:next w:val="285"/>
    <w:qFormat/>
    <w:uiPriority w:val="0"/>
    <w:pPr>
      <w:keepNext/>
      <w:numPr>
        <w:ilvl w:val="5"/>
        <w:numId w:val="7"/>
      </w:numPr>
      <w:suppressAutoHyphens/>
      <w:adjustRightInd w:val="0"/>
      <w:snapToGrid w:val="0"/>
      <w:spacing w:before="120" w:after="80" w:line="360" w:lineRule="auto"/>
      <w:outlineLvl w:val="5"/>
    </w:pPr>
    <w:rPr>
      <w:rFonts w:ascii="Trebuchet MS" w:hAnsi="Trebuchet MS" w:eastAsia="宋体" w:cs="Times New Roman"/>
      <w:b/>
      <w:bCs/>
      <w:iCs/>
      <w:color w:val="0085C3"/>
      <w:sz w:val="22"/>
      <w:szCs w:val="21"/>
      <w:lang w:val="en-GB" w:eastAsia="en-US" w:bidi="ar-SA"/>
    </w:rPr>
  </w:style>
  <w:style w:type="paragraph" w:customStyle="1" w:styleId="295">
    <w:name w:val="DH Heading 2"/>
    <w:next w:val="285"/>
    <w:qFormat/>
    <w:uiPriority w:val="0"/>
    <w:pPr>
      <w:keepNext/>
      <w:numPr>
        <w:ilvl w:val="1"/>
        <w:numId w:val="7"/>
      </w:numPr>
      <w:suppressAutoHyphens/>
      <w:adjustRightInd w:val="0"/>
      <w:snapToGrid w:val="0"/>
      <w:spacing w:before="240" w:after="120" w:line="360" w:lineRule="auto"/>
      <w:outlineLvl w:val="1"/>
    </w:pPr>
    <w:rPr>
      <w:rFonts w:ascii="Trebuchet MS" w:hAnsi="Trebuchet MS" w:eastAsia="宋体" w:cs="Arial"/>
      <w:b/>
      <w:bCs/>
      <w:color w:val="0085C3"/>
      <w:kern w:val="32"/>
      <w:sz w:val="36"/>
      <w:szCs w:val="36"/>
      <w:lang w:val="en-GB" w:eastAsia="en-US" w:bidi="ar-SA"/>
    </w:rPr>
  </w:style>
  <w:style w:type="character" w:customStyle="1" w:styleId="296">
    <w:name w:val="tpc_content1"/>
    <w:qFormat/>
    <w:uiPriority w:val="0"/>
    <w:rPr>
      <w:sz w:val="20"/>
      <w:szCs w:val="20"/>
    </w:rPr>
  </w:style>
  <w:style w:type="character" w:customStyle="1" w:styleId="297">
    <w:name w:val="样式 黑体 二号"/>
    <w:qFormat/>
    <w:uiPriority w:val="0"/>
    <w:rPr>
      <w:rFonts w:hint="default" w:ascii="Arial" w:hAnsi="Arial" w:eastAsia="黑体" w:cs="Arial"/>
      <w:sz w:val="44"/>
    </w:rPr>
  </w:style>
  <w:style w:type="character" w:customStyle="1" w:styleId="298">
    <w:name w:val="style6"/>
    <w:qFormat/>
    <w:uiPriority w:val="0"/>
    <w:rPr>
      <w:sz w:val="18"/>
    </w:rPr>
  </w:style>
  <w:style w:type="character" w:customStyle="1" w:styleId="299">
    <w:name w:val="样式 标题 3 + 加粗 Char"/>
    <w:qFormat/>
    <w:uiPriority w:val="0"/>
    <w:rPr>
      <w:rFonts w:ascii="Arial" w:hAnsi="Arial" w:eastAsia="黑体"/>
      <w:b/>
      <w:bCs/>
      <w:spacing w:val="14"/>
      <w:kern w:val="24"/>
      <w:sz w:val="24"/>
      <w:szCs w:val="28"/>
      <w:lang w:val="en-US" w:eastAsia="zh-CN" w:bidi="ar-SA"/>
    </w:rPr>
  </w:style>
  <w:style w:type="character" w:customStyle="1" w:styleId="300">
    <w:name w:val="Char Char Char Char Char"/>
    <w:qFormat/>
    <w:uiPriority w:val="0"/>
    <w:rPr>
      <w:rFonts w:eastAsia="宋体"/>
      <w:kern w:val="2"/>
      <w:sz w:val="21"/>
      <w:szCs w:val="24"/>
      <w:lang w:val="en-US" w:eastAsia="zh-CN" w:bidi="ar-SA"/>
    </w:rPr>
  </w:style>
  <w:style w:type="character" w:customStyle="1" w:styleId="301">
    <w:name w:val="Char Char2"/>
    <w:qFormat/>
    <w:uiPriority w:val="0"/>
    <w:rPr>
      <w:rFonts w:eastAsia="宋体"/>
      <w:b/>
      <w:kern w:val="2"/>
      <w:sz w:val="28"/>
      <w:lang w:val="en-US" w:eastAsia="zh-CN" w:bidi="ar-SA"/>
    </w:rPr>
  </w:style>
  <w:style w:type="character" w:customStyle="1" w:styleId="302">
    <w:name w:val="正文（缩进） Char"/>
    <w:qFormat/>
    <w:uiPriority w:val="0"/>
    <w:rPr>
      <w:rFonts w:eastAsia="宋体"/>
      <w:kern w:val="2"/>
      <w:sz w:val="24"/>
      <w:szCs w:val="24"/>
      <w:lang w:val="en-US" w:eastAsia="zh-CN" w:bidi="ar-SA"/>
    </w:rPr>
  </w:style>
  <w:style w:type="character" w:customStyle="1" w:styleId="303">
    <w:name w:val="h Char Char"/>
    <w:qFormat/>
    <w:uiPriority w:val="0"/>
    <w:rPr>
      <w:rFonts w:eastAsia="宋体"/>
      <w:kern w:val="2"/>
      <w:sz w:val="18"/>
      <w:szCs w:val="18"/>
      <w:lang w:val="en-US" w:eastAsia="zh-CN" w:bidi="ar-SA"/>
    </w:rPr>
  </w:style>
  <w:style w:type="character" w:customStyle="1" w:styleId="304">
    <w:name w:val="正文（缩进） Char Char"/>
    <w:qFormat/>
    <w:uiPriority w:val="0"/>
    <w:rPr>
      <w:rFonts w:eastAsia="宋体"/>
      <w:kern w:val="2"/>
      <w:sz w:val="24"/>
      <w:szCs w:val="24"/>
      <w:lang w:val="en-US" w:eastAsia="zh-CN" w:bidi="ar-SA"/>
    </w:rPr>
  </w:style>
  <w:style w:type="character" w:customStyle="1" w:styleId="305">
    <w:name w:val="at_0"/>
    <w:qFormat/>
    <w:uiPriority w:val="0"/>
  </w:style>
  <w:style w:type="character" w:customStyle="1" w:styleId="306">
    <w:name w:val="textcontents"/>
    <w:qFormat/>
    <w:uiPriority w:val="0"/>
  </w:style>
  <w:style w:type="character" w:customStyle="1" w:styleId="307">
    <w:name w:val="wj1"/>
    <w:qFormat/>
    <w:uiPriority w:val="0"/>
    <w:rPr>
      <w:color w:val="000000"/>
      <w:sz w:val="18"/>
      <w:szCs w:val="18"/>
      <w:u w:val="none"/>
    </w:rPr>
  </w:style>
  <w:style w:type="character" w:customStyle="1" w:styleId="308">
    <w:name w:val="zbggmain style9"/>
    <w:qFormat/>
    <w:uiPriority w:val="0"/>
  </w:style>
  <w:style w:type="character" w:customStyle="1" w:styleId="309">
    <w:name w:val="表格 Char Char"/>
    <w:qFormat/>
    <w:uiPriority w:val="0"/>
    <w:rPr>
      <w:rFonts w:ascii="宋体" w:hAnsi="宋体" w:eastAsia="宋体"/>
      <w:lang w:val="en-US" w:eastAsia="zh-CN" w:bidi="ar-SA"/>
    </w:rPr>
  </w:style>
  <w:style w:type="character" w:customStyle="1" w:styleId="310">
    <w:name w:val="批注框文本 Char1"/>
    <w:qFormat/>
    <w:uiPriority w:val="0"/>
    <w:rPr>
      <w:kern w:val="2"/>
      <w:sz w:val="18"/>
      <w:szCs w:val="18"/>
    </w:rPr>
  </w:style>
  <w:style w:type="character" w:customStyle="1" w:styleId="311">
    <w:name w:val="Char Char1"/>
    <w:qFormat/>
    <w:uiPriority w:val="0"/>
    <w:rPr>
      <w:rFonts w:eastAsia="宋体"/>
      <w:kern w:val="2"/>
      <w:sz w:val="18"/>
      <w:szCs w:val="18"/>
      <w:lang w:val="en-US" w:eastAsia="zh-CN" w:bidi="ar-SA"/>
    </w:rPr>
  </w:style>
  <w:style w:type="character" w:customStyle="1" w:styleId="312">
    <w:name w:val="product_detail_name"/>
    <w:qFormat/>
    <w:uiPriority w:val="0"/>
  </w:style>
  <w:style w:type="character" w:customStyle="1" w:styleId="313">
    <w:name w:val="blue"/>
    <w:qFormat/>
    <w:uiPriority w:val="0"/>
  </w:style>
  <w:style w:type="character" w:customStyle="1" w:styleId="314">
    <w:name w:val="标题 Char1"/>
    <w:qFormat/>
    <w:uiPriority w:val="0"/>
    <w:rPr>
      <w:rFonts w:ascii="Cambria" w:hAnsi="Cambria" w:eastAsia="宋体" w:cs="Times New Roman"/>
      <w:b/>
      <w:bCs/>
      <w:sz w:val="32"/>
      <w:szCs w:val="32"/>
    </w:rPr>
  </w:style>
  <w:style w:type="paragraph" w:customStyle="1" w:styleId="315">
    <w:name w:val="标题三级"/>
    <w:basedOn w:val="1"/>
    <w:next w:val="1"/>
    <w:qFormat/>
    <w:uiPriority w:val="0"/>
    <w:pPr>
      <w:tabs>
        <w:tab w:val="left" w:pos="720"/>
      </w:tabs>
      <w:topLinePunct/>
      <w:autoSpaceDE w:val="0"/>
      <w:autoSpaceDN w:val="0"/>
      <w:spacing w:after="0" w:line="360" w:lineRule="auto"/>
      <w:outlineLvl w:val="2"/>
    </w:pPr>
    <w:rPr>
      <w:rFonts w:ascii="宋体" w:hAnsi="宋体"/>
      <w:b/>
      <w:szCs w:val="21"/>
    </w:rPr>
  </w:style>
  <w:style w:type="paragraph" w:customStyle="1" w:styleId="316">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317">
    <w:name w:val="文档正文"/>
    <w:basedOn w:val="1"/>
    <w:qFormat/>
    <w:uiPriority w:val="0"/>
    <w:pPr>
      <w:adjustRightInd w:val="0"/>
      <w:spacing w:after="0" w:line="312" w:lineRule="atLeast"/>
      <w:ind w:firstLine="567"/>
      <w:textAlignment w:val="baseline"/>
    </w:pPr>
    <w:rPr>
      <w:rFonts w:ascii="长城仿宋" w:eastAsia="长城仿宋" w:cs="长城仿宋"/>
      <w:kern w:val="0"/>
      <w:sz w:val="28"/>
      <w:szCs w:val="28"/>
    </w:rPr>
  </w:style>
  <w:style w:type="character" w:customStyle="1" w:styleId="318">
    <w:name w:val="正文文本 2 Char1"/>
    <w:qFormat/>
    <w:uiPriority w:val="0"/>
    <w:rPr>
      <w:rFonts w:ascii="宋体" w:hAnsi="宋体" w:eastAsia="宋体"/>
      <w:color w:val="000000"/>
      <w:kern w:val="2"/>
      <w:sz w:val="24"/>
      <w:szCs w:val="24"/>
      <w:lang w:bidi="ar-SA"/>
    </w:rPr>
  </w:style>
  <w:style w:type="paragraph" w:customStyle="1" w:styleId="319">
    <w:name w:val="tabletext"/>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320">
    <w:name w:val="部分1"/>
    <w:basedOn w:val="1"/>
    <w:qFormat/>
    <w:uiPriority w:val="0"/>
    <w:pPr>
      <w:keepNext/>
      <w:pageBreakBefore/>
      <w:tabs>
        <w:tab w:val="left" w:pos="720"/>
      </w:tabs>
      <w:spacing w:after="0" w:line="360" w:lineRule="auto"/>
      <w:jc w:val="center"/>
      <w:outlineLvl w:val="0"/>
    </w:pPr>
    <w:rPr>
      <w:rFonts w:eastAsia="黑体"/>
      <w:b/>
      <w:kern w:val="44"/>
      <w:sz w:val="36"/>
      <w:szCs w:val="20"/>
    </w:rPr>
  </w:style>
  <w:style w:type="paragraph" w:customStyle="1" w:styleId="321">
    <w:name w:val="tableheading"/>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322">
    <w:name w:val="hea"/>
    <w:basedOn w:val="1"/>
    <w:next w:val="1"/>
    <w:qFormat/>
    <w:uiPriority w:val="0"/>
    <w:pPr>
      <w:keepNext/>
      <w:keepLines/>
      <w:tabs>
        <w:tab w:val="left" w:pos="360"/>
        <w:tab w:val="left" w:pos="420"/>
      </w:tabs>
      <w:spacing w:before="340" w:after="330" w:line="576" w:lineRule="auto"/>
      <w:ind w:left="360" w:hanging="360"/>
      <w:outlineLvl w:val="0"/>
    </w:pPr>
    <w:rPr>
      <w:b/>
      <w:bCs/>
      <w:kern w:val="44"/>
      <w:sz w:val="44"/>
      <w:szCs w:val="44"/>
    </w:rPr>
  </w:style>
  <w:style w:type="paragraph" w:customStyle="1" w:styleId="323">
    <w:name w:val="Char1 Char Char Char Char Char Char"/>
    <w:basedOn w:val="1"/>
    <w:qFormat/>
    <w:uiPriority w:val="0"/>
    <w:pPr>
      <w:spacing w:after="0" w:line="360" w:lineRule="auto"/>
    </w:pPr>
    <w:rPr>
      <w:rFonts w:ascii="Tahoma" w:hAnsi="Tahoma"/>
      <w:sz w:val="24"/>
      <w:szCs w:val="20"/>
    </w:rPr>
  </w:style>
  <w:style w:type="paragraph" w:customStyle="1" w:styleId="324">
    <w:name w:val="??"/>
    <w:qFormat/>
    <w:uiPriority w:val="0"/>
    <w:pPr>
      <w:widowControl w:val="0"/>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32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6">
    <w:name w:val="WPS Plain"/>
    <w:qFormat/>
    <w:uiPriority w:val="0"/>
    <w:rPr>
      <w:rFonts w:ascii="Times New Roman" w:hAnsi="Times New Roman" w:eastAsia="宋体" w:cs="Times New Roman"/>
      <w:lang w:val="en-US" w:eastAsia="zh-CN" w:bidi="ar-SA"/>
    </w:rPr>
  </w:style>
  <w:style w:type="paragraph" w:customStyle="1" w:styleId="327">
    <w:name w:val="文章"/>
    <w:basedOn w:val="1"/>
    <w:qFormat/>
    <w:uiPriority w:val="0"/>
    <w:pPr>
      <w:widowControl/>
      <w:spacing w:after="0" w:line="360" w:lineRule="auto"/>
      <w:ind w:firstLine="200" w:firstLineChars="200"/>
      <w:jc w:val="left"/>
    </w:pPr>
    <w:rPr>
      <w:kern w:val="0"/>
      <w:sz w:val="24"/>
      <w:szCs w:val="20"/>
    </w:rPr>
  </w:style>
  <w:style w:type="paragraph" w:customStyle="1" w:styleId="328">
    <w:name w:val="文章正文格式"/>
    <w:basedOn w:val="1"/>
    <w:qFormat/>
    <w:uiPriority w:val="0"/>
    <w:pPr>
      <w:snapToGrid w:val="0"/>
      <w:spacing w:after="0" w:line="540" w:lineRule="atLeast"/>
      <w:ind w:firstLine="578"/>
    </w:pPr>
    <w:rPr>
      <w:rFonts w:ascii="宋体"/>
      <w:spacing w:val="8"/>
      <w:sz w:val="28"/>
      <w:szCs w:val="20"/>
    </w:rPr>
  </w:style>
  <w:style w:type="paragraph" w:customStyle="1" w:styleId="329">
    <w:name w:val="pbullet2cmt"/>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33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31">
    <w:name w:val="CM12"/>
    <w:basedOn w:val="151"/>
    <w:next w:val="151"/>
    <w:qFormat/>
    <w:uiPriority w:val="0"/>
    <w:pPr>
      <w:spacing w:before="0" w:after="0" w:line="468" w:lineRule="atLeast"/>
    </w:pPr>
    <w:rPr>
      <w:rFonts w:cs="Times New Roman"/>
      <w:color w:val="auto"/>
    </w:rPr>
  </w:style>
  <w:style w:type="paragraph" w:customStyle="1" w:styleId="3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3">
    <w:name w:val="标准段落"/>
    <w:basedOn w:val="1"/>
    <w:qFormat/>
    <w:uiPriority w:val="0"/>
    <w:pPr>
      <w:topLinePunct/>
      <w:autoSpaceDE w:val="0"/>
      <w:autoSpaceDN w:val="0"/>
      <w:spacing w:after="0" w:line="360" w:lineRule="auto"/>
      <w:ind w:firstLine="480" w:firstLineChars="200"/>
    </w:pPr>
    <w:rPr>
      <w:rFonts w:ascii="宋体" w:hAnsi="宋体"/>
      <w:sz w:val="24"/>
      <w:lang w:bidi="th-TH"/>
    </w:rPr>
  </w:style>
  <w:style w:type="paragraph" w:customStyle="1" w:styleId="334">
    <w:name w:val="SS正文首行缩进 +"/>
    <w:basedOn w:val="20"/>
    <w:qFormat/>
    <w:uiPriority w:val="0"/>
    <w:pPr>
      <w:spacing w:beforeLines="50" w:afterLines="50" w:line="360" w:lineRule="auto"/>
      <w:ind w:firstLine="480" w:firstLineChars="200"/>
    </w:pPr>
    <w:rPr>
      <w:rFonts w:ascii="Times New Roman" w:hAnsi="Times New Roman"/>
      <w:sz w:val="24"/>
      <w:szCs w:val="20"/>
    </w:rPr>
  </w:style>
  <w:style w:type="paragraph" w:customStyle="1" w:styleId="335">
    <w:name w:val="二级条标题"/>
    <w:basedOn w:val="1"/>
    <w:next w:val="332"/>
    <w:qFormat/>
    <w:uiPriority w:val="0"/>
    <w:pPr>
      <w:widowControl/>
      <w:spacing w:after="0" w:line="360" w:lineRule="auto"/>
      <w:ind w:left="851"/>
      <w:jc w:val="left"/>
      <w:outlineLvl w:val="3"/>
    </w:pPr>
    <w:rPr>
      <w:rFonts w:eastAsia="黑体"/>
      <w:kern w:val="0"/>
      <w:szCs w:val="20"/>
    </w:rPr>
  </w:style>
  <w:style w:type="paragraph" w:customStyle="1" w:styleId="336">
    <w:name w:val="Char Char Char"/>
    <w:basedOn w:val="1"/>
    <w:qFormat/>
    <w:uiPriority w:val="0"/>
    <w:pPr>
      <w:spacing w:after="0" w:line="360" w:lineRule="auto"/>
    </w:pPr>
    <w:rPr>
      <w:rFonts w:ascii="Tahoma" w:hAnsi="Tahoma"/>
      <w:sz w:val="24"/>
      <w:szCs w:val="20"/>
    </w:rPr>
  </w:style>
  <w:style w:type="paragraph" w:customStyle="1" w:styleId="337">
    <w:name w:val="表格"/>
    <w:basedOn w:val="1"/>
    <w:qFormat/>
    <w:uiPriority w:val="0"/>
    <w:pPr>
      <w:snapToGrid w:val="0"/>
      <w:spacing w:after="0" w:line="360" w:lineRule="auto"/>
      <w:ind w:firstLine="42" w:firstLineChars="21"/>
    </w:pPr>
    <w:rPr>
      <w:rFonts w:ascii="宋体" w:hAnsi="宋体"/>
      <w:kern w:val="0"/>
      <w:sz w:val="20"/>
      <w:szCs w:val="20"/>
    </w:rPr>
  </w:style>
  <w:style w:type="paragraph" w:customStyle="1" w:styleId="338">
    <w:name w:val="样式 楷体_GB2312 小四 Char Char Char Char Char Char Char Char Char Char Char Char"/>
    <w:basedOn w:val="1"/>
    <w:next w:val="1"/>
    <w:qFormat/>
    <w:uiPriority w:val="0"/>
    <w:pPr>
      <w:spacing w:after="0" w:line="360" w:lineRule="auto"/>
    </w:pPr>
    <w:rPr>
      <w:rFonts w:ascii="楷体_GB2312" w:eastAsia="楷体_GB2312"/>
      <w:sz w:val="24"/>
    </w:rPr>
  </w:style>
  <w:style w:type="paragraph" w:customStyle="1" w:styleId="339">
    <w:name w:val="a"/>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340">
    <w:name w:val="正文（缩进）"/>
    <w:basedOn w:val="1"/>
    <w:qFormat/>
    <w:uiPriority w:val="0"/>
    <w:pPr>
      <w:spacing w:beforeLines="50" w:afterLines="50" w:line="360" w:lineRule="auto"/>
      <w:ind w:firstLine="480" w:firstLineChars="200"/>
    </w:pPr>
    <w:rPr>
      <w:sz w:val="24"/>
    </w:rPr>
  </w:style>
  <w:style w:type="paragraph" w:customStyle="1" w:styleId="341">
    <w:name w:val="正文（绿盟科技）"/>
    <w:qFormat/>
    <w:uiPriority w:val="0"/>
    <w:pPr>
      <w:spacing w:line="300" w:lineRule="auto"/>
    </w:pPr>
    <w:rPr>
      <w:rFonts w:ascii="Arial" w:hAnsi="Arial" w:eastAsia="宋体" w:cs="Arial"/>
      <w:sz w:val="21"/>
      <w:szCs w:val="21"/>
      <w:lang w:val="en-US" w:eastAsia="zh-CN" w:bidi="ar-SA"/>
    </w:rPr>
  </w:style>
  <w:style w:type="paragraph" w:customStyle="1" w:styleId="342">
    <w:name w:val="样式 (西文) 仿宋_GB2312 (中文) 仿宋_GB2312 (符号) 宋体 小四 行距: 1.5 倍行距 首行缩..."/>
    <w:basedOn w:val="1"/>
    <w:qFormat/>
    <w:uiPriority w:val="0"/>
    <w:pPr>
      <w:spacing w:after="0" w:line="360" w:lineRule="auto"/>
      <w:ind w:firstLine="150" w:firstLineChars="150"/>
    </w:pPr>
    <w:rPr>
      <w:rFonts w:ascii="宋体" w:cs="宋体"/>
      <w:sz w:val="24"/>
    </w:rPr>
  </w:style>
  <w:style w:type="paragraph" w:customStyle="1" w:styleId="343">
    <w:name w:val="0正文"/>
    <w:basedOn w:val="1"/>
    <w:qFormat/>
    <w:uiPriority w:val="0"/>
    <w:pPr>
      <w:adjustRightInd w:val="0"/>
      <w:spacing w:after="0" w:line="360" w:lineRule="auto"/>
      <w:ind w:left="50" w:leftChars="50" w:right="50" w:rightChars="50" w:firstLine="200" w:firstLineChars="200"/>
      <w:textAlignment w:val="baseline"/>
    </w:pPr>
    <w:rPr>
      <w:rFonts w:ascii="Verdana" w:hAnsi="Verdana" w:cs="Verdana"/>
      <w:color w:val="000080"/>
      <w:szCs w:val="21"/>
    </w:rPr>
  </w:style>
  <w:style w:type="paragraph" w:customStyle="1" w:styleId="344">
    <w:name w:val="注释标题2"/>
    <w:basedOn w:val="1"/>
    <w:next w:val="1"/>
    <w:qFormat/>
    <w:uiPriority w:val="0"/>
    <w:pPr>
      <w:spacing w:after="0" w:line="360" w:lineRule="auto"/>
      <w:jc w:val="center"/>
    </w:pPr>
    <w:rPr>
      <w:rFonts w:ascii="DFKai-SB" w:hAnsi="DFKai-SB" w:eastAsia="DFKai-SB"/>
      <w:sz w:val="24"/>
      <w:szCs w:val="20"/>
    </w:rPr>
  </w:style>
  <w:style w:type="paragraph" w:customStyle="1" w:styleId="345">
    <w:name w:val="正文文本缩进1"/>
    <w:basedOn w:val="1"/>
    <w:qFormat/>
    <w:uiPriority w:val="0"/>
    <w:pPr>
      <w:spacing w:after="0" w:line="360" w:lineRule="auto"/>
      <w:ind w:firstLine="630"/>
    </w:pPr>
    <w:rPr>
      <w:rFonts w:ascii="楷体_GB2312" w:eastAsia="楷体_GB2312" w:cs="楷体_GB2312"/>
      <w:kern w:val="0"/>
      <w:sz w:val="32"/>
      <w:szCs w:val="32"/>
    </w:rPr>
  </w:style>
  <w:style w:type="paragraph" w:customStyle="1" w:styleId="346">
    <w:name w:val="样式4"/>
    <w:basedOn w:val="1"/>
    <w:qFormat/>
    <w:uiPriority w:val="0"/>
    <w:pPr>
      <w:tabs>
        <w:tab w:val="left" w:pos="0"/>
        <w:tab w:val="left" w:pos="1260"/>
      </w:tabs>
      <w:spacing w:after="0" w:line="360" w:lineRule="auto"/>
      <w:ind w:left="1260"/>
    </w:pPr>
    <w:rPr>
      <w:sz w:val="24"/>
    </w:rPr>
  </w:style>
  <w:style w:type="paragraph" w:customStyle="1" w:styleId="347">
    <w:name w:val="此正文"/>
    <w:basedOn w:val="1"/>
    <w:qFormat/>
    <w:uiPriority w:val="0"/>
    <w:pPr>
      <w:tabs>
        <w:tab w:val="left" w:pos="425"/>
      </w:tabs>
      <w:spacing w:after="0" w:line="360" w:lineRule="auto"/>
      <w:ind w:left="425" w:firstLine="200" w:firstLineChars="200"/>
    </w:pPr>
    <w:rPr>
      <w:sz w:val="24"/>
    </w:rPr>
  </w:style>
  <w:style w:type="paragraph" w:customStyle="1" w:styleId="348">
    <w:name w:val="注释标题1"/>
    <w:basedOn w:val="1"/>
    <w:next w:val="1"/>
    <w:qFormat/>
    <w:uiPriority w:val="0"/>
    <w:pPr>
      <w:spacing w:after="0" w:line="360" w:lineRule="auto"/>
      <w:jc w:val="center"/>
    </w:pPr>
    <w:rPr>
      <w:rFonts w:ascii="DFKai-SB" w:hAnsi="DFKai-SB" w:eastAsia="DFKai-SB"/>
      <w:sz w:val="24"/>
      <w:szCs w:val="20"/>
    </w:rPr>
  </w:style>
  <w:style w:type="paragraph" w:customStyle="1" w:styleId="349">
    <w:name w:val="Char Char2 Char Char Char Char Char Char Char Char Char Char"/>
    <w:basedOn w:val="1"/>
    <w:qFormat/>
    <w:uiPriority w:val="0"/>
    <w:pPr>
      <w:spacing w:after="0" w:line="360" w:lineRule="auto"/>
    </w:pPr>
    <w:rPr>
      <w:sz w:val="24"/>
    </w:rPr>
  </w:style>
  <w:style w:type="paragraph" w:customStyle="1" w:styleId="350">
    <w:name w:val="p0"/>
    <w:basedOn w:val="1"/>
    <w:qFormat/>
    <w:uiPriority w:val="0"/>
    <w:pPr>
      <w:widowControl/>
      <w:spacing w:after="0" w:line="360" w:lineRule="auto"/>
    </w:pPr>
    <w:rPr>
      <w:kern w:val="0"/>
      <w:szCs w:val="21"/>
    </w:rPr>
  </w:style>
  <w:style w:type="character" w:customStyle="1" w:styleId="351">
    <w:name w:val="HTML 地址 Char"/>
    <w:qFormat/>
    <w:uiPriority w:val="0"/>
    <w:rPr>
      <w:rFonts w:ascii="宋体" w:hAnsi="宋体"/>
      <w:i/>
      <w:iCs/>
      <w:szCs w:val="24"/>
    </w:rPr>
  </w:style>
  <w:style w:type="character" w:customStyle="1" w:styleId="352">
    <w:name w:val="big14"/>
    <w:qFormat/>
    <w:uiPriority w:val="0"/>
  </w:style>
  <w:style w:type="character" w:customStyle="1" w:styleId="353">
    <w:name w:val="注释标题 Char"/>
    <w:qFormat/>
    <w:uiPriority w:val="0"/>
    <w:rPr>
      <w:rFonts w:ascii="DFKai-SB" w:hAnsi="DFKai-SB" w:eastAsia="DFKai-SB"/>
    </w:rPr>
  </w:style>
  <w:style w:type="character" w:customStyle="1" w:styleId="354">
    <w:name w:val="页脚 Char Char"/>
    <w:qFormat/>
    <w:uiPriority w:val="0"/>
    <w:rPr>
      <w:rFonts w:ascii="宋体" w:hAnsi="宋体" w:eastAsia="宋体" w:cs="Times New Roman"/>
      <w:sz w:val="18"/>
      <w:szCs w:val="20"/>
    </w:rPr>
  </w:style>
  <w:style w:type="character" w:customStyle="1" w:styleId="355">
    <w:name w:val="arial111"/>
    <w:qFormat/>
    <w:uiPriority w:val="0"/>
    <w:rPr>
      <w:rFonts w:hint="default" w:ascii="Arial" w:hAnsi="Arial" w:cs="Arial"/>
      <w:sz w:val="17"/>
      <w:szCs w:val="17"/>
    </w:rPr>
  </w:style>
  <w:style w:type="character" w:customStyle="1" w:styleId="356">
    <w:name w:val="五级条标题 Char Char"/>
    <w:link w:val="357"/>
    <w:qFormat/>
    <w:uiPriority w:val="0"/>
    <w:rPr>
      <w:rFonts w:ascii="黑体" w:hAnsi="宋体" w:eastAsia="黑体"/>
      <w:szCs w:val="24"/>
    </w:rPr>
  </w:style>
  <w:style w:type="paragraph" w:customStyle="1" w:styleId="357">
    <w:name w:val="五级条标题"/>
    <w:basedOn w:val="358"/>
    <w:next w:val="1"/>
    <w:link w:val="356"/>
    <w:qFormat/>
    <w:uiPriority w:val="0"/>
    <w:pPr>
      <w:outlineLvl w:val="6"/>
    </w:pPr>
  </w:style>
  <w:style w:type="paragraph" w:customStyle="1" w:styleId="358">
    <w:name w:val="四级条标题"/>
    <w:basedOn w:val="359"/>
    <w:next w:val="1"/>
    <w:link w:val="361"/>
    <w:qFormat/>
    <w:uiPriority w:val="0"/>
    <w:pPr>
      <w:ind w:left="0"/>
      <w:outlineLvl w:val="5"/>
    </w:pPr>
  </w:style>
  <w:style w:type="paragraph" w:customStyle="1" w:styleId="359">
    <w:name w:val="三级条标题"/>
    <w:basedOn w:val="360"/>
    <w:next w:val="1"/>
    <w:link w:val="362"/>
    <w:qFormat/>
    <w:uiPriority w:val="0"/>
    <w:pPr>
      <w:ind w:left="735"/>
      <w:outlineLvl w:val="4"/>
    </w:pPr>
  </w:style>
  <w:style w:type="paragraph" w:customStyle="1" w:styleId="360">
    <w:name w:val="二级条标题 Char"/>
    <w:next w:val="1"/>
    <w:link w:val="363"/>
    <w:qFormat/>
    <w:uiPriority w:val="0"/>
    <w:pPr>
      <w:ind w:left="420"/>
      <w:outlineLvl w:val="3"/>
    </w:pPr>
    <w:rPr>
      <w:rFonts w:ascii="黑体" w:hAnsi="宋体" w:eastAsia="黑体" w:cs="Times New Roman"/>
      <w:szCs w:val="24"/>
      <w:lang w:val="en-US" w:eastAsia="zh-CN" w:bidi="ar-SA"/>
    </w:rPr>
  </w:style>
  <w:style w:type="character" w:customStyle="1" w:styleId="361">
    <w:name w:val="四级条标题 Char Char"/>
    <w:link w:val="358"/>
    <w:qFormat/>
    <w:uiPriority w:val="0"/>
    <w:rPr>
      <w:rFonts w:ascii="黑体" w:hAnsi="宋体" w:eastAsia="黑体"/>
      <w:szCs w:val="24"/>
    </w:rPr>
  </w:style>
  <w:style w:type="character" w:customStyle="1" w:styleId="362">
    <w:name w:val="三级条标题 Char Char"/>
    <w:link w:val="359"/>
    <w:qFormat/>
    <w:uiPriority w:val="0"/>
    <w:rPr>
      <w:rFonts w:ascii="黑体" w:hAnsi="宋体" w:eastAsia="黑体"/>
      <w:szCs w:val="24"/>
    </w:rPr>
  </w:style>
  <w:style w:type="character" w:customStyle="1" w:styleId="363">
    <w:name w:val="二级条标题 Char Char Char"/>
    <w:link w:val="360"/>
    <w:qFormat/>
    <w:uiPriority w:val="0"/>
    <w:rPr>
      <w:rFonts w:ascii="黑体" w:hAnsi="宋体" w:eastAsia="黑体"/>
      <w:szCs w:val="24"/>
    </w:rPr>
  </w:style>
  <w:style w:type="character" w:customStyle="1" w:styleId="364">
    <w:name w:val="一级条标题 Char Char Char Char"/>
    <w:qFormat/>
    <w:uiPriority w:val="0"/>
  </w:style>
  <w:style w:type="character" w:customStyle="1" w:styleId="365">
    <w:name w:val="章标题 Char Char Char Char"/>
    <w:link w:val="366"/>
    <w:qFormat/>
    <w:uiPriority w:val="0"/>
    <w:rPr>
      <w:rFonts w:ascii="黑体" w:hAnsi="宋体" w:eastAsia="黑体"/>
      <w:szCs w:val="24"/>
    </w:rPr>
  </w:style>
  <w:style w:type="paragraph" w:customStyle="1" w:styleId="366">
    <w:name w:val="章标题 Char Char"/>
    <w:next w:val="1"/>
    <w:link w:val="365"/>
    <w:qFormat/>
    <w:uiPriority w:val="0"/>
    <w:pPr>
      <w:spacing w:beforeLines="50" w:afterLines="50"/>
      <w:ind w:left="840" w:hanging="420"/>
      <w:jc w:val="both"/>
      <w:outlineLvl w:val="1"/>
    </w:pPr>
    <w:rPr>
      <w:rFonts w:ascii="黑体" w:hAnsi="宋体" w:eastAsia="黑体" w:cs="Times New Roman"/>
      <w:szCs w:val="24"/>
      <w:lang w:val="en-US" w:eastAsia="zh-CN" w:bidi="ar-SA"/>
    </w:rPr>
  </w:style>
  <w:style w:type="character" w:customStyle="1" w:styleId="367">
    <w:name w:val="t91"/>
    <w:qFormat/>
    <w:uiPriority w:val="0"/>
  </w:style>
  <w:style w:type="character" w:customStyle="1" w:styleId="368">
    <w:name w:val="正文文本 Char Char"/>
    <w:qFormat/>
    <w:uiPriority w:val="0"/>
    <w:rPr>
      <w:rFonts w:ascii="宋体" w:hAnsi="宋体" w:eastAsia="宋体" w:cs="Times New Roman"/>
      <w:sz w:val="24"/>
      <w:szCs w:val="24"/>
    </w:rPr>
  </w:style>
  <w:style w:type="character" w:customStyle="1" w:styleId="369">
    <w:name w:val="个人撰写风格"/>
    <w:qFormat/>
    <w:uiPriority w:val="0"/>
    <w:rPr>
      <w:rFonts w:ascii="Arial" w:hAnsi="Arial" w:eastAsia="宋体" w:cs="Arial"/>
      <w:color w:val="auto"/>
      <w:sz w:val="20"/>
    </w:rPr>
  </w:style>
  <w:style w:type="character" w:customStyle="1" w:styleId="370">
    <w:name w:val="正文表标题 Char Char"/>
    <w:link w:val="371"/>
    <w:qFormat/>
    <w:uiPriority w:val="0"/>
    <w:rPr>
      <w:rFonts w:ascii="黑体" w:hAnsi="宋体" w:eastAsia="黑体"/>
      <w:szCs w:val="24"/>
    </w:rPr>
  </w:style>
  <w:style w:type="paragraph" w:customStyle="1" w:styleId="371">
    <w:name w:val="正文表标题"/>
    <w:next w:val="332"/>
    <w:link w:val="370"/>
    <w:qFormat/>
    <w:uiPriority w:val="0"/>
    <w:pPr>
      <w:tabs>
        <w:tab w:val="left" w:pos="360"/>
      </w:tabs>
      <w:ind w:left="3780"/>
      <w:jc w:val="center"/>
    </w:pPr>
    <w:rPr>
      <w:rFonts w:ascii="黑体" w:hAnsi="宋体" w:eastAsia="黑体" w:cs="Times New Roman"/>
      <w:szCs w:val="24"/>
      <w:lang w:val="en-US" w:eastAsia="zh-CN" w:bidi="ar-SA"/>
    </w:rPr>
  </w:style>
  <w:style w:type="character" w:customStyle="1" w:styleId="372">
    <w:name w:val="页眉 Char Char"/>
    <w:qFormat/>
    <w:uiPriority w:val="0"/>
    <w:rPr>
      <w:rFonts w:ascii="宋体" w:hAnsi="宋体" w:eastAsia="宋体" w:cs="Times New Roman"/>
      <w:sz w:val="18"/>
      <w:szCs w:val="20"/>
    </w:rPr>
  </w:style>
  <w:style w:type="character" w:customStyle="1" w:styleId="373">
    <w:name w:val="style60"/>
    <w:qFormat/>
    <w:uiPriority w:val="0"/>
  </w:style>
  <w:style w:type="character" w:customStyle="1" w:styleId="374">
    <w:name w:val="章标题 Char Char Char Char Char"/>
    <w:qFormat/>
    <w:uiPriority w:val="0"/>
    <w:rPr>
      <w:rFonts w:ascii="黑体" w:hAnsi="宋体" w:eastAsia="黑体"/>
      <w:szCs w:val="24"/>
    </w:rPr>
  </w:style>
  <w:style w:type="character" w:customStyle="1" w:styleId="375">
    <w:name w:val="newsitemtitle1"/>
    <w:qFormat/>
    <w:uiPriority w:val="0"/>
    <w:rPr>
      <w:b/>
      <w:bCs/>
      <w:color w:val="0000CD"/>
      <w:sz w:val="28"/>
      <w:szCs w:val="28"/>
    </w:rPr>
  </w:style>
  <w:style w:type="character" w:customStyle="1" w:styleId="376">
    <w:name w:val="发布"/>
    <w:qFormat/>
    <w:uiPriority w:val="0"/>
    <w:rPr>
      <w:rFonts w:ascii="黑体" w:eastAsia="黑体"/>
      <w:spacing w:val="22"/>
      <w:w w:val="100"/>
      <w:position w:val="3"/>
      <w:sz w:val="28"/>
    </w:rPr>
  </w:style>
  <w:style w:type="character" w:customStyle="1" w:styleId="377">
    <w:name w:val="一级无标题条 Char Char"/>
    <w:link w:val="378"/>
    <w:qFormat/>
    <w:uiPriority w:val="0"/>
    <w:rPr>
      <w:rFonts w:ascii="宋体" w:hAnsi="宋体"/>
      <w:szCs w:val="24"/>
    </w:rPr>
  </w:style>
  <w:style w:type="paragraph" w:customStyle="1" w:styleId="378">
    <w:name w:val="一级无标题条"/>
    <w:basedOn w:val="1"/>
    <w:link w:val="377"/>
    <w:qFormat/>
    <w:uiPriority w:val="0"/>
    <w:pPr>
      <w:spacing w:after="0" w:line="360" w:lineRule="auto"/>
    </w:pPr>
    <w:rPr>
      <w:rFonts w:ascii="宋体" w:hAnsi="宋体"/>
      <w:kern w:val="0"/>
      <w:sz w:val="20"/>
    </w:rPr>
  </w:style>
  <w:style w:type="character" w:customStyle="1" w:styleId="379">
    <w:name w:val="个人答复风格"/>
    <w:qFormat/>
    <w:uiPriority w:val="0"/>
    <w:rPr>
      <w:rFonts w:ascii="Arial" w:hAnsi="Arial" w:eastAsia="宋体" w:cs="Arial"/>
      <w:color w:val="auto"/>
      <w:sz w:val="20"/>
    </w:rPr>
  </w:style>
  <w:style w:type="character" w:customStyle="1" w:styleId="380">
    <w:name w:val="脚注文本 Char1"/>
    <w:qFormat/>
    <w:uiPriority w:val="0"/>
    <w:rPr>
      <w:kern w:val="2"/>
      <w:sz w:val="18"/>
      <w:szCs w:val="18"/>
    </w:rPr>
  </w:style>
  <w:style w:type="paragraph" w:customStyle="1" w:styleId="381">
    <w:name w:val="标准书眉_偶数页"/>
    <w:basedOn w:val="382"/>
    <w:next w:val="1"/>
    <w:qFormat/>
    <w:uiPriority w:val="0"/>
    <w:pPr>
      <w:tabs>
        <w:tab w:val="center" w:pos="4154"/>
        <w:tab w:val="right" w:pos="8306"/>
      </w:tabs>
      <w:jc w:val="left"/>
    </w:pPr>
  </w:style>
  <w:style w:type="paragraph" w:customStyle="1" w:styleId="382">
    <w:name w:val="标准书眉_奇数页"/>
    <w:next w:val="1"/>
    <w:qFormat/>
    <w:uiPriority w:val="0"/>
    <w:pPr>
      <w:tabs>
        <w:tab w:val="center" w:pos="4154"/>
        <w:tab w:val="right" w:pos="8306"/>
      </w:tabs>
      <w:spacing w:after="120"/>
      <w:jc w:val="right"/>
    </w:pPr>
    <w:rPr>
      <w:rFonts w:ascii="宋体" w:hAnsi="宋体" w:eastAsia="宋体" w:cs="Times New Roman"/>
      <w:kern w:val="2"/>
      <w:sz w:val="21"/>
      <w:szCs w:val="24"/>
      <w:lang w:val="en-US" w:eastAsia="zh-CN" w:bidi="ar-SA"/>
    </w:rPr>
  </w:style>
  <w:style w:type="paragraph" w:customStyle="1" w:styleId="383">
    <w:name w:val="字母编号列项（一级）"/>
    <w:qFormat/>
    <w:uiPriority w:val="0"/>
    <w:pPr>
      <w:ind w:left="840" w:leftChars="200" w:hanging="420" w:hangingChars="200"/>
      <w:jc w:val="both"/>
    </w:pPr>
    <w:rPr>
      <w:rFonts w:ascii="宋体" w:hAnsi="宋体" w:eastAsia="宋体" w:cs="Times New Roman"/>
      <w:kern w:val="2"/>
      <w:sz w:val="21"/>
      <w:szCs w:val="24"/>
      <w:lang w:val="en-US" w:eastAsia="zh-CN" w:bidi="ar-SA"/>
    </w:rPr>
  </w:style>
  <w:style w:type="paragraph" w:customStyle="1" w:styleId="384">
    <w:name w:val="style3"/>
    <w:basedOn w:val="1"/>
    <w:qFormat/>
    <w:uiPriority w:val="0"/>
    <w:pPr>
      <w:widowControl/>
      <w:spacing w:before="100" w:beforeAutospacing="1" w:after="100" w:afterAutospacing="1" w:line="360" w:lineRule="auto"/>
      <w:jc w:val="left"/>
    </w:pPr>
    <w:rPr>
      <w:rFonts w:ascii="宋体" w:hAnsi="宋体"/>
      <w:color w:val="666666"/>
      <w:kern w:val="0"/>
      <w:sz w:val="24"/>
    </w:rPr>
  </w:style>
  <w:style w:type="character" w:customStyle="1" w:styleId="385">
    <w:name w:val="HTML 地址 字符"/>
    <w:basedOn w:val="56"/>
    <w:link w:val="26"/>
    <w:qFormat/>
    <w:uiPriority w:val="0"/>
    <w:rPr>
      <w:i/>
      <w:iCs/>
      <w:kern w:val="2"/>
      <w:sz w:val="21"/>
      <w:szCs w:val="24"/>
    </w:rPr>
  </w:style>
  <w:style w:type="paragraph" w:customStyle="1" w:styleId="386">
    <w:name w:val="注释标题3"/>
    <w:basedOn w:val="1"/>
    <w:next w:val="1"/>
    <w:qFormat/>
    <w:uiPriority w:val="0"/>
    <w:pPr>
      <w:spacing w:after="0" w:line="360" w:lineRule="auto"/>
      <w:jc w:val="center"/>
    </w:pPr>
    <w:rPr>
      <w:rFonts w:ascii="DFKai-SB" w:hAnsi="DFKai-SB" w:eastAsia="DFKai-SB"/>
      <w:sz w:val="20"/>
      <w:szCs w:val="20"/>
    </w:rPr>
  </w:style>
  <w:style w:type="character" w:customStyle="1" w:styleId="387">
    <w:name w:val="注释标题 字符"/>
    <w:basedOn w:val="56"/>
    <w:link w:val="12"/>
    <w:qFormat/>
    <w:uiPriority w:val="0"/>
    <w:rPr>
      <w:kern w:val="2"/>
      <w:sz w:val="21"/>
      <w:szCs w:val="24"/>
    </w:rPr>
  </w:style>
  <w:style w:type="paragraph" w:customStyle="1" w:styleId="388">
    <w:name w:val="附录五级条标题"/>
    <w:basedOn w:val="389"/>
    <w:next w:val="332"/>
    <w:qFormat/>
    <w:uiPriority w:val="0"/>
    <w:pPr>
      <w:tabs>
        <w:tab w:val="left" w:pos="360"/>
      </w:tabs>
      <w:outlineLvl w:val="6"/>
    </w:pPr>
  </w:style>
  <w:style w:type="paragraph" w:customStyle="1" w:styleId="389">
    <w:name w:val="附录四级条标题"/>
    <w:basedOn w:val="390"/>
    <w:next w:val="332"/>
    <w:qFormat/>
    <w:uiPriority w:val="0"/>
    <w:pPr>
      <w:tabs>
        <w:tab w:val="left" w:pos="360"/>
      </w:tabs>
      <w:outlineLvl w:val="5"/>
    </w:pPr>
  </w:style>
  <w:style w:type="paragraph" w:customStyle="1" w:styleId="390">
    <w:name w:val="附录三级条标题"/>
    <w:basedOn w:val="391"/>
    <w:next w:val="332"/>
    <w:qFormat/>
    <w:uiPriority w:val="0"/>
    <w:pPr>
      <w:tabs>
        <w:tab w:val="left" w:pos="360"/>
      </w:tabs>
      <w:outlineLvl w:val="4"/>
    </w:pPr>
  </w:style>
  <w:style w:type="paragraph" w:customStyle="1" w:styleId="391">
    <w:name w:val="附录二级条标题"/>
    <w:basedOn w:val="392"/>
    <w:next w:val="332"/>
    <w:qFormat/>
    <w:uiPriority w:val="0"/>
    <w:pPr>
      <w:tabs>
        <w:tab w:val="left" w:pos="360"/>
      </w:tabs>
      <w:outlineLvl w:val="3"/>
    </w:pPr>
  </w:style>
  <w:style w:type="paragraph" w:customStyle="1" w:styleId="392">
    <w:name w:val="附录一级条标题"/>
    <w:basedOn w:val="393"/>
    <w:next w:val="332"/>
    <w:qFormat/>
    <w:uiPriority w:val="0"/>
    <w:pPr>
      <w:tabs>
        <w:tab w:val="left" w:pos="360"/>
      </w:tabs>
      <w:autoSpaceDN w:val="0"/>
      <w:spacing w:beforeLines="0" w:afterLines="0"/>
      <w:ind w:left="0"/>
      <w:outlineLvl w:val="2"/>
    </w:pPr>
  </w:style>
  <w:style w:type="paragraph" w:customStyle="1" w:styleId="393">
    <w:name w:val="附录章标题"/>
    <w:next w:val="332"/>
    <w:qFormat/>
    <w:uiPriority w:val="0"/>
    <w:pPr>
      <w:tabs>
        <w:tab w:val="left" w:pos="360"/>
      </w:tabs>
      <w:wordWrap w:val="0"/>
      <w:overflowPunct w:val="0"/>
      <w:autoSpaceDE w:val="0"/>
      <w:spacing w:beforeLines="50" w:afterLines="50"/>
      <w:ind w:left="420"/>
      <w:jc w:val="both"/>
      <w:textAlignment w:val="baseline"/>
      <w:outlineLvl w:val="1"/>
    </w:pPr>
    <w:rPr>
      <w:rFonts w:ascii="黑体" w:hAnsi="宋体" w:eastAsia="黑体" w:cs="Times New Roman"/>
      <w:kern w:val="21"/>
      <w:sz w:val="21"/>
      <w:szCs w:val="24"/>
      <w:lang w:val="en-US" w:eastAsia="zh-CN" w:bidi="ar-SA"/>
    </w:rPr>
  </w:style>
  <w:style w:type="paragraph" w:customStyle="1" w:styleId="394">
    <w:name w:val="Char Char4"/>
    <w:basedOn w:val="1"/>
    <w:qFormat/>
    <w:uiPriority w:val="0"/>
    <w:pPr>
      <w:spacing w:after="0" w:line="360" w:lineRule="auto"/>
    </w:pPr>
  </w:style>
  <w:style w:type="paragraph" w:customStyle="1" w:styleId="395">
    <w:name w:val="Char Char Char Char1"/>
    <w:basedOn w:val="1"/>
    <w:qFormat/>
    <w:uiPriority w:val="0"/>
    <w:pPr>
      <w:spacing w:after="0" w:line="360" w:lineRule="auto"/>
      <w:ind w:firstLine="200" w:firstLineChars="200"/>
    </w:pPr>
    <w:rPr>
      <w:rFonts w:ascii="Tahoma" w:hAnsi="Tahoma"/>
      <w:sz w:val="24"/>
    </w:rPr>
  </w:style>
  <w:style w:type="paragraph" w:customStyle="1" w:styleId="396">
    <w:name w:val="Note Heading1"/>
    <w:basedOn w:val="1"/>
    <w:next w:val="1"/>
    <w:qFormat/>
    <w:uiPriority w:val="0"/>
    <w:pPr>
      <w:spacing w:after="0" w:line="360" w:lineRule="auto"/>
      <w:jc w:val="center"/>
    </w:pPr>
    <w:rPr>
      <w:rFonts w:ascii="DFKai-SB" w:hAnsi="DFKai-SB" w:eastAsia="DFKai-SB"/>
      <w:sz w:val="20"/>
      <w:szCs w:val="20"/>
    </w:rPr>
  </w:style>
  <w:style w:type="paragraph" w:customStyle="1" w:styleId="397">
    <w:name w:val="列表内容"/>
    <w:basedOn w:val="1"/>
    <w:next w:val="1"/>
    <w:qFormat/>
    <w:uiPriority w:val="0"/>
    <w:pPr>
      <w:widowControl/>
      <w:tabs>
        <w:tab w:val="left" w:pos="840"/>
      </w:tabs>
      <w:spacing w:after="0" w:line="360" w:lineRule="auto"/>
      <w:ind w:left="425" w:hanging="137"/>
      <w:jc w:val="left"/>
    </w:pPr>
    <w:rPr>
      <w:kern w:val="0"/>
      <w:sz w:val="18"/>
    </w:rPr>
  </w:style>
  <w:style w:type="character" w:customStyle="1" w:styleId="398">
    <w:name w:val="正文首行缩进 2 Char1"/>
    <w:qFormat/>
    <w:uiPriority w:val="0"/>
    <w:rPr>
      <w:rFonts w:ascii="宋体" w:hAnsi="Courier New"/>
      <w:spacing w:val="-4"/>
      <w:kern w:val="2"/>
      <w:sz w:val="21"/>
      <w:szCs w:val="24"/>
    </w:rPr>
  </w:style>
  <w:style w:type="character" w:customStyle="1" w:styleId="399">
    <w:name w:val="正文文本缩进 Char2"/>
    <w:qFormat/>
    <w:uiPriority w:val="0"/>
    <w:rPr>
      <w:kern w:val="2"/>
      <w:sz w:val="21"/>
      <w:szCs w:val="24"/>
    </w:rPr>
  </w:style>
  <w:style w:type="paragraph" w:customStyle="1" w:styleId="400">
    <w:name w:val="图表脚注"/>
    <w:next w:val="332"/>
    <w:qFormat/>
    <w:uiPriority w:val="0"/>
    <w:pPr>
      <w:ind w:left="300" w:leftChars="200" w:hanging="100" w:hangingChars="100"/>
      <w:jc w:val="both"/>
    </w:pPr>
    <w:rPr>
      <w:rFonts w:ascii="宋体" w:hAnsi="宋体" w:eastAsia="宋体" w:cs="Times New Roman"/>
      <w:kern w:val="2"/>
      <w:sz w:val="18"/>
      <w:szCs w:val="24"/>
      <w:lang w:val="en-US" w:eastAsia="zh-CN" w:bidi="ar-SA"/>
    </w:rPr>
  </w:style>
  <w:style w:type="paragraph" w:customStyle="1" w:styleId="401">
    <w:name w:val="潘"/>
    <w:basedOn w:val="1"/>
    <w:qFormat/>
    <w:uiPriority w:val="0"/>
    <w:pPr>
      <w:snapToGrid w:val="0"/>
      <w:spacing w:after="0" w:line="240" w:lineRule="atLeast"/>
    </w:pPr>
    <w:rPr>
      <w:rFonts w:ascii="Arial" w:hAnsi="Arial" w:eastAsia="楷体_GB2312"/>
      <w:b/>
      <w:bCs/>
    </w:rPr>
  </w:style>
  <w:style w:type="paragraph" w:customStyle="1" w:styleId="402">
    <w:name w:val="其他标准称谓"/>
    <w:qFormat/>
    <w:uiPriority w:val="0"/>
    <w:pPr>
      <w:spacing w:line="0" w:lineRule="atLeast"/>
      <w:jc w:val="distribute"/>
    </w:pPr>
    <w:rPr>
      <w:rFonts w:ascii="黑体" w:hAnsi="宋体" w:eastAsia="黑体" w:cs="Times New Roman"/>
      <w:kern w:val="2"/>
      <w:sz w:val="52"/>
      <w:szCs w:val="24"/>
      <w:lang w:val="en-US" w:eastAsia="zh-CN" w:bidi="ar-SA"/>
    </w:rPr>
  </w:style>
  <w:style w:type="paragraph" w:customStyle="1" w:styleId="403">
    <w:name w:val="数字编号列项（二级）"/>
    <w:qFormat/>
    <w:uiPriority w:val="0"/>
    <w:pPr>
      <w:ind w:left="1260" w:leftChars="400" w:hanging="420" w:hangingChars="200"/>
      <w:jc w:val="both"/>
    </w:pPr>
    <w:rPr>
      <w:rFonts w:ascii="宋体" w:hAnsi="宋体" w:eastAsia="宋体" w:cs="Times New Roman"/>
      <w:kern w:val="2"/>
      <w:sz w:val="21"/>
      <w:szCs w:val="24"/>
      <w:lang w:val="en-US" w:eastAsia="zh-CN" w:bidi="ar-SA"/>
    </w:rPr>
  </w:style>
  <w:style w:type="paragraph" w:customStyle="1" w:styleId="404">
    <w:name w:val="样式 标题 3标题 3 CharH3h33rd level3Level 3 Headlevel_3PIM 3s..."/>
    <w:basedOn w:val="4"/>
    <w:qFormat/>
    <w:uiPriority w:val="0"/>
    <w:pPr>
      <w:tabs>
        <w:tab w:val="left" w:pos="425"/>
      </w:tabs>
      <w:spacing w:afterLines="50" w:line="416" w:lineRule="auto"/>
      <w:ind w:firstLine="0" w:firstLineChars="0"/>
    </w:pPr>
    <w:rPr>
      <w:rFonts w:ascii="宋体" w:hAnsi="宋体" w:eastAsia="宋体" w:cs="宋体"/>
      <w:sz w:val="28"/>
    </w:rPr>
  </w:style>
  <w:style w:type="paragraph" w:customStyle="1" w:styleId="405">
    <w:name w:val="注×："/>
    <w:qFormat/>
    <w:uiPriority w:val="0"/>
    <w:pPr>
      <w:widowControl w:val="0"/>
      <w:tabs>
        <w:tab w:val="left" w:pos="360"/>
        <w:tab w:val="left" w:pos="630"/>
      </w:tabs>
      <w:autoSpaceDE w:val="0"/>
      <w:autoSpaceDN w:val="0"/>
      <w:jc w:val="both"/>
    </w:pPr>
    <w:rPr>
      <w:rFonts w:ascii="宋体" w:hAnsi="宋体" w:eastAsia="宋体" w:cs="Times New Roman"/>
      <w:kern w:val="2"/>
      <w:sz w:val="18"/>
      <w:szCs w:val="24"/>
      <w:lang w:val="en-US" w:eastAsia="zh-CN" w:bidi="ar-SA"/>
    </w:rPr>
  </w:style>
  <w:style w:type="paragraph" w:customStyle="1" w:styleId="406">
    <w:name w:val="二级无标题条"/>
    <w:basedOn w:val="1"/>
    <w:qFormat/>
    <w:uiPriority w:val="0"/>
    <w:pPr>
      <w:spacing w:after="0" w:line="360" w:lineRule="auto"/>
    </w:pPr>
    <w:rPr>
      <w:rFonts w:ascii="宋体" w:hAnsi="宋体"/>
    </w:rPr>
  </w:style>
  <w:style w:type="paragraph" w:customStyle="1" w:styleId="407">
    <w:name w:val="字母编号列项"/>
    <w:qFormat/>
    <w:uiPriority w:val="0"/>
    <w:pPr>
      <w:ind w:left="840" w:leftChars="200" w:hanging="420" w:hangingChars="200"/>
      <w:jc w:val="both"/>
    </w:pPr>
    <w:rPr>
      <w:rFonts w:ascii="宋体" w:hAnsi="宋体" w:eastAsia="宋体" w:cs="Times New Roman"/>
      <w:kern w:val="2"/>
      <w:sz w:val="21"/>
      <w:szCs w:val="24"/>
      <w:lang w:val="en-US" w:eastAsia="zh-CN" w:bidi="ar-SA"/>
    </w:rPr>
  </w:style>
  <w:style w:type="paragraph" w:customStyle="1" w:styleId="408">
    <w:name w:val="封面正文"/>
    <w:qFormat/>
    <w:uiPriority w:val="0"/>
    <w:pPr>
      <w:jc w:val="both"/>
    </w:pPr>
    <w:rPr>
      <w:rFonts w:ascii="宋体" w:hAnsi="宋体" w:eastAsia="宋体" w:cs="Times New Roman"/>
      <w:kern w:val="2"/>
      <w:sz w:val="24"/>
      <w:szCs w:val="24"/>
      <w:lang w:val="en-US" w:eastAsia="zh-CN" w:bidi="ar-SA"/>
    </w:rPr>
  </w:style>
  <w:style w:type="paragraph" w:customStyle="1" w:styleId="409">
    <w:name w:val="列项·"/>
    <w:qFormat/>
    <w:uiPriority w:val="0"/>
    <w:pPr>
      <w:tabs>
        <w:tab w:val="left" w:pos="360"/>
        <w:tab w:val="left" w:pos="840"/>
      </w:tabs>
      <w:jc w:val="both"/>
    </w:pPr>
    <w:rPr>
      <w:rFonts w:ascii="宋体" w:hAnsi="宋体" w:eastAsia="宋体" w:cs="Times New Roman"/>
      <w:kern w:val="2"/>
      <w:sz w:val="21"/>
      <w:szCs w:val="24"/>
      <w:lang w:val="en-US" w:eastAsia="zh-CN" w:bidi="ar-SA"/>
    </w:rPr>
  </w:style>
  <w:style w:type="paragraph" w:customStyle="1" w:styleId="410">
    <w:name w:val="一级条标题"/>
    <w:basedOn w:val="1"/>
    <w:next w:val="1"/>
    <w:qFormat/>
    <w:uiPriority w:val="0"/>
    <w:pPr>
      <w:widowControl/>
      <w:spacing w:after="0" w:line="360" w:lineRule="auto"/>
      <w:outlineLvl w:val="2"/>
    </w:pPr>
    <w:rPr>
      <w:rFonts w:ascii="黑体" w:hAnsi="宋体" w:eastAsia="黑体"/>
      <w:kern w:val="0"/>
      <w:szCs w:val="20"/>
    </w:rPr>
  </w:style>
  <w:style w:type="paragraph" w:customStyle="1" w:styleId="411">
    <w:name w:val="样式 标题 4H4sect 1.2.3.4Ref Heading 1rh1Heading sqlh4h41h42..."/>
    <w:basedOn w:val="5"/>
    <w:qFormat/>
    <w:uiPriority w:val="0"/>
    <w:pPr>
      <w:numPr>
        <w:ilvl w:val="3"/>
        <w:numId w:val="8"/>
      </w:numPr>
      <w:tabs>
        <w:tab w:val="left" w:pos="425"/>
        <w:tab w:val="left" w:pos="1680"/>
      </w:tabs>
      <w:spacing w:before="0" w:afterLines="50" w:line="360" w:lineRule="auto"/>
      <w:ind w:left="1680"/>
    </w:pPr>
    <w:rPr>
      <w:rFonts w:ascii="Times New Roman" w:hAnsi="宋体" w:eastAsia="宋体" w:cs="宋体"/>
      <w:kern w:val="0"/>
      <w:sz w:val="24"/>
      <w:szCs w:val="20"/>
    </w:rPr>
  </w:style>
  <w:style w:type="paragraph" w:customStyle="1" w:styleId="412">
    <w:name w:val="参考文献、索引标题"/>
    <w:basedOn w:val="413"/>
    <w:next w:val="1"/>
    <w:qFormat/>
    <w:uiPriority w:val="0"/>
    <w:pPr>
      <w:spacing w:after="200"/>
      <w:ind w:left="0" w:firstLine="0"/>
    </w:pPr>
    <w:rPr>
      <w:sz w:val="21"/>
    </w:rPr>
  </w:style>
  <w:style w:type="paragraph" w:customStyle="1" w:styleId="413">
    <w:name w:val="前言、引言标题"/>
    <w:next w:val="1"/>
    <w:qFormat/>
    <w:uiPriority w:val="0"/>
    <w:pPr>
      <w:shd w:val="clear" w:color="FFFFFF" w:fill="FFFFFF"/>
      <w:spacing w:before="640" w:after="560"/>
      <w:ind w:left="420" w:hanging="420"/>
      <w:jc w:val="center"/>
      <w:outlineLvl w:val="0"/>
    </w:pPr>
    <w:rPr>
      <w:rFonts w:ascii="黑体" w:hAnsi="宋体" w:eastAsia="黑体" w:cs="Times New Roman"/>
      <w:kern w:val="2"/>
      <w:sz w:val="32"/>
      <w:szCs w:val="24"/>
      <w:lang w:val="en-US" w:eastAsia="zh-CN" w:bidi="ar-SA"/>
    </w:rPr>
  </w:style>
  <w:style w:type="paragraph" w:customStyle="1" w:styleId="414">
    <w:name w:val="列项——"/>
    <w:qFormat/>
    <w:uiPriority w:val="0"/>
    <w:pPr>
      <w:widowControl w:val="0"/>
      <w:tabs>
        <w:tab w:val="left" w:pos="360"/>
      </w:tabs>
      <w:jc w:val="both"/>
    </w:pPr>
    <w:rPr>
      <w:rFonts w:ascii="宋体" w:hAnsi="宋体" w:eastAsia="宋体" w:cs="Times New Roman"/>
      <w:kern w:val="2"/>
      <w:sz w:val="21"/>
      <w:szCs w:val="24"/>
      <w:lang w:val="en-US" w:eastAsia="zh-CN" w:bidi="ar-SA"/>
    </w:rPr>
  </w:style>
  <w:style w:type="paragraph" w:customStyle="1" w:styleId="415">
    <w:name w:val="注："/>
    <w:next w:val="332"/>
    <w:qFormat/>
    <w:uiPriority w:val="0"/>
    <w:pPr>
      <w:widowControl w:val="0"/>
      <w:tabs>
        <w:tab w:val="left" w:pos="360"/>
      </w:tabs>
      <w:autoSpaceDE w:val="0"/>
      <w:autoSpaceDN w:val="0"/>
      <w:jc w:val="both"/>
    </w:pPr>
    <w:rPr>
      <w:rFonts w:ascii="宋体" w:hAnsi="宋体" w:eastAsia="宋体" w:cs="Times New Roman"/>
      <w:kern w:val="2"/>
      <w:sz w:val="18"/>
      <w:szCs w:val="24"/>
      <w:lang w:val="en-US" w:eastAsia="zh-CN" w:bidi="ar-SA"/>
    </w:rPr>
  </w:style>
  <w:style w:type="paragraph" w:customStyle="1" w:styleId="416">
    <w:name w:val="四级无标题条"/>
    <w:basedOn w:val="1"/>
    <w:qFormat/>
    <w:uiPriority w:val="0"/>
    <w:pPr>
      <w:spacing w:after="0" w:line="360" w:lineRule="auto"/>
    </w:pPr>
    <w:rPr>
      <w:rFonts w:ascii="宋体" w:hAnsi="宋体"/>
    </w:rPr>
  </w:style>
  <w:style w:type="paragraph" w:customStyle="1" w:styleId="417">
    <w:name w:val="封面标准文稿编辑信息"/>
    <w:qFormat/>
    <w:uiPriority w:val="0"/>
    <w:pPr>
      <w:spacing w:before="180" w:line="180" w:lineRule="exact"/>
      <w:jc w:val="center"/>
    </w:pPr>
    <w:rPr>
      <w:rFonts w:ascii="宋体" w:hAnsi="宋体" w:eastAsia="宋体" w:cs="Times New Roman"/>
      <w:kern w:val="2"/>
      <w:sz w:val="21"/>
      <w:szCs w:val="24"/>
      <w:lang w:val="en-US" w:eastAsia="zh-CN" w:bidi="ar-SA"/>
    </w:rPr>
  </w:style>
  <w:style w:type="paragraph" w:customStyle="1" w:styleId="418">
    <w:name w:val="封面一致性程度标识"/>
    <w:qFormat/>
    <w:uiPriority w:val="0"/>
    <w:pPr>
      <w:spacing w:before="440" w:line="400" w:lineRule="exact"/>
      <w:jc w:val="center"/>
    </w:pPr>
    <w:rPr>
      <w:rFonts w:ascii="宋体" w:hAnsi="宋体" w:eastAsia="宋体" w:cs="Times New Roman"/>
      <w:kern w:val="2"/>
      <w:sz w:val="28"/>
      <w:szCs w:val="24"/>
      <w:lang w:val="en-US" w:eastAsia="zh-CN" w:bidi="ar-SA"/>
    </w:rPr>
  </w:style>
  <w:style w:type="paragraph" w:customStyle="1" w:styleId="419">
    <w:name w:val="发布日期"/>
    <w:qFormat/>
    <w:uiPriority w:val="0"/>
    <w:rPr>
      <w:rFonts w:ascii="宋体" w:hAnsi="宋体" w:eastAsia="黑体" w:cs="Times New Roman"/>
      <w:kern w:val="2"/>
      <w:sz w:val="28"/>
      <w:szCs w:val="24"/>
      <w:lang w:val="en-US" w:eastAsia="zh-CN" w:bidi="ar-SA"/>
    </w:rPr>
  </w:style>
  <w:style w:type="paragraph" w:customStyle="1" w:styleId="420">
    <w:name w:val="Char1 Char Char Char Char Char Char Char Char1 Char Char"/>
    <w:basedOn w:val="1"/>
    <w:qFormat/>
    <w:uiPriority w:val="0"/>
    <w:pPr>
      <w:spacing w:after="0" w:line="360" w:lineRule="auto"/>
    </w:pPr>
    <w:rPr>
      <w:b/>
      <w:bCs/>
      <w:sz w:val="36"/>
      <w:szCs w:val="32"/>
    </w:rPr>
  </w:style>
  <w:style w:type="paragraph" w:customStyle="1" w:styleId="421">
    <w:name w:val="实施日期"/>
    <w:basedOn w:val="419"/>
    <w:qFormat/>
    <w:uiPriority w:val="0"/>
    <w:pPr>
      <w:jc w:val="right"/>
    </w:pPr>
  </w:style>
  <w:style w:type="paragraph" w:customStyle="1" w:styleId="422">
    <w:name w:val="文献分类号"/>
    <w:qFormat/>
    <w:uiPriority w:val="0"/>
    <w:pPr>
      <w:widowControl w:val="0"/>
      <w:textAlignment w:val="center"/>
    </w:pPr>
    <w:rPr>
      <w:rFonts w:ascii="宋体" w:hAnsi="宋体" w:eastAsia="黑体" w:cs="Times New Roman"/>
      <w:kern w:val="2"/>
      <w:sz w:val="21"/>
      <w:szCs w:val="24"/>
      <w:lang w:val="en-US" w:eastAsia="zh-CN" w:bidi="ar-SA"/>
    </w:rPr>
  </w:style>
  <w:style w:type="paragraph" w:customStyle="1" w:styleId="423">
    <w:name w:val="封面标准名称"/>
    <w:qFormat/>
    <w:uiPriority w:val="0"/>
    <w:pPr>
      <w:widowControl w:val="0"/>
      <w:spacing w:line="680" w:lineRule="exact"/>
      <w:jc w:val="center"/>
      <w:textAlignment w:val="center"/>
    </w:pPr>
    <w:rPr>
      <w:rFonts w:ascii="黑体" w:hAnsi="宋体" w:eastAsia="黑体" w:cs="Times New Roman"/>
      <w:kern w:val="2"/>
      <w:sz w:val="52"/>
      <w:szCs w:val="24"/>
      <w:lang w:val="en-US" w:eastAsia="zh-CN" w:bidi="ar-SA"/>
    </w:rPr>
  </w:style>
  <w:style w:type="paragraph" w:customStyle="1" w:styleId="424">
    <w:name w:val="封面标准英文名称"/>
    <w:qFormat/>
    <w:uiPriority w:val="0"/>
    <w:pPr>
      <w:widowControl w:val="0"/>
      <w:spacing w:before="370" w:line="400" w:lineRule="exact"/>
      <w:jc w:val="center"/>
    </w:pPr>
    <w:rPr>
      <w:rFonts w:ascii="宋体" w:hAnsi="宋体" w:eastAsia="宋体" w:cs="Times New Roman"/>
      <w:kern w:val="2"/>
      <w:sz w:val="28"/>
      <w:szCs w:val="24"/>
      <w:lang w:val="en-US" w:eastAsia="zh-CN" w:bidi="ar-SA"/>
    </w:rPr>
  </w:style>
  <w:style w:type="paragraph" w:customStyle="1" w:styleId="425">
    <w:name w:val="Proposals body"/>
    <w:basedOn w:val="1"/>
    <w:next w:val="1"/>
    <w:qFormat/>
    <w:uiPriority w:val="0"/>
    <w:pPr>
      <w:widowControl/>
      <w:spacing w:after="0" w:line="360" w:lineRule="auto"/>
      <w:jc w:val="left"/>
    </w:pPr>
    <w:rPr>
      <w:rFonts w:ascii="宋体" w:hAnsi="宋体"/>
      <w:snapToGrid w:val="0"/>
      <w:color w:val="000000"/>
      <w:kern w:val="0"/>
      <w:sz w:val="24"/>
      <w:szCs w:val="20"/>
    </w:rPr>
  </w:style>
  <w:style w:type="paragraph" w:customStyle="1" w:styleId="426">
    <w:name w:val="Char2"/>
    <w:basedOn w:val="1"/>
    <w:qFormat/>
    <w:uiPriority w:val="0"/>
    <w:pPr>
      <w:widowControl/>
      <w:spacing w:after="0" w:line="400" w:lineRule="exact"/>
      <w:jc w:val="center"/>
    </w:pPr>
    <w:rPr>
      <w:rFonts w:ascii="Verdana" w:hAnsi="Verdana" w:cs="Verdana"/>
      <w:kern w:val="0"/>
      <w:szCs w:val="21"/>
      <w:lang w:eastAsia="en-US"/>
    </w:rPr>
  </w:style>
  <w:style w:type="paragraph" w:customStyle="1" w:styleId="427">
    <w:name w:val="表文字"/>
    <w:basedOn w:val="14"/>
    <w:qFormat/>
    <w:uiPriority w:val="0"/>
    <w:pPr>
      <w:widowControl/>
      <w:overflowPunct w:val="0"/>
      <w:autoSpaceDE w:val="0"/>
      <w:autoSpaceDN w:val="0"/>
      <w:adjustRightInd w:val="0"/>
      <w:snapToGrid w:val="0"/>
      <w:spacing w:after="0" w:line="360" w:lineRule="auto"/>
      <w:ind w:firstLine="0"/>
    </w:pPr>
    <w:rPr>
      <w:rFonts w:ascii="宋体" w:hAnsi="宋体" w:eastAsia="幼圆"/>
      <w:snapToGrid w:val="0"/>
      <w:color w:val="000000"/>
      <w:kern w:val="28"/>
      <w:sz w:val="28"/>
    </w:rPr>
  </w:style>
  <w:style w:type="paragraph" w:customStyle="1" w:styleId="428">
    <w:name w:val="示例"/>
    <w:next w:val="332"/>
    <w:qFormat/>
    <w:uiPriority w:val="0"/>
    <w:pPr>
      <w:tabs>
        <w:tab w:val="left" w:pos="360"/>
      </w:tabs>
      <w:jc w:val="both"/>
    </w:pPr>
    <w:rPr>
      <w:rFonts w:ascii="宋体" w:hAnsi="宋体" w:eastAsia="宋体" w:cs="Times New Roman"/>
      <w:kern w:val="2"/>
      <w:sz w:val="18"/>
      <w:szCs w:val="24"/>
      <w:lang w:val="en-US" w:eastAsia="zh-CN" w:bidi="ar-SA"/>
    </w:rPr>
  </w:style>
  <w:style w:type="paragraph" w:customStyle="1" w:styleId="429">
    <w:name w:val="c封面发布日期"/>
    <w:basedOn w:val="1"/>
    <w:qFormat/>
    <w:uiPriority w:val="0"/>
    <w:pPr>
      <w:adjustRightInd w:val="0"/>
      <w:spacing w:after="0" w:line="360" w:lineRule="auto"/>
    </w:pPr>
    <w:rPr>
      <w:rFonts w:ascii="宋体" w:hAnsi="宋体" w:eastAsia="黑体"/>
      <w:kern w:val="0"/>
      <w:sz w:val="28"/>
      <w:szCs w:val="20"/>
    </w:rPr>
  </w:style>
  <w:style w:type="paragraph" w:customStyle="1" w:styleId="430">
    <w:name w:val="Char Char Char Char Char Char Char Char Char Char"/>
    <w:basedOn w:val="1"/>
    <w:qFormat/>
    <w:uiPriority w:val="0"/>
    <w:pPr>
      <w:adjustRightInd w:val="0"/>
      <w:spacing w:after="0" w:line="360" w:lineRule="auto"/>
    </w:pPr>
    <w:rPr>
      <w:rFonts w:ascii="宋体" w:hAnsi="宋体"/>
      <w:kern w:val="0"/>
      <w:sz w:val="24"/>
      <w:szCs w:val="20"/>
    </w:rPr>
  </w:style>
  <w:style w:type="paragraph" w:customStyle="1" w:styleId="431">
    <w:name w:val="Char2 Char Char Char Char Char Char Char Char Char Char Char Char"/>
    <w:basedOn w:val="1"/>
    <w:qFormat/>
    <w:uiPriority w:val="0"/>
    <w:pPr>
      <w:spacing w:after="0" w:line="360" w:lineRule="auto"/>
      <w:ind w:firstLine="200" w:firstLineChars="200"/>
    </w:pPr>
    <w:rPr>
      <w:rFonts w:ascii="Tahoma" w:hAnsi="Tahoma"/>
      <w:sz w:val="24"/>
    </w:rPr>
  </w:style>
  <w:style w:type="paragraph" w:customStyle="1" w:styleId="432">
    <w:name w:val="附录表标题"/>
    <w:next w:val="332"/>
    <w:qFormat/>
    <w:uiPriority w:val="0"/>
    <w:pPr>
      <w:jc w:val="center"/>
      <w:textAlignment w:val="baseline"/>
    </w:pPr>
    <w:rPr>
      <w:rFonts w:ascii="黑体" w:hAnsi="宋体" w:eastAsia="黑体" w:cs="Times New Roman"/>
      <w:kern w:val="21"/>
      <w:sz w:val="21"/>
      <w:szCs w:val="24"/>
      <w:lang w:val="en-US" w:eastAsia="zh-CN" w:bidi="ar-SA"/>
    </w:rPr>
  </w:style>
  <w:style w:type="paragraph" w:customStyle="1" w:styleId="433">
    <w:name w:val="Char Char 字元 字元 字元 Char Char Char Char"/>
    <w:basedOn w:val="1"/>
    <w:qFormat/>
    <w:uiPriority w:val="0"/>
    <w:pPr>
      <w:adjustRightInd w:val="0"/>
      <w:spacing w:after="0" w:line="360" w:lineRule="auto"/>
    </w:pPr>
    <w:rPr>
      <w:rFonts w:ascii="宋体" w:hAnsi="宋体"/>
      <w:kern w:val="0"/>
      <w:sz w:val="20"/>
      <w:szCs w:val="20"/>
    </w:rPr>
  </w:style>
  <w:style w:type="paragraph" w:customStyle="1" w:styleId="434">
    <w:name w:val="附录标识"/>
    <w:basedOn w:val="413"/>
    <w:qFormat/>
    <w:uiPriority w:val="0"/>
    <w:pPr>
      <w:tabs>
        <w:tab w:val="left" w:pos="360"/>
        <w:tab w:val="left" w:pos="6405"/>
      </w:tabs>
      <w:spacing w:after="200"/>
      <w:ind w:left="0" w:firstLine="0"/>
    </w:pPr>
    <w:rPr>
      <w:sz w:val="21"/>
    </w:rPr>
  </w:style>
  <w:style w:type="paragraph" w:customStyle="1" w:styleId="435">
    <w:name w:val="目次、索引正文"/>
    <w:qFormat/>
    <w:uiPriority w:val="0"/>
    <w:pPr>
      <w:spacing w:line="320" w:lineRule="exact"/>
      <w:jc w:val="both"/>
    </w:pPr>
    <w:rPr>
      <w:rFonts w:ascii="宋体" w:hAnsi="宋体" w:eastAsia="宋体" w:cs="Times New Roman"/>
      <w:kern w:val="2"/>
      <w:sz w:val="21"/>
      <w:szCs w:val="24"/>
      <w:lang w:val="en-US" w:eastAsia="zh-CN" w:bidi="ar-SA"/>
    </w:rPr>
  </w:style>
  <w:style w:type="paragraph" w:customStyle="1" w:styleId="436">
    <w:name w:val="标准书脚_奇数页"/>
    <w:qFormat/>
    <w:uiPriority w:val="0"/>
    <w:pPr>
      <w:spacing w:before="120"/>
      <w:jc w:val="right"/>
    </w:pPr>
    <w:rPr>
      <w:rFonts w:ascii="宋体" w:hAnsi="宋体" w:eastAsia="宋体" w:cs="Times New Roman"/>
      <w:kern w:val="2"/>
      <w:sz w:val="18"/>
      <w:szCs w:val="24"/>
      <w:lang w:val="en-US" w:eastAsia="zh-CN" w:bidi="ar-SA"/>
    </w:rPr>
  </w:style>
  <w:style w:type="paragraph" w:customStyle="1" w:styleId="437">
    <w:name w:val="标准书眉一"/>
    <w:qFormat/>
    <w:uiPriority w:val="0"/>
    <w:pPr>
      <w:jc w:val="both"/>
    </w:pPr>
    <w:rPr>
      <w:rFonts w:ascii="宋体" w:hAnsi="宋体" w:eastAsia="宋体" w:cs="Times New Roman"/>
      <w:kern w:val="2"/>
      <w:sz w:val="24"/>
      <w:szCs w:val="24"/>
      <w:lang w:val="en-US" w:eastAsia="zh-CN" w:bidi="ar-SA"/>
    </w:rPr>
  </w:style>
  <w:style w:type="paragraph" w:customStyle="1" w:styleId="438">
    <w:name w:val="其他发布部门"/>
    <w:basedOn w:val="439"/>
    <w:qFormat/>
    <w:uiPriority w:val="0"/>
    <w:pPr>
      <w:spacing w:line="0" w:lineRule="atLeast"/>
    </w:pPr>
    <w:rPr>
      <w:rFonts w:ascii="黑体" w:eastAsia="黑体"/>
      <w:b w:val="0"/>
    </w:rPr>
  </w:style>
  <w:style w:type="paragraph" w:customStyle="1" w:styleId="439">
    <w:name w:val="发布部门"/>
    <w:next w:val="332"/>
    <w:qFormat/>
    <w:uiPriority w:val="0"/>
    <w:pPr>
      <w:jc w:val="center"/>
    </w:pPr>
    <w:rPr>
      <w:rFonts w:ascii="宋体" w:hAnsi="宋体" w:eastAsia="宋体" w:cs="Times New Roman"/>
      <w:b/>
      <w:spacing w:val="20"/>
      <w:w w:val="135"/>
      <w:kern w:val="2"/>
      <w:sz w:val="36"/>
      <w:szCs w:val="24"/>
      <w:lang w:val="en-US" w:eastAsia="zh-CN" w:bidi="ar-SA"/>
    </w:rPr>
  </w:style>
  <w:style w:type="paragraph" w:customStyle="1" w:styleId="440">
    <w:name w:val="附录性质"/>
    <w:basedOn w:val="1"/>
    <w:qFormat/>
    <w:uiPriority w:val="0"/>
    <w:pPr>
      <w:spacing w:after="0" w:line="360" w:lineRule="auto"/>
      <w:jc w:val="center"/>
    </w:pPr>
    <w:rPr>
      <w:rFonts w:ascii="黑体" w:hAnsi="宋体" w:eastAsia="黑体"/>
    </w:rPr>
  </w:style>
  <w:style w:type="paragraph" w:customStyle="1" w:styleId="441">
    <w:name w:val="条文脚注"/>
    <w:basedOn w:val="40"/>
    <w:qFormat/>
    <w:uiPriority w:val="0"/>
    <w:pPr>
      <w:spacing w:after="0" w:line="360" w:lineRule="auto"/>
      <w:ind w:left="780" w:leftChars="200" w:hanging="360" w:hangingChars="200"/>
      <w:jc w:val="both"/>
    </w:pPr>
    <w:rPr>
      <w:rFonts w:hint="default" w:ascii="宋体" w:hAnsi="宋体"/>
      <w:kern w:val="0"/>
      <w:szCs w:val="18"/>
    </w:rPr>
  </w:style>
  <w:style w:type="paragraph" w:customStyle="1" w:styleId="442">
    <w:name w:val="五级无标题条"/>
    <w:basedOn w:val="1"/>
    <w:qFormat/>
    <w:uiPriority w:val="0"/>
    <w:pPr>
      <w:spacing w:after="0" w:line="360" w:lineRule="auto"/>
    </w:pPr>
    <w:rPr>
      <w:rFonts w:ascii="宋体" w:hAnsi="宋体"/>
    </w:rPr>
  </w:style>
  <w:style w:type="paragraph" w:customStyle="1" w:styleId="443">
    <w:name w:val="Note Heading2"/>
    <w:basedOn w:val="1"/>
    <w:next w:val="1"/>
    <w:qFormat/>
    <w:uiPriority w:val="0"/>
    <w:pPr>
      <w:spacing w:after="0" w:line="360" w:lineRule="auto"/>
      <w:jc w:val="center"/>
    </w:pPr>
    <w:rPr>
      <w:rFonts w:ascii="DFKai-SB" w:hAnsi="DFKai-SB" w:eastAsia="DFKai-SB"/>
      <w:sz w:val="20"/>
      <w:szCs w:val="20"/>
    </w:rPr>
  </w:style>
  <w:style w:type="paragraph" w:customStyle="1" w:styleId="444">
    <w:name w:val="目次、标准名称标题"/>
    <w:basedOn w:val="413"/>
    <w:next w:val="1"/>
    <w:qFormat/>
    <w:uiPriority w:val="0"/>
    <w:pPr>
      <w:spacing w:line="460" w:lineRule="exact"/>
      <w:ind w:left="0" w:firstLine="0"/>
    </w:pPr>
  </w:style>
  <w:style w:type="paragraph" w:customStyle="1" w:styleId="445">
    <w:name w:val="无标题条"/>
    <w:next w:val="332"/>
    <w:qFormat/>
    <w:uiPriority w:val="0"/>
    <w:pPr>
      <w:jc w:val="both"/>
    </w:pPr>
    <w:rPr>
      <w:rFonts w:ascii="宋体" w:hAnsi="宋体" w:eastAsia="宋体" w:cs="Times New Roman"/>
      <w:kern w:val="2"/>
      <w:sz w:val="21"/>
      <w:szCs w:val="24"/>
      <w:lang w:val="en-US" w:eastAsia="zh-CN" w:bidi="ar-SA"/>
    </w:rPr>
  </w:style>
  <w:style w:type="paragraph" w:customStyle="1" w:styleId="446">
    <w:name w:val="三级无标题条"/>
    <w:basedOn w:val="1"/>
    <w:qFormat/>
    <w:uiPriority w:val="0"/>
    <w:pPr>
      <w:spacing w:after="0" w:line="360" w:lineRule="auto"/>
    </w:pPr>
    <w:rPr>
      <w:rFonts w:ascii="宋体" w:hAnsi="宋体"/>
    </w:rPr>
  </w:style>
  <w:style w:type="paragraph" w:customStyle="1" w:styleId="447">
    <w:name w:val="正文图标题"/>
    <w:next w:val="332"/>
    <w:qFormat/>
    <w:uiPriority w:val="0"/>
    <w:pPr>
      <w:tabs>
        <w:tab w:val="left" w:pos="360"/>
      </w:tabs>
      <w:jc w:val="center"/>
    </w:pPr>
    <w:rPr>
      <w:rFonts w:ascii="黑体" w:hAnsi="宋体" w:eastAsia="黑体" w:cs="Times New Roman"/>
      <w:kern w:val="2"/>
      <w:sz w:val="21"/>
      <w:szCs w:val="24"/>
      <w:lang w:val="en-US" w:eastAsia="zh-CN" w:bidi="ar-SA"/>
    </w:rPr>
  </w:style>
  <w:style w:type="paragraph" w:customStyle="1" w:styleId="448">
    <w:name w:val="Char3"/>
    <w:basedOn w:val="1"/>
    <w:qFormat/>
    <w:uiPriority w:val="0"/>
    <w:pPr>
      <w:spacing w:after="0" w:line="360" w:lineRule="auto"/>
    </w:pPr>
    <w:rPr>
      <w:rFonts w:ascii="Tahoma" w:hAnsi="Tahoma"/>
      <w:sz w:val="24"/>
      <w:szCs w:val="20"/>
    </w:rPr>
  </w:style>
  <w:style w:type="paragraph" w:customStyle="1" w:styleId="449">
    <w:name w:val="标准称谓"/>
    <w:next w:val="1"/>
    <w:qFormat/>
    <w:uiPriority w:val="0"/>
    <w:pPr>
      <w:widowControl w:val="0"/>
      <w:kinsoku w:val="0"/>
      <w:overflowPunct w:val="0"/>
      <w:autoSpaceDE w:val="0"/>
      <w:autoSpaceDN w:val="0"/>
      <w:spacing w:line="0" w:lineRule="atLeast"/>
      <w:jc w:val="distribute"/>
    </w:pPr>
    <w:rPr>
      <w:rFonts w:ascii="宋体" w:hAnsi="宋体" w:eastAsia="宋体" w:cs="Times New Roman"/>
      <w:b/>
      <w:bCs/>
      <w:spacing w:val="20"/>
      <w:w w:val="148"/>
      <w:kern w:val="2"/>
      <w:sz w:val="52"/>
      <w:szCs w:val="24"/>
      <w:lang w:val="en-US" w:eastAsia="zh-CN" w:bidi="ar-SA"/>
    </w:rPr>
  </w:style>
  <w:style w:type="paragraph" w:customStyle="1" w:styleId="450">
    <w:name w:val="哈哈正文"/>
    <w:basedOn w:val="1"/>
    <w:qFormat/>
    <w:uiPriority w:val="0"/>
    <w:pPr>
      <w:spacing w:after="0" w:line="360" w:lineRule="auto"/>
      <w:ind w:firstLine="200" w:firstLineChars="200"/>
    </w:pPr>
    <w:rPr>
      <w:rFonts w:ascii="宋体" w:hAnsi="宋体" w:cs="宋体"/>
      <w:sz w:val="24"/>
    </w:rPr>
  </w:style>
  <w:style w:type="paragraph" w:customStyle="1" w:styleId="451">
    <w:name w:val="标3"/>
    <w:basedOn w:val="1"/>
    <w:qFormat/>
    <w:uiPriority w:val="0"/>
    <w:pPr>
      <w:tabs>
        <w:tab w:val="left" w:pos="1740"/>
      </w:tabs>
      <w:adjustRightInd w:val="0"/>
      <w:snapToGrid w:val="0"/>
      <w:spacing w:before="50" w:after="0" w:line="360" w:lineRule="auto"/>
      <w:ind w:left="1740" w:hanging="420"/>
      <w:outlineLvl w:val="2"/>
    </w:pPr>
    <w:rPr>
      <w:rFonts w:ascii="Arial Narrow" w:hAnsi="Arial Narrow" w:eastAsia="仿宋_GB2312"/>
      <w:sz w:val="28"/>
      <w:szCs w:val="20"/>
    </w:rPr>
  </w:style>
  <w:style w:type="paragraph" w:customStyle="1" w:styleId="452">
    <w:name w:val="Char Char6 Char Char"/>
    <w:basedOn w:val="1"/>
    <w:qFormat/>
    <w:uiPriority w:val="0"/>
    <w:pPr>
      <w:tabs>
        <w:tab w:val="right" w:pos="-2120"/>
      </w:tabs>
      <w:snapToGrid w:val="0"/>
      <w:spacing w:after="0" w:line="360" w:lineRule="auto"/>
    </w:pPr>
    <w:rPr>
      <w:rFonts w:ascii="Tahoma" w:hAnsi="Tahoma"/>
      <w:spacing w:val="6"/>
      <w:sz w:val="24"/>
      <w:szCs w:val="20"/>
    </w:rPr>
  </w:style>
  <w:style w:type="paragraph" w:customStyle="1" w:styleId="453">
    <w:name w:val="封面标准文稿类别"/>
    <w:qFormat/>
    <w:uiPriority w:val="0"/>
    <w:pPr>
      <w:spacing w:before="440" w:line="400" w:lineRule="exact"/>
      <w:jc w:val="center"/>
    </w:pPr>
    <w:rPr>
      <w:rFonts w:ascii="宋体" w:hAnsi="宋体" w:eastAsia="宋体" w:cs="Times New Roman"/>
      <w:kern w:val="2"/>
      <w:sz w:val="24"/>
      <w:szCs w:val="24"/>
      <w:lang w:val="en-US" w:eastAsia="zh-CN" w:bidi="ar-SA"/>
    </w:rPr>
  </w:style>
  <w:style w:type="paragraph" w:customStyle="1" w:styleId="454">
    <w:name w:val="Char1 Char Char Char Char Char Char Char Char1 Char Char1"/>
    <w:basedOn w:val="1"/>
    <w:qFormat/>
    <w:uiPriority w:val="0"/>
    <w:pPr>
      <w:spacing w:after="0" w:line="360" w:lineRule="auto"/>
    </w:pPr>
    <w:rPr>
      <w:b/>
      <w:bCs/>
      <w:sz w:val="36"/>
      <w:szCs w:val="32"/>
    </w:rPr>
  </w:style>
  <w:style w:type="paragraph" w:customStyle="1" w:styleId="455">
    <w:name w:val="标准标志"/>
    <w:next w:val="1"/>
    <w:qFormat/>
    <w:uiPriority w:val="0"/>
    <w:pPr>
      <w:shd w:val="solid" w:color="FFFFFF" w:fill="FFFFFF"/>
      <w:spacing w:line="0" w:lineRule="atLeast"/>
      <w:jc w:val="right"/>
    </w:pPr>
    <w:rPr>
      <w:rFonts w:ascii="宋体" w:hAnsi="宋体" w:eastAsia="宋体" w:cs="Times New Roman"/>
      <w:b/>
      <w:w w:val="130"/>
      <w:kern w:val="2"/>
      <w:sz w:val="96"/>
      <w:szCs w:val="24"/>
      <w:lang w:val="en-US" w:eastAsia="zh-CN" w:bidi="ar-SA"/>
    </w:rPr>
  </w:style>
  <w:style w:type="paragraph" w:customStyle="1" w:styleId="456">
    <w:name w:val="Char Char Char Char Char Char Char Char Char Char Char Char"/>
    <w:basedOn w:val="1"/>
    <w:qFormat/>
    <w:uiPriority w:val="0"/>
    <w:pPr>
      <w:spacing w:after="0" w:line="360" w:lineRule="auto"/>
    </w:pPr>
    <w:rPr>
      <w:rFonts w:ascii="宋体" w:hAnsi="宋体"/>
      <w:szCs w:val="20"/>
    </w:rPr>
  </w:style>
  <w:style w:type="paragraph" w:customStyle="1" w:styleId="457">
    <w:name w:val="List Paragraph1"/>
    <w:basedOn w:val="1"/>
    <w:qFormat/>
    <w:uiPriority w:val="0"/>
    <w:pPr>
      <w:spacing w:after="0" w:line="360" w:lineRule="auto"/>
      <w:ind w:firstLine="420" w:firstLineChars="200"/>
    </w:pPr>
    <w:rPr>
      <w:rFonts w:ascii="Calibri" w:hAnsi="Calibri"/>
      <w:szCs w:val="21"/>
    </w:rPr>
  </w:style>
  <w:style w:type="paragraph" w:customStyle="1" w:styleId="458">
    <w:name w:val="附录图标题"/>
    <w:next w:val="332"/>
    <w:qFormat/>
    <w:uiPriority w:val="0"/>
    <w:pPr>
      <w:jc w:val="center"/>
    </w:pPr>
    <w:rPr>
      <w:rFonts w:ascii="黑体" w:hAnsi="宋体" w:eastAsia="黑体" w:cs="Times New Roman"/>
      <w:kern w:val="2"/>
      <w:sz w:val="21"/>
      <w:szCs w:val="24"/>
      <w:lang w:val="en-US" w:eastAsia="zh-CN" w:bidi="ar-SA"/>
    </w:rPr>
  </w:style>
  <w:style w:type="paragraph" w:customStyle="1" w:styleId="459">
    <w:name w:val="标准书脚_偶数页"/>
    <w:qFormat/>
    <w:uiPriority w:val="0"/>
    <w:pPr>
      <w:spacing w:before="120"/>
    </w:pPr>
    <w:rPr>
      <w:rFonts w:ascii="宋体" w:hAnsi="宋体" w:eastAsia="宋体" w:cs="Times New Roman"/>
      <w:kern w:val="2"/>
      <w:sz w:val="18"/>
      <w:szCs w:val="24"/>
      <w:lang w:val="en-US" w:eastAsia="zh-CN" w:bidi="ar-SA"/>
    </w:rPr>
  </w:style>
  <w:style w:type="paragraph" w:customStyle="1" w:styleId="460">
    <w:name w:val="封面标准号1"/>
    <w:qFormat/>
    <w:uiPriority w:val="0"/>
    <w:pPr>
      <w:widowControl w:val="0"/>
      <w:kinsoku w:val="0"/>
      <w:overflowPunct w:val="0"/>
      <w:autoSpaceDE w:val="0"/>
      <w:autoSpaceDN w:val="0"/>
      <w:spacing w:before="308"/>
      <w:jc w:val="right"/>
      <w:textAlignment w:val="center"/>
    </w:pPr>
    <w:rPr>
      <w:rFonts w:ascii="宋体" w:hAnsi="宋体" w:eastAsia="宋体" w:cs="Times New Roman"/>
      <w:kern w:val="2"/>
      <w:sz w:val="28"/>
      <w:szCs w:val="24"/>
      <w:lang w:val="en-US" w:eastAsia="zh-CN" w:bidi="ar-SA"/>
    </w:rPr>
  </w:style>
  <w:style w:type="paragraph" w:customStyle="1" w:styleId="461">
    <w:name w:val="默认段落字体 Para Char Char Char Char Char Char Char"/>
    <w:basedOn w:val="1"/>
    <w:qFormat/>
    <w:uiPriority w:val="0"/>
    <w:pPr>
      <w:spacing w:after="0" w:line="360" w:lineRule="auto"/>
      <w:ind w:firstLine="200" w:firstLineChars="200"/>
    </w:pPr>
    <w:rPr>
      <w:rFonts w:ascii="Tahoma" w:hAnsi="Tahoma"/>
      <w:sz w:val="24"/>
    </w:rPr>
  </w:style>
  <w:style w:type="paragraph" w:customStyle="1" w:styleId="462">
    <w:name w:val="封面标准号2"/>
    <w:basedOn w:val="460"/>
    <w:qFormat/>
    <w:uiPriority w:val="0"/>
    <w:pPr>
      <w:adjustRightInd w:val="0"/>
      <w:spacing w:before="357" w:line="280" w:lineRule="exact"/>
    </w:pPr>
  </w:style>
  <w:style w:type="paragraph" w:customStyle="1" w:styleId="463">
    <w:name w:val="封面标准代替信息"/>
    <w:basedOn w:val="462"/>
    <w:qFormat/>
    <w:uiPriority w:val="0"/>
    <w:pPr>
      <w:spacing w:before="57"/>
    </w:pPr>
    <w:rPr>
      <w:sz w:val="21"/>
    </w:rPr>
  </w:style>
  <w:style w:type="paragraph" w:customStyle="1" w:styleId="464">
    <w:name w:val="MY括弧编号"/>
    <w:basedOn w:val="1"/>
    <w:link w:val="465"/>
    <w:qFormat/>
    <w:uiPriority w:val="0"/>
    <w:pPr>
      <w:spacing w:after="0" w:line="360" w:lineRule="auto"/>
    </w:pPr>
    <w:rPr>
      <w:rFonts w:ascii="Arial" w:hAnsi="Arial"/>
      <w:szCs w:val="21"/>
    </w:rPr>
  </w:style>
  <w:style w:type="character" w:customStyle="1" w:styleId="465">
    <w:name w:val="MY括弧编号 Char"/>
    <w:link w:val="464"/>
    <w:qFormat/>
    <w:uiPriority w:val="0"/>
    <w:rPr>
      <w:rFonts w:ascii="Arial" w:hAnsi="Arial"/>
      <w:kern w:val="2"/>
      <w:sz w:val="21"/>
      <w:szCs w:val="21"/>
    </w:rPr>
  </w:style>
  <w:style w:type="paragraph" w:customStyle="1" w:styleId="466">
    <w:name w:val="MY段内正文"/>
    <w:basedOn w:val="1"/>
    <w:link w:val="467"/>
    <w:qFormat/>
    <w:uiPriority w:val="0"/>
    <w:pPr>
      <w:spacing w:after="0" w:line="360" w:lineRule="auto"/>
      <w:ind w:left="283" w:leftChars="135" w:firstLine="424" w:firstLineChars="202"/>
    </w:pPr>
    <w:rPr>
      <w:rFonts w:ascii="Arial" w:hAnsi="Arial"/>
      <w:szCs w:val="21"/>
    </w:rPr>
  </w:style>
  <w:style w:type="character" w:customStyle="1" w:styleId="467">
    <w:name w:val="MY段内正文 Char"/>
    <w:link w:val="466"/>
    <w:qFormat/>
    <w:uiPriority w:val="0"/>
    <w:rPr>
      <w:rFonts w:ascii="Arial" w:hAnsi="Arial"/>
      <w:kern w:val="2"/>
      <w:sz w:val="21"/>
      <w:szCs w:val="21"/>
    </w:rPr>
  </w:style>
  <w:style w:type="paragraph" w:customStyle="1" w:styleId="468">
    <w:name w:val="3.(1)in"/>
    <w:basedOn w:val="1"/>
    <w:link w:val="469"/>
    <w:qFormat/>
    <w:uiPriority w:val="0"/>
    <w:pPr>
      <w:adjustRightInd w:val="0"/>
      <w:snapToGrid w:val="0"/>
      <w:spacing w:beforeLines="20" w:afterLines="20" w:line="300" w:lineRule="auto"/>
      <w:ind w:left="1695"/>
      <w:jc w:val="left"/>
    </w:pPr>
    <w:rPr>
      <w:rFonts w:ascii="Calibri" w:hAnsi="Calibri" w:eastAsia="DFKai-SB"/>
      <w:sz w:val="28"/>
      <w:szCs w:val="28"/>
      <w:lang w:eastAsia="zh-TW"/>
    </w:rPr>
  </w:style>
  <w:style w:type="character" w:customStyle="1" w:styleId="469">
    <w:name w:val="3.(1)in 字元"/>
    <w:link w:val="468"/>
    <w:qFormat/>
    <w:uiPriority w:val="0"/>
    <w:rPr>
      <w:rFonts w:ascii="Calibri" w:hAnsi="Calibri" w:eastAsia="DFKai-SB"/>
      <w:kern w:val="2"/>
      <w:sz w:val="28"/>
      <w:szCs w:val="28"/>
      <w:lang w:eastAsia="zh-TW"/>
    </w:rPr>
  </w:style>
  <w:style w:type="paragraph" w:customStyle="1" w:styleId="470">
    <w:name w:val="3.(a)in"/>
    <w:basedOn w:val="1"/>
    <w:qFormat/>
    <w:uiPriority w:val="0"/>
    <w:pPr>
      <w:adjustRightInd w:val="0"/>
      <w:snapToGrid w:val="0"/>
      <w:spacing w:beforeLines="20" w:afterLines="20" w:line="300" w:lineRule="auto"/>
      <w:ind w:left="2172"/>
      <w:jc w:val="left"/>
    </w:pPr>
    <w:rPr>
      <w:rFonts w:eastAsia="DFKai-SB"/>
      <w:sz w:val="28"/>
      <w:szCs w:val="28"/>
      <w:lang w:eastAsia="zh-TW"/>
    </w:rPr>
  </w:style>
  <w:style w:type="paragraph" w:customStyle="1" w:styleId="471">
    <w:name w:val="正文黑点编号"/>
    <w:basedOn w:val="1"/>
    <w:qFormat/>
    <w:uiPriority w:val="0"/>
    <w:pPr>
      <w:numPr>
        <w:ilvl w:val="1"/>
        <w:numId w:val="9"/>
      </w:numPr>
      <w:spacing w:after="0" w:line="360" w:lineRule="auto"/>
      <w:ind w:left="257" w:leftChars="257" w:hanging="300"/>
    </w:pPr>
    <w:rPr>
      <w:rFonts w:ascii="Arial" w:hAnsi="Arial"/>
      <w:szCs w:val="21"/>
    </w:rPr>
  </w:style>
  <w:style w:type="paragraph" w:customStyle="1" w:styleId="472">
    <w:name w:val="MY一项目"/>
    <w:basedOn w:val="471"/>
    <w:link w:val="473"/>
    <w:qFormat/>
    <w:uiPriority w:val="0"/>
    <w:pPr>
      <w:numPr>
        <w:ilvl w:val="0"/>
      </w:numPr>
    </w:pPr>
  </w:style>
  <w:style w:type="character" w:customStyle="1" w:styleId="473">
    <w:name w:val="MY一项目 Char"/>
    <w:link w:val="472"/>
    <w:qFormat/>
    <w:uiPriority w:val="0"/>
    <w:rPr>
      <w:rFonts w:ascii="Arial" w:hAnsi="Arial"/>
      <w:kern w:val="2"/>
      <w:sz w:val="21"/>
      <w:szCs w:val="21"/>
    </w:rPr>
  </w:style>
  <w:style w:type="paragraph" w:customStyle="1" w:styleId="474">
    <w:name w:val="MY段首正文"/>
    <w:basedOn w:val="1"/>
    <w:link w:val="475"/>
    <w:qFormat/>
    <w:uiPriority w:val="0"/>
    <w:pPr>
      <w:spacing w:after="0" w:line="360" w:lineRule="auto"/>
      <w:ind w:firstLine="420" w:firstLineChars="200"/>
    </w:pPr>
    <w:rPr>
      <w:rFonts w:ascii="Calibri" w:hAnsi="Calibri"/>
    </w:rPr>
  </w:style>
  <w:style w:type="character" w:customStyle="1" w:styleId="475">
    <w:name w:val="MY段首正文 Char"/>
    <w:link w:val="474"/>
    <w:qFormat/>
    <w:uiPriority w:val="0"/>
    <w:rPr>
      <w:rFonts w:ascii="Calibri" w:hAnsi="Calibri"/>
      <w:kern w:val="2"/>
      <w:sz w:val="21"/>
      <w:szCs w:val="24"/>
    </w:rPr>
  </w:style>
  <w:style w:type="paragraph" w:customStyle="1" w:styleId="476">
    <w:name w:val="4.a."/>
    <w:basedOn w:val="1"/>
    <w:qFormat/>
    <w:uiPriority w:val="0"/>
    <w:pPr>
      <w:adjustRightInd w:val="0"/>
      <w:snapToGrid w:val="0"/>
      <w:spacing w:beforeLines="20" w:afterLines="20" w:line="300" w:lineRule="auto"/>
      <w:ind w:left="2898" w:leftChars="1114" w:hanging="224" w:hangingChars="80"/>
      <w:jc w:val="left"/>
    </w:pPr>
    <w:rPr>
      <w:rFonts w:eastAsia="DFKai-SB"/>
      <w:sz w:val="28"/>
      <w:szCs w:val="28"/>
      <w:lang w:eastAsia="zh-TW"/>
    </w:rPr>
  </w:style>
  <w:style w:type="paragraph" w:customStyle="1" w:styleId="477">
    <w:name w:val="4.(1)"/>
    <w:basedOn w:val="1"/>
    <w:link w:val="478"/>
    <w:qFormat/>
    <w:uiPriority w:val="0"/>
    <w:pPr>
      <w:adjustRightInd w:val="0"/>
      <w:snapToGrid w:val="0"/>
      <w:spacing w:beforeLines="20" w:afterLines="20" w:line="300" w:lineRule="auto"/>
      <w:ind w:left="2631" w:leftChars="962" w:hanging="322" w:hangingChars="115"/>
      <w:jc w:val="left"/>
    </w:pPr>
    <w:rPr>
      <w:rFonts w:ascii="Calibri" w:hAnsi="Calibri" w:eastAsia="DFKai-SB"/>
      <w:sz w:val="28"/>
      <w:szCs w:val="28"/>
      <w:lang w:eastAsia="zh-TW"/>
    </w:rPr>
  </w:style>
  <w:style w:type="character" w:customStyle="1" w:styleId="478">
    <w:name w:val="4.(1) 字元"/>
    <w:link w:val="477"/>
    <w:qFormat/>
    <w:uiPriority w:val="0"/>
    <w:rPr>
      <w:rFonts w:ascii="Calibri" w:hAnsi="Calibri" w:eastAsia="DFKai-SB"/>
      <w:kern w:val="2"/>
      <w:sz w:val="28"/>
      <w:szCs w:val="28"/>
      <w:lang w:eastAsia="zh-TW"/>
    </w:rPr>
  </w:style>
  <w:style w:type="paragraph" w:customStyle="1" w:styleId="479">
    <w:name w:val="4.(1)in"/>
    <w:basedOn w:val="1"/>
    <w:link w:val="480"/>
    <w:qFormat/>
    <w:uiPriority w:val="0"/>
    <w:pPr>
      <w:adjustRightInd w:val="0"/>
      <w:snapToGrid w:val="0"/>
      <w:spacing w:beforeLines="20" w:afterLines="20" w:line="300" w:lineRule="auto"/>
      <w:ind w:left="2660"/>
      <w:jc w:val="left"/>
    </w:pPr>
    <w:rPr>
      <w:rFonts w:ascii="Calibri" w:hAnsi="Calibri" w:eastAsia="DFKai-SB"/>
      <w:sz w:val="28"/>
      <w:szCs w:val="20"/>
      <w:lang w:eastAsia="zh-TW"/>
    </w:rPr>
  </w:style>
  <w:style w:type="character" w:customStyle="1" w:styleId="480">
    <w:name w:val="4.(1)in 字元"/>
    <w:link w:val="479"/>
    <w:qFormat/>
    <w:uiPriority w:val="0"/>
    <w:rPr>
      <w:rFonts w:ascii="Calibri" w:hAnsi="Calibri" w:eastAsia="DFKai-SB"/>
      <w:kern w:val="2"/>
      <w:sz w:val="28"/>
      <w:lang w:eastAsia="zh-TW"/>
    </w:rPr>
  </w:style>
  <w:style w:type="paragraph" w:customStyle="1" w:styleId="481">
    <w:name w:val="4.in"/>
    <w:basedOn w:val="1"/>
    <w:qFormat/>
    <w:uiPriority w:val="0"/>
    <w:pPr>
      <w:adjustRightInd w:val="0"/>
      <w:snapToGrid w:val="0"/>
      <w:spacing w:beforeLines="20" w:afterLines="20" w:line="300" w:lineRule="auto"/>
      <w:ind w:left="2366"/>
      <w:jc w:val="left"/>
    </w:pPr>
    <w:rPr>
      <w:rFonts w:eastAsia="DFKai-SB"/>
      <w:sz w:val="28"/>
      <w:szCs w:val="28"/>
      <w:lang w:eastAsia="zh-TW"/>
    </w:rPr>
  </w:style>
  <w:style w:type="paragraph" w:customStyle="1" w:styleId="482">
    <w:name w:val="4.(a)"/>
    <w:basedOn w:val="1"/>
    <w:qFormat/>
    <w:uiPriority w:val="0"/>
    <w:pPr>
      <w:adjustRightInd w:val="0"/>
      <w:snapToGrid w:val="0"/>
      <w:spacing w:beforeLines="20" w:afterLines="20" w:line="300" w:lineRule="auto"/>
      <w:ind w:left="3162" w:leftChars="1201" w:hanging="280" w:hangingChars="100"/>
      <w:jc w:val="left"/>
    </w:pPr>
    <w:rPr>
      <w:rFonts w:ascii="Calibri" w:hAnsi="Calibri" w:eastAsia="DFKai-SB"/>
      <w:kern w:val="0"/>
      <w:sz w:val="28"/>
      <w:szCs w:val="28"/>
      <w:lang w:eastAsia="zh-TW"/>
    </w:rPr>
  </w:style>
  <w:style w:type="paragraph" w:customStyle="1" w:styleId="483">
    <w:name w:val="2(1)in"/>
    <w:basedOn w:val="1"/>
    <w:link w:val="484"/>
    <w:qFormat/>
    <w:uiPriority w:val="0"/>
    <w:pPr>
      <w:snapToGrid w:val="0"/>
      <w:spacing w:beforeLines="20" w:afterLines="20" w:line="300" w:lineRule="auto"/>
      <w:ind w:left="330" w:leftChars="330"/>
    </w:pPr>
    <w:rPr>
      <w:rFonts w:ascii="Calibri" w:hAnsi="Calibri" w:eastAsia="PMingLiU"/>
      <w:sz w:val="24"/>
      <w:lang w:eastAsia="zh-TW"/>
    </w:rPr>
  </w:style>
  <w:style w:type="character" w:customStyle="1" w:styleId="484">
    <w:name w:val="2(1)in 字元"/>
    <w:link w:val="483"/>
    <w:qFormat/>
    <w:uiPriority w:val="0"/>
    <w:rPr>
      <w:rFonts w:ascii="Calibri" w:hAnsi="Calibri" w:eastAsia="PMingLiU"/>
      <w:kern w:val="2"/>
      <w:sz w:val="24"/>
      <w:szCs w:val="24"/>
      <w:lang w:eastAsia="zh-TW"/>
    </w:rPr>
  </w:style>
  <w:style w:type="paragraph" w:customStyle="1" w:styleId="485">
    <w:name w:val="2(1)"/>
    <w:basedOn w:val="1"/>
    <w:qFormat/>
    <w:uiPriority w:val="0"/>
    <w:pPr>
      <w:snapToGrid w:val="0"/>
      <w:spacing w:beforeLines="20" w:afterLines="20" w:line="300" w:lineRule="auto"/>
      <w:ind w:left="340" w:leftChars="220" w:hanging="120" w:hangingChars="120"/>
    </w:pPr>
    <w:rPr>
      <w:rFonts w:eastAsia="PMingLiU" w:cs="PMingLiU"/>
      <w:sz w:val="24"/>
      <w:szCs w:val="20"/>
      <w:lang w:eastAsia="zh-TW"/>
    </w:rPr>
  </w:style>
  <w:style w:type="paragraph" w:customStyle="1" w:styleId="486">
    <w:name w:val="My正文"/>
    <w:basedOn w:val="1"/>
    <w:qFormat/>
    <w:uiPriority w:val="0"/>
    <w:pPr>
      <w:adjustRightInd w:val="0"/>
      <w:spacing w:before="120" w:after="0" w:line="360" w:lineRule="auto"/>
      <w:ind w:firstLine="567"/>
      <w:textAlignment w:val="baseline"/>
    </w:pPr>
    <w:rPr>
      <w:rFonts w:ascii="Arial" w:hAnsi="Arial"/>
      <w:kern w:val="0"/>
      <w:sz w:val="24"/>
      <w:szCs w:val="20"/>
    </w:rPr>
  </w:style>
  <w:style w:type="paragraph" w:customStyle="1" w:styleId="487">
    <w:name w:val="框內1."/>
    <w:basedOn w:val="1"/>
    <w:qFormat/>
    <w:uiPriority w:val="0"/>
    <w:pPr>
      <w:spacing w:after="0" w:line="360" w:lineRule="auto"/>
      <w:ind w:left="539" w:right="57" w:hanging="482"/>
    </w:pPr>
    <w:rPr>
      <w:rFonts w:eastAsia="DFKai-SB"/>
      <w:sz w:val="28"/>
      <w:szCs w:val="28"/>
      <w:lang w:eastAsia="zh-TW"/>
    </w:rPr>
  </w:style>
  <w:style w:type="paragraph" w:customStyle="1" w:styleId="488">
    <w:name w:val="标题3"/>
    <w:basedOn w:val="4"/>
    <w:link w:val="489"/>
    <w:qFormat/>
    <w:uiPriority w:val="0"/>
    <w:pPr>
      <w:numPr>
        <w:ilvl w:val="0"/>
        <w:numId w:val="10"/>
      </w:numPr>
      <w:spacing w:line="416" w:lineRule="auto"/>
      <w:ind w:firstLine="0" w:firstLineChars="0"/>
    </w:pPr>
    <w:rPr>
      <w:rFonts w:ascii="宋体" w:hAnsi="宋体" w:eastAsia="宋体"/>
      <w:bCs w:val="0"/>
      <w:sz w:val="24"/>
      <w:szCs w:val="24"/>
    </w:rPr>
  </w:style>
  <w:style w:type="character" w:customStyle="1" w:styleId="489">
    <w:name w:val="标题3 Char"/>
    <w:link w:val="488"/>
    <w:qFormat/>
    <w:uiPriority w:val="0"/>
    <w:rPr>
      <w:rFonts w:ascii="宋体" w:hAnsi="宋体"/>
      <w:b/>
      <w:kern w:val="2"/>
      <w:sz w:val="24"/>
      <w:szCs w:val="24"/>
    </w:rPr>
  </w:style>
  <w:style w:type="paragraph" w:customStyle="1" w:styleId="490">
    <w:name w:val="MY二项目"/>
    <w:basedOn w:val="472"/>
    <w:link w:val="491"/>
    <w:qFormat/>
    <w:uiPriority w:val="0"/>
    <w:pPr>
      <w:numPr>
        <w:numId w:val="11"/>
      </w:numPr>
    </w:pPr>
  </w:style>
  <w:style w:type="character" w:customStyle="1" w:styleId="491">
    <w:name w:val="MY二项目 Char"/>
    <w:link w:val="490"/>
    <w:qFormat/>
    <w:uiPriority w:val="0"/>
    <w:rPr>
      <w:rFonts w:ascii="Arial" w:hAnsi="Arial"/>
      <w:kern w:val="2"/>
      <w:sz w:val="21"/>
      <w:szCs w:val="21"/>
    </w:rPr>
  </w:style>
  <w:style w:type="paragraph" w:customStyle="1" w:styleId="492">
    <w:name w:val="4.a.in"/>
    <w:basedOn w:val="1"/>
    <w:qFormat/>
    <w:uiPriority w:val="0"/>
    <w:pPr>
      <w:adjustRightInd w:val="0"/>
      <w:snapToGrid w:val="0"/>
      <w:spacing w:beforeLines="20" w:afterLines="20" w:line="300" w:lineRule="auto"/>
      <w:ind w:left="2880"/>
      <w:jc w:val="left"/>
    </w:pPr>
    <w:rPr>
      <w:rFonts w:eastAsia="DFKai-SB"/>
      <w:sz w:val="28"/>
      <w:szCs w:val="28"/>
      <w:lang w:eastAsia="zh-TW"/>
    </w:rPr>
  </w:style>
  <w:style w:type="paragraph" w:customStyle="1" w:styleId="493">
    <w:name w:val="圈数字"/>
    <w:basedOn w:val="14"/>
    <w:qFormat/>
    <w:uiPriority w:val="0"/>
    <w:pPr>
      <w:numPr>
        <w:ilvl w:val="2"/>
        <w:numId w:val="12"/>
      </w:numPr>
      <w:tabs>
        <w:tab w:val="left" w:pos="540"/>
        <w:tab w:val="clear" w:pos="1200"/>
      </w:tabs>
      <w:spacing w:before="62" w:after="62" w:line="360" w:lineRule="auto"/>
      <w:ind w:left="540" w:hanging="540"/>
    </w:pPr>
    <w:rPr>
      <w:rFonts w:ascii="Arial" w:hAnsi="宋体" w:cs="Arial"/>
      <w:kern w:val="0"/>
      <w:sz w:val="20"/>
      <w:szCs w:val="28"/>
    </w:rPr>
  </w:style>
  <w:style w:type="paragraph" w:customStyle="1" w:styleId="494">
    <w:name w:val="N4"/>
    <w:basedOn w:val="5"/>
    <w:link w:val="495"/>
    <w:qFormat/>
    <w:uiPriority w:val="0"/>
    <w:pPr>
      <w:keepLines w:val="0"/>
      <w:spacing w:before="0" w:after="0" w:line="360" w:lineRule="auto"/>
      <w:ind w:left="864" w:hanging="864"/>
      <w:jc w:val="left"/>
      <w:outlineLvl w:val="9"/>
    </w:pPr>
    <w:rPr>
      <w:rFonts w:eastAsia="宋体"/>
      <w:bCs w:val="0"/>
      <w:kern w:val="0"/>
      <w:sz w:val="21"/>
      <w:szCs w:val="24"/>
    </w:rPr>
  </w:style>
  <w:style w:type="character" w:customStyle="1" w:styleId="495">
    <w:name w:val="N4 Char"/>
    <w:link w:val="494"/>
    <w:qFormat/>
    <w:uiPriority w:val="0"/>
    <w:rPr>
      <w:rFonts w:ascii="Arial" w:hAnsi="Arial"/>
      <w:b/>
      <w:sz w:val="21"/>
      <w:szCs w:val="24"/>
    </w:rPr>
  </w:style>
  <w:style w:type="paragraph" w:customStyle="1" w:styleId="496">
    <w:name w:val="正文项目符号"/>
    <w:basedOn w:val="1"/>
    <w:qFormat/>
    <w:uiPriority w:val="0"/>
    <w:pPr>
      <w:numPr>
        <w:ilvl w:val="0"/>
        <w:numId w:val="13"/>
      </w:numPr>
      <w:spacing w:after="0" w:line="360" w:lineRule="auto"/>
      <w:ind w:right="100" w:rightChars="100"/>
    </w:pPr>
    <w:rPr>
      <w:rFonts w:ascii="Calibri" w:hAnsi="Calibri"/>
      <w:sz w:val="24"/>
      <w:szCs w:val="21"/>
    </w:rPr>
  </w:style>
  <w:style w:type="paragraph" w:customStyle="1" w:styleId="497">
    <w:name w:val="N2"/>
    <w:basedOn w:val="3"/>
    <w:link w:val="498"/>
    <w:qFormat/>
    <w:uiPriority w:val="0"/>
    <w:pPr>
      <w:keepLines/>
      <w:adjustRightInd/>
      <w:snapToGrid/>
      <w:spacing w:before="480" w:after="0"/>
      <w:ind w:left="576" w:hanging="576"/>
      <w:jc w:val="left"/>
      <w:textAlignment w:val="auto"/>
    </w:pPr>
    <w:rPr>
      <w:rFonts w:ascii="Arial" w:hAnsi="Arial" w:eastAsia="宋体"/>
      <w:sz w:val="21"/>
      <w:szCs w:val="21"/>
    </w:rPr>
  </w:style>
  <w:style w:type="character" w:customStyle="1" w:styleId="498">
    <w:name w:val="N2 Char"/>
    <w:link w:val="497"/>
    <w:qFormat/>
    <w:uiPriority w:val="0"/>
    <w:rPr>
      <w:rFonts w:ascii="Arial" w:hAnsi="Arial"/>
      <w:b/>
      <w:sz w:val="21"/>
      <w:szCs w:val="21"/>
    </w:rPr>
  </w:style>
  <w:style w:type="paragraph" w:customStyle="1" w:styleId="499">
    <w:name w:val="3.(1)"/>
    <w:basedOn w:val="1"/>
    <w:link w:val="500"/>
    <w:qFormat/>
    <w:uiPriority w:val="0"/>
    <w:pPr>
      <w:adjustRightInd w:val="0"/>
      <w:snapToGrid w:val="0"/>
      <w:spacing w:beforeLines="20" w:afterLines="20" w:line="300" w:lineRule="auto"/>
      <w:ind w:left="686" w:leftChars="571" w:hanging="115" w:hangingChars="115"/>
      <w:jc w:val="left"/>
    </w:pPr>
    <w:rPr>
      <w:rFonts w:ascii="Calibri" w:hAnsi="Calibri" w:eastAsia="DFKai-SB"/>
      <w:sz w:val="28"/>
      <w:szCs w:val="28"/>
      <w:lang w:eastAsia="zh-TW"/>
    </w:rPr>
  </w:style>
  <w:style w:type="character" w:customStyle="1" w:styleId="500">
    <w:name w:val="3.(1) 字元"/>
    <w:link w:val="499"/>
    <w:qFormat/>
    <w:uiPriority w:val="0"/>
    <w:rPr>
      <w:rFonts w:ascii="Calibri" w:hAnsi="Calibri" w:eastAsia="DFKai-SB"/>
      <w:kern w:val="2"/>
      <w:sz w:val="28"/>
      <w:szCs w:val="28"/>
      <w:lang w:eastAsia="zh-TW"/>
    </w:rPr>
  </w:style>
  <w:style w:type="paragraph" w:customStyle="1" w:styleId="501">
    <w:name w:val="样式 正文文本缩进 + 左  0 字符"/>
    <w:basedOn w:val="21"/>
    <w:qFormat/>
    <w:uiPriority w:val="0"/>
    <w:pPr>
      <w:spacing w:after="0" w:line="360" w:lineRule="auto"/>
      <w:ind w:firstLine="250" w:firstLineChars="250"/>
    </w:pPr>
    <w:rPr>
      <w:rFonts w:ascii="Times New Roman" w:hAnsi="Times New Roman" w:cs="宋体"/>
      <w:spacing w:val="0"/>
      <w:sz w:val="24"/>
    </w:rPr>
  </w:style>
  <w:style w:type="character" w:customStyle="1" w:styleId="502">
    <w:name w:val="标题 1 Char1"/>
    <w:qFormat/>
    <w:uiPriority w:val="0"/>
    <w:rPr>
      <w:b/>
      <w:bCs/>
      <w:kern w:val="44"/>
      <w:sz w:val="44"/>
      <w:szCs w:val="44"/>
    </w:rPr>
  </w:style>
  <w:style w:type="character" w:customStyle="1" w:styleId="503">
    <w:name w:val="标题 6 Char1"/>
    <w:semiHidden/>
    <w:qFormat/>
    <w:uiPriority w:val="0"/>
    <w:rPr>
      <w:rFonts w:ascii="Calibri Light" w:hAnsi="Calibri Light" w:eastAsia="宋体" w:cs="Times New Roman"/>
      <w:b/>
      <w:bCs/>
      <w:kern w:val="2"/>
      <w:sz w:val="24"/>
      <w:szCs w:val="24"/>
    </w:rPr>
  </w:style>
  <w:style w:type="character" w:customStyle="1" w:styleId="504">
    <w:name w:val="标题 8 Char1"/>
    <w:semiHidden/>
    <w:qFormat/>
    <w:uiPriority w:val="0"/>
    <w:rPr>
      <w:rFonts w:ascii="Calibri Light" w:hAnsi="Calibri Light" w:eastAsia="宋体" w:cs="Times New Roman"/>
      <w:kern w:val="2"/>
      <w:sz w:val="24"/>
      <w:szCs w:val="24"/>
    </w:rPr>
  </w:style>
  <w:style w:type="character" w:customStyle="1" w:styleId="505">
    <w:name w:val="标题 9 Char1"/>
    <w:semiHidden/>
    <w:qFormat/>
    <w:uiPriority w:val="0"/>
    <w:rPr>
      <w:rFonts w:ascii="Calibri Light" w:hAnsi="Calibri Light" w:eastAsia="宋体" w:cs="Times New Roman"/>
      <w:kern w:val="2"/>
      <w:sz w:val="21"/>
      <w:szCs w:val="21"/>
    </w:rPr>
  </w:style>
  <w:style w:type="paragraph" w:customStyle="1" w:styleId="506">
    <w:name w:val="標題內文"/>
    <w:basedOn w:val="1"/>
    <w:qFormat/>
    <w:uiPriority w:val="0"/>
    <w:pPr>
      <w:spacing w:after="0" w:line="500" w:lineRule="exact"/>
      <w:ind w:left="100" w:leftChars="100"/>
    </w:pPr>
    <w:rPr>
      <w:rFonts w:eastAsia="PMingLiU"/>
      <w:color w:val="333333"/>
      <w:kern w:val="0"/>
      <w:sz w:val="24"/>
      <w:lang w:eastAsia="zh-TW"/>
    </w:rPr>
  </w:style>
  <w:style w:type="character" w:customStyle="1" w:styleId="507">
    <w:name w:val="title_span"/>
    <w:qFormat/>
    <w:uiPriority w:val="0"/>
  </w:style>
  <w:style w:type="paragraph" w:customStyle="1" w:styleId="508">
    <w:name w:val="daijia_p"/>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509">
    <w:name w:val="case_dian"/>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510">
    <w:name w:val="1.1.1样式"/>
    <w:basedOn w:val="1"/>
    <w:link w:val="511"/>
    <w:qFormat/>
    <w:uiPriority w:val="0"/>
    <w:pPr>
      <w:tabs>
        <w:tab w:val="left" w:pos="720"/>
      </w:tabs>
      <w:spacing w:after="0" w:line="360" w:lineRule="auto"/>
      <w:ind w:left="720" w:hanging="720"/>
    </w:pPr>
    <w:rPr>
      <w:rFonts w:ascii="宋体" w:hAnsi="宋体"/>
      <w:sz w:val="24"/>
    </w:rPr>
  </w:style>
  <w:style w:type="character" w:customStyle="1" w:styleId="511">
    <w:name w:val="1.1.1样式 Char"/>
    <w:link w:val="510"/>
    <w:qFormat/>
    <w:uiPriority w:val="0"/>
    <w:rPr>
      <w:rFonts w:ascii="宋体" w:hAnsi="宋体"/>
      <w:kern w:val="2"/>
      <w:sz w:val="24"/>
      <w:szCs w:val="24"/>
    </w:rPr>
  </w:style>
  <w:style w:type="paragraph" w:customStyle="1" w:styleId="512">
    <w:name w:val="xl50"/>
    <w:basedOn w:val="1"/>
    <w:qFormat/>
    <w:uiPriority w:val="0"/>
    <w:pPr>
      <w:widowControl/>
      <w:pBdr>
        <w:bottom w:val="single" w:color="auto" w:sz="4" w:space="0"/>
      </w:pBdr>
      <w:spacing w:before="100" w:beforeAutospacing="1" w:after="100" w:afterAutospacing="1" w:line="360" w:lineRule="auto"/>
      <w:jc w:val="center"/>
      <w:textAlignment w:val="center"/>
    </w:pPr>
    <w:rPr>
      <w:rFonts w:ascii="宋体" w:hAnsi="宋体"/>
      <w:kern w:val="0"/>
      <w:sz w:val="24"/>
    </w:rPr>
  </w:style>
  <w:style w:type="character" w:customStyle="1" w:styleId="513">
    <w:name w:val="标题 4 Char Char"/>
    <w:qFormat/>
    <w:uiPriority w:val="0"/>
    <w:rPr>
      <w:rFonts w:ascii="Arial" w:hAnsi="Arial" w:eastAsia="黑体"/>
      <w:b/>
      <w:bCs/>
      <w:kern w:val="2"/>
      <w:sz w:val="28"/>
      <w:szCs w:val="28"/>
      <w:lang w:val="en-US" w:eastAsia="zh-CN" w:bidi="ar-SA"/>
    </w:rPr>
  </w:style>
  <w:style w:type="paragraph" w:customStyle="1" w:styleId="514">
    <w:name w:val="IBM 正文"/>
    <w:basedOn w:val="1"/>
    <w:qFormat/>
    <w:uiPriority w:val="0"/>
    <w:pPr>
      <w:spacing w:after="0" w:line="360" w:lineRule="exact"/>
    </w:pPr>
    <w:rPr>
      <w:sz w:val="24"/>
      <w:szCs w:val="20"/>
    </w:rPr>
  </w:style>
  <w:style w:type="paragraph" w:customStyle="1" w:styleId="515">
    <w:name w:val="缺省文本"/>
    <w:basedOn w:val="1"/>
    <w:qFormat/>
    <w:uiPriority w:val="0"/>
    <w:pPr>
      <w:autoSpaceDE w:val="0"/>
      <w:autoSpaceDN w:val="0"/>
      <w:adjustRightInd w:val="0"/>
      <w:spacing w:after="0" w:line="360" w:lineRule="auto"/>
      <w:jc w:val="left"/>
    </w:pPr>
    <w:rPr>
      <w:rFonts w:eastAsia="Times New Roman"/>
      <w:kern w:val="0"/>
      <w:sz w:val="24"/>
      <w:lang w:eastAsia="en-US"/>
    </w:rPr>
  </w:style>
  <w:style w:type="paragraph" w:customStyle="1" w:styleId="516">
    <w:name w:val="1.1样式"/>
    <w:basedOn w:val="1"/>
    <w:link w:val="517"/>
    <w:qFormat/>
    <w:uiPriority w:val="0"/>
    <w:pPr>
      <w:tabs>
        <w:tab w:val="left" w:pos="567"/>
      </w:tabs>
      <w:spacing w:before="240" w:after="0" w:line="480" w:lineRule="auto"/>
      <w:ind w:left="567" w:hanging="567"/>
    </w:pPr>
    <w:rPr>
      <w:rFonts w:ascii="Calibri" w:hAnsi="Calibri"/>
      <w:b/>
      <w:sz w:val="28"/>
      <w:szCs w:val="28"/>
    </w:rPr>
  </w:style>
  <w:style w:type="character" w:customStyle="1" w:styleId="517">
    <w:name w:val="1.1样式 Char"/>
    <w:link w:val="516"/>
    <w:qFormat/>
    <w:uiPriority w:val="0"/>
    <w:rPr>
      <w:rFonts w:ascii="Calibri" w:hAnsi="Calibri"/>
      <w:b/>
      <w:kern w:val="2"/>
      <w:sz w:val="28"/>
      <w:szCs w:val="28"/>
    </w:rPr>
  </w:style>
  <w:style w:type="paragraph" w:customStyle="1" w:styleId="518">
    <w:name w:val="1.1.1.1样式"/>
    <w:basedOn w:val="1"/>
    <w:link w:val="519"/>
    <w:qFormat/>
    <w:uiPriority w:val="0"/>
    <w:pPr>
      <w:numPr>
        <w:ilvl w:val="3"/>
        <w:numId w:val="14"/>
      </w:numPr>
      <w:spacing w:after="0" w:line="360" w:lineRule="auto"/>
    </w:pPr>
    <w:rPr>
      <w:rFonts w:ascii="Calibri" w:hAnsi="Calibri"/>
      <w:bCs/>
      <w:szCs w:val="21"/>
      <w:lang w:val="zh-CN"/>
    </w:rPr>
  </w:style>
  <w:style w:type="character" w:customStyle="1" w:styleId="519">
    <w:name w:val="1.1.1.1样式 Char"/>
    <w:link w:val="518"/>
    <w:qFormat/>
    <w:uiPriority w:val="0"/>
    <w:rPr>
      <w:rFonts w:ascii="Calibri" w:hAnsi="Calibri"/>
      <w:bCs/>
      <w:kern w:val="2"/>
      <w:sz w:val="21"/>
      <w:szCs w:val="21"/>
      <w:lang w:val="zh-CN"/>
    </w:rPr>
  </w:style>
  <w:style w:type="character" w:customStyle="1" w:styleId="520">
    <w:name w:val="1(1) 字元1"/>
    <w:qFormat/>
    <w:uiPriority w:val="0"/>
    <w:rPr>
      <w:rFonts w:hint="eastAsia" w:ascii="PMingLiU" w:hAnsi="PMingLiU" w:eastAsia="PMingLiU" w:cs="PMingLiU"/>
      <w:kern w:val="2"/>
      <w:sz w:val="24"/>
      <w:szCs w:val="24"/>
      <w:lang w:val="en-US" w:eastAsia="zh-TW" w:bidi="ar-SA"/>
    </w:rPr>
  </w:style>
  <w:style w:type="paragraph" w:customStyle="1" w:styleId="521">
    <w:name w:val="样式 正文部分 + 首行缩进:  2 字符 段前: 0.5 行"/>
    <w:basedOn w:val="1"/>
    <w:qFormat/>
    <w:uiPriority w:val="0"/>
    <w:pPr>
      <w:spacing w:after="0" w:line="360" w:lineRule="exact"/>
      <w:ind w:firstLine="200" w:firstLineChars="200"/>
    </w:pPr>
    <w:rPr>
      <w:rFonts w:cs="宋体"/>
      <w:szCs w:val="20"/>
    </w:rPr>
  </w:style>
  <w:style w:type="character" w:customStyle="1" w:styleId="522">
    <w:name w:val="样式 宋体"/>
    <w:qFormat/>
    <w:uiPriority w:val="0"/>
    <w:rPr>
      <w:rFonts w:ascii="宋体" w:hAnsi="宋体" w:eastAsia="宋体"/>
      <w:sz w:val="24"/>
      <w:szCs w:val="24"/>
    </w:rPr>
  </w:style>
  <w:style w:type="character" w:customStyle="1" w:styleId="523">
    <w:name w:val="xdtextbox1"/>
    <w:qFormat/>
    <w:uiPriority w:val="0"/>
    <w:rPr>
      <w:color w:val="auto"/>
      <w:bdr w:val="single" w:color="DCDCDC" w:sz="8" w:space="0"/>
      <w:shd w:val="clear" w:color="auto" w:fill="FFFFFF"/>
    </w:rPr>
  </w:style>
  <w:style w:type="paragraph" w:customStyle="1" w:styleId="524">
    <w:name w:val="Basic body"/>
    <w:qFormat/>
    <w:uiPriority w:val="0"/>
    <w:rPr>
      <w:rFonts w:ascii="Times New Roman" w:hAnsi="Times New Roman" w:eastAsia="宋体" w:cs="Times New Roman"/>
      <w:lang w:val="en-US" w:eastAsia="zh-CN" w:bidi="ar-SA"/>
    </w:rPr>
  </w:style>
  <w:style w:type="paragraph" w:customStyle="1" w:styleId="525">
    <w:name w:val="论文正文格式"/>
    <w:basedOn w:val="1"/>
    <w:qFormat/>
    <w:uiPriority w:val="0"/>
    <w:pPr>
      <w:spacing w:after="0" w:line="360" w:lineRule="auto"/>
      <w:ind w:firstLine="480" w:firstLineChars="200"/>
    </w:pPr>
    <w:rPr>
      <w:sz w:val="24"/>
      <w:szCs w:val="18"/>
    </w:rPr>
  </w:style>
  <w:style w:type="paragraph" w:customStyle="1" w:styleId="526">
    <w:name w:val="样式 表格正文 + 五号 两端对齐 行距: 单倍行距"/>
    <w:basedOn w:val="111"/>
    <w:qFormat/>
    <w:uiPriority w:val="0"/>
    <w:pPr>
      <w:keepNext/>
      <w:adjustRightInd w:val="0"/>
      <w:snapToGrid w:val="0"/>
      <w:spacing w:before="60" w:after="0" w:line="360" w:lineRule="auto"/>
      <w:ind w:left="840" w:hanging="840"/>
    </w:pPr>
    <w:rPr>
      <w:snapToGrid w:val="0"/>
      <w:kern w:val="0"/>
      <w:szCs w:val="20"/>
    </w:rPr>
  </w:style>
  <w:style w:type="paragraph" w:customStyle="1" w:styleId="527">
    <w:name w:val="表格标题"/>
    <w:qFormat/>
    <w:uiPriority w:val="0"/>
    <w:pPr>
      <w:keepNext/>
      <w:widowControl w:val="0"/>
      <w:adjustRightInd w:val="0"/>
      <w:snapToGrid w:val="0"/>
      <w:spacing w:before="60" w:line="300" w:lineRule="auto"/>
      <w:jc w:val="center"/>
    </w:pPr>
    <w:rPr>
      <w:rFonts w:ascii="Times New Roman" w:hAnsi="Times New Roman" w:eastAsia="宋体" w:cs="Times New Roman"/>
      <w:b/>
      <w:kern w:val="2"/>
      <w:sz w:val="24"/>
      <w:szCs w:val="24"/>
      <w:lang w:val="en-US" w:eastAsia="zh-CN" w:bidi="ar-SA"/>
    </w:rPr>
  </w:style>
  <w:style w:type="paragraph" w:customStyle="1" w:styleId="528">
    <w:name w:val="Char Char Char1 Char Char Char Char"/>
    <w:basedOn w:val="1"/>
    <w:qFormat/>
    <w:uiPriority w:val="0"/>
    <w:pPr>
      <w:spacing w:after="0" w:line="360" w:lineRule="auto"/>
    </w:pPr>
    <w:rPr>
      <w:rFonts w:ascii="Tahoma" w:hAnsi="Tahoma"/>
      <w:sz w:val="24"/>
      <w:szCs w:val="20"/>
    </w:rPr>
  </w:style>
  <w:style w:type="paragraph" w:customStyle="1" w:styleId="529">
    <w:name w:val="列出段落31"/>
    <w:basedOn w:val="1"/>
    <w:qFormat/>
    <w:uiPriority w:val="0"/>
    <w:pPr>
      <w:spacing w:after="0" w:line="360" w:lineRule="auto"/>
      <w:ind w:firstLine="420" w:firstLineChars="200"/>
    </w:pPr>
    <w:rPr>
      <w:rFonts w:ascii="Calibri" w:hAnsi="Calibri"/>
      <w:szCs w:val="21"/>
    </w:rPr>
  </w:style>
  <w:style w:type="character" w:customStyle="1" w:styleId="530">
    <w:name w:val="description"/>
    <w:basedOn w:val="56"/>
    <w:qFormat/>
    <w:uiPriority w:val="0"/>
  </w:style>
  <w:style w:type="paragraph" w:customStyle="1" w:styleId="531">
    <w:name w:val="主标题"/>
    <w:basedOn w:val="1"/>
    <w:qFormat/>
    <w:uiPriority w:val="0"/>
    <w:pPr>
      <w:numPr>
        <w:ilvl w:val="0"/>
        <w:numId w:val="15"/>
      </w:numPr>
      <w:spacing w:after="0" w:line="240" w:lineRule="auto"/>
    </w:pPr>
    <w:rPr>
      <w:szCs w:val="20"/>
    </w:rPr>
  </w:style>
  <w:style w:type="paragraph" w:customStyle="1" w:styleId="532">
    <w:name w:val="Note"/>
    <w:basedOn w:val="29"/>
    <w:qFormat/>
    <w:uiPriority w:val="0"/>
    <w:pPr>
      <w:spacing w:beforeLines="50" w:after="0" w:line="288" w:lineRule="auto"/>
    </w:pPr>
    <w:rPr>
      <w:rFonts w:ascii="Times New Roman" w:hAnsi="Times New Roman" w:eastAsia="仿宋"/>
      <w:kern w:val="0"/>
      <w:szCs w:val="21"/>
    </w:rPr>
  </w:style>
  <w:style w:type="paragraph" w:customStyle="1" w:styleId="533">
    <w:name w:val="Note1"/>
    <w:basedOn w:val="532"/>
    <w:qFormat/>
    <w:uiPriority w:val="0"/>
    <w:pPr>
      <w:numPr>
        <w:ilvl w:val="0"/>
        <w:numId w:val="16"/>
      </w:numPr>
      <w:spacing w:beforeLines="0" w:line="240" w:lineRule="auto"/>
      <w:ind w:left="891"/>
    </w:pPr>
    <w:rPr>
      <w:spacing w:val="-2"/>
    </w:rPr>
  </w:style>
  <w:style w:type="paragraph" w:customStyle="1" w:styleId="534">
    <w:name w:val="Note2"/>
    <w:basedOn w:val="532"/>
    <w:qFormat/>
    <w:uiPriority w:val="0"/>
    <w:pPr>
      <w:numPr>
        <w:ilvl w:val="0"/>
        <w:numId w:val="17"/>
      </w:numPr>
      <w:spacing w:beforeLines="0"/>
      <w:ind w:left="0" w:hanging="200" w:hangingChars="200"/>
    </w:pPr>
    <w:rPr>
      <w:b/>
    </w:rPr>
  </w:style>
  <w:style w:type="paragraph" w:customStyle="1" w:styleId="535">
    <w:name w:val="Note3"/>
    <w:basedOn w:val="534"/>
    <w:qFormat/>
    <w:uiPriority w:val="0"/>
    <w:pPr>
      <w:numPr>
        <w:numId w:val="0"/>
      </w:numPr>
      <w:ind w:firstLine="200" w:firstLineChars="200"/>
    </w:pPr>
    <w:rPr>
      <w:b w:val="0"/>
    </w:rPr>
  </w:style>
  <w:style w:type="paragraph" w:customStyle="1" w:styleId="536">
    <w:name w:val="Text2"/>
    <w:basedOn w:val="246"/>
    <w:qFormat/>
    <w:uiPriority w:val="0"/>
    <w:pPr>
      <w:numPr>
        <w:numId w:val="18"/>
      </w:numPr>
      <w:ind w:left="1259"/>
    </w:pPr>
  </w:style>
  <w:style w:type="character" w:customStyle="1" w:styleId="537">
    <w:name w:val="ptb181"/>
    <w:qFormat/>
    <w:uiPriority w:val="0"/>
    <w:rPr>
      <w:rFonts w:hint="default" w:ascii="Verdana" w:hAnsi="Verdana"/>
      <w:b/>
      <w:bCs/>
      <w:color w:val="000000"/>
      <w:sz w:val="27"/>
      <w:szCs w:val="27"/>
    </w:rPr>
  </w:style>
  <w:style w:type="character" w:customStyle="1" w:styleId="538">
    <w:name w:val="headline-content"/>
    <w:qFormat/>
    <w:uiPriority w:val="0"/>
    <w:rPr>
      <w:rFonts w:cs="Times New Roman"/>
    </w:rPr>
  </w:style>
  <w:style w:type="character" w:customStyle="1" w:styleId="539">
    <w:name w:val="正文2 Char"/>
    <w:link w:val="192"/>
    <w:qFormat/>
    <w:locked/>
    <w:uiPriority w:val="0"/>
    <w:rPr>
      <w:kern w:val="2"/>
      <w:sz w:val="21"/>
    </w:rPr>
  </w:style>
  <w:style w:type="character" w:customStyle="1" w:styleId="540">
    <w:name w:val="样式1 Char"/>
    <w:qFormat/>
    <w:locked/>
    <w:uiPriority w:val="0"/>
  </w:style>
  <w:style w:type="paragraph" w:customStyle="1" w:styleId="541">
    <w:name w:val="正文格式"/>
    <w:basedOn w:val="1"/>
    <w:qFormat/>
    <w:uiPriority w:val="0"/>
    <w:pPr>
      <w:widowControl/>
      <w:spacing w:beforeLines="50" w:afterLines="50" w:line="240" w:lineRule="auto"/>
      <w:ind w:firstLine="200" w:firstLineChars="200"/>
      <w:jc w:val="left"/>
    </w:pPr>
    <w:rPr>
      <w:rFonts w:ascii="宋体" w:hAnsi="宋体"/>
      <w:kern w:val="0"/>
      <w:sz w:val="20"/>
      <w:szCs w:val="21"/>
    </w:rPr>
  </w:style>
  <w:style w:type="paragraph" w:customStyle="1" w:styleId="542">
    <w:name w:val="reader-word-layer"/>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543">
    <w:name w:val="列出段落4"/>
    <w:basedOn w:val="1"/>
    <w:qFormat/>
    <w:uiPriority w:val="0"/>
    <w:pPr>
      <w:spacing w:after="0" w:line="240" w:lineRule="auto"/>
      <w:ind w:firstLine="420" w:firstLineChars="200"/>
    </w:pPr>
    <w:rPr>
      <w:szCs w:val="20"/>
    </w:rPr>
  </w:style>
  <w:style w:type="paragraph" w:customStyle="1" w:styleId="544">
    <w:name w:val="文章正文"/>
    <w:basedOn w:val="1"/>
    <w:qFormat/>
    <w:uiPriority w:val="0"/>
    <w:pPr>
      <w:spacing w:after="0" w:line="360" w:lineRule="auto"/>
      <w:ind w:firstLine="420"/>
    </w:pPr>
    <w:rPr>
      <w:sz w:val="24"/>
    </w:rPr>
  </w:style>
  <w:style w:type="character" w:customStyle="1" w:styleId="545">
    <w:name w:val="10"/>
    <w:qFormat/>
    <w:uiPriority w:val="0"/>
    <w:rPr>
      <w:rFonts w:hint="default" w:ascii="等线" w:hAnsi="等线"/>
    </w:rPr>
  </w:style>
  <w:style w:type="character" w:customStyle="1" w:styleId="546">
    <w:name w:val="15"/>
    <w:qFormat/>
    <w:uiPriority w:val="0"/>
    <w:rPr>
      <w:rFonts w:hint="default" w:ascii="等线" w:hAnsi="等线"/>
    </w:rPr>
  </w:style>
  <w:style w:type="character" w:customStyle="1" w:styleId="547">
    <w:name w:val="普通(网站) 字符"/>
    <w:link w:val="48"/>
    <w:qFormat/>
    <w:locked/>
    <w:uiPriority w:val="99"/>
    <w:rPr>
      <w:rFonts w:ascii="宋体" w:hAnsi="宋体" w:cs="宋体"/>
      <w:sz w:val="24"/>
      <w:szCs w:val="24"/>
    </w:rPr>
  </w:style>
  <w:style w:type="character" w:customStyle="1" w:styleId="548">
    <w:name w:val="页脚 字符"/>
    <w:qFormat/>
    <w:uiPriority w:val="99"/>
    <w:rPr>
      <w:rFonts w:eastAsia="黑体"/>
      <w:snapToGrid/>
      <w:sz w:val="18"/>
      <w:szCs w:val="18"/>
    </w:rPr>
  </w:style>
  <w:style w:type="paragraph" w:customStyle="1" w:styleId="549">
    <w:name w:val="纯文本2"/>
    <w:basedOn w:val="1"/>
    <w:qFormat/>
    <w:uiPriority w:val="0"/>
    <w:pPr>
      <w:adjustRightInd w:val="0"/>
      <w:spacing w:after="0" w:line="240" w:lineRule="auto"/>
      <w:textAlignment w:val="baseline"/>
    </w:pPr>
    <w:rPr>
      <w:rFonts w:ascii="宋体" w:hAnsi="Courier New" w:eastAsia="楷体_GB2312"/>
      <w:sz w:val="26"/>
      <w:szCs w:val="20"/>
    </w:rPr>
  </w:style>
  <w:style w:type="paragraph" w:customStyle="1" w:styleId="550">
    <w:name w:val="纯文本3"/>
    <w:basedOn w:val="1"/>
    <w:qFormat/>
    <w:uiPriority w:val="0"/>
    <w:pPr>
      <w:spacing w:afterLines="50" w:line="240" w:lineRule="auto"/>
    </w:pPr>
    <w:rPr>
      <w:rFonts w:ascii="宋体" w:hAnsi="Courier New"/>
      <w:sz w:val="24"/>
      <w:szCs w:val="20"/>
    </w:rPr>
  </w:style>
  <w:style w:type="paragraph" w:customStyle="1" w:styleId="551">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55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553">
    <w:name w:val="标题 Char2"/>
    <w:qFormat/>
    <w:uiPriority w:val="0"/>
    <w:rPr>
      <w:rFonts w:ascii="Calibri Light" w:hAnsi="Calibri Light" w:eastAsia="微软雅黑"/>
      <w:b/>
      <w:bCs/>
      <w:kern w:val="2"/>
      <w:sz w:val="32"/>
      <w:szCs w:val="32"/>
    </w:rPr>
  </w:style>
  <w:style w:type="paragraph" w:customStyle="1" w:styleId="554">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Info spid="_x0000_s3074"/>
    <customShpInfo spid="_x0000_s3075"/>
    <customShpInfo spid="_x0000_s3073"/>
    <customShpInfo spid="_x0000_s3077"/>
    <customShpInfo spid="_x0000_s3078"/>
    <customShpInfo spid="_x0000_s3076"/>
    <customShpInfo spid="_x0000_s3080"/>
    <customShpInfo spid="_x0000_s3079"/>
  </customShpExts>
</s:customData>
</file>

<file path=customXml/item2.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6A5969-67FA-43A0-9465-4A4181C266F5}">
  <ds:schemaRefs/>
</ds:datastoreItem>
</file>

<file path=docProps/app.xml><?xml version="1.0" encoding="utf-8"?>
<Properties xmlns="http://schemas.openxmlformats.org/officeDocument/2006/extended-properties" xmlns:vt="http://schemas.openxmlformats.org/officeDocument/2006/docPropsVTypes">
  <Company>MicroWin10.com</Company>
  <Pages>50</Pages>
  <Words>15840</Words>
  <Characters>16705</Characters>
  <Lines>222</Lines>
  <Paragraphs>62</Paragraphs>
  <TotalTime>37</TotalTime>
  <ScaleCrop>false</ScaleCrop>
  <LinksUpToDate>false</LinksUpToDate>
  <CharactersWithSpaces>17102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2022-02-22T16:12:00Z</dcterms:created>
  <dc:creator>Administrator</dc:creator>
  <cp:lastModifiedBy>Administrator</cp:lastModifiedBy>
  <cp:lastPrinted>2022-03-10T12:50:00Z</cp:lastPrinted>
  <dcterms:modified xsi:type="dcterms:W3CDTF">2025-06-19T06:07:39Z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EAAAEACE98A44AEEBAEC1EA0D5B69696</vt:lpwstr>
  </property>
  <property fmtid="{D5CDD505-2E9C-101B-9397-08002B2CF9AE}" pid="4" name="KSOTemplateDocerSaveRecord">
    <vt:lpwstr>eyJoZGlkIjoiZjk3NGM2YjQ2ZjM5MGE4NGZiOTc2NzdlMjhlODgzYTUiLCJ1c2VySWQiOiI1MDI1MzQxNjUifQ==</vt:lpwstr>
  </property>
</Properties>
</file>