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2024</w:t>
      </w:r>
      <w:r>
        <w:rPr>
          <w:rFonts w:hint="eastAsia" w:ascii="宋体" w:hAnsi="宋体" w:cs="宋体"/>
          <w:b/>
          <w:bCs/>
          <w:color w:val="auto"/>
          <w:sz w:val="48"/>
          <w:szCs w:val="48"/>
          <w:lang w:val="en-US" w:eastAsia="zh-CN"/>
        </w:rPr>
        <w:t>年</w:t>
      </w:r>
      <w:r>
        <w:rPr>
          <w:rFonts w:hint="eastAsia" w:ascii="宋体" w:hAnsi="宋体" w:cs="宋体"/>
          <w:b/>
          <w:bCs/>
          <w:color w:val="auto"/>
          <w:sz w:val="48"/>
          <w:szCs w:val="48"/>
          <w:lang w:eastAsia="zh-CN"/>
        </w:rPr>
        <w:t>浙江福彩户外LED大屏品牌形象宣传项目</w:t>
      </w:r>
    </w:p>
    <w:p>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0" w:firstLineChars="0"/>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ZJXL-FCZX-202408</w:t>
      </w:r>
    </w:p>
    <w:p>
      <w:pPr>
        <w:pStyle w:val="23"/>
        <w:ind w:firstLine="0" w:firstLineChars="0"/>
        <w:jc w:val="center"/>
        <w:rPr>
          <w:rFonts w:hint="eastAsia" w:eastAsia="微软雅黑"/>
          <w:color w:val="auto"/>
          <w:lang w:val="en-US" w:eastAsia="zh-CN"/>
        </w:rPr>
      </w:pPr>
      <w:r>
        <w:rPr>
          <w:rFonts w:hint="eastAsia" w:ascii="宋体" w:hAnsi="宋体" w:cs="宋体"/>
          <w:color w:val="auto"/>
          <w:sz w:val="30"/>
          <w:szCs w:val="30"/>
        </w:rPr>
        <w:t>确认书号：</w:t>
      </w:r>
      <w:r>
        <w:rPr>
          <w:rFonts w:hint="eastAsia" w:hAnsi="宋体" w:cs="宋体"/>
          <w:color w:val="auto"/>
          <w:sz w:val="30"/>
          <w:szCs w:val="30"/>
        </w:rPr>
        <w:fldChar w:fldCharType="begin"/>
      </w:r>
      <w:r>
        <w:rPr>
          <w:rFonts w:hint="eastAsia" w:hAnsi="宋体" w:cs="宋体"/>
          <w:color w:val="auto"/>
          <w:sz w:val="30"/>
          <w:szCs w:val="30"/>
        </w:rPr>
        <w:instrText xml:space="preserve"> HYPERLINK "https://pay.zcygov.cn/purchaseplan_front/" \l "/plan/list/detail?id=1000000000002132251&amp;encrypt=c0dae0ef925e618d77b99e0171178b8a" \t "_blank" </w:instrText>
      </w:r>
      <w:r>
        <w:rPr>
          <w:rFonts w:hint="eastAsia" w:hAnsi="宋体" w:cs="宋体"/>
          <w:color w:val="auto"/>
          <w:sz w:val="30"/>
          <w:szCs w:val="30"/>
        </w:rPr>
        <w:fldChar w:fldCharType="separate"/>
      </w:r>
      <w:r>
        <w:rPr>
          <w:rFonts w:hint="eastAsia" w:ascii="宋体" w:hAnsi="宋体" w:cs="宋体"/>
          <w:color w:val="auto"/>
          <w:sz w:val="30"/>
          <w:szCs w:val="30"/>
        </w:rPr>
        <w:t>浙财采确</w:t>
      </w:r>
      <w:r>
        <w:rPr>
          <w:rFonts w:hint="eastAsia" w:ascii="宋体" w:hAnsi="宋体" w:cs="宋体"/>
          <w:color w:val="auto"/>
          <w:sz w:val="30"/>
          <w:szCs w:val="30"/>
        </w:rPr>
        <w:fldChar w:fldCharType="end"/>
      </w:r>
      <w:r>
        <w:rPr>
          <w:rFonts w:hint="eastAsia" w:ascii="宋体" w:hAnsi="宋体" w:cs="宋体"/>
          <w:color w:val="auto"/>
          <w:sz w:val="30"/>
          <w:szCs w:val="30"/>
        </w:rPr>
        <w:t>[2024]26391号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ind w:left="0" w:leftChars="0" w:firstLine="0" w:firstLineChars="0"/>
        <w:jc w:val="both"/>
        <w:rPr>
          <w:rFonts w:ascii="宋体" w:hAnsi="宋体" w:cs="宋体"/>
          <w:sz w:val="24"/>
        </w:rPr>
      </w:pPr>
    </w:p>
    <w:p>
      <w:pPr>
        <w:spacing w:line="360" w:lineRule="auto"/>
        <w:rPr>
          <w:rFonts w:ascii="宋体" w:hAnsi="宋体" w:cs="宋体"/>
          <w:sz w:val="32"/>
          <w:szCs w:val="32"/>
        </w:rPr>
      </w:pPr>
    </w:p>
    <w:p>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浙江省福利彩票管理中心</w:t>
      </w:r>
    </w:p>
    <w:p>
      <w:pPr>
        <w:snapToGrid w:val="0"/>
        <w:spacing w:line="360" w:lineRule="auto"/>
        <w:ind w:firstLine="0" w:firstLineChars="0"/>
        <w:jc w:val="center"/>
        <w:rPr>
          <w:rFonts w:hint="eastAsia" w:ascii="宋体" w:hAnsi="宋体" w:cs="宋体"/>
          <w:bCs/>
          <w:sz w:val="32"/>
          <w:szCs w:val="32"/>
          <w:lang w:eastAsia="zh-CN"/>
        </w:rPr>
      </w:pPr>
      <w:r>
        <w:rPr>
          <w:rFonts w:hint="eastAsia" w:ascii="宋体" w:hAnsi="宋体" w:cs="宋体"/>
          <w:bCs/>
          <w:sz w:val="32"/>
          <w:szCs w:val="32"/>
          <w:lang w:eastAsia="zh-CN"/>
        </w:rPr>
        <w:t>浙江信镧建设工程咨询有限公司</w:t>
      </w:r>
    </w:p>
    <w:p>
      <w:pPr>
        <w:snapToGrid w:val="0"/>
        <w:spacing w:line="360" w:lineRule="auto"/>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pPr>
        <w:bidi w:val="0"/>
        <w:rPr>
          <w:rFonts w:hint="eastAsia"/>
          <w:color w:val="auto"/>
        </w:rPr>
      </w:pPr>
      <w:r>
        <w:rPr>
          <w:rFonts w:hint="eastAsia"/>
          <w:color w:val="auto"/>
          <w:lang w:val="en-US" w:eastAsia="zh-CN"/>
        </w:rPr>
        <w:t>7、</w:t>
      </w:r>
      <w:r>
        <w:rPr>
          <w:rFonts w:hint="eastAsia"/>
          <w:color w:val="auto"/>
        </w:rPr>
        <w:t>不提供招标文件纸质版；</w:t>
      </w:r>
    </w:p>
    <w:p>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4"/>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_Toc3166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_Toc3166 \h </w:instrText>
      </w:r>
      <w:r>
        <w:rPr>
          <w:b/>
          <w:bCs/>
        </w:rPr>
        <w:fldChar w:fldCharType="separate"/>
      </w:r>
      <w:r>
        <w:rPr>
          <w:b/>
          <w:bCs/>
        </w:rPr>
        <w:t>4</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_Toc9758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_Toc9758 \h </w:instrText>
      </w:r>
      <w:r>
        <w:rPr>
          <w:b/>
          <w:bCs/>
        </w:rPr>
        <w:fldChar w:fldCharType="separate"/>
      </w:r>
      <w:r>
        <w:rPr>
          <w:b/>
          <w:bCs/>
        </w:rPr>
        <w:t>8</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_Toc22977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_Toc22977 \h </w:instrText>
      </w:r>
      <w:r>
        <w:rPr>
          <w:b/>
          <w:bCs/>
        </w:rPr>
        <w:fldChar w:fldCharType="separate"/>
      </w:r>
      <w:r>
        <w:rPr>
          <w:b/>
          <w:bCs/>
        </w:rPr>
        <w:t>32</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_Toc27491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_Toc27491 \h </w:instrText>
      </w:r>
      <w:r>
        <w:rPr>
          <w:b/>
          <w:bCs/>
        </w:rPr>
        <w:fldChar w:fldCharType="separate"/>
      </w:r>
      <w:r>
        <w:rPr>
          <w:b/>
          <w:bCs/>
        </w:rPr>
        <w:t>34</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_Toc25422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_Toc25422 \h </w:instrText>
      </w:r>
      <w:r>
        <w:rPr>
          <w:b/>
          <w:bCs/>
        </w:rPr>
        <w:fldChar w:fldCharType="separate"/>
      </w:r>
      <w:r>
        <w:rPr>
          <w:b/>
          <w:bCs/>
        </w:rPr>
        <w:t>44</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_Toc7621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_Toc7621 \h </w:instrText>
      </w:r>
      <w:r>
        <w:rPr>
          <w:b/>
          <w:bCs/>
        </w:rPr>
        <w:fldChar w:fldCharType="separate"/>
      </w:r>
      <w:r>
        <w:rPr>
          <w:b/>
          <w:bCs/>
        </w:rPr>
        <w:t>50</w:t>
      </w:r>
      <w:r>
        <w:rPr>
          <w:b/>
          <w:bCs/>
        </w:rPr>
        <w:fldChar w:fldCharType="end"/>
      </w:r>
      <w:r>
        <w:rPr>
          <w:rFonts w:ascii="宋体" w:hAnsi="宋体" w:cs="宋体"/>
          <w:b/>
          <w:bCs/>
          <w:szCs w:val="32"/>
        </w:rPr>
        <w:fldChar w:fldCharType="end"/>
      </w:r>
    </w:p>
    <w:p>
      <w:pPr>
        <w:spacing w:line="360" w:lineRule="auto"/>
        <w:rPr>
          <w:rFonts w:ascii="宋体" w:hAnsi="宋体" w:cs="宋体"/>
          <w:sz w:val="32"/>
          <w:szCs w:val="32"/>
        </w:rPr>
      </w:pPr>
      <w:r>
        <w:rPr>
          <w:rFonts w:ascii="宋体" w:hAnsi="宋体" w:cs="宋体"/>
          <w:b/>
          <w:bCs/>
          <w:szCs w:val="32"/>
        </w:rPr>
        <w:fldChar w:fldCharType="end"/>
      </w:r>
    </w:p>
    <w:p>
      <w:pPr>
        <w:spacing w:line="360" w:lineRule="auto"/>
        <w:outlineLvl w:val="0"/>
        <w:rPr>
          <w:rFonts w:ascii="宋体" w:hAnsi="宋体" w:cs="宋体"/>
          <w:sz w:val="32"/>
          <w:szCs w:val="32"/>
        </w:rPr>
      </w:pP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pStyle w:val="2"/>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5" w:name="_Hlt74729822"/>
      <w:bookmarkEnd w:id="5"/>
      <w:bookmarkStart w:id="6" w:name="_Hlt74707423"/>
      <w:bookmarkEnd w:id="6"/>
      <w:bookmarkStart w:id="7" w:name="_Hlt74728647"/>
      <w:bookmarkEnd w:id="7"/>
      <w:bookmarkStart w:id="8" w:name="_Hlt74649545"/>
      <w:bookmarkEnd w:id="8"/>
      <w:bookmarkStart w:id="9" w:name="_Toc19410"/>
      <w:bookmarkStart w:id="10" w:name="_Toc26969"/>
      <w:bookmarkStart w:id="11" w:name="第二部分"/>
      <w:bookmarkStart w:id="12" w:name="_Toc91899870"/>
      <w:bookmarkStart w:id="13" w:name="_Toc91899871"/>
    </w:p>
    <w:p>
      <w:pPr>
        <w:pStyle w:val="2"/>
        <w:bidi w:val="0"/>
        <w:rPr>
          <w:rFonts w:ascii="宋体" w:hAnsi="宋体" w:cs="宋体"/>
          <w:b/>
          <w:sz w:val="36"/>
          <w:szCs w:val="20"/>
        </w:rPr>
      </w:pPr>
      <w:bookmarkStart w:id="14" w:name="_Toc3166"/>
      <w:r>
        <w:rPr>
          <w:rFonts w:hint="eastAsia" w:ascii="宋体" w:hAnsi="宋体" w:cs="宋体"/>
          <w:b/>
          <w:sz w:val="36"/>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w:t>
      </w:r>
      <w:r>
        <w:rPr>
          <w:rFonts w:hint="eastAsia" w:ascii="宋体" w:hAnsi="宋体" w:cs="宋体"/>
          <w:color w:val="auto"/>
          <w:sz w:val="24"/>
          <w:u w:val="single"/>
          <w:lang w:val="en-US" w:eastAsia="zh-CN"/>
        </w:rPr>
        <w:t>年</w:t>
      </w:r>
      <w:r>
        <w:rPr>
          <w:rFonts w:hint="eastAsia" w:ascii="宋体" w:hAnsi="宋体" w:cs="宋体"/>
          <w:color w:val="auto"/>
          <w:sz w:val="24"/>
          <w:u w:val="single"/>
          <w:lang w:eastAsia="zh-CN"/>
        </w:rPr>
        <w:t>浙江福彩户外LED大屏品牌形象宣传项目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bidi w:val="0"/>
        <w:rPr>
          <w:rFonts w:hint="eastAsia"/>
        </w:rPr>
      </w:pPr>
    </w:p>
    <w:p>
      <w:pPr>
        <w:pStyle w:val="4"/>
      </w:pPr>
      <w:r>
        <w:rPr>
          <w:rFonts w:hint="eastAsia"/>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ZJXL-FCZX-202408</w:t>
      </w:r>
    </w:p>
    <w:p>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2024</w:t>
      </w:r>
      <w:r>
        <w:rPr>
          <w:rFonts w:hint="eastAsia" w:ascii="宋体" w:hAnsi="宋体" w:cs="宋体"/>
          <w:color w:val="auto"/>
          <w:sz w:val="24"/>
          <w:lang w:val="en-US" w:eastAsia="zh-CN"/>
        </w:rPr>
        <w:t>年</w:t>
      </w:r>
      <w:r>
        <w:rPr>
          <w:rFonts w:hint="eastAsia" w:ascii="宋体" w:hAnsi="宋体" w:cs="宋体"/>
          <w:color w:val="auto"/>
          <w:sz w:val="24"/>
          <w:lang w:eastAsia="zh-CN"/>
        </w:rPr>
        <w:t>浙江福彩户外LED大屏品牌形象宣传项目</w:t>
      </w:r>
    </w:p>
    <w:p>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lang w:val="en-US" w:eastAsia="zh-CN"/>
        </w:rPr>
        <w:t>1400000</w:t>
      </w:r>
      <w:r>
        <w:rPr>
          <w:rFonts w:hint="eastAsia" w:ascii="宋体" w:hAnsi="宋体" w:cs="宋体"/>
          <w:color w:val="auto"/>
          <w:sz w:val="24"/>
          <w:lang w:eastAsia="zh-CN"/>
        </w:rPr>
        <w:t xml:space="preserve"> </w:t>
      </w:r>
    </w:p>
    <w:p>
      <w:pPr>
        <w:spacing w:line="360" w:lineRule="auto"/>
        <w:ind w:firstLine="482" w:firstLineChars="200"/>
        <w:rPr>
          <w:rFonts w:ascii="宋体" w:hAnsi="宋体" w:cs="宋体"/>
          <w:color w:val="FF0000"/>
          <w:sz w:val="24"/>
        </w:rPr>
      </w:pPr>
      <w:r>
        <w:rPr>
          <w:rFonts w:hint="eastAsia" w:ascii="宋体" w:hAnsi="宋体" w:cs="宋体"/>
          <w:b/>
          <w:color w:val="auto"/>
          <w:sz w:val="24"/>
        </w:rPr>
        <w:t>最高限价（元）：</w:t>
      </w:r>
      <w:r>
        <w:rPr>
          <w:rFonts w:hint="eastAsia" w:ascii="宋体" w:hAnsi="宋体" w:cs="宋体"/>
          <w:color w:val="auto"/>
          <w:sz w:val="24"/>
          <w:lang w:val="en-US" w:eastAsia="zh-CN"/>
        </w:rPr>
        <w:t xml:space="preserve">1400000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rPr>
                <w:color w:val="auto"/>
              </w:rPr>
            </w:pPr>
            <w:r>
              <w:rPr>
                <w:rFonts w:hint="eastAsia"/>
                <w:color w:val="auto"/>
              </w:rPr>
              <w:t>标项号</w:t>
            </w:r>
          </w:p>
        </w:tc>
        <w:tc>
          <w:tcPr>
            <w:tcW w:w="1381" w:type="dxa"/>
            <w:vAlign w:val="center"/>
          </w:tcPr>
          <w:p>
            <w:pPr>
              <w:pStyle w:val="143"/>
              <w:widowControl w:val="0"/>
              <w:rPr>
                <w:color w:val="auto"/>
              </w:rPr>
            </w:pPr>
            <w:r>
              <w:rPr>
                <w:rFonts w:hint="eastAsia"/>
                <w:color w:val="auto"/>
              </w:rPr>
              <w:t>标项名称</w:t>
            </w:r>
          </w:p>
        </w:tc>
        <w:tc>
          <w:tcPr>
            <w:tcW w:w="799" w:type="dxa"/>
            <w:vAlign w:val="center"/>
          </w:tcPr>
          <w:p>
            <w:pPr>
              <w:pStyle w:val="143"/>
              <w:widowControl w:val="0"/>
              <w:rPr>
                <w:color w:val="auto"/>
              </w:rPr>
            </w:pPr>
            <w:r>
              <w:rPr>
                <w:rFonts w:hint="eastAsia"/>
                <w:color w:val="auto"/>
              </w:rPr>
              <w:t>数量</w:t>
            </w:r>
          </w:p>
        </w:tc>
        <w:tc>
          <w:tcPr>
            <w:tcW w:w="1317" w:type="dxa"/>
            <w:vAlign w:val="center"/>
          </w:tcPr>
          <w:p>
            <w:pPr>
              <w:pStyle w:val="143"/>
              <w:widowControl w:val="0"/>
              <w:rPr>
                <w:rFonts w:hint="eastAsia"/>
                <w:color w:val="auto"/>
                <w:lang w:val="en-US" w:eastAsia="zh-CN"/>
              </w:rPr>
            </w:pPr>
            <w:r>
              <w:rPr>
                <w:rFonts w:hint="eastAsia"/>
                <w:color w:val="auto"/>
                <w:lang w:val="en-US" w:eastAsia="zh-CN"/>
              </w:rPr>
              <w:t>预算金额（元）</w:t>
            </w:r>
          </w:p>
        </w:tc>
        <w:tc>
          <w:tcPr>
            <w:tcW w:w="3224" w:type="dxa"/>
            <w:vAlign w:val="center"/>
          </w:tcPr>
          <w:p>
            <w:pPr>
              <w:pStyle w:val="143"/>
              <w:widowControl w:val="0"/>
              <w:rPr>
                <w:color w:val="auto"/>
              </w:rPr>
            </w:pPr>
            <w:r>
              <w:rPr>
                <w:color w:val="auto"/>
              </w:rPr>
              <w:t>简要规格描述或项目基本概况介绍、用途：</w:t>
            </w:r>
          </w:p>
        </w:tc>
        <w:tc>
          <w:tcPr>
            <w:tcW w:w="1241" w:type="dxa"/>
            <w:vAlign w:val="center"/>
          </w:tcPr>
          <w:p>
            <w:pPr>
              <w:pStyle w:val="143"/>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rPr>
                <w:color w:val="auto"/>
              </w:rPr>
            </w:pPr>
            <w:r>
              <w:rPr>
                <w:rFonts w:hint="eastAsia"/>
                <w:color w:val="auto"/>
              </w:rPr>
              <w:t>1</w:t>
            </w:r>
          </w:p>
        </w:tc>
        <w:tc>
          <w:tcPr>
            <w:tcW w:w="1381" w:type="dxa"/>
            <w:vAlign w:val="center"/>
          </w:tcPr>
          <w:p>
            <w:pPr>
              <w:pStyle w:val="143"/>
              <w:widowControl w:val="0"/>
              <w:rPr>
                <w:rFonts w:hint="eastAsia"/>
                <w:color w:val="auto"/>
                <w:lang w:eastAsia="zh-CN"/>
              </w:rPr>
            </w:pPr>
            <w:r>
              <w:rPr>
                <w:rFonts w:hint="eastAsia"/>
                <w:color w:val="auto"/>
                <w:lang w:eastAsia="zh-CN"/>
              </w:rPr>
              <w:t>2024</w:t>
            </w:r>
            <w:r>
              <w:rPr>
                <w:rFonts w:hint="eastAsia"/>
                <w:color w:val="auto"/>
                <w:lang w:val="en-US" w:eastAsia="zh-CN"/>
              </w:rPr>
              <w:t>年</w:t>
            </w:r>
            <w:r>
              <w:rPr>
                <w:rFonts w:hint="eastAsia"/>
                <w:color w:val="auto"/>
                <w:lang w:eastAsia="zh-CN"/>
              </w:rPr>
              <w:t>浙江福彩户外LED大屏品牌形象宣传项目</w:t>
            </w:r>
          </w:p>
        </w:tc>
        <w:tc>
          <w:tcPr>
            <w:tcW w:w="799" w:type="dxa"/>
            <w:vAlign w:val="center"/>
          </w:tcPr>
          <w:p>
            <w:pPr>
              <w:pStyle w:val="143"/>
              <w:widowControl w:val="0"/>
              <w:rPr>
                <w:rFonts w:hint="default"/>
                <w:color w:val="auto"/>
                <w:lang w:val="en-US" w:eastAsia="zh-CN"/>
              </w:rPr>
            </w:pPr>
            <w:r>
              <w:rPr>
                <w:rFonts w:hint="eastAsia"/>
                <w:color w:val="auto"/>
                <w:lang w:val="en-US" w:eastAsia="zh-CN"/>
              </w:rPr>
              <w:t>1项</w:t>
            </w:r>
          </w:p>
        </w:tc>
        <w:tc>
          <w:tcPr>
            <w:tcW w:w="1317" w:type="dxa"/>
            <w:vAlign w:val="center"/>
          </w:tcPr>
          <w:p>
            <w:pPr>
              <w:pStyle w:val="143"/>
              <w:widowControl w:val="0"/>
              <w:rPr>
                <w:rFonts w:hint="eastAsia"/>
                <w:color w:val="auto"/>
              </w:rPr>
            </w:pPr>
            <w:r>
              <w:rPr>
                <w:rFonts w:hint="eastAsia" w:ascii="宋体" w:hAnsi="宋体" w:cs="宋体"/>
                <w:color w:val="auto"/>
                <w:kern w:val="2"/>
                <w:sz w:val="24"/>
                <w:szCs w:val="24"/>
                <w:lang w:val="en-US" w:eastAsia="zh-CN" w:bidi="ar-SA"/>
              </w:rPr>
              <w:t>140</w:t>
            </w:r>
            <w:r>
              <w:rPr>
                <w:rFonts w:hint="eastAsia" w:ascii="宋体" w:hAnsi="宋体" w:eastAsia="宋体" w:cs="宋体"/>
                <w:color w:val="auto"/>
                <w:kern w:val="2"/>
                <w:sz w:val="24"/>
                <w:szCs w:val="24"/>
                <w:lang w:val="en-US" w:eastAsia="zh-CN" w:bidi="ar-SA"/>
              </w:rPr>
              <w:t>0000</w:t>
            </w:r>
            <w:r>
              <w:rPr>
                <w:rFonts w:hint="eastAsia" w:ascii="宋体" w:hAnsi="宋体" w:cs="宋体"/>
                <w:color w:val="auto"/>
                <w:sz w:val="24"/>
              </w:rPr>
              <w:t xml:space="preserve">  </w:t>
            </w:r>
          </w:p>
        </w:tc>
        <w:tc>
          <w:tcPr>
            <w:tcW w:w="3224" w:type="dxa"/>
            <w:vAlign w:val="center"/>
          </w:tcPr>
          <w:p>
            <w:pPr>
              <w:pStyle w:val="143"/>
              <w:widowControl w:val="0"/>
              <w:jc w:val="both"/>
              <w:rPr>
                <w:color w:val="auto"/>
              </w:rPr>
            </w:pPr>
            <w:r>
              <w:rPr>
                <w:rFonts w:hint="eastAsia" w:ascii="宋体" w:hAnsi="宋体" w:cs="宋体"/>
                <w:szCs w:val="28"/>
              </w:rPr>
              <w:t>为进一步提升浙江福彩公益品牌影响力，更好地履行福利彩票社会责任，践行浙江福彩为民爱民使命及公益慈善初心，促进我省福利彩票安全健康发展，建设好、宣传好福彩公益品牌，利用好我省省会城市杭州人流大优势，拟在杭州核心城区户外LED大屏投放品牌形象宣传内容</w:t>
            </w:r>
            <w:r>
              <w:rPr>
                <w:rFonts w:hint="eastAsia"/>
                <w:color w:val="auto"/>
              </w:rPr>
              <w:t>，详见招标文件第三部分采购需求。</w:t>
            </w:r>
          </w:p>
        </w:tc>
        <w:tc>
          <w:tcPr>
            <w:tcW w:w="1241" w:type="dxa"/>
            <w:vAlign w:val="center"/>
          </w:tcPr>
          <w:p>
            <w:pPr>
              <w:pStyle w:val="143"/>
              <w:widowControl w:val="0"/>
              <w:rPr>
                <w:rFonts w:hint="eastAsia"/>
                <w:color w:val="auto"/>
                <w:lang w:eastAsia="zh-CN"/>
              </w:rPr>
            </w:pPr>
          </w:p>
        </w:tc>
      </w:tr>
    </w:tbl>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rPr>
          <w:color w:val="auto"/>
        </w:rPr>
      </w:pPr>
      <w:r>
        <w:rPr>
          <w:rFonts w:hint="eastAsia"/>
          <w:color w:val="auto"/>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承接</w:t>
      </w:r>
      <w:r>
        <w:rPr>
          <w:rFonts w:hint="eastAsia" w:ascii="宋体" w:hAnsi="宋体" w:cs="宋体"/>
          <w:color w:val="auto"/>
          <w:sz w:val="24"/>
          <w:highlight w:val="none"/>
        </w:rPr>
        <w:t>，提供中小企业声明函；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pStyle w:val="4"/>
      </w:pPr>
      <w:r>
        <w:rPr>
          <w:rFonts w:hint="eastAsia"/>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4"/>
      </w:pPr>
      <w:r>
        <w:rPr>
          <w:rFonts w:hint="eastAsia"/>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4"/>
      </w:pPr>
      <w:r>
        <w:rPr>
          <w:rFonts w:hint="eastAsia"/>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4"/>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w:t>
      </w:r>
    </w:p>
    <w:p>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浙江省福利彩票管理中心</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rPr>
        <w:t>杭州市荆长路539号</w:t>
      </w:r>
      <w:r>
        <w:rPr>
          <w:rFonts w:hint="eastAsia" w:ascii="宋体" w:hAnsi="宋体" w:cs="宋体"/>
          <w:sz w:val="24"/>
        </w:rPr>
        <w:t xml:space="preserve">       </w:t>
      </w:r>
    </w:p>
    <w:p>
      <w:pPr>
        <w:spacing w:line="360" w:lineRule="auto"/>
        <w:ind w:firstLine="720" w:firstLineChars="300"/>
        <w:rPr>
          <w:rFonts w:ascii="宋体" w:hAnsi="宋体" w:cs="宋体"/>
          <w:sz w:val="24"/>
        </w:rPr>
      </w:pPr>
      <w:r>
        <w:rPr>
          <w:rFonts w:hint="eastAsia" w:ascii="宋体" w:hAnsi="宋体" w:cs="宋体"/>
          <w:sz w:val="24"/>
        </w:rPr>
        <w:t>传    真： /</w:t>
      </w:r>
    </w:p>
    <w:p>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cs="仿宋_GB2312" w:asciiTheme="minorEastAsia" w:hAnsiTheme="minorEastAsia" w:eastAsiaTheme="minorEastAsia"/>
          <w:color w:val="auto"/>
          <w:kern w:val="2"/>
          <w:lang w:eastAsia="zh-CN"/>
        </w:rPr>
        <w:t>梁</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s="仿宋_GB2312" w:asciiTheme="minorEastAsia" w:hAnsiTheme="minorEastAsia" w:eastAsiaTheme="minorEastAsia"/>
          <w:color w:val="auto"/>
          <w:kern w:val="2"/>
        </w:rPr>
        <w:t>0571-89057766</w:t>
      </w:r>
    </w:p>
    <w:p>
      <w:pPr>
        <w:spacing w:line="360" w:lineRule="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eastAsia="zh-CN"/>
        </w:rPr>
        <w:t>刘</w:t>
      </w:r>
      <w:r>
        <w:rPr>
          <w:rFonts w:hint="eastAsia" w:cs="仿宋_GB2312" w:asciiTheme="minorEastAsia" w:hAnsiTheme="minorEastAsia" w:eastAsiaTheme="minorEastAsia"/>
        </w:rPr>
        <w:t>老师</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Style w:val="966"/>
          <w:rFonts w:hint="eastAsia" w:cs="仿宋_GB2312" w:asciiTheme="minorEastAsia" w:hAnsiTheme="minorEastAsia" w:eastAsiaTheme="minorEastAsia"/>
        </w:rPr>
        <w:t>0571-8905779</w:t>
      </w:r>
      <w:r>
        <w:rPr>
          <w:rStyle w:val="966"/>
          <w:rFonts w:hint="eastAsia" w:cs="仿宋_GB2312" w:asciiTheme="minorEastAsia" w:hAnsiTheme="minorEastAsia" w:eastAsiaTheme="minorEastAsia"/>
          <w:lang w:val="en-US" w:eastAsia="zh-CN"/>
        </w:rPr>
        <w:t>3</w:t>
      </w:r>
      <w:r>
        <w:rPr>
          <w:rFonts w:hint="eastAsia" w:ascii="宋体" w:hAnsi="宋体" w:cs="宋体"/>
        </w:rPr>
        <w:t xml:space="preserve"> </w:t>
      </w:r>
      <w:r>
        <w:rPr>
          <w:rFonts w:hint="eastAsia" w:ascii="宋体" w:hAnsi="宋体" w:cs="宋体"/>
          <w:sz w:val="24"/>
        </w:rPr>
        <w:t xml:space="preserve"> </w:t>
      </w:r>
    </w:p>
    <w:p>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传    真：0571-85024997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项目联系方式（询问）：0571-87967630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质疑联系方式：0571-87967630 </w:t>
      </w:r>
    </w:p>
    <w:p>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称：浙江省财政厅政府采购监管处、浙江省政府采购行政裁决服务中心（杭州） </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址：杭州市上城区四季青街道新业路市民之家G03办公室（快递仅限ems或顺丰）</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传    真： /</w:t>
      </w:r>
    </w:p>
    <w:p>
      <w:pPr>
        <w:spacing w:line="360" w:lineRule="auto"/>
        <w:rPr>
          <w:rFonts w:hint="eastAsia" w:ascii="宋体" w:hAnsi="宋体" w:cs="宋体"/>
          <w:color w:val="auto"/>
          <w:sz w:val="24"/>
        </w:rPr>
      </w:pPr>
      <w:r>
        <w:rPr>
          <w:rFonts w:hint="eastAsia" w:ascii="宋体" w:hAnsi="宋体" w:cs="宋体"/>
          <w:color w:val="auto"/>
          <w:sz w:val="24"/>
        </w:rPr>
        <w:t xml:space="preserve">  联系人 ：朱女士、王女士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监督投诉电话：0571-85252453 </w:t>
      </w:r>
    </w:p>
    <w:p>
      <w:pPr>
        <w:pStyle w:val="24"/>
        <w:rPr>
          <w:rFonts w:hint="eastAsia"/>
          <w:color w:val="auto"/>
        </w:rPr>
      </w:pPr>
    </w:p>
    <w:p>
      <w:pPr>
        <w:spacing w:line="360" w:lineRule="auto"/>
        <w:ind w:firstLine="720" w:firstLineChars="300"/>
        <w:rPr>
          <w:rFonts w:hint="eastAsia"/>
          <w:color w:val="auto"/>
        </w:rPr>
      </w:pPr>
      <w:r>
        <w:rPr>
          <w:rFonts w:hint="eastAsia" w:ascii="宋体" w:hAnsi="宋体" w:cs="宋体"/>
          <w:color w:val="auto"/>
          <w:sz w:val="24"/>
        </w:rPr>
        <w:t>政策咨询：何一平、冯华，0571-87058424、87055741</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val="en-US" w:eastAsia="zh-CN"/>
        </w:rPr>
        <w:t xml:space="preserve"> </w:t>
      </w:r>
      <w:r>
        <w:rPr>
          <w:rFonts w:hint="eastAsia" w:ascii="宋体" w:hAnsi="宋体" w:cs="宋体"/>
          <w:color w:val="auto"/>
          <w:sz w:val="24"/>
        </w:rPr>
        <w:t>预算金额未达100万元的采购项目，由采购人处理采购争议。</w:t>
      </w:r>
    </w:p>
    <w:p>
      <w:pPr>
        <w:pStyle w:val="34"/>
        <w:spacing w:line="360" w:lineRule="auto"/>
        <w:rPr>
          <w:rFonts w:hint="eastAsia" w:ascii="宋体" w:hAnsi="宋体" w:cs="宋体"/>
          <w:color w:val="auto"/>
          <w:sz w:val="24"/>
        </w:rPr>
      </w:pPr>
    </w:p>
    <w:p>
      <w:pPr>
        <w:rPr>
          <w:rFonts w:hint="eastAsia"/>
        </w:rPr>
      </w:pPr>
    </w:p>
    <w:p>
      <w:pPr>
        <w:pStyle w:val="34"/>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4"/>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pPr>
        <w:pStyle w:val="34"/>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hAnsi="宋体" w:cs="宋体"/>
          <w:sz w:val="24"/>
        </w:rPr>
        <w:t xml:space="preserve">                       </w:t>
      </w:r>
    </w:p>
    <w:p>
      <w:pPr>
        <w:pStyle w:val="2"/>
        <w:bidi w:val="0"/>
      </w:pPr>
      <w:bookmarkStart w:id="15" w:name="_Toc26813"/>
      <w:bookmarkStart w:id="16" w:name="_Toc21996"/>
      <w:bookmarkStart w:id="17" w:name="_Toc9758"/>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snapToGrid w:val="0"/>
              <w:spacing w:line="360" w:lineRule="auto"/>
              <w:ind w:firstLine="0" w:firstLineChars="0"/>
              <w:jc w:val="center"/>
              <w:rPr>
                <w:vertAlign w:val="baseline"/>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lang w:val="en-US" w:eastAsia="zh-CN"/>
              </w:rPr>
              <w:t>2</w:t>
            </w:r>
          </w:p>
        </w:tc>
        <w:tc>
          <w:tcPr>
            <w:tcW w:w="2206" w:type="dxa"/>
            <w:vAlign w:val="center"/>
          </w:tcPr>
          <w:p>
            <w:pPr>
              <w:pStyle w:val="143"/>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pPr>
              <w:pStyle w:val="143"/>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lang w:eastAsia="zh-CN"/>
              </w:rPr>
              <w:t>采购</w:t>
            </w:r>
            <w:r>
              <w:rPr>
                <w:rFonts w:hint="eastAsia" w:ascii="宋体" w:hAnsi="宋体" w:eastAsia="宋体" w:cs="宋体"/>
                <w:b w:val="0"/>
                <w:bCs w:val="0"/>
                <w:color w:val="auto"/>
                <w:kern w:val="2"/>
                <w:sz w:val="24"/>
                <w:szCs w:val="24"/>
              </w:rPr>
              <w:t>标的：</w:t>
            </w:r>
            <w:r>
              <w:rPr>
                <w:rFonts w:hint="eastAsia" w:ascii="宋体" w:hAnsi="宋体" w:cs="宋体"/>
                <w:b w:val="0"/>
                <w:bCs w:val="0"/>
                <w:color w:val="auto"/>
                <w:kern w:val="2"/>
                <w:sz w:val="24"/>
                <w:szCs w:val="24"/>
                <w:lang w:eastAsia="zh-CN"/>
              </w:rPr>
              <w:t>2024</w:t>
            </w:r>
            <w:r>
              <w:rPr>
                <w:rFonts w:hint="eastAsia" w:ascii="宋体" w:hAnsi="宋体" w:cs="宋体"/>
                <w:b w:val="0"/>
                <w:bCs w:val="0"/>
                <w:color w:val="auto"/>
                <w:kern w:val="2"/>
                <w:sz w:val="24"/>
                <w:szCs w:val="24"/>
                <w:lang w:val="en-US" w:eastAsia="zh-CN"/>
              </w:rPr>
              <w:t>年</w:t>
            </w:r>
            <w:r>
              <w:rPr>
                <w:rFonts w:hint="eastAsia" w:ascii="宋体" w:hAnsi="宋体" w:cs="宋体"/>
                <w:b w:val="0"/>
                <w:bCs w:val="0"/>
                <w:color w:val="auto"/>
                <w:kern w:val="2"/>
                <w:sz w:val="24"/>
                <w:szCs w:val="24"/>
                <w:lang w:eastAsia="zh-CN"/>
              </w:rPr>
              <w:t>浙江福彩户外LED大屏品牌形象宣传项目</w:t>
            </w:r>
            <w:r>
              <w:rPr>
                <w:rFonts w:hint="eastAsia" w:ascii="宋体" w:hAnsi="宋体" w:eastAsia="宋体" w:cs="宋体"/>
                <w:b w:val="0"/>
                <w:bCs w:val="0"/>
                <w:color w:val="auto"/>
                <w:kern w:val="2"/>
                <w:sz w:val="24"/>
                <w:szCs w:val="24"/>
              </w:rPr>
              <w:t>，属于</w:t>
            </w:r>
            <w:r>
              <w:rPr>
                <w:rFonts w:hint="eastAsia" w:ascii="宋体" w:hAnsi="宋体" w:eastAsia="宋体" w:cs="宋体"/>
                <w:b w:val="0"/>
                <w:bCs w:val="0"/>
                <w:color w:val="auto"/>
                <w:kern w:val="2"/>
                <w:sz w:val="24"/>
                <w:szCs w:val="24"/>
                <w:u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val="en-US" w:eastAsia="zh-CN"/>
              </w:rPr>
            </w:pPr>
            <w:r>
              <w:rPr>
                <w:rFonts w:hint="eastAsia"/>
                <w:b/>
                <w:bCs/>
                <w:lang w:val="en-US" w:eastAsia="zh-CN"/>
              </w:rPr>
              <w:t>5</w:t>
            </w:r>
          </w:p>
        </w:tc>
        <w:tc>
          <w:tcPr>
            <w:tcW w:w="2206" w:type="dxa"/>
            <w:vAlign w:val="center"/>
          </w:tcPr>
          <w:p>
            <w:pPr>
              <w:pStyle w:val="143"/>
              <w:widowControl w:val="0"/>
              <w:rPr>
                <w:rFonts w:hint="eastAsia"/>
                <w:b/>
                <w:bCs/>
              </w:rPr>
            </w:pPr>
            <w:r>
              <w:rPr>
                <w:rFonts w:hint="eastAsia"/>
                <w:b/>
                <w:bCs/>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highlight w:val="none"/>
                <w:u w:val="single"/>
              </w:rPr>
              <w:t>详见第</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章</w:t>
            </w:r>
            <w:r>
              <w:rPr>
                <w:rFonts w:hint="eastAsia" w:ascii="宋体" w:hAnsi="宋体" w:cs="宋体"/>
                <w:color w:val="auto"/>
                <w:highlight w:val="none"/>
                <w:u w:val="single"/>
                <w:lang w:eastAsia="zh-CN"/>
              </w:rPr>
              <w:t>部分</w:t>
            </w:r>
            <w:r>
              <w:rPr>
                <w:rFonts w:hint="eastAsia" w:ascii="宋体" w:hAnsi="宋体" w:cs="宋体"/>
                <w:color w:val="auto"/>
                <w:highlight w:val="none"/>
                <w:u w:val="single"/>
              </w:rPr>
              <w:t>采购需求</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lang w:eastAsia="zh-CN"/>
              </w:rPr>
              <w:t>评审标准</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eastAsia="zh-CN"/>
              </w:rPr>
              <w:t>胡校芳</w:t>
            </w:r>
            <w:r>
              <w:rPr>
                <w:rFonts w:hint="eastAsia" w:ascii="宋体" w:hAnsi="宋体" w:cs="Helvetica"/>
                <w:b w:val="0"/>
                <w:bCs w:val="0"/>
                <w:kern w:val="0"/>
              </w:rPr>
              <w:t>，联系电话：</w:t>
            </w:r>
            <w:r>
              <w:rPr>
                <w:rFonts w:hint="eastAsia" w:ascii="宋体" w:hAnsi="宋体" w:cs="宋体"/>
                <w:color w:val="auto"/>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w:t>
            </w:r>
            <w:r>
              <w:rPr>
                <w:rFonts w:hint="eastAsia" w:ascii="宋体" w:hAnsi="宋体" w:cs="宋体"/>
                <w:color w:val="auto"/>
                <w:sz w:val="24"/>
                <w:lang w:eastAsia="zh-CN"/>
              </w:rPr>
              <w:t>中标</w:t>
            </w:r>
            <w:r>
              <w:rPr>
                <w:rFonts w:hint="eastAsia" w:ascii="宋体" w:hAnsi="宋体" w:cs="宋体"/>
                <w:color w:val="auto"/>
                <w:sz w:val="24"/>
              </w:rPr>
              <w:t>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spacing w:line="360" w:lineRule="auto"/>
              <w:jc w:val="left"/>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pStyle w:val="24"/>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eastAsia"/>
                <w:b/>
                <w:bCs/>
                <w:lang w:eastAsia="zh-CN"/>
              </w:rPr>
            </w:pPr>
            <w:r>
              <w:rPr>
                <w:rFonts w:hint="eastAsia"/>
                <w:b/>
                <w:bCs/>
                <w:lang w:val="en-US" w:eastAsia="zh-CN"/>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rPr>
                <w:vertAlign w:val="baseline"/>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snapToGrid w:val="0"/>
              <w:spacing w:line="360" w:lineRule="auto"/>
              <w:jc w:val="left"/>
              <w:rPr>
                <w:vertAlign w:val="baseline"/>
              </w:rPr>
            </w:pPr>
            <w:r>
              <w:rPr>
                <w:rFonts w:hint="eastAsia"/>
                <w:vertAlign w:val="baseli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ind w:left="0" w:leftChars="0" w:firstLine="0" w:firstLineChars="0"/>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79"/>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rFonts w:hint="default"/>
                <w:b/>
                <w:bCs/>
                <w:lang w:val="en-US" w:eastAsia="zh-CN"/>
              </w:rPr>
            </w:pPr>
            <w:r>
              <w:rPr>
                <w:rFonts w:hint="eastAsia"/>
                <w:b/>
                <w:bCs/>
                <w:lang w:val="en-US" w:eastAsia="zh-CN"/>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4"/>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6"/>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rFonts w:hint="default"/>
                <w:b/>
                <w:bCs/>
                <w:lang w:val="en-US" w:eastAsia="zh-CN"/>
              </w:rPr>
            </w:pPr>
            <w:r>
              <w:rPr>
                <w:rFonts w:hint="eastAsia"/>
                <w:b/>
                <w:bCs/>
                <w:lang w:val="en-US" w:eastAsia="zh-CN"/>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rPr>
            </w:pPr>
          </w:p>
        </w:tc>
        <w:tc>
          <w:tcPr>
            <w:tcW w:w="5901" w:type="dxa"/>
            <w:vAlign w:val="center"/>
          </w:tcPr>
          <w:p>
            <w:pPr>
              <w:bidi w:val="0"/>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pPr>
              <w:pStyle w:val="143"/>
              <w:widowControl w:val="0"/>
              <w:rPr>
                <w:b/>
                <w:bCs/>
              </w:rPr>
            </w:pPr>
            <w:bookmarkStart w:id="20" w:name="第三部分"/>
            <w:bookmarkStart w:id="21" w:name="_Toc164416483"/>
          </w:p>
        </w:tc>
        <w:tc>
          <w:tcPr>
            <w:tcW w:w="2206" w:type="dxa"/>
            <w:vMerge w:val="continue"/>
            <w:vAlign w:val="center"/>
          </w:tcPr>
          <w:p>
            <w:pPr>
              <w:pStyle w:val="143"/>
              <w:widowControl w:val="0"/>
              <w:rPr>
                <w:b/>
                <w:bCs/>
              </w:rPr>
            </w:pPr>
          </w:p>
        </w:tc>
        <w:tc>
          <w:tcPr>
            <w:tcW w:w="5901" w:type="dxa"/>
            <w:vAlign w:val="center"/>
          </w:tcPr>
          <w:p>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14</w:t>
            </w:r>
          </w:p>
        </w:tc>
        <w:tc>
          <w:tcPr>
            <w:tcW w:w="2206" w:type="dxa"/>
            <w:vAlign w:val="center"/>
          </w:tcPr>
          <w:p>
            <w:pPr>
              <w:pStyle w:val="143"/>
              <w:widowControl w:val="0"/>
              <w:rPr>
                <w:b/>
                <w:bCs/>
                <w:color w:val="auto"/>
              </w:rPr>
            </w:pPr>
            <w:r>
              <w:rPr>
                <w:rFonts w:hint="eastAsia"/>
                <w:b/>
                <w:bCs/>
                <w:color w:val="auto"/>
              </w:rPr>
              <w:t>采购代理服务费</w:t>
            </w:r>
          </w:p>
        </w:tc>
        <w:tc>
          <w:tcPr>
            <w:tcW w:w="5901"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default"/>
                <w:b/>
                <w:bCs/>
                <w:lang w:val="en-US" w:eastAsia="zh-CN"/>
              </w:rPr>
            </w:pPr>
            <w:r>
              <w:rPr>
                <w:rFonts w:hint="eastAsia"/>
                <w:b/>
                <w:bCs/>
                <w:lang w:val="en-US" w:eastAsia="zh-CN"/>
              </w:rPr>
              <w:t>15</w:t>
            </w:r>
          </w:p>
        </w:tc>
        <w:tc>
          <w:tcPr>
            <w:tcW w:w="2206" w:type="dxa"/>
            <w:vMerge w:val="restart"/>
            <w:vAlign w:val="center"/>
          </w:tcPr>
          <w:p>
            <w:pPr>
              <w:pStyle w:val="143"/>
              <w:widowControl w:val="0"/>
              <w:rPr>
                <w:rFonts w:hint="default"/>
                <w:b/>
                <w:bCs/>
                <w:color w:val="auto"/>
                <w:lang w:val="en-US" w:eastAsia="zh-CN"/>
              </w:rPr>
            </w:pPr>
            <w:r>
              <w:rPr>
                <w:rFonts w:hint="eastAsia"/>
                <w:b/>
                <w:bCs/>
                <w:color w:val="auto"/>
              </w:rPr>
              <w:t>其他注意事项</w:t>
            </w:r>
          </w:p>
        </w:tc>
        <w:tc>
          <w:tcPr>
            <w:tcW w:w="5901" w:type="dxa"/>
            <w:vAlign w:val="center"/>
          </w:tcPr>
          <w:p>
            <w:pPr>
              <w:pStyle w:val="725"/>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color w:val="auto"/>
              </w:rPr>
            </w:pPr>
          </w:p>
        </w:tc>
        <w:tc>
          <w:tcPr>
            <w:tcW w:w="5901" w:type="dxa"/>
            <w:vAlign w:val="center"/>
          </w:tcPr>
          <w:p>
            <w:pPr>
              <w:pStyle w:val="725"/>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16</w:t>
            </w:r>
          </w:p>
        </w:tc>
        <w:tc>
          <w:tcPr>
            <w:tcW w:w="2206" w:type="dxa"/>
            <w:vAlign w:val="center"/>
          </w:tcPr>
          <w:p>
            <w:pPr>
              <w:pStyle w:val="143"/>
              <w:widowControl w:val="0"/>
              <w:rPr>
                <w:rFonts w:hint="eastAsia"/>
                <w:b/>
                <w:bCs/>
                <w:color w:val="auto"/>
              </w:rPr>
            </w:pPr>
            <w:bookmarkStart w:id="22" w:name="_Toc20235"/>
            <w:bookmarkStart w:id="23" w:name="_Toc26773"/>
            <w:r>
              <w:rPr>
                <w:rFonts w:hint="eastAsia"/>
                <w:b/>
                <w:bCs/>
                <w:color w:val="auto"/>
              </w:rPr>
              <w:t>解释权</w:t>
            </w:r>
            <w:bookmarkEnd w:id="22"/>
            <w:bookmarkEnd w:id="23"/>
          </w:p>
        </w:tc>
        <w:tc>
          <w:tcPr>
            <w:tcW w:w="5901" w:type="dxa"/>
            <w:vAlign w:val="center"/>
          </w:tcPr>
          <w:p>
            <w:pPr>
              <w:rPr>
                <w:rFonts w:hint="eastAsia"/>
                <w:color w:val="auto"/>
              </w:rPr>
            </w:pPr>
            <w:bookmarkStart w:id="24" w:name="_Toc27891"/>
            <w:bookmarkStart w:id="25" w:name="_Toc13944"/>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bookmarkEnd w:id="13"/>
    </w:tbl>
    <w:p>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6" w:name="_Toc3424"/>
      <w:bookmarkStart w:id="27" w:name="_Toc2518"/>
      <w:r>
        <w:rPr>
          <w:rFonts w:hint="eastAsia"/>
        </w:rPr>
        <w:t>一、总则</w:t>
      </w:r>
      <w:bookmarkEnd w:id="26"/>
      <w:bookmarkEnd w:id="27"/>
    </w:p>
    <w:p>
      <w:pPr>
        <w:pStyle w:val="4"/>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4"/>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4"/>
      </w:pPr>
      <w:r>
        <w:rPr>
          <w:rFonts w:hint="eastAsia"/>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sz w:val="24"/>
        </w:rPr>
      </w:pPr>
      <w:r>
        <w:rPr>
          <w:rFonts w:hint="eastAsia" w:ascii="宋体" w:hAnsi="宋体" w:cs="宋体"/>
          <w:b/>
          <w:bCs/>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pPr>
        <w:bidi w:val="0"/>
        <w:ind w:firstLine="480" w:firstLineChars="200"/>
        <w:rPr>
          <w:rFonts w:hint="eastAsia"/>
        </w:rPr>
      </w:pPr>
      <w:r>
        <w:rPr>
          <w:rFonts w:hint="eastAsia"/>
        </w:rPr>
        <w:t>平等对待内外资企业和符合条件的破产重整企业，切实保障企业公平竞争，平等维护企业的合法利益。</w:t>
      </w:r>
    </w:p>
    <w:p>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5"/>
        <w:bidi w:val="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bidi w:val="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bidi w:val="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4"/>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bidi w:val="0"/>
      </w:pPr>
      <w:r>
        <w:rPr>
          <w:rFonts w:hint="eastAsia"/>
        </w:rPr>
        <w:t>4.</w:t>
      </w:r>
      <w:r>
        <w:rPr>
          <w:rFonts w:hint="eastAsia"/>
          <w:lang w:val="en-US" w:eastAsia="zh-CN"/>
        </w:rPr>
        <w:t>4</w:t>
      </w:r>
      <w:r>
        <w:rPr>
          <w:rFonts w:hint="eastAsia"/>
        </w:rPr>
        <w:t>供应商投诉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4"/>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34"/>
        <w:spacing w:line="360" w:lineRule="auto"/>
        <w:ind w:firstLine="480" w:firstLineChars="200"/>
        <w:rPr>
          <w:rFonts w:hint="eastAsia" w:ascii="宋体" w:hAnsi="宋体" w:eastAsia="宋体"/>
          <w:sz w:val="24"/>
          <w:lang w:val="zh-CN" w:eastAsia="zh-CN"/>
        </w:rPr>
      </w:pPr>
    </w:p>
    <w:p>
      <w:pPr>
        <w:pStyle w:val="890"/>
        <w:shd w:val="clear" w:color="auto" w:fill="FFFFFF"/>
        <w:snapToGrid w:val="0"/>
        <w:spacing w:after="240" w:afterAutospacing="0" w:line="360" w:lineRule="auto"/>
        <w:ind w:firstLine="400"/>
        <w:contextualSpacing/>
      </w:pPr>
    </w:p>
    <w:p>
      <w:pPr>
        <w:pStyle w:val="134"/>
        <w:snapToGrid w:val="0"/>
        <w:spacing w:before="0"/>
        <w:ind w:firstLine="360"/>
        <w:rPr>
          <w:rFonts w:ascii="宋体" w:hAnsi="宋体" w:cs="宋体"/>
          <w:sz w:val="18"/>
          <w:szCs w:val="18"/>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8" w:name="_Toc6417"/>
      <w:bookmarkStart w:id="29" w:name="_Toc2155"/>
      <w:r>
        <w:rPr>
          <w:rFonts w:hint="eastAsia"/>
        </w:rPr>
        <w:t>二、招标文件的构成、澄清、修改</w:t>
      </w:r>
      <w:bookmarkEnd w:id="28"/>
      <w:bookmarkEnd w:id="29"/>
    </w:p>
    <w:p>
      <w:pPr>
        <w:pStyle w:val="4"/>
        <w:bidi w:val="0"/>
      </w:pPr>
      <w:r>
        <w:rPr>
          <w:rFonts w:hint="eastAsia"/>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4"/>
        <w:bidi w:val="0"/>
      </w:pPr>
      <w:r>
        <w:rPr>
          <w:rFonts w:hint="eastAsia"/>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0" w:name="_Toc21343"/>
      <w:bookmarkStart w:id="31" w:name="_Toc23795"/>
      <w:r>
        <w:rPr>
          <w:rFonts w:hint="eastAsia"/>
        </w:rPr>
        <w:t>三、投标</w:t>
      </w:r>
      <w:bookmarkEnd w:id="30"/>
      <w:bookmarkEnd w:id="31"/>
    </w:p>
    <w:p>
      <w:pPr>
        <w:pStyle w:val="4"/>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4"/>
        <w:bidi w:val="0"/>
      </w:pPr>
      <w:r>
        <w:rPr>
          <w:rFonts w:hint="eastAsia"/>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4"/>
        <w:bidi w:val="0"/>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4"/>
        <w:bidi w:val="0"/>
      </w:pPr>
      <w:r>
        <w:rPr>
          <w:rFonts w:hint="eastAsia"/>
        </w:rPr>
        <w:t>11.投标文件的组成</w:t>
      </w:r>
    </w:p>
    <w:p>
      <w:pPr>
        <w:pStyle w:val="5"/>
        <w:bidi w:val="0"/>
      </w:pPr>
      <w:r>
        <w:rPr>
          <w:rFonts w:hint="eastAsia"/>
        </w:rPr>
        <w:t>11.1资格文件</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cs="宋体"/>
          <w:sz w:val="24"/>
          <w:lang w:eastAsia="zh-CN"/>
        </w:rPr>
        <w:t>：</w:t>
      </w:r>
      <w:r>
        <w:rPr>
          <w:rFonts w:hint="eastAsia" w:ascii="宋体" w:hAnsi="宋体" w:cs="宋体"/>
          <w:snapToGrid w:val="0"/>
          <w:kern w:val="28"/>
        </w:rPr>
        <w:t>提供中小企业声明函(或</w:t>
      </w:r>
      <w:r>
        <w:rPr>
          <w:rFonts w:hint="eastAsia" w:ascii="宋体" w:hAnsi="宋体" w:cs="宋体"/>
        </w:rPr>
        <w:t>残疾人福利性单位声明函或监狱企业证明文件）</w:t>
      </w:r>
      <w:r>
        <w:rPr>
          <w:rFonts w:hint="eastAsia" w:ascii="宋体" w:hAnsi="宋体" w:eastAsia="宋体" w:cs="宋体"/>
          <w:sz w:val="24"/>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11.2.6</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rPr>
          <w:rFonts w:hint="eastAsia" w:ascii="宋体" w:hAnsi="宋体" w:cs="宋体"/>
          <w:sz w:val="24"/>
        </w:rPr>
      </w:pPr>
      <w:r>
        <w:rPr>
          <w:rFonts w:hint="eastAsia" w:ascii="宋体" w:hAnsi="宋体" w:cs="宋体"/>
          <w:sz w:val="24"/>
          <w:lang w:val="en-US" w:eastAsia="zh-CN"/>
        </w:rPr>
        <w:t>11.2.7</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cs="宋体"/>
          <w:color w:val="auto"/>
          <w:sz w:val="24"/>
        </w:rPr>
        <w:t>。</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rPr>
          <w:rFonts w:ascii="宋体" w:hAnsi="宋体" w:cs="宋体"/>
          <w:b/>
          <w:sz w:val="24"/>
          <w:szCs w:val="21"/>
        </w:rPr>
      </w:pPr>
      <w:r>
        <w:rPr>
          <w:rFonts w:hint="eastAsia" w:ascii="宋体" w:hAnsi="宋体" w:cs="宋体"/>
          <w:b/>
          <w:sz w:val="24"/>
        </w:rPr>
        <w:t>投标人提供虚假材料投标的，投标无效。</w:t>
      </w:r>
    </w:p>
    <w:p>
      <w:pPr>
        <w:pStyle w:val="4"/>
        <w:bidi w:val="0"/>
      </w:pPr>
      <w:r>
        <w:rPr>
          <w:rFonts w:hint="eastAsia"/>
        </w:rPr>
        <w:t>12</w:t>
      </w:r>
      <w:r>
        <w:rPr>
          <w:rFonts w:hint="eastAsia"/>
          <w:lang w:val="zh-CN"/>
        </w:rPr>
        <w:t xml:space="preserve">. </w:t>
      </w:r>
      <w:r>
        <w:rPr>
          <w:rFonts w:hint="eastAsia"/>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4"/>
        <w:bidi w:val="0"/>
      </w:pPr>
      <w:r>
        <w:rPr>
          <w:rFonts w:hint="eastAsia"/>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bidi w:val="0"/>
      </w:pPr>
      <w:r>
        <w:rPr>
          <w:rFonts w:hint="eastAsia"/>
        </w:rPr>
        <w:t>14. 投标文件的提交、补充、修改、撤回</w:t>
      </w:r>
    </w:p>
    <w:p>
      <w:pPr>
        <w:pStyle w:val="134"/>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pPr>
        <w:pStyle w:val="4"/>
        <w:bidi w:val="0"/>
      </w:pPr>
      <w:r>
        <w:rPr>
          <w:rFonts w:hint="eastAsia"/>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4"/>
        <w:bidi w:val="0"/>
      </w:pPr>
      <w:r>
        <w:rPr>
          <w:rFonts w:hint="eastAsia"/>
        </w:rPr>
        <w:t>16.投标文件的无效处理</w:t>
      </w:r>
    </w:p>
    <w:p>
      <w:pPr>
        <w:pStyle w:val="26"/>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4"/>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2" w:name="_Toc2842"/>
      <w:bookmarkStart w:id="33" w:name="_Toc21464"/>
      <w:r>
        <w:rPr>
          <w:rFonts w:hint="eastAsia"/>
        </w:rPr>
        <w:t>四、开标、资格审查与信用信息查询</w:t>
      </w:r>
      <w:bookmarkEnd w:id="32"/>
      <w:bookmarkEnd w:id="33"/>
    </w:p>
    <w:p>
      <w:pPr>
        <w:pStyle w:val="4"/>
        <w:bidi w:val="0"/>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5"/>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highlight w:val="none"/>
        </w:rPr>
      </w:pPr>
    </w:p>
    <w:p>
      <w:pPr>
        <w:pStyle w:val="134"/>
        <w:spacing w:before="0"/>
        <w:ind w:firstLine="0" w:firstLineChars="0"/>
        <w:rPr>
          <w:rFonts w:ascii="宋体" w:hAnsi="宋体" w:cs="宋体"/>
          <w:kern w:val="0"/>
          <w:szCs w:val="24"/>
          <w:highlight w:val="none"/>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4" w:name="_Toc5142"/>
      <w:bookmarkStart w:id="35" w:name="_Toc313"/>
      <w:r>
        <w:rPr>
          <w:rFonts w:hint="eastAsia"/>
        </w:rPr>
        <w:t>五、评标</w:t>
      </w:r>
      <w:bookmarkEnd w:id="34"/>
      <w:bookmarkEnd w:id="35"/>
    </w:p>
    <w:p>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7" w:name="_Toc30166"/>
      <w:bookmarkStart w:id="38" w:name="_Toc15047"/>
      <w:r>
        <w:rPr>
          <w:rFonts w:hint="eastAsia"/>
        </w:rPr>
        <w:t>六、定 标</w:t>
      </w:r>
      <w:bookmarkEnd w:id="37"/>
      <w:bookmarkEnd w:id="38"/>
    </w:p>
    <w:p>
      <w:pPr>
        <w:pStyle w:val="4"/>
        <w:bidi w:val="0"/>
      </w:pPr>
      <w:r>
        <w:rPr>
          <w:rFonts w:hint="eastAsia"/>
        </w:rPr>
        <w:t>22. 确定中标供应商</w:t>
      </w:r>
    </w:p>
    <w:p>
      <w:pPr>
        <w:pStyle w:val="134"/>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4"/>
        <w:bidi w:val="0"/>
      </w:pPr>
      <w:r>
        <w:rPr>
          <w:rFonts w:hint="eastAsia"/>
        </w:rPr>
        <w:t>23. 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2" w:firstLineChars="150"/>
        <w:jc w:val="center"/>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9" w:name="_Toc19257"/>
      <w:bookmarkStart w:id="40" w:name="_Toc18672"/>
      <w:r>
        <w:rPr>
          <w:rFonts w:hint="eastAsia"/>
        </w:rPr>
        <w:t>七、合同授予</w:t>
      </w:r>
      <w:bookmarkEnd w:id="39"/>
      <w:bookmarkEnd w:id="40"/>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bidi w:val="0"/>
      </w:pPr>
      <w:r>
        <w:rPr>
          <w:rFonts w:hint="eastAsia"/>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4"/>
        <w:bidi w:val="0"/>
      </w:pPr>
      <w:r>
        <w:rPr>
          <w:rFonts w:hint="eastAsia"/>
        </w:rPr>
        <w:t>26. 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bidi w:val="0"/>
      </w:pPr>
      <w:bookmarkStart w:id="41" w:name="_Toc1857"/>
      <w:bookmarkStart w:id="42" w:name="_Toc28676"/>
      <w:r>
        <w:rPr>
          <w:rFonts w:hint="eastAsia"/>
        </w:rPr>
        <w:t>八、电子交易活动的中止</w:t>
      </w:r>
      <w:bookmarkEnd w:id="41"/>
      <w:bookmarkEnd w:id="42"/>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 w:name="_Toc5169"/>
      <w:bookmarkStart w:id="44" w:name="_Toc1567"/>
      <w:r>
        <w:rPr>
          <w:rFonts w:hint="eastAsia"/>
        </w:rPr>
        <w:t>九、验收</w:t>
      </w:r>
      <w:bookmarkEnd w:id="43"/>
      <w:bookmarkEnd w:id="44"/>
    </w:p>
    <w:p>
      <w:pPr>
        <w:pStyle w:val="4"/>
        <w:bidi w:val="0"/>
      </w:pPr>
      <w:r>
        <w:rPr>
          <w:rFonts w:hint="eastAsia"/>
        </w:rPr>
        <w:t>29.验收</w:t>
      </w:r>
    </w:p>
    <w:bookmarkEnd w:id="20"/>
    <w:bookmarkEnd w:id="21"/>
    <w:bookmarkEnd w:id="36"/>
    <w:p>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6" w:name="_Toc28975"/>
      <w:bookmarkStart w:id="47" w:name="_Toc22977"/>
      <w:bookmarkStart w:id="48" w:name="_Toc31241"/>
      <w:r>
        <w:rPr>
          <w:rFonts w:hint="eastAsia"/>
        </w:rPr>
        <w:t>第三部分 采购需求</w:t>
      </w:r>
      <w:bookmarkEnd w:id="46"/>
      <w:bookmarkEnd w:id="47"/>
      <w:bookmarkEnd w:id="48"/>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为进一步提升浙江福彩公益品牌影响力，更好地履行福利彩票社会责任，践行浙江福彩为民爱民使命及公益慈善初心，促进我省福利彩票安全健康发展，建设好、宣传好福彩公益品牌，利用好我省省会城市杭州人流大优势，拟在杭州核心城区</w:t>
      </w:r>
      <w:r>
        <w:rPr>
          <w:rFonts w:hint="eastAsia" w:ascii="宋体" w:hAnsi="宋体" w:eastAsia="宋体" w:cs="Helvetica"/>
          <w:b w:val="0"/>
          <w:bCs w:val="0"/>
          <w:kern w:val="0"/>
          <w:sz w:val="24"/>
          <w:lang w:val="en-US" w:eastAsia="zh-CN"/>
        </w:rPr>
        <w:t>如沿杭州延安路一带、武林商圈和湖滨商圈等</w:t>
      </w:r>
      <w:r>
        <w:rPr>
          <w:rFonts w:hint="eastAsia" w:ascii="宋体" w:hAnsi="宋体" w:cs="Helvetica"/>
          <w:b w:val="0"/>
          <w:bCs w:val="0"/>
          <w:kern w:val="0"/>
          <w:sz w:val="24"/>
          <w:lang w:val="en-US" w:eastAsia="zh-CN"/>
        </w:rPr>
        <w:t>地</w:t>
      </w:r>
      <w:r>
        <w:rPr>
          <w:rFonts w:hint="eastAsia" w:ascii="宋体" w:hAnsi="宋体" w:eastAsia="宋体" w:cs="Helvetica"/>
          <w:kern w:val="0"/>
          <w:sz w:val="24"/>
        </w:rPr>
        <w:t>户外LED大屏投放品牌形象宣传内容，因此开展此次招标工作：</w:t>
      </w:r>
    </w:p>
    <w:p>
      <w:pPr>
        <w:pStyle w:val="4"/>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一、服务需求</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本项目整体以“公益福彩”为主题，旨在提升浙江福彩公益形象及品牌影响力，根据采购方特点及要求，设计制作并在杭州核心城区户外LED大屏上发布，主要投放区域计划在人流密集、商业繁华、户外广告资源质优的</w:t>
      </w:r>
      <w:r>
        <w:rPr>
          <w:rFonts w:hint="eastAsia" w:ascii="宋体" w:hAnsi="宋体" w:eastAsia="宋体" w:cs="Helvetica"/>
          <w:kern w:val="0"/>
          <w:sz w:val="24"/>
          <w:lang w:val="en-US" w:eastAsia="zh-CN"/>
        </w:rPr>
        <w:t>如</w:t>
      </w:r>
      <w:r>
        <w:rPr>
          <w:rFonts w:hint="eastAsia" w:ascii="宋体" w:hAnsi="宋体" w:eastAsia="宋体" w:cs="Helvetica"/>
          <w:kern w:val="0"/>
          <w:sz w:val="24"/>
        </w:rPr>
        <w:t>沿杭州延安路一带、武林商圈和湖滨商圈</w:t>
      </w:r>
      <w:r>
        <w:rPr>
          <w:rFonts w:hint="eastAsia" w:ascii="宋体" w:hAnsi="宋体" w:eastAsia="宋体" w:cs="Helvetica"/>
          <w:kern w:val="0"/>
          <w:sz w:val="24"/>
          <w:lang w:val="en-US" w:eastAsia="zh-CN"/>
        </w:rPr>
        <w:t>等</w:t>
      </w:r>
      <w:r>
        <w:rPr>
          <w:rFonts w:hint="eastAsia" w:ascii="宋体" w:hAnsi="宋体" w:eastAsia="宋体" w:cs="Helvetica"/>
          <w:kern w:val="0"/>
          <w:sz w:val="24"/>
        </w:rPr>
        <w:t>，具体涉及但不仅限于以下内容：</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1、广告形式为城市户外LED大屏广告（静态或动态），由中标方负责设计制作，广告须包含福彩公益元素、福利彩票游戏元素，要求整体画面优美、颜色鲜艳、体现福彩公益宗旨，尺寸等参数需适配所采用的广告位。所有设计内容须严格遵守有关要求及规定，不得与之冲突，并经采购方审核通过后投入使用。</w:t>
      </w:r>
    </w:p>
    <w:p>
      <w:pPr>
        <w:tabs>
          <w:tab w:val="left" w:pos="0"/>
        </w:tabs>
        <w:spacing w:line="360" w:lineRule="auto"/>
        <w:ind w:firstLine="480"/>
        <w:rPr>
          <w:rFonts w:hint="eastAsia" w:ascii="宋体" w:hAnsi="宋体" w:eastAsia="宋体" w:cs="Helvetica"/>
          <w:b w:val="0"/>
          <w:bCs w:val="0"/>
          <w:kern w:val="0"/>
          <w:sz w:val="24"/>
        </w:rPr>
      </w:pPr>
      <w:r>
        <w:rPr>
          <w:rFonts w:hint="eastAsia" w:ascii="宋体" w:hAnsi="宋体" w:eastAsia="宋体" w:cs="Helvetica"/>
          <w:b w:val="0"/>
          <w:bCs w:val="0"/>
          <w:kern w:val="0"/>
          <w:sz w:val="24"/>
        </w:rPr>
        <w:t>2、广告投放策略：</w:t>
      </w:r>
    </w:p>
    <w:p>
      <w:pPr>
        <w:tabs>
          <w:tab w:val="left" w:pos="0"/>
        </w:tabs>
        <w:spacing w:line="360" w:lineRule="auto"/>
        <w:ind w:firstLine="480"/>
        <w:rPr>
          <w:rFonts w:hint="eastAsia" w:ascii="宋体" w:hAnsi="宋体" w:eastAsia="宋体" w:cs="Helvetica"/>
          <w:b w:val="0"/>
          <w:bCs w:val="0"/>
          <w:color w:val="auto"/>
          <w:kern w:val="0"/>
          <w:sz w:val="24"/>
        </w:rPr>
      </w:pPr>
      <w:r>
        <w:rPr>
          <w:rFonts w:hint="eastAsia" w:ascii="宋体" w:hAnsi="宋体" w:eastAsia="宋体" w:cs="Helvetica"/>
          <w:b w:val="0"/>
          <w:bCs w:val="0"/>
          <w:color w:val="auto"/>
          <w:kern w:val="0"/>
          <w:sz w:val="24"/>
          <w:lang w:val="en-US" w:eastAsia="zh-CN"/>
        </w:rPr>
        <w:t>利用杭州核心城区沿杭州延安路一带、武林商圈和湖滨商圈等优质广告资源处投放，要求人流密集、商业繁</w:t>
      </w:r>
      <w:r>
        <w:rPr>
          <w:rFonts w:hint="eastAsia" w:ascii="宋体" w:hAnsi="宋体" w:eastAsia="宋体" w:cs="Helvetica"/>
          <w:b w:val="0"/>
          <w:bCs w:val="0"/>
          <w:color w:val="auto"/>
          <w:kern w:val="0"/>
          <w:sz w:val="24"/>
          <w:highlight w:val="none"/>
          <w:lang w:val="en-US" w:eastAsia="zh-CN"/>
        </w:rPr>
        <w:t>华、户外广告资源优质</w:t>
      </w:r>
      <w:r>
        <w:rPr>
          <w:rFonts w:hint="eastAsia" w:ascii="宋体" w:hAnsi="宋体" w:eastAsia="宋体" w:cs="Helvetica"/>
          <w:b w:val="0"/>
          <w:bCs w:val="0"/>
          <w:color w:val="auto"/>
          <w:kern w:val="0"/>
          <w:sz w:val="24"/>
          <w:highlight w:val="none"/>
          <w:lang w:eastAsia="zh-CN"/>
        </w:rPr>
        <w:t>。</w:t>
      </w:r>
      <w:r>
        <w:rPr>
          <w:rFonts w:hint="eastAsia" w:ascii="宋体" w:hAnsi="宋体" w:eastAsia="宋体" w:cs="Helvetica"/>
          <w:b w:val="0"/>
          <w:bCs w:val="0"/>
          <w:color w:val="auto"/>
          <w:kern w:val="0"/>
          <w:sz w:val="24"/>
          <w:highlight w:val="none"/>
        </w:rPr>
        <w:t>总体不少于7处点位，</w:t>
      </w:r>
      <w:r>
        <w:rPr>
          <w:rFonts w:hint="eastAsia" w:ascii="宋体" w:hAnsi="宋体" w:cs="Helvetica"/>
          <w:b w:val="0"/>
          <w:bCs w:val="0"/>
          <w:color w:val="auto"/>
          <w:kern w:val="0"/>
          <w:sz w:val="24"/>
          <w:highlight w:val="none"/>
          <w:lang w:val="en-US" w:eastAsia="zh-CN"/>
        </w:rPr>
        <w:t>其中</w:t>
      </w:r>
      <w:r>
        <w:rPr>
          <w:rFonts w:hint="eastAsia" w:ascii="宋体" w:hAnsi="宋体" w:eastAsia="宋体" w:cs="Helvetica"/>
          <w:b w:val="0"/>
          <w:bCs w:val="0"/>
          <w:color w:val="auto"/>
          <w:kern w:val="0"/>
          <w:sz w:val="24"/>
          <w:highlight w:val="none"/>
          <w:lang w:val="en-US" w:eastAsia="zh-CN"/>
        </w:rPr>
        <w:t>杭州延安路一带</w:t>
      </w:r>
      <w:r>
        <w:rPr>
          <w:rFonts w:hint="eastAsia" w:ascii="宋体" w:hAnsi="宋体" w:cs="Helvetica"/>
          <w:b w:val="0"/>
          <w:bCs w:val="0"/>
          <w:color w:val="auto"/>
          <w:kern w:val="0"/>
          <w:sz w:val="24"/>
          <w:highlight w:val="none"/>
          <w:lang w:val="en-US" w:eastAsia="zh-CN"/>
        </w:rPr>
        <w:t>不少于4处</w:t>
      </w:r>
      <w:r>
        <w:rPr>
          <w:rFonts w:hint="eastAsia" w:ascii="宋体" w:hAnsi="宋体" w:eastAsia="宋体" w:cs="Helvetica"/>
          <w:b w:val="0"/>
          <w:bCs w:val="0"/>
          <w:color w:val="auto"/>
          <w:kern w:val="0"/>
          <w:sz w:val="24"/>
          <w:highlight w:val="none"/>
          <w:lang w:val="en-US" w:eastAsia="zh-CN"/>
        </w:rPr>
        <w:t>、武林商圈</w:t>
      </w:r>
      <w:r>
        <w:rPr>
          <w:rFonts w:hint="eastAsia" w:ascii="宋体" w:hAnsi="宋体" w:cs="Helvetica"/>
          <w:b w:val="0"/>
          <w:bCs w:val="0"/>
          <w:color w:val="auto"/>
          <w:kern w:val="0"/>
          <w:sz w:val="24"/>
          <w:highlight w:val="none"/>
          <w:lang w:val="en-US" w:eastAsia="zh-CN"/>
        </w:rPr>
        <w:t>不少于2处，</w:t>
      </w:r>
      <w:r>
        <w:rPr>
          <w:rFonts w:hint="eastAsia" w:ascii="宋体" w:hAnsi="宋体" w:eastAsia="宋体" w:cs="Helvetica"/>
          <w:b w:val="0"/>
          <w:bCs w:val="0"/>
          <w:color w:val="auto"/>
          <w:kern w:val="0"/>
          <w:sz w:val="24"/>
          <w:highlight w:val="none"/>
          <w:lang w:val="en-US" w:eastAsia="zh-CN"/>
        </w:rPr>
        <w:t>湖滨商圈</w:t>
      </w:r>
      <w:r>
        <w:rPr>
          <w:rFonts w:hint="eastAsia" w:ascii="宋体" w:hAnsi="宋体" w:cs="Helvetica"/>
          <w:b w:val="0"/>
          <w:bCs w:val="0"/>
          <w:color w:val="auto"/>
          <w:kern w:val="0"/>
          <w:sz w:val="24"/>
          <w:highlight w:val="none"/>
          <w:lang w:val="en-US" w:eastAsia="zh-CN"/>
        </w:rPr>
        <w:t>不少于1处。至少2处点位LED屏幕尺寸不小于1000</w:t>
      </w:r>
      <w:r>
        <w:rPr>
          <w:rFonts w:hint="eastAsia" w:ascii="宋体" w:hAnsi="宋体" w:eastAsia="宋体" w:cs="Helvetica"/>
          <w:b w:val="0"/>
          <w:bCs w:val="0"/>
          <w:color w:val="auto"/>
          <w:kern w:val="0"/>
          <w:sz w:val="24"/>
          <w:highlight w:val="none"/>
        </w:rPr>
        <w:t>㎡</w:t>
      </w:r>
      <w:r>
        <w:rPr>
          <w:rFonts w:hint="eastAsia" w:ascii="宋体" w:hAnsi="宋体" w:cs="Helvetica"/>
          <w:b w:val="0"/>
          <w:bCs w:val="0"/>
          <w:color w:val="auto"/>
          <w:kern w:val="0"/>
          <w:sz w:val="24"/>
          <w:highlight w:val="none"/>
          <w:lang w:eastAsia="zh-CN"/>
        </w:rPr>
        <w:t>，</w:t>
      </w:r>
      <w:r>
        <w:rPr>
          <w:rFonts w:hint="eastAsia" w:ascii="宋体" w:hAnsi="宋体" w:cs="Helvetica"/>
          <w:b w:val="0"/>
          <w:bCs w:val="0"/>
          <w:color w:val="auto"/>
          <w:kern w:val="0"/>
          <w:sz w:val="24"/>
          <w:highlight w:val="none"/>
          <w:lang w:val="en-US" w:eastAsia="zh-CN"/>
        </w:rPr>
        <w:t>其他</w:t>
      </w:r>
      <w:r>
        <w:rPr>
          <w:rFonts w:hint="eastAsia" w:ascii="宋体" w:hAnsi="宋体" w:eastAsia="宋体" w:cs="Helvetica"/>
          <w:b w:val="0"/>
          <w:bCs w:val="0"/>
          <w:color w:val="auto"/>
          <w:kern w:val="0"/>
          <w:sz w:val="24"/>
          <w:highlight w:val="none"/>
        </w:rPr>
        <w:t>点位LED屏幕尺寸不小于</w:t>
      </w:r>
      <w:r>
        <w:rPr>
          <w:rFonts w:hint="eastAsia" w:ascii="宋体" w:hAnsi="宋体" w:eastAsia="宋体" w:cs="Helvetica"/>
          <w:b w:val="0"/>
          <w:bCs w:val="0"/>
          <w:color w:val="auto"/>
          <w:kern w:val="0"/>
          <w:sz w:val="24"/>
          <w:highlight w:val="none"/>
          <w:lang w:val="en-US" w:eastAsia="zh-CN"/>
        </w:rPr>
        <w:t>18</w:t>
      </w:r>
      <w:r>
        <w:rPr>
          <w:rFonts w:hint="eastAsia" w:ascii="宋体" w:hAnsi="宋体" w:eastAsia="宋体" w:cs="Helvetica"/>
          <w:b w:val="0"/>
          <w:bCs w:val="0"/>
          <w:color w:val="auto"/>
          <w:kern w:val="0"/>
          <w:sz w:val="24"/>
          <w:highlight w:val="none"/>
        </w:rPr>
        <w:t>0㎡，投放频次及时长为</w:t>
      </w:r>
      <w:r>
        <w:rPr>
          <w:rFonts w:hint="eastAsia" w:ascii="宋体" w:hAnsi="宋体" w:cs="Helvetica"/>
          <w:b w:val="0"/>
          <w:bCs w:val="0"/>
          <w:color w:val="auto"/>
          <w:kern w:val="0"/>
          <w:sz w:val="24"/>
          <w:highlight w:val="none"/>
          <w:lang w:val="en-US" w:eastAsia="zh-CN"/>
        </w:rPr>
        <w:t>不少于</w:t>
      </w:r>
      <w:r>
        <w:rPr>
          <w:rFonts w:hint="eastAsia" w:ascii="宋体" w:hAnsi="宋体" w:eastAsia="宋体" w:cs="Helvetica"/>
          <w:b w:val="0"/>
          <w:bCs w:val="0"/>
          <w:color w:val="auto"/>
          <w:kern w:val="0"/>
          <w:sz w:val="24"/>
          <w:highlight w:val="none"/>
        </w:rPr>
        <w:t>180次/天，</w:t>
      </w:r>
      <w:r>
        <w:rPr>
          <w:rFonts w:hint="eastAsia" w:ascii="宋体" w:hAnsi="宋体" w:cs="Helvetica"/>
          <w:b w:val="0"/>
          <w:bCs w:val="0"/>
          <w:color w:val="auto"/>
          <w:kern w:val="0"/>
          <w:sz w:val="24"/>
          <w:highlight w:val="none"/>
          <w:lang w:val="en-US" w:eastAsia="zh-CN"/>
        </w:rPr>
        <w:t>不少于</w:t>
      </w:r>
      <w:r>
        <w:rPr>
          <w:rFonts w:hint="eastAsia" w:ascii="宋体" w:hAnsi="宋体" w:eastAsia="宋体" w:cs="Helvetica"/>
          <w:b w:val="0"/>
          <w:bCs w:val="0"/>
          <w:color w:val="auto"/>
          <w:kern w:val="0"/>
          <w:sz w:val="24"/>
          <w:highlight w:val="none"/>
        </w:rPr>
        <w:t>15s/次，每处点位</w:t>
      </w:r>
      <w:r>
        <w:rPr>
          <w:rFonts w:hint="eastAsia" w:cs="Times New Roman"/>
          <w:b w:val="0"/>
          <w:bCs w:val="0"/>
          <w:color w:val="auto"/>
          <w:sz w:val="24"/>
          <w:szCs w:val="24"/>
          <w:highlight w:val="none"/>
          <w:lang w:val="en-US" w:eastAsia="zh-CN"/>
        </w:rPr>
        <w:t>投放周期</w:t>
      </w:r>
      <w:r>
        <w:rPr>
          <w:rFonts w:hint="eastAsia" w:ascii="宋体" w:hAnsi="宋体" w:eastAsia="宋体" w:cs="Helvetica"/>
          <w:b w:val="0"/>
          <w:bCs w:val="0"/>
          <w:color w:val="auto"/>
          <w:kern w:val="0"/>
          <w:sz w:val="24"/>
          <w:highlight w:val="none"/>
        </w:rPr>
        <w:t>连续不间断不少于4周，LED电子大屏所处位置要求视野佳，广告效果好，在交通干道沿线或重要大型商业综合体外立面。</w:t>
      </w:r>
    </w:p>
    <w:p>
      <w:pPr>
        <w:tabs>
          <w:tab w:val="left" w:pos="0"/>
        </w:tabs>
        <w:spacing w:line="360" w:lineRule="auto"/>
        <w:ind w:firstLine="480"/>
        <w:rPr>
          <w:rFonts w:hint="eastAsia" w:ascii="宋体" w:hAnsi="宋体" w:eastAsia="宋体" w:cs="Helvetica"/>
          <w:b w:val="0"/>
          <w:bCs w:val="0"/>
          <w:kern w:val="0"/>
          <w:sz w:val="24"/>
        </w:rPr>
      </w:pPr>
      <w:r>
        <w:rPr>
          <w:rFonts w:hint="eastAsia" w:ascii="宋体" w:hAnsi="宋体" w:eastAsia="宋体" w:cs="Helvetica"/>
          <w:b w:val="0"/>
          <w:bCs w:val="0"/>
          <w:kern w:val="0"/>
          <w:sz w:val="24"/>
        </w:rPr>
        <w:t>3、其他服务</w:t>
      </w:r>
    </w:p>
    <w:p>
      <w:pPr>
        <w:tabs>
          <w:tab w:val="left" w:pos="0"/>
        </w:tabs>
        <w:spacing w:line="360" w:lineRule="auto"/>
        <w:ind w:firstLine="480"/>
        <w:rPr>
          <w:rFonts w:hint="eastAsia" w:ascii="Times New Roman" w:hAnsi="Times New Roman" w:cs="Times New Roman"/>
          <w:color w:val="auto"/>
          <w:highlight w:val="none"/>
          <w:lang w:val="en-US" w:eastAsia="zh-CN"/>
        </w:rPr>
      </w:pPr>
      <w:r>
        <w:rPr>
          <w:rFonts w:hint="eastAsia" w:ascii="宋体" w:hAnsi="宋体" w:eastAsia="宋体" w:cs="Helvetica"/>
          <w:b w:val="0"/>
          <w:bCs w:val="0"/>
          <w:kern w:val="0"/>
          <w:sz w:val="24"/>
        </w:rPr>
        <w:t>为了更好地执行本项目，投标人利用自有或可利用的优势广告资源提供其他服务，并提供完善的执行方案。</w:t>
      </w:r>
    </w:p>
    <w:p>
      <w:pPr>
        <w:pStyle w:val="4"/>
        <w:numPr>
          <w:ilvl w:val="-1"/>
          <w:numId w:val="0"/>
        </w:numPr>
        <w:bidi w:val="0"/>
        <w:ind w:firstLine="241" w:firstLineChars="1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二、服务团队</w:t>
      </w:r>
    </w:p>
    <w:p>
      <w:pPr>
        <w:tabs>
          <w:tab w:val="left" w:pos="0"/>
        </w:tabs>
        <w:spacing w:line="360" w:lineRule="auto"/>
        <w:ind w:firstLine="480"/>
        <w:rPr>
          <w:rFonts w:hint="eastAsia" w:ascii="宋体" w:hAnsi="宋体" w:cs="Helvetica"/>
          <w:color w:val="auto"/>
          <w:kern w:val="0"/>
          <w:sz w:val="24"/>
          <w:lang w:val="en-US" w:eastAsia="zh-CN"/>
        </w:rPr>
      </w:pPr>
      <w:r>
        <w:rPr>
          <w:rFonts w:hint="eastAsia" w:ascii="宋体" w:hAnsi="宋体" w:cs="Helvetica"/>
          <w:color w:val="auto"/>
          <w:kern w:val="0"/>
          <w:sz w:val="24"/>
          <w:lang w:val="en-US" w:eastAsia="zh-CN"/>
        </w:rPr>
        <w:t>1.</w:t>
      </w:r>
      <w:r>
        <w:rPr>
          <w:rFonts w:hint="eastAsia" w:ascii="宋体" w:hAnsi="宋体" w:eastAsia="宋体" w:cs="Helvetica"/>
          <w:color w:val="auto"/>
          <w:kern w:val="0"/>
          <w:sz w:val="24"/>
        </w:rPr>
        <w:t>服务团队需配备经验丰富的项目负责人、完整的视频制作团队、美工、文案、新媒体广告投放等专业人员，必须了解福彩业务，理解福彩文化。</w:t>
      </w:r>
      <w:r>
        <w:rPr>
          <w:rFonts w:hint="eastAsia" w:ascii="宋体" w:hAnsi="宋体" w:cs="Helvetica"/>
          <w:color w:val="auto"/>
          <w:kern w:val="0"/>
          <w:sz w:val="24"/>
          <w:lang w:val="en-US" w:eastAsia="zh-CN"/>
        </w:rPr>
        <w:t>具体团队成员以双方确认为准，合作期间未经采购人书面同意，中标人不得变更团队成员。</w:t>
      </w:r>
    </w:p>
    <w:p>
      <w:pPr>
        <w:tabs>
          <w:tab w:val="left" w:pos="0"/>
        </w:tabs>
        <w:spacing w:line="360" w:lineRule="auto"/>
        <w:ind w:firstLine="480"/>
        <w:rPr>
          <w:rFonts w:hint="default" w:ascii="宋体" w:hAnsi="宋体" w:cs="Helvetica"/>
          <w:color w:val="auto"/>
          <w:kern w:val="0"/>
          <w:sz w:val="24"/>
          <w:lang w:val="en-US" w:eastAsia="zh-CN"/>
        </w:rPr>
      </w:pPr>
      <w:r>
        <w:rPr>
          <w:rFonts w:hint="eastAsia" w:ascii="宋体" w:hAnsi="宋体" w:cs="Helvetica"/>
          <w:color w:val="auto"/>
          <w:kern w:val="0"/>
          <w:sz w:val="24"/>
          <w:lang w:val="en-US" w:eastAsia="zh-CN"/>
        </w:rPr>
        <w:t>2.采购人认为中标人团队成员不符合采购人要求的，采购人有权要求中标人予以更换。</w:t>
      </w:r>
    </w:p>
    <w:p>
      <w:pPr>
        <w:pStyle w:val="4"/>
        <w:bidi w:val="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三</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宣传成果提交</w:t>
      </w:r>
      <w:r>
        <w:rPr>
          <w:rFonts w:hint="eastAsia" w:ascii="Times New Roman" w:hAnsi="Times New Roman" w:eastAsia="宋体" w:cs="Times New Roman"/>
          <w:color w:val="auto"/>
          <w:highlight w:val="none"/>
          <w:lang w:val="en-US" w:eastAsia="zh-CN"/>
        </w:rPr>
        <w:t>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个工作日内向采购人提交书面结案报告。</w:t>
      </w:r>
    </w:p>
    <w:p>
      <w:pPr>
        <w:pStyle w:val="4"/>
        <w:bidi w:val="0"/>
        <w:rPr>
          <w:rFonts w:hint="eastAsia"/>
          <w:color w:val="auto"/>
          <w:lang w:val="en-US" w:eastAsia="zh-CN"/>
        </w:rPr>
      </w:pPr>
      <w:r>
        <w:rPr>
          <w:rFonts w:hint="eastAsia"/>
          <w:color w:val="auto"/>
          <w:lang w:val="en-US" w:eastAsia="zh-CN"/>
        </w:rPr>
        <w:t>四、商务要求</w:t>
      </w:r>
    </w:p>
    <w:p>
      <w:pPr>
        <w:pStyle w:val="5"/>
        <w:numPr>
          <w:ilvl w:val="0"/>
          <w:numId w:val="1"/>
        </w:numPr>
        <w:bidi w:val="0"/>
        <w:rPr>
          <w:rFonts w:hint="eastAsia"/>
          <w:color w:val="auto"/>
          <w:lang w:val="en-US" w:eastAsia="zh-CN"/>
        </w:rPr>
      </w:pPr>
      <w:r>
        <w:rPr>
          <w:rFonts w:hint="eastAsia"/>
          <w:color w:val="auto"/>
          <w:lang w:val="en-US" w:eastAsia="zh-CN"/>
        </w:rPr>
        <w:t>服务期</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宣传地点</w:t>
      </w:r>
    </w:p>
    <w:p>
      <w:pPr>
        <w:bidi w:val="0"/>
        <w:rPr>
          <w:rFonts w:hint="eastAsia" w:eastAsia="宋体"/>
          <w:color w:val="auto"/>
          <w:lang w:val="en-US" w:eastAsia="zh-CN"/>
        </w:rPr>
      </w:pPr>
      <w:r>
        <w:rPr>
          <w:rFonts w:hint="eastAsia" w:ascii="宋体" w:hAnsi="宋体" w:cs="Helvetica"/>
          <w:color w:val="auto"/>
          <w:kern w:val="0"/>
          <w:sz w:val="24"/>
          <w:lang w:eastAsia="zh-CN"/>
        </w:rPr>
        <w:t>杭</w:t>
      </w:r>
      <w:r>
        <w:rPr>
          <w:rFonts w:hint="eastAsia" w:ascii="宋体" w:hAnsi="宋体" w:eastAsia="宋体" w:cs="Helvetica"/>
          <w:color w:val="auto"/>
          <w:kern w:val="0"/>
          <w:sz w:val="24"/>
        </w:rPr>
        <w:t>州核心城区</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 xml:space="preserve">付款方式 </w:t>
      </w:r>
    </w:p>
    <w:p>
      <w:pPr>
        <w:bidi w:val="0"/>
        <w:rPr>
          <w:rFonts w:hint="eastAsia"/>
          <w:color w:val="auto"/>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color w:val="auto"/>
          <w:lang w:eastAsia="zh-CN"/>
        </w:rPr>
        <w:t>中标方</w:t>
      </w:r>
      <w:r>
        <w:rPr>
          <w:rFonts w:hint="eastAsia" w:ascii="宋体" w:hAnsi="宋体" w:cs="Times New Roman"/>
          <w:color w:val="auto"/>
          <w:szCs w:val="21"/>
          <w:lang w:val="en-US" w:eastAsia="zh-CN"/>
        </w:rPr>
        <w:t>向</w:t>
      </w:r>
      <w:r>
        <w:rPr>
          <w:rFonts w:hint="eastAsia"/>
          <w:color w:val="auto"/>
        </w:rPr>
        <w:t>采购人</w:t>
      </w:r>
      <w:r>
        <w:rPr>
          <w:rFonts w:hint="eastAsia" w:ascii="宋体" w:hAnsi="宋体" w:cs="Times New Roman"/>
          <w:color w:val="auto"/>
          <w:szCs w:val="21"/>
          <w:lang w:val="en-US" w:eastAsia="zh-CN"/>
        </w:rPr>
        <w:t>开具发票，</w:t>
      </w:r>
      <w:r>
        <w:rPr>
          <w:rFonts w:hint="eastAsia"/>
          <w:color w:val="auto"/>
        </w:rPr>
        <w:t>采购人</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color w:val="auto"/>
        </w:rPr>
        <w:t>采购人</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color w:val="auto"/>
        </w:rPr>
        <w:t>采购人</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bidi w:val="0"/>
        <w:rPr>
          <w:rFonts w:hint="default"/>
          <w:color w:val="auto"/>
          <w:lang w:val="en-US" w:eastAsia="zh-CN"/>
        </w:rPr>
      </w:pPr>
      <w:r>
        <w:rPr>
          <w:rFonts w:hint="eastAsia"/>
          <w:color w:val="auto"/>
        </w:rPr>
        <w:t>在签订合同时，</w:t>
      </w:r>
      <w:r>
        <w:rPr>
          <w:rFonts w:hint="eastAsia"/>
          <w:color w:val="auto"/>
          <w:lang w:eastAsia="zh-CN"/>
        </w:rPr>
        <w:t>中标方</w:t>
      </w:r>
      <w:r>
        <w:rPr>
          <w:rFonts w:hint="eastAsia"/>
          <w:color w:val="auto"/>
        </w:rPr>
        <w:t>明确表示无需预付款或者主动要求降低预付款比例的，可降低预付款比例。</w:t>
      </w:r>
    </w:p>
    <w:p>
      <w:pPr>
        <w:pStyle w:val="5"/>
        <w:pageBreakBefore w:val="0"/>
        <w:widowControl w:val="0"/>
        <w:kinsoku/>
        <w:wordWrap/>
        <w:overflowPunct/>
        <w:topLinePunct w:val="0"/>
        <w:autoSpaceDE/>
        <w:autoSpaceDN/>
        <w:bidi w:val="0"/>
        <w:adjustRightInd w:val="0"/>
        <w:snapToGrid w:val="0"/>
        <w:spacing w:line="400" w:lineRule="exact"/>
        <w:textAlignment w:val="auto"/>
        <w:rPr>
          <w:rFonts w:hint="eastAsia"/>
          <w:color w:val="auto"/>
          <w:lang w:val="en-US" w:eastAsia="zh-CN"/>
        </w:rPr>
      </w:pPr>
      <w:r>
        <w:rPr>
          <w:rFonts w:hint="eastAsia"/>
          <w:color w:val="auto"/>
          <w:lang w:val="en-US" w:eastAsia="zh-CN"/>
        </w:rPr>
        <w:t>4、履约保证金</w:t>
      </w:r>
    </w:p>
    <w:p>
      <w:pPr>
        <w:pageBreakBefore w:val="0"/>
        <w:widowControl w:val="0"/>
        <w:kinsoku/>
        <w:wordWrap/>
        <w:overflowPunct/>
        <w:topLinePunct w:val="0"/>
        <w:autoSpaceDE/>
        <w:autoSpaceDN/>
        <w:bidi w:val="0"/>
        <w:adjustRightInd w:val="0"/>
        <w:snapToGrid w:val="0"/>
        <w:spacing w:line="400" w:lineRule="exact"/>
        <w:textAlignment w:val="auto"/>
        <w:rPr>
          <w:rFonts w:hint="eastAsia"/>
          <w:color w:val="auto"/>
          <w:lang w:val="en-US" w:eastAsia="zh-CN"/>
        </w:rPr>
      </w:pPr>
      <w:r>
        <w:rPr>
          <w:rFonts w:hint="eastAsia"/>
          <w:color w:val="auto"/>
          <w:lang w:val="en-US" w:eastAsia="zh-CN"/>
        </w:rPr>
        <w:t>无</w:t>
      </w:r>
    </w:p>
    <w:p>
      <w:pPr>
        <w:pStyle w:val="5"/>
        <w:pageBreakBefore w:val="0"/>
        <w:widowControl w:val="0"/>
        <w:kinsoku/>
        <w:wordWrap/>
        <w:overflowPunct/>
        <w:topLinePunct w:val="0"/>
        <w:autoSpaceDE/>
        <w:autoSpaceDN/>
        <w:bidi w:val="0"/>
        <w:adjustRightInd w:val="0"/>
        <w:snapToGrid w:val="0"/>
        <w:spacing w:line="400" w:lineRule="exact"/>
        <w:textAlignment w:val="auto"/>
        <w:rPr>
          <w:rFonts w:hint="eastAsia"/>
          <w:color w:val="auto"/>
          <w:lang w:val="en-US" w:eastAsia="zh-CN"/>
        </w:rPr>
      </w:pPr>
      <w:r>
        <w:rPr>
          <w:rFonts w:hint="eastAsia"/>
          <w:color w:val="auto"/>
          <w:lang w:val="en-US" w:eastAsia="zh-CN"/>
        </w:rPr>
        <w:t>5、验收要求</w:t>
      </w:r>
    </w:p>
    <w:p>
      <w:pPr>
        <w:pageBreakBefore w:val="0"/>
        <w:widowControl w:val="0"/>
        <w:kinsoku/>
        <w:wordWrap/>
        <w:overflowPunct/>
        <w:topLinePunct w:val="0"/>
        <w:autoSpaceDE/>
        <w:autoSpaceDN/>
        <w:bidi w:val="0"/>
        <w:adjustRightInd w:val="0"/>
        <w:snapToGrid w:val="0"/>
        <w:spacing w:line="400" w:lineRule="exact"/>
        <w:ind w:right="26" w:rightChars="11" w:firstLine="456" w:firstLineChars="200"/>
        <w:textAlignment w:val="auto"/>
        <w:rPr>
          <w:rFonts w:ascii="宋体" w:hAnsi="宋体" w:cs="宋体"/>
          <w:color w:val="auto"/>
          <w:spacing w:val="-6"/>
        </w:rPr>
      </w:pPr>
      <w:r>
        <w:rPr>
          <w:rFonts w:hint="eastAsia" w:ascii="宋体" w:hAnsi="宋体" w:cs="宋体"/>
          <w:color w:val="auto"/>
          <w:spacing w:val="-6"/>
          <w:lang w:val="en-US" w:eastAsia="zh-CN"/>
        </w:rPr>
        <w:t>5.1</w:t>
      </w:r>
      <w:r>
        <w:rPr>
          <w:rFonts w:hint="eastAsia" w:ascii="宋体" w:hAnsi="宋体" w:cs="宋体"/>
          <w:color w:val="auto"/>
          <w:spacing w:val="-6"/>
        </w:rPr>
        <w:t>验收由</w:t>
      </w:r>
      <w:r>
        <w:rPr>
          <w:rFonts w:hint="eastAsia" w:ascii="宋体" w:hAnsi="宋体" w:cs="宋体"/>
          <w:color w:val="auto"/>
          <w:spacing w:val="-6"/>
          <w:lang w:eastAsia="zh-CN"/>
        </w:rPr>
        <w:t>采购人</w:t>
      </w:r>
      <w:r>
        <w:rPr>
          <w:rFonts w:hint="eastAsia" w:ascii="宋体" w:hAnsi="宋体" w:cs="宋体"/>
          <w:color w:val="auto"/>
          <w:spacing w:val="-6"/>
        </w:rPr>
        <w:t>负责实施</w:t>
      </w:r>
    </w:p>
    <w:p>
      <w:pPr>
        <w:pageBreakBefore w:val="0"/>
        <w:widowControl w:val="0"/>
        <w:kinsoku/>
        <w:wordWrap/>
        <w:overflowPunct/>
        <w:topLinePunct w:val="0"/>
        <w:autoSpaceDE/>
        <w:autoSpaceDN/>
        <w:bidi w:val="0"/>
        <w:adjustRightInd w:val="0"/>
        <w:snapToGrid w:val="0"/>
        <w:spacing w:line="400" w:lineRule="exact"/>
        <w:ind w:right="26" w:rightChars="11" w:firstLine="456" w:firstLineChars="200"/>
        <w:textAlignment w:val="auto"/>
        <w:rPr>
          <w:rFonts w:ascii="宋体" w:hAnsi="宋体" w:cs="宋体"/>
          <w:color w:val="auto"/>
          <w:spacing w:val="-6"/>
        </w:rPr>
      </w:pPr>
      <w:r>
        <w:rPr>
          <w:rFonts w:hint="eastAsia" w:ascii="宋体" w:hAnsi="宋体" w:cs="宋体"/>
          <w:color w:val="auto"/>
          <w:spacing w:val="-6"/>
          <w:lang w:val="en-US" w:eastAsia="zh-CN"/>
        </w:rPr>
        <w:t>5.2</w:t>
      </w:r>
      <w:r>
        <w:rPr>
          <w:rFonts w:hint="eastAsia" w:ascii="宋体" w:hAnsi="宋体" w:cs="宋体"/>
          <w:color w:val="auto"/>
          <w:spacing w:val="-6"/>
        </w:rPr>
        <w:t>验收依据：</w:t>
      </w:r>
    </w:p>
    <w:p>
      <w:pPr>
        <w:pageBreakBefore w:val="0"/>
        <w:widowControl w:val="0"/>
        <w:kinsoku/>
        <w:wordWrap/>
        <w:overflowPunct/>
        <w:topLinePunct w:val="0"/>
        <w:autoSpaceDE/>
        <w:autoSpaceDN/>
        <w:bidi w:val="0"/>
        <w:adjustRightInd w:val="0"/>
        <w:snapToGrid w:val="0"/>
        <w:spacing w:line="400" w:lineRule="exact"/>
        <w:ind w:right="26" w:rightChars="11" w:firstLine="684" w:firstLineChars="300"/>
        <w:textAlignment w:val="auto"/>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pageBreakBefore w:val="0"/>
        <w:widowControl w:val="0"/>
        <w:kinsoku/>
        <w:wordWrap/>
        <w:overflowPunct/>
        <w:topLinePunct w:val="0"/>
        <w:autoSpaceDE/>
        <w:autoSpaceDN/>
        <w:bidi w:val="0"/>
        <w:adjustRightInd w:val="0"/>
        <w:snapToGrid w:val="0"/>
        <w:spacing w:line="400" w:lineRule="exact"/>
        <w:ind w:right="26" w:rightChars="11" w:firstLine="684" w:firstLineChars="300"/>
        <w:textAlignment w:val="auto"/>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2.2</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2024</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11</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25</w:t>
      </w:r>
      <w:r>
        <w:rPr>
          <w:rFonts w:hint="eastAsia" w:ascii="宋体" w:hAnsi="宋体" w:cs="宋体"/>
          <w:color w:val="auto"/>
          <w:spacing w:val="-6"/>
          <w:highlight w:val="none"/>
        </w:rPr>
        <w:t>日前</w:t>
      </w:r>
      <w:r>
        <w:rPr>
          <w:rFonts w:hint="eastAsia" w:ascii="宋体" w:hAnsi="宋体" w:cs="宋体"/>
          <w:color w:val="auto"/>
          <w:spacing w:val="-6"/>
        </w:rPr>
        <w:t>，</w:t>
      </w:r>
      <w:r>
        <w:rPr>
          <w:rFonts w:hint="eastAsia"/>
          <w:color w:val="auto"/>
          <w:lang w:eastAsia="zh-CN"/>
        </w:rPr>
        <w:t>中标方</w:t>
      </w:r>
      <w:r>
        <w:rPr>
          <w:rFonts w:hint="eastAsia" w:ascii="宋体" w:hAnsi="宋体" w:cs="宋体"/>
          <w:color w:val="auto"/>
          <w:spacing w:val="-6"/>
        </w:rPr>
        <w:t>向</w:t>
      </w:r>
      <w:r>
        <w:rPr>
          <w:rFonts w:hint="eastAsia" w:ascii="宋体" w:hAnsi="宋体" w:cs="宋体"/>
          <w:color w:val="auto"/>
          <w:spacing w:val="-6"/>
          <w:lang w:eastAsia="zh-CN"/>
        </w:rPr>
        <w:t>采购人</w:t>
      </w:r>
      <w:r>
        <w:rPr>
          <w:rFonts w:hint="eastAsia" w:ascii="宋体" w:hAnsi="宋体" w:cs="宋体"/>
          <w:color w:val="auto"/>
          <w:spacing w:val="-6"/>
        </w:rPr>
        <w:t>提供与采购文件相符的结案报告供</w:t>
      </w:r>
      <w:r>
        <w:rPr>
          <w:rFonts w:hint="eastAsia" w:ascii="宋体" w:hAnsi="宋体" w:cs="宋体"/>
          <w:color w:val="auto"/>
          <w:spacing w:val="-6"/>
          <w:lang w:eastAsia="zh-CN"/>
        </w:rPr>
        <w:t>采购人</w:t>
      </w:r>
      <w:r>
        <w:rPr>
          <w:rFonts w:hint="eastAsia" w:ascii="宋体" w:hAnsi="宋体" w:cs="宋体"/>
          <w:color w:val="auto"/>
          <w:spacing w:val="-6"/>
        </w:rPr>
        <w:t>验收，以合作内容的落实情况报告为主。</w:t>
      </w:r>
    </w:p>
    <w:p>
      <w:pPr>
        <w:pageBreakBefore w:val="0"/>
        <w:widowControl w:val="0"/>
        <w:kinsoku/>
        <w:wordWrap/>
        <w:overflowPunct/>
        <w:topLinePunct w:val="0"/>
        <w:autoSpaceDE/>
        <w:autoSpaceDN/>
        <w:bidi w:val="0"/>
        <w:adjustRightInd w:val="0"/>
        <w:snapToGrid w:val="0"/>
        <w:spacing w:line="400" w:lineRule="exact"/>
        <w:ind w:right="26" w:rightChars="11"/>
        <w:textAlignment w:val="auto"/>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3.</w:t>
      </w:r>
      <w:r>
        <w:rPr>
          <w:rFonts w:hint="eastAsia" w:ascii="宋体" w:hAnsi="宋体" w:cs="宋体"/>
          <w:color w:val="auto"/>
          <w:spacing w:val="-6"/>
          <w:lang w:eastAsia="zh-CN"/>
        </w:rPr>
        <w:t>采购人</w:t>
      </w:r>
      <w:r>
        <w:rPr>
          <w:rFonts w:hint="eastAsia" w:ascii="宋体" w:hAnsi="宋体" w:cs="宋体"/>
          <w:color w:val="auto"/>
          <w:spacing w:val="-6"/>
        </w:rPr>
        <w:t>于收到结案报告之日起7日内对</w:t>
      </w:r>
      <w:r>
        <w:rPr>
          <w:rFonts w:hint="eastAsia"/>
          <w:color w:val="auto"/>
          <w:lang w:eastAsia="zh-CN"/>
        </w:rPr>
        <w:t>中标方</w:t>
      </w:r>
      <w:r>
        <w:rPr>
          <w:rFonts w:hint="eastAsia" w:ascii="宋体" w:hAnsi="宋体" w:cs="宋体"/>
          <w:color w:val="auto"/>
          <w:spacing w:val="-6"/>
        </w:rPr>
        <w:t>服务进行验收，针对</w:t>
      </w:r>
      <w:r>
        <w:rPr>
          <w:rFonts w:hint="eastAsia"/>
          <w:color w:val="auto"/>
          <w:lang w:eastAsia="zh-CN"/>
        </w:rPr>
        <w:t>中标方</w:t>
      </w:r>
      <w:r>
        <w:rPr>
          <w:rFonts w:hint="eastAsia" w:ascii="宋体" w:hAnsi="宋体" w:cs="宋体"/>
          <w:color w:val="auto"/>
          <w:spacing w:val="-6"/>
        </w:rPr>
        <w:t>服务不符合合同、采购文件、投标承诺要求的，每一项</w:t>
      </w:r>
      <w:r>
        <w:rPr>
          <w:rFonts w:hint="eastAsia" w:ascii="宋体" w:hAnsi="宋体" w:cs="宋体"/>
          <w:color w:val="auto"/>
          <w:spacing w:val="-6"/>
          <w:lang w:eastAsia="zh-CN"/>
        </w:rPr>
        <w:t>采购人</w:t>
      </w:r>
      <w:r>
        <w:rPr>
          <w:rFonts w:hint="eastAsia" w:ascii="宋体" w:hAnsi="宋体" w:cs="宋体"/>
          <w:color w:val="auto"/>
          <w:spacing w:val="-6"/>
        </w:rPr>
        <w:t>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lang w:eastAsia="zh-CN"/>
        </w:rPr>
        <w:t>合同</w:t>
      </w:r>
      <w:r>
        <w:rPr>
          <w:rFonts w:hint="eastAsia" w:ascii="宋体" w:hAnsi="宋体" w:cs="宋体"/>
          <w:color w:val="auto"/>
          <w:spacing w:val="-6"/>
          <w:lang w:eastAsia="zh-Hans"/>
        </w:rPr>
        <w:t>追究</w:t>
      </w:r>
      <w:r>
        <w:rPr>
          <w:rFonts w:hint="eastAsia"/>
          <w:color w:val="auto"/>
          <w:lang w:eastAsia="zh-CN"/>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pPr>
        <w:pageBreakBefore w:val="0"/>
        <w:widowControl w:val="0"/>
        <w:kinsoku/>
        <w:wordWrap/>
        <w:overflowPunct/>
        <w:topLinePunct w:val="0"/>
        <w:autoSpaceDE/>
        <w:autoSpaceDN/>
        <w:bidi w:val="0"/>
        <w:adjustRightInd w:val="0"/>
        <w:snapToGrid w:val="0"/>
        <w:spacing w:line="400" w:lineRule="exact"/>
        <w:ind w:right="26" w:rightChars="11" w:firstLine="456" w:firstLineChars="200"/>
        <w:textAlignment w:val="auto"/>
        <w:rPr>
          <w:rFonts w:ascii="宋体" w:hAnsi="宋体" w:cs="宋体"/>
          <w:color w:val="auto"/>
          <w:spacing w:val="-6"/>
        </w:rPr>
      </w:pPr>
      <w:r>
        <w:rPr>
          <w:rFonts w:hint="eastAsia" w:ascii="宋体" w:hAnsi="宋体" w:cs="宋体"/>
          <w:color w:val="auto"/>
          <w:spacing w:val="-6"/>
          <w:lang w:val="en-US" w:eastAsia="zh-CN"/>
        </w:rPr>
        <w:t>5.4</w:t>
      </w:r>
      <w:r>
        <w:rPr>
          <w:rFonts w:hint="eastAsia" w:ascii="宋体" w:hAnsi="宋体" w:cs="宋体"/>
          <w:color w:val="auto"/>
          <w:spacing w:val="-6"/>
        </w:rPr>
        <w:t>验收合格的条件：</w:t>
      </w:r>
    </w:p>
    <w:p>
      <w:pPr>
        <w:pageBreakBefore w:val="0"/>
        <w:widowControl w:val="0"/>
        <w:kinsoku/>
        <w:wordWrap/>
        <w:overflowPunct/>
        <w:topLinePunct w:val="0"/>
        <w:autoSpaceDE/>
        <w:autoSpaceDN/>
        <w:bidi w:val="0"/>
        <w:adjustRightInd w:val="0"/>
        <w:snapToGrid w:val="0"/>
        <w:spacing w:line="400" w:lineRule="exact"/>
        <w:ind w:right="26" w:rightChars="11" w:firstLine="684" w:firstLineChars="300"/>
        <w:textAlignment w:val="auto"/>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4.1所供服务符合标准和合同的要求；</w:t>
      </w:r>
    </w:p>
    <w:p>
      <w:pPr>
        <w:pageBreakBefore w:val="0"/>
        <w:widowControl w:val="0"/>
        <w:kinsoku/>
        <w:wordWrap/>
        <w:overflowPunct/>
        <w:topLinePunct w:val="0"/>
        <w:autoSpaceDE/>
        <w:autoSpaceDN/>
        <w:bidi w:val="0"/>
        <w:adjustRightInd w:val="0"/>
        <w:snapToGrid w:val="0"/>
        <w:spacing w:line="400" w:lineRule="exact"/>
        <w:ind w:right="26" w:rightChars="11" w:firstLine="684" w:firstLineChars="300"/>
        <w:textAlignment w:val="auto"/>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4.2在进行验收过程中发现的问题已被解决并得到</w:t>
      </w:r>
      <w:r>
        <w:rPr>
          <w:rFonts w:hint="eastAsia" w:ascii="宋体" w:hAnsi="宋体" w:cs="宋体"/>
          <w:color w:val="auto"/>
          <w:spacing w:val="-6"/>
          <w:lang w:eastAsia="zh-CN"/>
        </w:rPr>
        <w:t>采购人</w:t>
      </w:r>
      <w:r>
        <w:rPr>
          <w:rFonts w:hint="eastAsia" w:ascii="宋体" w:hAnsi="宋体" w:cs="宋体"/>
          <w:color w:val="auto"/>
          <w:spacing w:val="-6"/>
        </w:rPr>
        <w:t>的</w:t>
      </w:r>
      <w:r>
        <w:rPr>
          <w:rFonts w:hint="eastAsia" w:ascii="宋体" w:hAnsi="宋体" w:cs="宋体"/>
          <w:color w:val="auto"/>
          <w:spacing w:val="-6"/>
          <w:lang w:eastAsia="zh-Hans"/>
        </w:rPr>
        <w:t>书面</w:t>
      </w:r>
      <w:r>
        <w:rPr>
          <w:rFonts w:hint="eastAsia" w:ascii="宋体" w:hAnsi="宋体" w:cs="宋体"/>
          <w:color w:val="auto"/>
          <w:spacing w:val="-6"/>
        </w:rPr>
        <w:t>认可；</w:t>
      </w:r>
    </w:p>
    <w:p>
      <w:pPr>
        <w:pageBreakBefore w:val="0"/>
        <w:widowControl w:val="0"/>
        <w:kinsoku/>
        <w:wordWrap/>
        <w:overflowPunct/>
        <w:topLinePunct w:val="0"/>
        <w:autoSpaceDE/>
        <w:autoSpaceDN/>
        <w:bidi w:val="0"/>
        <w:adjustRightInd w:val="0"/>
        <w:snapToGrid w:val="0"/>
        <w:spacing w:line="400" w:lineRule="exact"/>
        <w:ind w:right="26" w:rightChars="11" w:firstLine="684" w:firstLineChars="300"/>
        <w:textAlignment w:val="auto"/>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4.3合同中规定的所有服务和材料均已交付；</w:t>
      </w:r>
    </w:p>
    <w:p>
      <w:pPr>
        <w:pageBreakBefore w:val="0"/>
        <w:widowControl w:val="0"/>
        <w:kinsoku/>
        <w:wordWrap/>
        <w:overflowPunct/>
        <w:topLinePunct w:val="0"/>
        <w:autoSpaceDE/>
        <w:autoSpaceDN/>
        <w:bidi w:val="0"/>
        <w:adjustRightInd w:val="0"/>
        <w:snapToGrid w:val="0"/>
        <w:spacing w:line="400" w:lineRule="exact"/>
        <w:ind w:right="26" w:rightChars="11" w:firstLine="684" w:firstLineChars="300"/>
        <w:textAlignment w:val="auto"/>
        <w:rPr>
          <w:rFonts w:hint="eastAsia"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4.4所有相关的技术文件及资料均已提交并得到接受。</w:t>
      </w:r>
    </w:p>
    <w:p>
      <w:pPr>
        <w:pStyle w:val="2"/>
        <w:bidi w:val="0"/>
        <w:rPr>
          <w:rFonts w:ascii="宋体" w:hAnsi="宋体" w:cs="宋体"/>
          <w:b/>
          <w:sz w:val="36"/>
          <w:szCs w:val="36"/>
        </w:rPr>
      </w:pPr>
      <w:bookmarkStart w:id="49" w:name="_Toc14870"/>
      <w:bookmarkStart w:id="50" w:name="_Toc27491"/>
      <w:bookmarkStart w:id="51" w:name="_Toc13039"/>
      <w:r>
        <w:rPr>
          <w:rFonts w:hint="eastAsia" w:ascii="宋体" w:hAnsi="宋体" w:cs="宋体"/>
          <w:b/>
          <w:sz w:val="36"/>
          <w:szCs w:val="36"/>
        </w:rPr>
        <w:t xml:space="preserve">第四部分 </w:t>
      </w:r>
      <w:bookmarkStart w:id="52" w:name="_Toc184310298"/>
      <w:bookmarkEnd w:id="52"/>
      <w:bookmarkStart w:id="53" w:name="_Toc184308088"/>
      <w:bookmarkEnd w:id="53"/>
      <w:bookmarkStart w:id="54" w:name="_Toc184314412"/>
      <w:bookmarkEnd w:id="54"/>
      <w:bookmarkStart w:id="55" w:name="_Toc184313241"/>
      <w:bookmarkEnd w:id="55"/>
      <w:bookmarkStart w:id="56" w:name="_Toc184313306"/>
      <w:bookmarkEnd w:id="56"/>
      <w:bookmarkStart w:id="57" w:name="_Toc184314424"/>
      <w:bookmarkEnd w:id="57"/>
      <w:bookmarkStart w:id="58" w:name="_Toc184314448"/>
      <w:bookmarkEnd w:id="58"/>
      <w:bookmarkStart w:id="59" w:name="_Toc184314465"/>
      <w:bookmarkEnd w:id="59"/>
      <w:bookmarkStart w:id="60" w:name="_Toc184314436"/>
      <w:bookmarkEnd w:id="60"/>
      <w:bookmarkStart w:id="61" w:name="_Toc184313238"/>
      <w:bookmarkEnd w:id="61"/>
      <w:bookmarkStart w:id="62" w:name="_Toc184308055"/>
      <w:bookmarkEnd w:id="62"/>
      <w:bookmarkStart w:id="63" w:name="_Toc184313289"/>
      <w:bookmarkEnd w:id="63"/>
      <w:bookmarkStart w:id="64" w:name="_Toc184314482"/>
      <w:bookmarkEnd w:id="64"/>
      <w:bookmarkStart w:id="65" w:name="_Toc184314446"/>
      <w:bookmarkEnd w:id="65"/>
      <w:bookmarkStart w:id="66" w:name="_Toc184312068"/>
      <w:bookmarkEnd w:id="66"/>
      <w:bookmarkStart w:id="67" w:name="_Toc184314411"/>
      <w:bookmarkEnd w:id="67"/>
      <w:bookmarkStart w:id="68" w:name="_Toc184314475"/>
      <w:bookmarkEnd w:id="68"/>
      <w:bookmarkStart w:id="69" w:name="_Toc184308047"/>
      <w:bookmarkEnd w:id="69"/>
      <w:bookmarkStart w:id="70" w:name="_Toc184310328"/>
      <w:bookmarkEnd w:id="70"/>
      <w:bookmarkStart w:id="71" w:name="_Toc184310343"/>
      <w:bookmarkEnd w:id="71"/>
      <w:bookmarkStart w:id="72" w:name="_Toc184308086"/>
      <w:bookmarkEnd w:id="72"/>
      <w:bookmarkStart w:id="73" w:name="_Toc184310322"/>
      <w:bookmarkEnd w:id="73"/>
      <w:bookmarkStart w:id="74" w:name="_Toc184308036"/>
      <w:bookmarkEnd w:id="74"/>
      <w:bookmarkStart w:id="75" w:name="_Toc184313265"/>
      <w:bookmarkEnd w:id="75"/>
      <w:bookmarkStart w:id="76" w:name="_Toc184308042"/>
      <w:bookmarkEnd w:id="76"/>
      <w:bookmarkStart w:id="77" w:name="_Toc184308083"/>
      <w:bookmarkEnd w:id="77"/>
      <w:bookmarkStart w:id="78" w:name="_Toc184314471"/>
      <w:bookmarkEnd w:id="78"/>
      <w:bookmarkStart w:id="79" w:name="_Toc184314425"/>
      <w:bookmarkEnd w:id="79"/>
      <w:bookmarkStart w:id="80" w:name="_Toc184310340"/>
      <w:bookmarkEnd w:id="80"/>
      <w:bookmarkStart w:id="81" w:name="_Toc184310299"/>
      <w:bookmarkEnd w:id="81"/>
      <w:bookmarkStart w:id="82" w:name="_Toc184312089"/>
      <w:bookmarkEnd w:id="82"/>
      <w:bookmarkStart w:id="83" w:name="_Toc184314428"/>
      <w:bookmarkEnd w:id="83"/>
      <w:bookmarkStart w:id="84" w:name="_Toc184312130"/>
      <w:bookmarkEnd w:id="84"/>
      <w:bookmarkStart w:id="85" w:name="_Toc184314413"/>
      <w:bookmarkEnd w:id="85"/>
      <w:bookmarkStart w:id="86" w:name="_Toc184312067"/>
      <w:bookmarkEnd w:id="86"/>
      <w:bookmarkStart w:id="87" w:name="_Toc184308095"/>
      <w:bookmarkEnd w:id="87"/>
      <w:bookmarkStart w:id="88" w:name="_Toc184308094"/>
      <w:bookmarkEnd w:id="88"/>
      <w:bookmarkStart w:id="89" w:name="_Toc184314437"/>
      <w:bookmarkEnd w:id="89"/>
      <w:bookmarkStart w:id="90" w:name="_Toc184308089"/>
      <w:bookmarkEnd w:id="90"/>
      <w:bookmarkStart w:id="91" w:name="_Toc184312128"/>
      <w:bookmarkEnd w:id="91"/>
      <w:bookmarkStart w:id="92" w:name="_Toc184310335"/>
      <w:bookmarkEnd w:id="92"/>
      <w:bookmarkStart w:id="93" w:name="_Toc184314417"/>
      <w:bookmarkEnd w:id="93"/>
      <w:bookmarkStart w:id="94" w:name="_Toc184314415"/>
      <w:bookmarkEnd w:id="94"/>
      <w:bookmarkStart w:id="95" w:name="_Toc184312121"/>
      <w:bookmarkEnd w:id="95"/>
      <w:bookmarkStart w:id="96" w:name="_Toc184314416"/>
      <w:bookmarkEnd w:id="96"/>
      <w:bookmarkStart w:id="97" w:name="_Toc184313285"/>
      <w:bookmarkEnd w:id="97"/>
      <w:bookmarkStart w:id="98" w:name="_Toc184308090"/>
      <w:bookmarkEnd w:id="98"/>
      <w:bookmarkStart w:id="99" w:name="_Toc184312092"/>
      <w:bookmarkEnd w:id="99"/>
      <w:bookmarkStart w:id="100" w:name="_Toc184308080"/>
      <w:bookmarkEnd w:id="100"/>
      <w:bookmarkStart w:id="101" w:name="_Toc184314456"/>
      <w:bookmarkEnd w:id="101"/>
      <w:bookmarkStart w:id="102" w:name="_Toc184312127"/>
      <w:bookmarkEnd w:id="102"/>
      <w:bookmarkStart w:id="103" w:name="_Toc184310316"/>
      <w:bookmarkEnd w:id="103"/>
      <w:bookmarkStart w:id="104" w:name="_Toc184314443"/>
      <w:bookmarkEnd w:id="104"/>
      <w:bookmarkStart w:id="105" w:name="_Toc184308098"/>
      <w:bookmarkEnd w:id="105"/>
      <w:bookmarkStart w:id="106" w:name="_Toc184313303"/>
      <w:bookmarkEnd w:id="106"/>
      <w:bookmarkStart w:id="107" w:name="_Toc184313264"/>
      <w:bookmarkEnd w:id="107"/>
      <w:bookmarkStart w:id="108" w:name="_Toc184308084"/>
      <w:bookmarkEnd w:id="108"/>
      <w:bookmarkStart w:id="109" w:name="_Toc184313257"/>
      <w:bookmarkEnd w:id="109"/>
      <w:bookmarkStart w:id="110" w:name="_Toc184312088"/>
      <w:bookmarkEnd w:id="110"/>
      <w:bookmarkStart w:id="111" w:name="_Toc184312072"/>
      <w:bookmarkEnd w:id="111"/>
      <w:bookmarkStart w:id="112" w:name="_Toc184310289"/>
      <w:bookmarkEnd w:id="112"/>
      <w:bookmarkStart w:id="113" w:name="_Toc184310282"/>
      <w:bookmarkEnd w:id="113"/>
      <w:bookmarkStart w:id="114" w:name="_Toc184308076"/>
      <w:bookmarkEnd w:id="114"/>
      <w:bookmarkStart w:id="115" w:name="_Toc184310277"/>
      <w:bookmarkEnd w:id="115"/>
      <w:bookmarkStart w:id="116" w:name="_Toc184312132"/>
      <w:bookmarkEnd w:id="116"/>
      <w:bookmarkStart w:id="117" w:name="_Toc184310323"/>
      <w:bookmarkEnd w:id="117"/>
      <w:bookmarkStart w:id="118" w:name="_Toc184314445"/>
      <w:bookmarkEnd w:id="118"/>
      <w:bookmarkStart w:id="119" w:name="_Toc184312134"/>
      <w:bookmarkEnd w:id="119"/>
      <w:bookmarkStart w:id="120" w:name="_Toc184313240"/>
      <w:bookmarkEnd w:id="120"/>
      <w:bookmarkStart w:id="121" w:name="_Toc184314458"/>
      <w:bookmarkEnd w:id="121"/>
      <w:bookmarkStart w:id="122" w:name="_Toc184310273"/>
      <w:bookmarkEnd w:id="122"/>
      <w:bookmarkStart w:id="123" w:name="_Toc184314477"/>
      <w:bookmarkEnd w:id="123"/>
      <w:bookmarkStart w:id="124" w:name="_Toc184314478"/>
      <w:bookmarkEnd w:id="124"/>
      <w:bookmarkStart w:id="125" w:name="_Toc184312111"/>
      <w:bookmarkEnd w:id="125"/>
      <w:bookmarkStart w:id="126" w:name="_Toc184310306"/>
      <w:bookmarkEnd w:id="126"/>
      <w:bookmarkStart w:id="127" w:name="_Toc184313270"/>
      <w:bookmarkEnd w:id="127"/>
      <w:bookmarkStart w:id="128" w:name="_Toc184312083"/>
      <w:bookmarkEnd w:id="128"/>
      <w:bookmarkStart w:id="129" w:name="_Toc184312095"/>
      <w:bookmarkEnd w:id="129"/>
      <w:bookmarkStart w:id="130" w:name="_Toc184313300"/>
      <w:bookmarkEnd w:id="130"/>
      <w:bookmarkStart w:id="131" w:name="_Toc184312109"/>
      <w:bookmarkEnd w:id="131"/>
      <w:bookmarkStart w:id="132" w:name="_Toc184308091"/>
      <w:bookmarkEnd w:id="132"/>
      <w:bookmarkStart w:id="133" w:name="_Toc184308039"/>
      <w:bookmarkEnd w:id="133"/>
      <w:bookmarkStart w:id="134" w:name="_Toc184314467"/>
      <w:bookmarkEnd w:id="134"/>
      <w:bookmarkStart w:id="135" w:name="_Toc184314469"/>
      <w:bookmarkEnd w:id="135"/>
      <w:bookmarkStart w:id="136" w:name="_Toc184314472"/>
      <w:bookmarkEnd w:id="136"/>
      <w:bookmarkStart w:id="137" w:name="_Toc184308059"/>
      <w:bookmarkEnd w:id="137"/>
      <w:bookmarkStart w:id="138" w:name="_Toc184313272"/>
      <w:bookmarkEnd w:id="138"/>
      <w:bookmarkStart w:id="139" w:name="_Toc184308082"/>
      <w:bookmarkEnd w:id="139"/>
      <w:bookmarkStart w:id="140" w:name="_Toc184313261"/>
      <w:bookmarkEnd w:id="140"/>
      <w:bookmarkStart w:id="141" w:name="_Toc184313301"/>
      <w:bookmarkEnd w:id="141"/>
      <w:bookmarkStart w:id="142" w:name="_Toc184308102"/>
      <w:bookmarkEnd w:id="142"/>
      <w:bookmarkStart w:id="143" w:name="_Toc184313276"/>
      <w:bookmarkEnd w:id="143"/>
      <w:bookmarkStart w:id="144" w:name="_Toc184308075"/>
      <w:bookmarkEnd w:id="144"/>
      <w:bookmarkStart w:id="145" w:name="_Toc184313297"/>
      <w:bookmarkEnd w:id="145"/>
      <w:bookmarkStart w:id="146" w:name="_Toc184313266"/>
      <w:bookmarkEnd w:id="146"/>
      <w:bookmarkStart w:id="147" w:name="_Toc184313291"/>
      <w:bookmarkEnd w:id="147"/>
      <w:bookmarkStart w:id="148" w:name="_Toc184313293"/>
      <w:bookmarkEnd w:id="148"/>
      <w:bookmarkStart w:id="149" w:name="_Toc184314468"/>
      <w:bookmarkEnd w:id="149"/>
      <w:bookmarkStart w:id="150" w:name="_Toc184308108"/>
      <w:bookmarkEnd w:id="150"/>
      <w:bookmarkStart w:id="151" w:name="_Toc184310274"/>
      <w:bookmarkEnd w:id="151"/>
      <w:bookmarkStart w:id="152" w:name="_Toc184308097"/>
      <w:bookmarkEnd w:id="152"/>
      <w:bookmarkStart w:id="153" w:name="_Toc184310304"/>
      <w:bookmarkEnd w:id="153"/>
      <w:bookmarkStart w:id="154" w:name="_Toc184313251"/>
      <w:bookmarkEnd w:id="154"/>
      <w:bookmarkStart w:id="155" w:name="_Toc184313255"/>
      <w:bookmarkEnd w:id="155"/>
      <w:bookmarkStart w:id="156" w:name="_Toc184314459"/>
      <w:bookmarkEnd w:id="156"/>
      <w:bookmarkStart w:id="157" w:name="_Toc184308038"/>
      <w:bookmarkEnd w:id="157"/>
      <w:bookmarkStart w:id="158" w:name="_Toc184312069"/>
      <w:bookmarkEnd w:id="158"/>
      <w:bookmarkStart w:id="159" w:name="_Toc184313246"/>
      <w:bookmarkEnd w:id="159"/>
      <w:bookmarkStart w:id="160" w:name="_Toc184313254"/>
      <w:bookmarkEnd w:id="160"/>
      <w:bookmarkStart w:id="161" w:name="_Toc184310313"/>
      <w:bookmarkEnd w:id="161"/>
      <w:bookmarkStart w:id="162" w:name="_Toc184313282"/>
      <w:bookmarkEnd w:id="162"/>
      <w:bookmarkStart w:id="163" w:name="_Toc184312084"/>
      <w:bookmarkEnd w:id="163"/>
      <w:bookmarkStart w:id="164" w:name="_Toc184314447"/>
      <w:bookmarkEnd w:id="164"/>
      <w:bookmarkStart w:id="165" w:name="_Toc184313247"/>
      <w:bookmarkEnd w:id="165"/>
      <w:bookmarkStart w:id="166" w:name="_Toc184308072"/>
      <w:bookmarkEnd w:id="166"/>
      <w:bookmarkStart w:id="167" w:name="_Toc184313290"/>
      <w:bookmarkEnd w:id="167"/>
      <w:bookmarkStart w:id="168" w:name="_Toc184308051"/>
      <w:bookmarkEnd w:id="168"/>
      <w:bookmarkStart w:id="169" w:name="_Toc184314473"/>
      <w:bookmarkEnd w:id="169"/>
      <w:bookmarkStart w:id="170" w:name="_Toc184314435"/>
      <w:bookmarkEnd w:id="170"/>
      <w:bookmarkStart w:id="171" w:name="_Toc184308071"/>
      <w:bookmarkEnd w:id="171"/>
      <w:bookmarkStart w:id="172" w:name="_Toc184314418"/>
      <w:bookmarkEnd w:id="172"/>
      <w:bookmarkStart w:id="173" w:name="_Toc184308065"/>
      <w:bookmarkEnd w:id="173"/>
      <w:bookmarkStart w:id="174" w:name="_Toc184313294"/>
      <w:bookmarkEnd w:id="174"/>
      <w:bookmarkStart w:id="175" w:name="_Toc184314410"/>
      <w:bookmarkEnd w:id="175"/>
      <w:bookmarkStart w:id="176" w:name="_Toc184314442"/>
      <w:bookmarkEnd w:id="176"/>
      <w:bookmarkStart w:id="177" w:name="_Toc184313280"/>
      <w:bookmarkEnd w:id="177"/>
      <w:bookmarkStart w:id="178" w:name="_Toc184314464"/>
      <w:bookmarkEnd w:id="178"/>
      <w:bookmarkStart w:id="179" w:name="_Toc184313287"/>
      <w:bookmarkEnd w:id="179"/>
      <w:bookmarkStart w:id="180" w:name="_Toc184310300"/>
      <w:bookmarkEnd w:id="180"/>
      <w:bookmarkStart w:id="181" w:name="_Toc184314444"/>
      <w:bookmarkEnd w:id="181"/>
      <w:bookmarkStart w:id="182" w:name="_Toc184308092"/>
      <w:bookmarkEnd w:id="182"/>
      <w:bookmarkStart w:id="183" w:name="_Toc184314434"/>
      <w:bookmarkEnd w:id="183"/>
      <w:bookmarkStart w:id="184" w:name="_Toc184312101"/>
      <w:bookmarkEnd w:id="184"/>
      <w:bookmarkStart w:id="185" w:name="_Toc184312106"/>
      <w:bookmarkEnd w:id="185"/>
      <w:bookmarkStart w:id="186" w:name="_Toc184312133"/>
      <w:bookmarkEnd w:id="186"/>
      <w:bookmarkStart w:id="187" w:name="_Toc184313278"/>
      <w:bookmarkEnd w:id="187"/>
      <w:bookmarkStart w:id="188" w:name="_Toc184312114"/>
      <w:bookmarkEnd w:id="188"/>
      <w:bookmarkStart w:id="189" w:name="_Toc184310305"/>
      <w:bookmarkEnd w:id="189"/>
      <w:bookmarkStart w:id="190" w:name="_Toc184310326"/>
      <w:bookmarkEnd w:id="190"/>
      <w:bookmarkStart w:id="191" w:name="_Toc184312076"/>
      <w:bookmarkEnd w:id="191"/>
      <w:bookmarkStart w:id="192" w:name="_Toc184313292"/>
      <w:bookmarkEnd w:id="192"/>
      <w:bookmarkStart w:id="193" w:name="_Toc184312087"/>
      <w:bookmarkEnd w:id="193"/>
      <w:bookmarkStart w:id="194" w:name="_Toc184314479"/>
      <w:bookmarkEnd w:id="194"/>
      <w:bookmarkStart w:id="195" w:name="_Toc184310311"/>
      <w:bookmarkEnd w:id="195"/>
      <w:bookmarkStart w:id="196" w:name="_Toc184314470"/>
      <w:bookmarkEnd w:id="196"/>
      <w:bookmarkStart w:id="197" w:name="_Toc184313302"/>
      <w:bookmarkEnd w:id="197"/>
      <w:bookmarkStart w:id="198" w:name="_Toc184312105"/>
      <w:bookmarkEnd w:id="198"/>
      <w:bookmarkStart w:id="199" w:name="_Toc184308073"/>
      <w:bookmarkEnd w:id="199"/>
      <w:bookmarkStart w:id="200" w:name="_Toc184312099"/>
      <w:bookmarkEnd w:id="200"/>
      <w:bookmarkStart w:id="201" w:name="_Toc184312075"/>
      <w:bookmarkEnd w:id="201"/>
      <w:bookmarkStart w:id="202" w:name="_Toc184313305"/>
      <w:bookmarkEnd w:id="202"/>
      <w:bookmarkStart w:id="203" w:name="_Toc184314439"/>
      <w:bookmarkEnd w:id="203"/>
      <w:bookmarkStart w:id="204" w:name="_Toc184310276"/>
      <w:bookmarkEnd w:id="204"/>
      <w:bookmarkStart w:id="205" w:name="_Toc184310319"/>
      <w:bookmarkEnd w:id="205"/>
      <w:bookmarkStart w:id="206" w:name="_Toc184314451"/>
      <w:bookmarkEnd w:id="206"/>
      <w:bookmarkStart w:id="207" w:name="_Toc184313245"/>
      <w:bookmarkEnd w:id="207"/>
      <w:bookmarkStart w:id="208" w:name="_Toc184312080"/>
      <w:bookmarkEnd w:id="208"/>
      <w:bookmarkStart w:id="209" w:name="_Toc184312074"/>
      <w:bookmarkEnd w:id="209"/>
      <w:bookmarkStart w:id="210" w:name="_Toc184312123"/>
      <w:bookmarkEnd w:id="210"/>
      <w:bookmarkStart w:id="211" w:name="_Toc184312131"/>
      <w:bookmarkEnd w:id="211"/>
      <w:bookmarkStart w:id="212" w:name="_Toc184313249"/>
      <w:bookmarkEnd w:id="212"/>
      <w:bookmarkStart w:id="213" w:name="_Toc184312071"/>
      <w:bookmarkEnd w:id="213"/>
      <w:bookmarkStart w:id="214" w:name="_Toc184308053"/>
      <w:bookmarkEnd w:id="214"/>
      <w:bookmarkStart w:id="215" w:name="_Toc184314432"/>
      <w:bookmarkEnd w:id="215"/>
      <w:bookmarkStart w:id="216" w:name="_Toc184313288"/>
      <w:bookmarkEnd w:id="216"/>
      <w:bookmarkStart w:id="217" w:name="_Toc184310317"/>
      <w:bookmarkEnd w:id="217"/>
      <w:bookmarkStart w:id="218" w:name="_Toc184308078"/>
      <w:bookmarkEnd w:id="218"/>
      <w:bookmarkStart w:id="219" w:name="_Toc184310279"/>
      <w:bookmarkEnd w:id="219"/>
      <w:bookmarkStart w:id="220" w:name="_Toc184313281"/>
      <w:bookmarkEnd w:id="220"/>
      <w:bookmarkStart w:id="221" w:name="_Toc184312119"/>
      <w:bookmarkEnd w:id="221"/>
      <w:bookmarkStart w:id="222" w:name="_Toc184313244"/>
      <w:bookmarkEnd w:id="222"/>
      <w:bookmarkStart w:id="223" w:name="_Toc184314450"/>
      <w:bookmarkEnd w:id="223"/>
      <w:bookmarkStart w:id="224" w:name="_Toc184312091"/>
      <w:bookmarkEnd w:id="224"/>
      <w:bookmarkStart w:id="225" w:name="_Toc184313267"/>
      <w:bookmarkEnd w:id="225"/>
      <w:bookmarkStart w:id="226" w:name="_Toc184314474"/>
      <w:bookmarkEnd w:id="226"/>
      <w:bookmarkStart w:id="227" w:name="_Toc184312081"/>
      <w:bookmarkEnd w:id="227"/>
      <w:bookmarkStart w:id="228" w:name="_Toc184313250"/>
      <w:bookmarkEnd w:id="228"/>
      <w:bookmarkStart w:id="229" w:name="_Toc184313260"/>
      <w:bookmarkEnd w:id="229"/>
      <w:bookmarkStart w:id="230" w:name="_Toc184310325"/>
      <w:bookmarkEnd w:id="230"/>
      <w:bookmarkStart w:id="231" w:name="_Toc184314427"/>
      <w:bookmarkEnd w:id="231"/>
      <w:bookmarkStart w:id="232" w:name="_Toc184314449"/>
      <w:bookmarkEnd w:id="232"/>
      <w:bookmarkStart w:id="233" w:name="_Toc184312102"/>
      <w:bookmarkEnd w:id="233"/>
      <w:bookmarkStart w:id="234" w:name="_Toc184312082"/>
      <w:bookmarkEnd w:id="234"/>
      <w:bookmarkStart w:id="235" w:name="_Toc184308068"/>
      <w:bookmarkEnd w:id="235"/>
      <w:bookmarkStart w:id="236" w:name="_Toc184313243"/>
      <w:bookmarkEnd w:id="236"/>
      <w:bookmarkStart w:id="237" w:name="_Toc184312097"/>
      <w:bookmarkEnd w:id="237"/>
      <w:bookmarkStart w:id="238" w:name="_Toc184310307"/>
      <w:bookmarkEnd w:id="238"/>
      <w:bookmarkStart w:id="239" w:name="_Toc184312104"/>
      <w:bookmarkEnd w:id="239"/>
      <w:bookmarkStart w:id="240" w:name="_Toc184314476"/>
      <w:bookmarkEnd w:id="240"/>
      <w:bookmarkStart w:id="241" w:name="_Toc184310312"/>
      <w:bookmarkEnd w:id="241"/>
      <w:bookmarkStart w:id="242" w:name="_Toc184313263"/>
      <w:bookmarkEnd w:id="242"/>
      <w:bookmarkStart w:id="243" w:name="_Toc184313256"/>
      <w:bookmarkEnd w:id="243"/>
      <w:bookmarkStart w:id="244" w:name="_Toc184310275"/>
      <w:bookmarkEnd w:id="244"/>
      <w:bookmarkStart w:id="245" w:name="_Toc184312110"/>
      <w:bookmarkEnd w:id="245"/>
      <w:bookmarkStart w:id="246" w:name="_Toc184308058"/>
      <w:bookmarkEnd w:id="246"/>
      <w:bookmarkStart w:id="247" w:name="_Toc184313309"/>
      <w:bookmarkEnd w:id="247"/>
      <w:bookmarkStart w:id="248" w:name="_Toc184308106"/>
      <w:bookmarkEnd w:id="248"/>
      <w:bookmarkStart w:id="249" w:name="_Toc184310296"/>
      <w:bookmarkEnd w:id="249"/>
      <w:bookmarkStart w:id="250" w:name="_Toc184310287"/>
      <w:bookmarkEnd w:id="250"/>
      <w:bookmarkStart w:id="251" w:name="_Toc184308056"/>
      <w:bookmarkEnd w:id="251"/>
      <w:bookmarkStart w:id="252" w:name="_Toc184312073"/>
      <w:bookmarkEnd w:id="252"/>
      <w:bookmarkStart w:id="253" w:name="_Toc184308069"/>
      <w:bookmarkEnd w:id="253"/>
      <w:bookmarkStart w:id="254" w:name="_Toc184314429"/>
      <w:bookmarkEnd w:id="254"/>
      <w:bookmarkStart w:id="255" w:name="_Toc184308046"/>
      <w:bookmarkEnd w:id="255"/>
      <w:bookmarkStart w:id="256" w:name="_Toc184313269"/>
      <w:bookmarkEnd w:id="256"/>
      <w:bookmarkStart w:id="257" w:name="_Toc184308079"/>
      <w:bookmarkEnd w:id="257"/>
      <w:bookmarkStart w:id="258" w:name="_Toc184308103"/>
      <w:bookmarkEnd w:id="258"/>
      <w:bookmarkStart w:id="259" w:name="_Toc184310309"/>
      <w:bookmarkEnd w:id="259"/>
      <w:bookmarkStart w:id="260" w:name="_Toc184312138"/>
      <w:bookmarkEnd w:id="260"/>
      <w:bookmarkStart w:id="261" w:name="_Toc184314480"/>
      <w:bookmarkEnd w:id="261"/>
      <w:bookmarkStart w:id="262" w:name="_Toc184312086"/>
      <w:bookmarkEnd w:id="262"/>
      <w:bookmarkStart w:id="263" w:name="_Toc184308049"/>
      <w:bookmarkEnd w:id="263"/>
      <w:bookmarkStart w:id="264" w:name="_Toc184312122"/>
      <w:bookmarkEnd w:id="264"/>
      <w:bookmarkStart w:id="265" w:name="_Toc184310321"/>
      <w:bookmarkEnd w:id="265"/>
      <w:bookmarkStart w:id="266" w:name="_Toc184310342"/>
      <w:bookmarkEnd w:id="266"/>
      <w:bookmarkStart w:id="267" w:name="_Toc184308041"/>
      <w:bookmarkEnd w:id="267"/>
      <w:bookmarkStart w:id="268" w:name="_Toc184308096"/>
      <w:bookmarkEnd w:id="268"/>
      <w:bookmarkStart w:id="269" w:name="_Toc184313284"/>
      <w:bookmarkEnd w:id="269"/>
      <w:bookmarkStart w:id="270" w:name="_Toc184314422"/>
      <w:bookmarkEnd w:id="270"/>
      <w:bookmarkStart w:id="271" w:name="_Toc184310303"/>
      <w:bookmarkEnd w:id="271"/>
      <w:bookmarkStart w:id="272" w:name="_Toc184314419"/>
      <w:bookmarkEnd w:id="272"/>
      <w:bookmarkStart w:id="273" w:name="_Toc184308045"/>
      <w:bookmarkEnd w:id="273"/>
      <w:bookmarkStart w:id="274" w:name="_Toc184310320"/>
      <w:bookmarkEnd w:id="274"/>
      <w:bookmarkStart w:id="275" w:name="_Toc184312096"/>
      <w:bookmarkEnd w:id="275"/>
      <w:bookmarkStart w:id="276" w:name="_Toc184308040"/>
      <w:bookmarkEnd w:id="276"/>
      <w:bookmarkStart w:id="277" w:name="_Toc184312117"/>
      <w:bookmarkEnd w:id="277"/>
      <w:bookmarkStart w:id="278" w:name="_Toc184314441"/>
      <w:bookmarkEnd w:id="278"/>
      <w:bookmarkStart w:id="279" w:name="_Toc184314462"/>
      <w:bookmarkEnd w:id="279"/>
      <w:bookmarkStart w:id="280" w:name="_Toc184308074"/>
      <w:bookmarkEnd w:id="280"/>
      <w:bookmarkStart w:id="281" w:name="_Toc184313295"/>
      <w:bookmarkEnd w:id="281"/>
      <w:bookmarkStart w:id="282" w:name="_Toc184312112"/>
      <w:bookmarkEnd w:id="282"/>
      <w:bookmarkStart w:id="283" w:name="_Toc184308050"/>
      <w:bookmarkEnd w:id="283"/>
      <w:bookmarkStart w:id="284" w:name="_Toc184310329"/>
      <w:bookmarkEnd w:id="284"/>
      <w:bookmarkStart w:id="285" w:name="_Toc184312126"/>
      <w:bookmarkEnd w:id="285"/>
      <w:bookmarkStart w:id="286" w:name="_Toc184312098"/>
      <w:bookmarkEnd w:id="286"/>
      <w:bookmarkStart w:id="287" w:name="_Toc184314457"/>
      <w:bookmarkEnd w:id="287"/>
      <w:bookmarkStart w:id="288" w:name="_Toc184312094"/>
      <w:bookmarkEnd w:id="288"/>
      <w:bookmarkStart w:id="289" w:name="_Toc184308063"/>
      <w:bookmarkEnd w:id="289"/>
      <w:bookmarkStart w:id="290" w:name="_Toc184310315"/>
      <w:bookmarkEnd w:id="290"/>
      <w:bookmarkStart w:id="291" w:name="_Toc184308037"/>
      <w:bookmarkEnd w:id="291"/>
      <w:bookmarkStart w:id="292" w:name="_Toc184312070"/>
      <w:bookmarkEnd w:id="292"/>
      <w:bookmarkStart w:id="293" w:name="_Toc184310336"/>
      <w:bookmarkEnd w:id="293"/>
      <w:bookmarkStart w:id="294" w:name="_Toc184308057"/>
      <w:bookmarkEnd w:id="294"/>
      <w:bookmarkStart w:id="295" w:name="_Toc184308064"/>
      <w:bookmarkEnd w:id="295"/>
      <w:bookmarkStart w:id="296" w:name="_Toc184314452"/>
      <w:bookmarkEnd w:id="296"/>
      <w:bookmarkStart w:id="297" w:name="_Toc184312078"/>
      <w:bookmarkEnd w:id="297"/>
      <w:bookmarkStart w:id="298" w:name="_Toc184310272"/>
      <w:bookmarkEnd w:id="298"/>
      <w:bookmarkStart w:id="299" w:name="_Toc184313308"/>
      <w:bookmarkEnd w:id="299"/>
      <w:bookmarkStart w:id="300" w:name="_Toc184310331"/>
      <w:bookmarkEnd w:id="300"/>
      <w:bookmarkStart w:id="301" w:name="_Toc184308085"/>
      <w:bookmarkEnd w:id="301"/>
      <w:bookmarkStart w:id="302" w:name="_Toc184310286"/>
      <w:bookmarkEnd w:id="302"/>
      <w:bookmarkStart w:id="303" w:name="_Toc184314460"/>
      <w:bookmarkEnd w:id="303"/>
      <w:bookmarkStart w:id="304" w:name="_Toc184314430"/>
      <w:bookmarkEnd w:id="304"/>
      <w:bookmarkStart w:id="305" w:name="_Toc184314433"/>
      <w:bookmarkEnd w:id="305"/>
      <w:bookmarkStart w:id="306" w:name="_Toc184314466"/>
      <w:bookmarkEnd w:id="306"/>
      <w:bookmarkStart w:id="307" w:name="_Toc184310291"/>
      <w:bookmarkEnd w:id="307"/>
      <w:bookmarkStart w:id="308" w:name="_Toc184314481"/>
      <w:bookmarkEnd w:id="308"/>
      <w:bookmarkStart w:id="309" w:name="_Toc184313271"/>
      <w:bookmarkEnd w:id="309"/>
      <w:bookmarkStart w:id="310" w:name="_Toc184313259"/>
      <w:bookmarkEnd w:id="310"/>
      <w:bookmarkStart w:id="311" w:name="_Toc184310290"/>
      <w:bookmarkEnd w:id="311"/>
      <w:bookmarkStart w:id="312" w:name="_Toc184313258"/>
      <w:bookmarkEnd w:id="312"/>
      <w:bookmarkStart w:id="313" w:name="_Toc184308062"/>
      <w:bookmarkEnd w:id="313"/>
      <w:bookmarkStart w:id="314" w:name="_Toc184313310"/>
      <w:bookmarkEnd w:id="314"/>
      <w:bookmarkStart w:id="315" w:name="_Toc184310281"/>
      <w:bookmarkEnd w:id="315"/>
      <w:bookmarkStart w:id="316" w:name="_Toc184312090"/>
      <w:bookmarkEnd w:id="316"/>
      <w:bookmarkStart w:id="317" w:name="_Toc184310301"/>
      <w:bookmarkEnd w:id="317"/>
      <w:bookmarkStart w:id="318" w:name="_Toc184308099"/>
      <w:bookmarkEnd w:id="318"/>
      <w:bookmarkStart w:id="319" w:name="_Toc184314420"/>
      <w:bookmarkEnd w:id="319"/>
      <w:bookmarkStart w:id="320" w:name="_Toc184313268"/>
      <w:bookmarkEnd w:id="320"/>
      <w:bookmarkStart w:id="321" w:name="_Toc184310294"/>
      <w:bookmarkEnd w:id="321"/>
      <w:bookmarkStart w:id="322" w:name="_Toc184308087"/>
      <w:bookmarkEnd w:id="322"/>
      <w:bookmarkStart w:id="323" w:name="_Toc184313253"/>
      <w:bookmarkEnd w:id="323"/>
      <w:bookmarkStart w:id="324" w:name="_Toc184312118"/>
      <w:bookmarkEnd w:id="324"/>
      <w:bookmarkStart w:id="325" w:name="_Toc184310288"/>
      <w:bookmarkEnd w:id="325"/>
      <w:bookmarkStart w:id="326" w:name="_Toc184308048"/>
      <w:bookmarkEnd w:id="326"/>
      <w:bookmarkStart w:id="327" w:name="_Toc184313283"/>
      <w:bookmarkEnd w:id="327"/>
      <w:bookmarkStart w:id="328" w:name="_Toc184310284"/>
      <w:bookmarkEnd w:id="328"/>
      <w:bookmarkStart w:id="329" w:name="_Toc184313286"/>
      <w:bookmarkEnd w:id="329"/>
      <w:bookmarkStart w:id="330" w:name="_Toc184312139"/>
      <w:bookmarkEnd w:id="330"/>
      <w:bookmarkStart w:id="331" w:name="_Toc184314431"/>
      <w:bookmarkEnd w:id="331"/>
      <w:bookmarkStart w:id="332" w:name="_Toc184310308"/>
      <w:bookmarkEnd w:id="332"/>
      <w:bookmarkStart w:id="333" w:name="_Toc184308054"/>
      <w:bookmarkEnd w:id="333"/>
      <w:bookmarkStart w:id="334" w:name="_Toc184313262"/>
      <w:bookmarkEnd w:id="334"/>
      <w:bookmarkStart w:id="335" w:name="_Toc184308105"/>
      <w:bookmarkEnd w:id="335"/>
      <w:bookmarkStart w:id="336" w:name="_Toc184314454"/>
      <w:bookmarkEnd w:id="336"/>
      <w:bookmarkStart w:id="337" w:name="_Toc184314453"/>
      <w:bookmarkEnd w:id="337"/>
      <w:bookmarkStart w:id="338" w:name="_Toc184310333"/>
      <w:bookmarkEnd w:id="338"/>
      <w:bookmarkStart w:id="339" w:name="_Toc184310327"/>
      <w:bookmarkEnd w:id="339"/>
      <w:bookmarkStart w:id="340" w:name="_Toc184310330"/>
      <w:bookmarkEnd w:id="340"/>
      <w:bookmarkStart w:id="341" w:name="_Toc184308101"/>
      <w:bookmarkEnd w:id="341"/>
      <w:bookmarkStart w:id="342" w:name="_Toc184313296"/>
      <w:bookmarkEnd w:id="342"/>
      <w:bookmarkStart w:id="343" w:name="_Toc184314455"/>
      <w:bookmarkEnd w:id="343"/>
      <w:bookmarkStart w:id="344" w:name="_Toc184310339"/>
      <w:bookmarkEnd w:id="344"/>
      <w:bookmarkStart w:id="345" w:name="_Toc184313307"/>
      <w:bookmarkEnd w:id="345"/>
      <w:bookmarkStart w:id="346" w:name="_Toc184312093"/>
      <w:bookmarkEnd w:id="346"/>
      <w:bookmarkStart w:id="347" w:name="_Toc184308067"/>
      <w:bookmarkEnd w:id="347"/>
      <w:bookmarkStart w:id="348" w:name="_Toc184312100"/>
      <w:bookmarkEnd w:id="348"/>
      <w:bookmarkStart w:id="349" w:name="_Toc184312077"/>
      <w:bookmarkEnd w:id="349"/>
      <w:bookmarkStart w:id="350" w:name="_Toc184312115"/>
      <w:bookmarkEnd w:id="350"/>
      <w:bookmarkStart w:id="351" w:name="_Toc184308052"/>
      <w:bookmarkEnd w:id="351"/>
      <w:bookmarkStart w:id="352" w:name="_Toc184308104"/>
      <w:bookmarkEnd w:id="352"/>
      <w:bookmarkStart w:id="353" w:name="_Toc184312103"/>
      <w:bookmarkEnd w:id="353"/>
      <w:bookmarkStart w:id="354" w:name="_Toc184310283"/>
      <w:bookmarkEnd w:id="354"/>
      <w:bookmarkStart w:id="355" w:name="_Toc184313274"/>
      <w:bookmarkEnd w:id="355"/>
      <w:bookmarkStart w:id="356" w:name="_Toc184313279"/>
      <w:bookmarkEnd w:id="356"/>
      <w:bookmarkStart w:id="357" w:name="_Toc184313273"/>
      <w:bookmarkEnd w:id="357"/>
      <w:bookmarkStart w:id="358" w:name="_Toc184312085"/>
      <w:bookmarkEnd w:id="358"/>
      <w:bookmarkStart w:id="359" w:name="_Toc184310344"/>
      <w:bookmarkEnd w:id="359"/>
      <w:bookmarkStart w:id="360" w:name="_Toc184310334"/>
      <w:bookmarkEnd w:id="360"/>
      <w:bookmarkStart w:id="361" w:name="_Toc184312113"/>
      <w:bookmarkEnd w:id="361"/>
      <w:bookmarkStart w:id="362" w:name="_Toc184310310"/>
      <w:bookmarkEnd w:id="362"/>
      <w:bookmarkStart w:id="363" w:name="_Toc184308061"/>
      <w:bookmarkEnd w:id="363"/>
      <w:bookmarkStart w:id="364" w:name="_Toc184312079"/>
      <w:bookmarkEnd w:id="364"/>
      <w:bookmarkStart w:id="365" w:name="_Toc184310324"/>
      <w:bookmarkEnd w:id="365"/>
      <w:bookmarkStart w:id="366" w:name="_Toc184310295"/>
      <w:bookmarkEnd w:id="366"/>
      <w:bookmarkStart w:id="367" w:name="_Toc184312108"/>
      <w:bookmarkEnd w:id="367"/>
      <w:bookmarkStart w:id="368" w:name="_Toc184310332"/>
      <w:bookmarkEnd w:id="368"/>
      <w:bookmarkStart w:id="369" w:name="_Toc184313275"/>
      <w:bookmarkEnd w:id="369"/>
      <w:bookmarkStart w:id="370" w:name="_Toc184312107"/>
      <w:bookmarkEnd w:id="370"/>
      <w:bookmarkStart w:id="371" w:name="_Toc184313248"/>
      <w:bookmarkEnd w:id="371"/>
      <w:bookmarkStart w:id="372" w:name="_Toc184308060"/>
      <w:bookmarkEnd w:id="372"/>
      <w:bookmarkStart w:id="373" w:name="_Toc184308043"/>
      <w:bookmarkEnd w:id="373"/>
      <w:bookmarkStart w:id="374" w:name="_Toc184308081"/>
      <w:bookmarkEnd w:id="374"/>
      <w:bookmarkStart w:id="375" w:name="_Toc184310292"/>
      <w:bookmarkEnd w:id="375"/>
      <w:bookmarkStart w:id="376" w:name="_Toc184312137"/>
      <w:bookmarkEnd w:id="376"/>
      <w:bookmarkStart w:id="377" w:name="_Toc184314426"/>
      <w:bookmarkEnd w:id="377"/>
      <w:bookmarkStart w:id="378" w:name="_Toc184310341"/>
      <w:bookmarkEnd w:id="378"/>
      <w:bookmarkStart w:id="379" w:name="_Toc184313299"/>
      <w:bookmarkEnd w:id="379"/>
      <w:bookmarkStart w:id="380" w:name="_Toc184314463"/>
      <w:bookmarkEnd w:id="380"/>
      <w:bookmarkStart w:id="381" w:name="_Toc184310280"/>
      <w:bookmarkEnd w:id="381"/>
      <w:bookmarkStart w:id="382" w:name="_Toc184313239"/>
      <w:bookmarkEnd w:id="382"/>
      <w:bookmarkStart w:id="383" w:name="_Toc184314414"/>
      <w:bookmarkEnd w:id="383"/>
      <w:bookmarkStart w:id="384" w:name="_Toc184308107"/>
      <w:bookmarkEnd w:id="384"/>
      <w:bookmarkStart w:id="385" w:name="_Toc184312125"/>
      <w:bookmarkEnd w:id="385"/>
      <w:bookmarkStart w:id="386" w:name="_Toc184314423"/>
      <w:bookmarkEnd w:id="386"/>
      <w:bookmarkStart w:id="387" w:name="_Toc184310293"/>
      <w:bookmarkEnd w:id="387"/>
      <w:bookmarkStart w:id="388" w:name="_Toc184308066"/>
      <w:bookmarkEnd w:id="388"/>
      <w:bookmarkStart w:id="389" w:name="_Toc184310314"/>
      <w:bookmarkEnd w:id="389"/>
      <w:bookmarkStart w:id="390" w:name="_Toc184310318"/>
      <w:bookmarkEnd w:id="390"/>
      <w:bookmarkStart w:id="391" w:name="_Toc184314461"/>
      <w:bookmarkEnd w:id="391"/>
      <w:bookmarkStart w:id="392" w:name="_Toc184310338"/>
      <w:bookmarkEnd w:id="392"/>
      <w:bookmarkStart w:id="393" w:name="_Toc184313252"/>
      <w:bookmarkEnd w:id="393"/>
      <w:bookmarkStart w:id="394" w:name="_Toc184313277"/>
      <w:bookmarkEnd w:id="394"/>
      <w:bookmarkStart w:id="395" w:name="_Toc184314438"/>
      <w:bookmarkEnd w:id="395"/>
      <w:bookmarkStart w:id="396" w:name="_Toc184310297"/>
      <w:bookmarkEnd w:id="396"/>
      <w:bookmarkStart w:id="397" w:name="_Toc184308070"/>
      <w:bookmarkEnd w:id="397"/>
      <w:bookmarkStart w:id="398" w:name="_Toc184312129"/>
      <w:bookmarkEnd w:id="398"/>
      <w:bookmarkStart w:id="399" w:name="_Toc184312116"/>
      <w:bookmarkEnd w:id="399"/>
      <w:bookmarkStart w:id="400" w:name="_Toc184313298"/>
      <w:bookmarkEnd w:id="400"/>
      <w:bookmarkStart w:id="401" w:name="_Toc184312124"/>
      <w:bookmarkEnd w:id="401"/>
      <w:bookmarkStart w:id="402" w:name="_Toc184308093"/>
      <w:bookmarkEnd w:id="402"/>
      <w:bookmarkStart w:id="403" w:name="_Toc184312120"/>
      <w:bookmarkEnd w:id="403"/>
      <w:bookmarkStart w:id="404" w:name="_Toc184312135"/>
      <w:bookmarkEnd w:id="404"/>
      <w:bookmarkStart w:id="405" w:name="_Toc184310302"/>
      <w:bookmarkEnd w:id="405"/>
      <w:bookmarkStart w:id="406" w:name="_Toc184310337"/>
      <w:bookmarkEnd w:id="406"/>
      <w:bookmarkStart w:id="407" w:name="_Toc184308100"/>
      <w:bookmarkEnd w:id="407"/>
      <w:bookmarkStart w:id="408" w:name="_Toc184310278"/>
      <w:bookmarkEnd w:id="408"/>
      <w:bookmarkStart w:id="409" w:name="_Toc184310285"/>
      <w:bookmarkEnd w:id="409"/>
      <w:bookmarkStart w:id="410" w:name="_Toc184314440"/>
      <w:bookmarkEnd w:id="410"/>
      <w:bookmarkStart w:id="411" w:name="_Toc184313304"/>
      <w:bookmarkEnd w:id="411"/>
      <w:bookmarkStart w:id="412" w:name="_Toc184314421"/>
      <w:bookmarkEnd w:id="412"/>
      <w:bookmarkStart w:id="413" w:name="_Toc184313242"/>
      <w:bookmarkEnd w:id="413"/>
      <w:bookmarkStart w:id="414" w:name="_Toc184308044"/>
      <w:bookmarkEnd w:id="414"/>
      <w:bookmarkStart w:id="415" w:name="_Toc184308077"/>
      <w:bookmarkEnd w:id="415"/>
      <w:bookmarkStart w:id="416" w:name="_Toc184312136"/>
      <w:bookmarkEnd w:id="416"/>
      <w:r>
        <w:rPr>
          <w:rFonts w:hint="eastAsia" w:ascii="宋体" w:hAnsi="宋体" w:cs="宋体"/>
          <w:b/>
          <w:sz w:val="36"/>
          <w:szCs w:val="36"/>
        </w:rPr>
        <w:t>评标办法</w:t>
      </w:r>
      <w:bookmarkEnd w:id="49"/>
      <w:bookmarkEnd w:id="50"/>
      <w:bookmarkEnd w:id="51"/>
    </w:p>
    <w:p>
      <w:pPr>
        <w:pStyle w:val="4"/>
        <w:bidi w:val="0"/>
      </w:pPr>
      <w:bookmarkStart w:id="417" w:name="_Toc19050"/>
      <w:bookmarkStart w:id="418" w:name="_Toc22464"/>
      <w:r>
        <w:rPr>
          <w:rFonts w:hint="eastAsia"/>
        </w:rPr>
        <w:t>一、评标方法</w:t>
      </w:r>
      <w:bookmarkEnd w:id="417"/>
      <w:bookmarkEnd w:id="418"/>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4"/>
        <w:numPr>
          <w:ilvl w:val="0"/>
          <w:numId w:val="2"/>
        </w:numPr>
        <w:bidi w:val="0"/>
        <w:rPr>
          <w:rFonts w:hint="eastAsia"/>
        </w:rPr>
      </w:pPr>
      <w:bookmarkStart w:id="419" w:name="_Toc4726"/>
      <w:bookmarkStart w:id="420" w:name="_Toc30791"/>
      <w:r>
        <w:rPr>
          <w:rFonts w:hint="eastAsia"/>
        </w:rPr>
        <w:t>评标标准</w:t>
      </w:r>
      <w:bookmarkEnd w:id="419"/>
      <w:bookmarkEnd w:id="420"/>
      <w:r>
        <w:rPr>
          <w:rFonts w:hint="eastAsia"/>
          <w:lang w:val="en-US" w:eastAsia="zh-CN"/>
        </w:rPr>
        <w:t xml:space="preserve"> </w:t>
      </w:r>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90"/>
        <w:gridCol w:w="5482"/>
        <w:gridCol w:w="125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b/>
                <w:bCs/>
                <w:lang w:eastAsia="zh-CN"/>
              </w:rPr>
            </w:pPr>
            <w:r>
              <w:rPr>
                <w:rFonts w:hint="eastAsia"/>
                <w:b/>
                <w:bCs/>
                <w:lang w:eastAsia="zh-CN"/>
              </w:rPr>
              <w:t>序号</w:t>
            </w:r>
          </w:p>
        </w:tc>
        <w:tc>
          <w:tcPr>
            <w:tcW w:w="592" w:type="pct"/>
            <w:noWrap w:val="0"/>
            <w:vAlign w:val="center"/>
          </w:tcPr>
          <w:p>
            <w:pPr>
              <w:bidi w:val="0"/>
              <w:ind w:left="0" w:leftChars="0" w:firstLine="0" w:firstLineChars="0"/>
              <w:jc w:val="center"/>
              <w:rPr>
                <w:rFonts w:hint="eastAsia"/>
                <w:b/>
                <w:bCs/>
                <w:lang w:eastAsia="zh-CN"/>
              </w:rPr>
            </w:pPr>
            <w:r>
              <w:rPr>
                <w:rFonts w:hint="eastAsia"/>
                <w:b/>
                <w:bCs/>
                <w:lang w:eastAsia="zh-CN"/>
              </w:rPr>
              <w:t>评分类型</w:t>
            </w:r>
          </w:p>
        </w:tc>
        <w:tc>
          <w:tcPr>
            <w:tcW w:w="2727" w:type="pct"/>
            <w:noWrap w:val="0"/>
            <w:vAlign w:val="center"/>
          </w:tcPr>
          <w:p>
            <w:pPr>
              <w:bidi w:val="0"/>
              <w:ind w:left="0" w:leftChars="0" w:firstLine="0" w:firstLineChars="0"/>
              <w:jc w:val="center"/>
              <w:rPr>
                <w:rFonts w:hint="eastAsia"/>
                <w:b/>
                <w:bCs/>
                <w:lang w:eastAsia="zh-CN"/>
              </w:rPr>
            </w:pPr>
            <w:r>
              <w:rPr>
                <w:rFonts w:hint="eastAsia"/>
                <w:b/>
                <w:bCs/>
                <w:lang w:eastAsia="zh-CN"/>
              </w:rPr>
              <w:t>评分标准</w:t>
            </w:r>
          </w:p>
        </w:tc>
        <w:tc>
          <w:tcPr>
            <w:tcW w:w="624" w:type="pct"/>
            <w:noWrap w:val="0"/>
            <w:vAlign w:val="center"/>
          </w:tcPr>
          <w:p>
            <w:pPr>
              <w:bidi w:val="0"/>
              <w:ind w:left="0" w:leftChars="0" w:firstLine="0" w:firstLineChars="0"/>
              <w:jc w:val="center"/>
              <w:rPr>
                <w:rFonts w:hint="eastAsia"/>
                <w:b/>
                <w:bCs/>
                <w:lang w:eastAsia="zh-CN"/>
              </w:rPr>
            </w:pPr>
            <w:r>
              <w:rPr>
                <w:rFonts w:hint="eastAsia"/>
                <w:b/>
                <w:bCs/>
                <w:lang w:val="en-US" w:eastAsia="zh-CN"/>
              </w:rPr>
              <w:t>分值范围</w:t>
            </w:r>
          </w:p>
        </w:tc>
        <w:tc>
          <w:tcPr>
            <w:tcW w:w="638" w:type="pct"/>
            <w:noWrap w:val="0"/>
            <w:vAlign w:val="center"/>
          </w:tcPr>
          <w:p>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lang w:eastAsia="zh-CN"/>
              </w:rPr>
            </w:pPr>
            <w:r>
              <w:rPr>
                <w:rFonts w:hint="eastAsia"/>
                <w:lang w:eastAsia="zh-CN"/>
              </w:rPr>
              <w:t>1</w:t>
            </w:r>
          </w:p>
        </w:tc>
        <w:tc>
          <w:tcPr>
            <w:tcW w:w="592" w:type="pct"/>
            <w:noWrap w:val="0"/>
            <w:vAlign w:val="center"/>
          </w:tcPr>
          <w:p>
            <w:pPr>
              <w:bidi w:val="0"/>
              <w:ind w:left="0" w:leftChars="0" w:firstLine="0" w:firstLineChars="0"/>
              <w:jc w:val="center"/>
              <w:rPr>
                <w:rFonts w:hint="eastAsia"/>
                <w:color w:val="auto"/>
                <w:lang w:eastAsia="zh-CN"/>
              </w:rPr>
            </w:pPr>
            <w:r>
              <w:rPr>
                <w:rFonts w:hint="eastAsia"/>
                <w:color w:val="auto"/>
                <w:lang w:eastAsia="zh-CN"/>
              </w:rPr>
              <w:t>报价</w:t>
            </w:r>
          </w:p>
        </w:tc>
        <w:tc>
          <w:tcPr>
            <w:tcW w:w="2727" w:type="pct"/>
            <w:noWrap w:val="0"/>
            <w:vAlign w:val="center"/>
          </w:tcPr>
          <w:p>
            <w:pPr>
              <w:bidi w:val="0"/>
              <w:ind w:left="0" w:leftChars="0" w:firstLine="0" w:firstLineChars="0"/>
              <w:jc w:val="left"/>
              <w:rPr>
                <w:rFonts w:hint="eastAsia"/>
                <w:color w:val="auto"/>
                <w:lang w:eastAsia="zh-CN"/>
              </w:rPr>
            </w:pPr>
            <w:r>
              <w:rPr>
                <w:rFonts w:hint="eastAsia"/>
                <w:color w:val="auto"/>
                <w:lang w:eastAsia="zh-CN"/>
              </w:rPr>
              <w:t>价格分采用低价优先法计算，即</w:t>
            </w:r>
            <w:r>
              <w:rPr>
                <w:rFonts w:hint="eastAsia"/>
                <w:color w:val="auto"/>
              </w:rPr>
              <w:t>有效</w:t>
            </w:r>
            <w:r>
              <w:rPr>
                <w:rFonts w:hint="eastAsia"/>
                <w:color w:val="auto"/>
                <w:lang w:val="en-US" w:eastAsia="zh-CN"/>
              </w:rPr>
              <w:t>投标</w:t>
            </w:r>
            <w:r>
              <w:rPr>
                <w:rFonts w:hint="eastAsia"/>
                <w:color w:val="auto"/>
              </w:rPr>
              <w:t>报价的最低价</w:t>
            </w:r>
            <w:r>
              <w:rPr>
                <w:rFonts w:hint="eastAsia"/>
                <w:color w:val="auto"/>
                <w:lang w:eastAsia="zh-CN"/>
              </w:rPr>
              <w:t>为</w:t>
            </w:r>
            <w:r>
              <w:rPr>
                <w:rFonts w:hint="eastAsia"/>
                <w:color w:val="auto"/>
                <w:lang w:val="en-US" w:eastAsia="zh-CN"/>
              </w:rPr>
              <w:t>评审</w:t>
            </w:r>
            <w:r>
              <w:rPr>
                <w:rFonts w:hint="eastAsia"/>
                <w:color w:val="auto"/>
                <w:lang w:eastAsia="zh-CN"/>
              </w:rPr>
              <w:t>基准价，</w:t>
            </w:r>
            <w:r>
              <w:rPr>
                <w:rFonts w:hint="eastAsia"/>
                <w:color w:val="auto"/>
              </w:rPr>
              <w:t>其最低报价为满分</w:t>
            </w:r>
            <w:r>
              <w:rPr>
                <w:rFonts w:hint="eastAsia"/>
                <w:color w:val="auto"/>
                <w:lang w:eastAsia="zh-CN"/>
              </w:rPr>
              <w:t>。其他</w:t>
            </w:r>
            <w:r>
              <w:rPr>
                <w:rFonts w:hint="eastAsia"/>
                <w:color w:val="auto"/>
                <w:lang w:val="en-US" w:eastAsia="zh-CN"/>
              </w:rPr>
              <w:t>投标人</w:t>
            </w:r>
            <w:r>
              <w:rPr>
                <w:rFonts w:hint="eastAsia"/>
                <w:color w:val="auto"/>
                <w:lang w:eastAsia="zh-CN"/>
              </w:rPr>
              <w:t>的</w:t>
            </w:r>
            <w:r>
              <w:rPr>
                <w:rFonts w:hint="eastAsia"/>
                <w:color w:val="auto"/>
                <w:lang w:val="en-US" w:eastAsia="zh-CN"/>
              </w:rPr>
              <w:t>报价</w:t>
            </w:r>
            <w:r>
              <w:rPr>
                <w:rFonts w:hint="eastAsia"/>
                <w:color w:val="auto"/>
                <w:lang w:eastAsia="zh-CN"/>
              </w:rPr>
              <w:t>分统一按照下列公式计算：</w:t>
            </w:r>
          </w:p>
          <w:p>
            <w:pPr>
              <w:bidi w:val="0"/>
              <w:ind w:left="0" w:leftChars="0" w:firstLine="0" w:firstLineChars="0"/>
              <w:jc w:val="left"/>
              <w:rPr>
                <w:rFonts w:hint="eastAsia"/>
                <w:color w:val="auto"/>
                <w:lang w:eastAsia="zh-CN"/>
              </w:rPr>
            </w:pPr>
            <w:r>
              <w:rPr>
                <w:rFonts w:hint="eastAsia"/>
                <w:color w:val="auto"/>
                <w:lang w:eastAsia="zh-CN"/>
              </w:rPr>
              <w:t>报价得分=（</w:t>
            </w:r>
            <w:r>
              <w:rPr>
                <w:rFonts w:hint="eastAsia"/>
                <w:color w:val="auto"/>
                <w:lang w:val="en-US" w:eastAsia="zh-CN"/>
              </w:rPr>
              <w:t>评审</w:t>
            </w:r>
            <w:r>
              <w:rPr>
                <w:rFonts w:hint="eastAsia"/>
                <w:color w:val="auto"/>
                <w:lang w:eastAsia="zh-CN"/>
              </w:rPr>
              <w:t>基准价/投标报价）</w:t>
            </w:r>
            <w:r>
              <w:rPr>
                <w:rFonts w:hint="eastAsia"/>
                <w:color w:val="auto"/>
                <w:lang w:val="en-US" w:eastAsia="zh-CN"/>
              </w:rPr>
              <w:t>*10</w:t>
            </w:r>
          </w:p>
          <w:p>
            <w:pPr>
              <w:ind w:left="0" w:leftChars="0" w:firstLine="0" w:firstLineChars="0"/>
              <w:rPr>
                <w:rFonts w:hint="eastAsia"/>
                <w:color w:val="auto"/>
                <w:lang w:eastAsia="zh-CN"/>
              </w:rPr>
            </w:pPr>
            <w:r>
              <w:rPr>
                <w:rFonts w:hint="eastAsia" w:ascii="宋体" w:hAnsi="宋体" w:eastAsia="宋体" w:cs="仿宋_GB2312"/>
                <w:b/>
                <w:bCs/>
                <w:color w:val="auto"/>
                <w:sz w:val="24"/>
              </w:rPr>
              <w:t>对于未预留份额专门面向中小企业的政府采购项目，以及预留份额政府采购项目中的非预留部分标项，对</w:t>
            </w:r>
            <w:r>
              <w:rPr>
                <w:rFonts w:hint="eastAsia" w:ascii="宋体" w:hAnsi="宋体" w:eastAsia="宋体" w:cs="仿宋_GB2312"/>
                <w:b/>
                <w:bCs/>
                <w:color w:val="auto"/>
                <w:sz w:val="24"/>
                <w:lang w:val="en-US" w:eastAsia="zh-CN"/>
              </w:rPr>
              <w:t>符合《政府采购促进中小企业发展管理办法》的规定给予价格扣除优惠政策的供应商</w:t>
            </w:r>
            <w:r>
              <w:rPr>
                <w:rFonts w:hint="eastAsia" w:ascii="宋体" w:hAnsi="宋体" w:eastAsia="宋体" w:cs="仿宋_GB2312"/>
                <w:b/>
                <w:bCs/>
                <w:color w:val="auto"/>
                <w:sz w:val="24"/>
              </w:rPr>
              <w:t>，用扣除后的价格参与评审。</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w:t>
            </w:r>
            <w:r>
              <w:rPr>
                <w:rFonts w:hint="eastAsia" w:ascii="宋体" w:hAnsi="宋体" w:cs="宋体"/>
                <w:b/>
                <w:bCs/>
                <w:color w:val="auto"/>
                <w:szCs w:val="21"/>
                <w:highlight w:val="none"/>
              </w:rPr>
              <w:t>专门面向中小微企业采购的项目，不再执行价格评审优惠的扶持政策。</w:t>
            </w:r>
          </w:p>
        </w:tc>
        <w:tc>
          <w:tcPr>
            <w:tcW w:w="624" w:type="pct"/>
            <w:noWrap w:val="0"/>
            <w:vAlign w:val="center"/>
          </w:tcPr>
          <w:p>
            <w:pPr>
              <w:bidi w:val="0"/>
              <w:ind w:left="0" w:leftChars="0" w:firstLine="0" w:firstLineChars="0"/>
              <w:jc w:val="center"/>
              <w:rPr>
                <w:rFonts w:hint="eastAsia"/>
                <w:lang w:eastAsia="zh-CN"/>
              </w:rPr>
            </w:pPr>
            <w:r>
              <w:rPr>
                <w:rFonts w:hint="eastAsia"/>
                <w:lang w:val="en-US" w:eastAsia="zh-CN"/>
              </w:rPr>
              <w:t>0-1</w:t>
            </w:r>
            <w:r>
              <w:rPr>
                <w:rFonts w:hint="eastAsia"/>
                <w:lang w:eastAsia="zh-CN"/>
              </w:rPr>
              <w:t>0</w:t>
            </w:r>
          </w:p>
        </w:tc>
        <w:tc>
          <w:tcPr>
            <w:tcW w:w="638" w:type="pct"/>
            <w:noWrap w:val="0"/>
            <w:vAlign w:val="center"/>
          </w:tcPr>
          <w:p>
            <w:pPr>
              <w:bidi w:val="0"/>
              <w:ind w:left="0" w:leftChars="0" w:firstLine="0" w:firstLineChars="0"/>
              <w:jc w:val="center"/>
              <w:rPr>
                <w:rFonts w:hint="default"/>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2</w:t>
            </w:r>
          </w:p>
        </w:tc>
        <w:tc>
          <w:tcPr>
            <w:tcW w:w="592" w:type="pct"/>
            <w:noWrap w:val="0"/>
            <w:vAlign w:val="center"/>
          </w:tcPr>
          <w:p>
            <w:pPr>
              <w:bidi w:val="0"/>
              <w:ind w:left="0" w:leftChars="0" w:firstLine="0" w:firstLineChars="0"/>
              <w:jc w:val="center"/>
              <w:rPr>
                <w:rFonts w:hint="default"/>
                <w:lang w:val="en-US" w:eastAsia="zh-CN"/>
              </w:rPr>
            </w:pPr>
            <w:r>
              <w:rPr>
                <w:rFonts w:hint="eastAsia"/>
                <w:lang w:val="en-US" w:eastAsia="zh-CN"/>
              </w:rPr>
              <w:t>商务</w:t>
            </w:r>
          </w:p>
        </w:tc>
        <w:tc>
          <w:tcPr>
            <w:tcW w:w="2727" w:type="pct"/>
            <w:noWrap w:val="0"/>
            <w:vAlign w:val="center"/>
          </w:tcPr>
          <w:p>
            <w:pPr>
              <w:ind w:left="0" w:leftChars="0" w:firstLine="0" w:firstLineChars="0"/>
              <w:rPr>
                <w:rFonts w:hint="eastAsia" w:ascii="宋体" w:hAnsi="宋体" w:cs="宋体"/>
                <w:b/>
                <w:bCs/>
                <w:sz w:val="24"/>
              </w:rPr>
            </w:pPr>
            <w:r>
              <w:rPr>
                <w:rFonts w:hint="eastAsia" w:ascii="宋体" w:hAnsi="宋体" w:cs="宋体"/>
                <w:sz w:val="24"/>
              </w:rPr>
              <w:t>投标人自202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月份以来承接过同类项目业绩，每个得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分；（业绩必须提供相应的证明文件（合同复印件），时间以合同签订时间为准。）</w:t>
            </w:r>
          </w:p>
        </w:tc>
        <w:tc>
          <w:tcPr>
            <w:tcW w:w="624" w:type="pct"/>
            <w:noWrap w:val="0"/>
            <w:vAlign w:val="center"/>
          </w:tcPr>
          <w:p>
            <w:pPr>
              <w:bidi w:val="0"/>
              <w:ind w:left="0" w:leftChars="0" w:firstLine="0" w:firstLineChars="0"/>
              <w:jc w:val="center"/>
              <w:rPr>
                <w:rFonts w:hint="default"/>
                <w:lang w:val="en-US" w:eastAsia="zh-CN"/>
              </w:rPr>
            </w:pPr>
            <w:r>
              <w:rPr>
                <w:rFonts w:hint="eastAsia"/>
                <w:lang w:val="en-US" w:eastAsia="zh-CN"/>
              </w:rPr>
              <w:t>0-1</w:t>
            </w:r>
          </w:p>
        </w:tc>
        <w:tc>
          <w:tcPr>
            <w:tcW w:w="638" w:type="pct"/>
            <w:noWrap w:val="0"/>
            <w:vAlign w:val="center"/>
          </w:tcPr>
          <w:p>
            <w:pPr>
              <w:bidi w:val="0"/>
              <w:ind w:left="0" w:leftChars="0" w:firstLine="0" w:firstLineChars="0"/>
              <w:jc w:val="center"/>
              <w:rPr>
                <w:rFonts w:hint="eastAsia"/>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宋体"/>
                <w:b/>
                <w:bCs/>
                <w:szCs w:val="21"/>
                <w:lang w:eastAsia="zh-CN"/>
              </w:rPr>
            </w:pPr>
            <w:r>
              <w:rPr>
                <w:rFonts w:hint="eastAsia" w:ascii="宋体" w:hAnsi="宋体" w:eastAsia="宋体" w:cs="宋体"/>
                <w:b/>
                <w:bCs/>
                <w:szCs w:val="21"/>
              </w:rPr>
              <w:t>投标人提供的项目总体</w:t>
            </w:r>
            <w:r>
              <w:rPr>
                <w:rFonts w:hint="eastAsia" w:ascii="宋体" w:hAnsi="宋体" w:cs="宋体"/>
                <w:b/>
                <w:bCs/>
                <w:szCs w:val="21"/>
                <w:lang w:eastAsia="zh-CN"/>
              </w:rPr>
              <w:t>组织</w:t>
            </w:r>
            <w:r>
              <w:rPr>
                <w:rFonts w:hint="eastAsia" w:ascii="宋体" w:hAnsi="宋体" w:eastAsia="宋体" w:cs="宋体"/>
                <w:b/>
                <w:bCs/>
                <w:szCs w:val="21"/>
              </w:rPr>
              <w:t>实施方案</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项目总体实施方案能完全满足采购人的专业需求，内容详细完整，具有可行性的，有利于采购标的实现、实施风险保障充足的得5分；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项目总体实施方案略有欠缺，不能完全满足采购人的专业需求，内容细节不完整，可行性略有欠缺，能实现采购标的实现、实施风险保障略有欠缺的得3分；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项目总体实施方案一般，不能满足采购人的专业需求，内容细节不完整或不到位，实施风险保障可行的得1分；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未提供相关内容或不满足采购需求要求的不得分。</w:t>
            </w:r>
          </w:p>
        </w:tc>
        <w:tc>
          <w:tcPr>
            <w:tcW w:w="624"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4</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jc w:val="left"/>
              <w:rPr>
                <w:b/>
                <w:bCs/>
                <w:szCs w:val="21"/>
              </w:rPr>
            </w:pPr>
            <w:r>
              <w:rPr>
                <w:rFonts w:hint="eastAsia"/>
                <w:b/>
                <w:bCs/>
                <w:szCs w:val="21"/>
              </w:rPr>
              <w:t>针对本项目</w:t>
            </w:r>
            <w:r>
              <w:rPr>
                <w:rFonts w:hint="eastAsia"/>
                <w:b/>
                <w:bCs/>
                <w:szCs w:val="21"/>
                <w:lang w:val="en-US" w:eastAsia="zh-CN"/>
              </w:rPr>
              <w:t>工作</w:t>
            </w:r>
            <w:r>
              <w:rPr>
                <w:rFonts w:hint="eastAsia"/>
                <w:b/>
                <w:bCs/>
                <w:szCs w:val="21"/>
              </w:rPr>
              <w:t>的重点、难点</w:t>
            </w:r>
            <w:r>
              <w:rPr>
                <w:rFonts w:hint="eastAsia" w:ascii="宋体" w:hAnsi="宋体" w:cs="宋体"/>
                <w:b/>
                <w:bCs/>
                <w:szCs w:val="21"/>
                <w:lang w:val="zh-CN"/>
              </w:rPr>
              <w:t>提出具体解决方案</w:t>
            </w:r>
          </w:p>
          <w:p>
            <w:pPr>
              <w:ind w:left="0" w:leftChars="0" w:firstLine="0" w:firstLineChars="0"/>
              <w:rPr>
                <w:rFonts w:hint="eastAsia"/>
                <w:lang w:val="zh-CN"/>
              </w:rPr>
            </w:pPr>
            <w:r>
              <w:rPr>
                <w:rFonts w:hint="eastAsia"/>
                <w:lang w:val="zh-CN"/>
              </w:rPr>
              <w:t>方案内容详实，科学合理，具有针对性，可实施性强的得</w:t>
            </w:r>
            <w:r>
              <w:rPr>
                <w:rFonts w:hint="eastAsia"/>
                <w:lang w:val="en-US" w:eastAsia="zh-CN"/>
              </w:rPr>
              <w:t>5</w:t>
            </w:r>
            <w:r>
              <w:rPr>
                <w:rFonts w:hint="eastAsia"/>
                <w:lang w:val="zh-CN"/>
              </w:rPr>
              <w:t>分；</w:t>
            </w:r>
          </w:p>
          <w:p>
            <w:pPr>
              <w:ind w:left="0" w:leftChars="0" w:firstLine="0" w:firstLineChars="0"/>
              <w:rPr>
                <w:rFonts w:hint="eastAsia"/>
                <w:lang w:val="zh-CN"/>
              </w:rPr>
            </w:pPr>
            <w:r>
              <w:rPr>
                <w:rFonts w:hint="eastAsia"/>
                <w:lang w:val="zh-CN"/>
              </w:rPr>
              <w:t>方案内容基本合理，针对性、可实施性一般的得</w:t>
            </w:r>
            <w:r>
              <w:rPr>
                <w:rFonts w:hint="eastAsia"/>
                <w:lang w:val="en-US" w:eastAsia="zh-CN"/>
              </w:rPr>
              <w:t>3</w:t>
            </w:r>
            <w:r>
              <w:rPr>
                <w:rFonts w:hint="eastAsia"/>
                <w:lang w:val="zh-CN"/>
              </w:rPr>
              <w:t>分；</w:t>
            </w:r>
          </w:p>
          <w:p>
            <w:pPr>
              <w:ind w:left="0" w:leftChars="0" w:firstLine="0" w:firstLineChars="0"/>
              <w:rPr>
                <w:rFonts w:hint="eastAsia"/>
                <w:lang w:val="zh-CN"/>
              </w:rPr>
            </w:pPr>
            <w:r>
              <w:rPr>
                <w:rFonts w:hint="eastAsia"/>
                <w:lang w:val="zh-CN"/>
              </w:rPr>
              <w:t>方案不够科学合理，针对性或可实施性差得1分；</w:t>
            </w:r>
          </w:p>
          <w:p>
            <w:pPr>
              <w:ind w:left="0" w:leftChars="0" w:firstLine="0" w:firstLineChars="0"/>
              <w:rPr>
                <w:color w:val="auto"/>
                <w:kern w:val="0"/>
                <w:highlight w:val="none"/>
              </w:rPr>
            </w:pPr>
            <w:r>
              <w:rPr>
                <w:rFonts w:hint="eastAsia"/>
                <w:lang w:val="zh-CN"/>
              </w:rPr>
              <w:t>未提供相关描述不得分。</w:t>
            </w:r>
          </w:p>
        </w:tc>
        <w:tc>
          <w:tcPr>
            <w:tcW w:w="624" w:type="pct"/>
            <w:noWrap w:val="0"/>
            <w:vAlign w:val="center"/>
          </w:tcPr>
          <w:p>
            <w:pPr>
              <w:bidi w:val="0"/>
              <w:ind w:left="0" w:leftChars="0" w:firstLine="0" w:firstLineChars="0"/>
              <w:jc w:val="center"/>
              <w:rPr>
                <w:color w:val="auto"/>
                <w:kern w:val="0"/>
                <w:highlight w:val="none"/>
              </w:rPr>
            </w:pPr>
            <w:r>
              <w:rPr>
                <w:rFonts w:hint="eastAsia"/>
                <w:lang w:val="en-US" w:eastAsia="zh-CN"/>
              </w:rPr>
              <w:t>0-5</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5</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以“公益福彩”为主题，提供LED大屏广告初步设计方案：</w:t>
            </w:r>
          </w:p>
          <w:p>
            <w:pPr>
              <w:numPr>
                <w:ilvl w:val="0"/>
                <w:numId w:val="3"/>
              </w:numPr>
              <w:ind w:left="0" w:leftChars="0"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整体设计思路、主题与采购需求的符合程度</w:t>
            </w:r>
          </w:p>
          <w:p>
            <w:pPr>
              <w:pStyle w:val="485"/>
              <w:ind w:left="0" w:leftChars="0" w:firstLine="0" w:firstLineChars="0"/>
              <w:jc w:val="left"/>
              <w:rPr>
                <w:rFonts w:hint="eastAsia"/>
                <w:color w:val="auto"/>
                <w:sz w:val="24"/>
                <w:szCs w:val="24"/>
                <w:highlight w:val="none"/>
              </w:rPr>
            </w:pPr>
            <w:r>
              <w:rPr>
                <w:rFonts w:hint="eastAsia"/>
                <w:color w:val="auto"/>
                <w:sz w:val="24"/>
                <w:szCs w:val="24"/>
                <w:highlight w:val="none"/>
              </w:rPr>
              <w:t>设计思路清晰，</w:t>
            </w:r>
            <w:r>
              <w:rPr>
                <w:rFonts w:hint="eastAsia"/>
                <w:color w:val="auto"/>
                <w:sz w:val="24"/>
                <w:szCs w:val="24"/>
                <w:highlight w:val="none"/>
                <w:lang w:eastAsia="zh-CN"/>
              </w:rPr>
              <w:t>主题鲜明，</w:t>
            </w:r>
            <w:r>
              <w:rPr>
                <w:rFonts w:hint="eastAsia"/>
                <w:color w:val="auto"/>
                <w:sz w:val="24"/>
                <w:szCs w:val="24"/>
                <w:highlight w:val="none"/>
              </w:rPr>
              <w:t>具有独特创作性，</w:t>
            </w:r>
            <w:r>
              <w:rPr>
                <w:rFonts w:hint="eastAsia"/>
                <w:color w:val="auto"/>
                <w:sz w:val="24"/>
                <w:szCs w:val="24"/>
                <w:highlight w:val="none"/>
                <w:lang w:eastAsia="zh-CN"/>
              </w:rPr>
              <w:t>完全符合采购需求</w:t>
            </w:r>
            <w:r>
              <w:rPr>
                <w:rFonts w:hint="eastAsia"/>
                <w:color w:val="auto"/>
                <w:sz w:val="24"/>
                <w:szCs w:val="24"/>
                <w:highlight w:val="none"/>
              </w:rPr>
              <w:t>得</w:t>
            </w:r>
            <w:r>
              <w:rPr>
                <w:rFonts w:hint="eastAsia"/>
                <w:color w:val="auto"/>
                <w:sz w:val="24"/>
                <w:szCs w:val="24"/>
                <w:highlight w:val="none"/>
                <w:lang w:val="en-US" w:eastAsia="zh-CN"/>
              </w:rPr>
              <w:t>5</w:t>
            </w:r>
            <w:r>
              <w:rPr>
                <w:rFonts w:hint="eastAsia"/>
                <w:color w:val="auto"/>
                <w:sz w:val="24"/>
                <w:szCs w:val="24"/>
                <w:highlight w:val="none"/>
              </w:rPr>
              <w:t>分</w:t>
            </w:r>
          </w:p>
          <w:p>
            <w:pPr>
              <w:pStyle w:val="485"/>
              <w:ind w:left="0" w:leftChars="0" w:firstLine="0" w:firstLineChars="0"/>
              <w:jc w:val="left"/>
              <w:rPr>
                <w:rFonts w:hint="eastAsia"/>
                <w:color w:val="auto"/>
                <w:sz w:val="24"/>
                <w:szCs w:val="24"/>
                <w:highlight w:val="none"/>
              </w:rPr>
            </w:pPr>
            <w:r>
              <w:rPr>
                <w:rFonts w:hint="eastAsia"/>
                <w:color w:val="auto"/>
                <w:sz w:val="24"/>
                <w:szCs w:val="24"/>
                <w:highlight w:val="none"/>
              </w:rPr>
              <w:t>设计思路基本清晰，</w:t>
            </w:r>
            <w:r>
              <w:rPr>
                <w:rFonts w:hint="eastAsia"/>
                <w:color w:val="auto"/>
                <w:sz w:val="24"/>
                <w:szCs w:val="24"/>
                <w:highlight w:val="none"/>
                <w:lang w:eastAsia="zh-CN"/>
              </w:rPr>
              <w:t>主题基本明确</w:t>
            </w:r>
            <w:r>
              <w:rPr>
                <w:rFonts w:hint="eastAsia"/>
                <w:color w:val="auto"/>
                <w:sz w:val="24"/>
                <w:szCs w:val="24"/>
                <w:highlight w:val="none"/>
              </w:rPr>
              <w:t>，</w:t>
            </w:r>
            <w:r>
              <w:rPr>
                <w:rFonts w:hint="eastAsia"/>
                <w:color w:val="auto"/>
                <w:sz w:val="24"/>
                <w:szCs w:val="24"/>
                <w:highlight w:val="none"/>
                <w:lang w:eastAsia="zh-CN"/>
              </w:rPr>
              <w:t>基本符合项目需求</w:t>
            </w:r>
            <w:r>
              <w:rPr>
                <w:rFonts w:hint="eastAsia"/>
                <w:color w:val="auto"/>
                <w:sz w:val="24"/>
                <w:szCs w:val="24"/>
                <w:highlight w:val="none"/>
              </w:rPr>
              <w:t>得</w:t>
            </w:r>
            <w:r>
              <w:rPr>
                <w:rFonts w:hint="eastAsia"/>
                <w:color w:val="auto"/>
                <w:sz w:val="24"/>
                <w:szCs w:val="24"/>
                <w:highlight w:val="none"/>
                <w:lang w:val="en-US" w:eastAsia="zh-CN"/>
              </w:rPr>
              <w:t>3</w:t>
            </w:r>
            <w:r>
              <w:rPr>
                <w:rFonts w:hint="eastAsia"/>
                <w:color w:val="auto"/>
                <w:sz w:val="24"/>
                <w:szCs w:val="24"/>
                <w:highlight w:val="none"/>
              </w:rPr>
              <w:t>分</w:t>
            </w:r>
          </w:p>
          <w:p>
            <w:pPr>
              <w:pStyle w:val="485"/>
              <w:ind w:left="0" w:leftChars="0" w:firstLine="0" w:firstLineChars="0"/>
              <w:jc w:val="left"/>
              <w:rPr>
                <w:rFonts w:hint="eastAsia"/>
                <w:color w:val="auto"/>
                <w:sz w:val="24"/>
                <w:szCs w:val="24"/>
                <w:highlight w:val="none"/>
              </w:rPr>
            </w:pPr>
            <w:r>
              <w:rPr>
                <w:rFonts w:hint="eastAsia"/>
                <w:color w:val="auto"/>
                <w:sz w:val="24"/>
                <w:szCs w:val="24"/>
                <w:highlight w:val="none"/>
              </w:rPr>
              <w:t>设计思路不够清晰，</w:t>
            </w:r>
            <w:r>
              <w:rPr>
                <w:rFonts w:hint="eastAsia"/>
                <w:color w:val="auto"/>
                <w:sz w:val="24"/>
                <w:szCs w:val="24"/>
                <w:highlight w:val="none"/>
                <w:lang w:eastAsia="zh-CN"/>
              </w:rPr>
              <w:t>主题不够明确</w:t>
            </w:r>
            <w:r>
              <w:rPr>
                <w:rFonts w:hint="eastAsia"/>
                <w:color w:val="auto"/>
                <w:sz w:val="24"/>
                <w:szCs w:val="24"/>
                <w:highlight w:val="none"/>
              </w:rPr>
              <w:t>，</w:t>
            </w:r>
            <w:r>
              <w:rPr>
                <w:rFonts w:hint="eastAsia"/>
                <w:color w:val="auto"/>
                <w:sz w:val="24"/>
                <w:szCs w:val="24"/>
                <w:highlight w:val="none"/>
                <w:lang w:eastAsia="zh-CN"/>
              </w:rPr>
              <w:t>与项目需求不够符合</w:t>
            </w:r>
            <w:r>
              <w:rPr>
                <w:rFonts w:hint="eastAsia"/>
                <w:color w:val="auto"/>
                <w:sz w:val="24"/>
                <w:szCs w:val="24"/>
                <w:highlight w:val="none"/>
              </w:rPr>
              <w:t>得</w:t>
            </w:r>
            <w:r>
              <w:rPr>
                <w:rFonts w:hint="eastAsia"/>
                <w:color w:val="auto"/>
                <w:sz w:val="24"/>
                <w:szCs w:val="24"/>
                <w:highlight w:val="none"/>
                <w:lang w:val="en-US" w:eastAsia="zh-CN"/>
              </w:rPr>
              <w:t>1</w:t>
            </w:r>
            <w:r>
              <w:rPr>
                <w:rFonts w:hint="eastAsia"/>
                <w:color w:val="auto"/>
                <w:sz w:val="24"/>
                <w:szCs w:val="24"/>
                <w:highlight w:val="none"/>
              </w:rPr>
              <w:t>分。</w:t>
            </w:r>
          </w:p>
          <w:p>
            <w:pPr>
              <w:pStyle w:val="485"/>
              <w:ind w:firstLine="0" w:firstLineChars="0"/>
              <w:jc w:val="left"/>
              <w:rPr>
                <w:rFonts w:hint="eastAsia"/>
                <w:highlight w:val="none"/>
                <w:lang w:val="en-US" w:eastAsia="zh-CN"/>
              </w:rPr>
            </w:pPr>
            <w:r>
              <w:rPr>
                <w:rFonts w:hint="eastAsia"/>
                <w:color w:val="auto"/>
                <w:sz w:val="24"/>
                <w:szCs w:val="24"/>
                <w:highlight w:val="none"/>
              </w:rPr>
              <w:t>未提供任何内容不得分。</w:t>
            </w:r>
          </w:p>
          <w:p>
            <w:pPr>
              <w:ind w:left="0" w:leftChars="0"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2.根据本项目广告设计及展示效果图的独创性、视觉表现力进行评分（提供效果图</w:t>
            </w:r>
            <w:r>
              <w:rPr>
                <w:rFonts w:hint="eastAsia" w:ascii="宋体" w:hAnsi="宋体" w:cs="宋体"/>
                <w:b/>
                <w:bCs/>
                <w:sz w:val="24"/>
                <w:highlight w:val="none"/>
                <w:lang w:val="en-US" w:eastAsia="zh-CN"/>
              </w:rPr>
              <w:t>或视频样稿</w:t>
            </w:r>
            <w:r>
              <w:rPr>
                <w:rFonts w:hint="eastAsia" w:ascii="宋体" w:hAnsi="宋体" w:eastAsia="宋体" w:cs="宋体"/>
                <w:b/>
                <w:bCs/>
                <w:sz w:val="24"/>
                <w:highlight w:val="none"/>
                <w:lang w:val="en-US" w:eastAsia="zh-CN"/>
              </w:rPr>
              <w:t xml:space="preserve">）。 </w:t>
            </w:r>
          </w:p>
          <w:p>
            <w:pPr>
              <w:pStyle w:val="485"/>
              <w:ind w:left="0" w:leftChars="0" w:firstLine="0" w:firstLineChars="0"/>
              <w:jc w:val="left"/>
              <w:rPr>
                <w:rFonts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rPr>
              <w:t>创新</w:t>
            </w:r>
            <w:r>
              <w:rPr>
                <w:rFonts w:hint="eastAsia" w:cs="Times New Roman"/>
                <w:color w:val="auto"/>
                <w:sz w:val="24"/>
                <w:szCs w:val="24"/>
                <w:highlight w:val="none"/>
                <w:lang w:eastAsia="zh-CN"/>
              </w:rPr>
              <w:t>，布局</w:t>
            </w:r>
            <w:r>
              <w:rPr>
                <w:rFonts w:hint="eastAsia" w:cs="Times New Roman"/>
                <w:color w:val="auto"/>
                <w:sz w:val="24"/>
                <w:szCs w:val="24"/>
                <w:highlight w:val="none"/>
              </w:rPr>
              <w:t>合理，</w:t>
            </w:r>
            <w:r>
              <w:rPr>
                <w:rFonts w:hint="eastAsia" w:cs="Times New Roman"/>
                <w:color w:val="auto"/>
                <w:sz w:val="24"/>
                <w:szCs w:val="24"/>
                <w:highlight w:val="none"/>
                <w:lang w:val="en-US" w:eastAsia="zh-CN"/>
              </w:rPr>
              <w:t>能够突出表现本项目主题，</w:t>
            </w:r>
            <w:r>
              <w:rPr>
                <w:rFonts w:hint="eastAsia" w:ascii="宋体" w:hAnsi="宋体" w:eastAsia="宋体" w:cs="宋体"/>
                <w:sz w:val="24"/>
                <w:highlight w:val="none"/>
                <w:lang w:val="en-US" w:eastAsia="zh-CN"/>
              </w:rPr>
              <w:t>具有视觉表现力、色彩协调</w:t>
            </w:r>
            <w:r>
              <w:rPr>
                <w:rFonts w:hint="eastAsia" w:cs="Times New Roman"/>
                <w:color w:val="auto"/>
                <w:sz w:val="24"/>
                <w:szCs w:val="24"/>
                <w:highlight w:val="none"/>
              </w:rPr>
              <w:t>得</w:t>
            </w:r>
            <w:r>
              <w:rPr>
                <w:rFonts w:hint="eastAsia" w:cs="Times New Roman"/>
                <w:color w:val="auto"/>
                <w:sz w:val="24"/>
                <w:szCs w:val="24"/>
                <w:highlight w:val="none"/>
                <w:lang w:val="en-US" w:eastAsia="zh-CN"/>
              </w:rPr>
              <w:t>5</w:t>
            </w:r>
            <w:r>
              <w:rPr>
                <w:rFonts w:hint="eastAsia" w:cs="Times New Roman"/>
                <w:color w:val="auto"/>
                <w:sz w:val="24"/>
                <w:szCs w:val="24"/>
                <w:highlight w:val="none"/>
              </w:rPr>
              <w:t>分</w:t>
            </w:r>
          </w:p>
          <w:p>
            <w:pPr>
              <w:pStyle w:val="485"/>
              <w:ind w:left="0" w:leftChars="0" w:firstLine="0" w:firstLineChars="0"/>
              <w:jc w:val="left"/>
              <w:rPr>
                <w:rFonts w:hint="eastAsia"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lang w:eastAsia="zh-CN"/>
              </w:rPr>
              <w:t>布局</w:t>
            </w:r>
            <w:r>
              <w:rPr>
                <w:rFonts w:hint="eastAsia" w:cs="Times New Roman"/>
                <w:color w:val="auto"/>
                <w:sz w:val="24"/>
                <w:szCs w:val="24"/>
                <w:highlight w:val="none"/>
              </w:rPr>
              <w:t>基本合理，</w:t>
            </w:r>
            <w:r>
              <w:rPr>
                <w:rFonts w:hint="eastAsia" w:cs="Times New Roman"/>
                <w:color w:val="auto"/>
                <w:sz w:val="24"/>
                <w:szCs w:val="24"/>
                <w:highlight w:val="none"/>
                <w:lang w:eastAsia="zh-CN"/>
              </w:rPr>
              <w:t>主题基本鲜明，</w:t>
            </w:r>
            <w:r>
              <w:rPr>
                <w:rFonts w:hint="eastAsia" w:ascii="宋体" w:hAnsi="宋体" w:eastAsia="宋体" w:cs="宋体"/>
                <w:sz w:val="24"/>
                <w:highlight w:val="none"/>
                <w:lang w:val="en-US" w:eastAsia="zh-CN"/>
              </w:rPr>
              <w:t>视觉表现力、色彩协调一般</w:t>
            </w:r>
            <w:r>
              <w:rPr>
                <w:rFonts w:hint="eastAsia" w:cs="Times New Roman"/>
                <w:color w:val="auto"/>
                <w:sz w:val="24"/>
                <w:szCs w:val="24"/>
                <w:highlight w:val="none"/>
              </w:rPr>
              <w:t>得</w:t>
            </w:r>
            <w:r>
              <w:rPr>
                <w:rFonts w:hint="eastAsia" w:cs="Times New Roman"/>
                <w:color w:val="auto"/>
                <w:sz w:val="24"/>
                <w:szCs w:val="24"/>
                <w:highlight w:val="none"/>
                <w:lang w:val="en-US" w:eastAsia="zh-CN"/>
              </w:rPr>
              <w:t>3</w:t>
            </w:r>
            <w:r>
              <w:rPr>
                <w:rFonts w:hint="eastAsia" w:cs="Times New Roman"/>
                <w:color w:val="auto"/>
                <w:sz w:val="24"/>
                <w:szCs w:val="24"/>
                <w:highlight w:val="none"/>
              </w:rPr>
              <w:t>分</w:t>
            </w:r>
          </w:p>
          <w:p>
            <w:pPr>
              <w:pStyle w:val="485"/>
              <w:ind w:left="0" w:leftChars="0" w:firstLine="0" w:firstLineChars="0"/>
              <w:jc w:val="left"/>
              <w:rPr>
                <w:rFonts w:hint="eastAsia"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lang w:eastAsia="zh-CN"/>
              </w:rPr>
              <w:t>不足</w:t>
            </w:r>
            <w:r>
              <w:rPr>
                <w:rFonts w:hint="eastAsia" w:cs="Times New Roman"/>
                <w:color w:val="auto"/>
                <w:sz w:val="24"/>
                <w:szCs w:val="24"/>
                <w:highlight w:val="none"/>
              </w:rPr>
              <w:t>，</w:t>
            </w:r>
            <w:r>
              <w:rPr>
                <w:rFonts w:hint="eastAsia" w:cs="Times New Roman"/>
                <w:color w:val="auto"/>
                <w:sz w:val="24"/>
                <w:szCs w:val="24"/>
                <w:highlight w:val="none"/>
                <w:lang w:eastAsia="zh-CN"/>
              </w:rPr>
              <w:t>主题不突出，</w:t>
            </w:r>
            <w:r>
              <w:rPr>
                <w:rFonts w:hint="eastAsia" w:ascii="宋体" w:hAnsi="宋体" w:eastAsia="宋体" w:cs="宋体"/>
                <w:sz w:val="24"/>
                <w:highlight w:val="none"/>
                <w:lang w:val="en-US" w:eastAsia="zh-CN"/>
              </w:rPr>
              <w:t>视觉表现力、色彩协调</w:t>
            </w:r>
            <w:r>
              <w:rPr>
                <w:rFonts w:hint="eastAsia" w:cs="Times New Roman"/>
                <w:color w:val="auto"/>
                <w:sz w:val="24"/>
                <w:szCs w:val="24"/>
                <w:highlight w:val="none"/>
              </w:rPr>
              <w:t>不足得1分</w:t>
            </w:r>
          </w:p>
          <w:p>
            <w:pPr>
              <w:pStyle w:val="485"/>
              <w:ind w:left="0" w:leftChars="0" w:firstLine="0" w:firstLineChars="0"/>
              <w:jc w:val="left"/>
              <w:rPr>
                <w:color w:val="auto"/>
                <w:kern w:val="0"/>
                <w:highlight w:val="none"/>
              </w:rPr>
            </w:pPr>
            <w:r>
              <w:rPr>
                <w:rFonts w:hint="eastAsia"/>
                <w:color w:val="auto"/>
                <w:sz w:val="24"/>
                <w:szCs w:val="24"/>
                <w:highlight w:val="none"/>
              </w:rPr>
              <w:t>未提供任何内容不得分。</w:t>
            </w:r>
          </w:p>
        </w:tc>
        <w:tc>
          <w:tcPr>
            <w:tcW w:w="624" w:type="pct"/>
            <w:noWrap w:val="0"/>
            <w:vAlign w:val="center"/>
          </w:tcPr>
          <w:p>
            <w:pPr>
              <w:ind w:left="0" w:leftChars="0" w:firstLine="0" w:firstLineChars="0"/>
              <w:jc w:val="center"/>
              <w:rPr>
                <w:rFonts w:hint="default"/>
                <w:color w:val="auto"/>
                <w:kern w:val="0"/>
                <w:highlight w:val="none"/>
                <w:lang w:val="en-US"/>
              </w:rPr>
            </w:pP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10</w:t>
            </w:r>
          </w:p>
        </w:tc>
        <w:tc>
          <w:tcPr>
            <w:tcW w:w="638" w:type="pct"/>
            <w:noWrap w:val="0"/>
            <w:vAlign w:val="center"/>
          </w:tcPr>
          <w:p>
            <w:pPr>
              <w:ind w:left="0" w:leftChars="0" w:firstLine="0" w:firstLineChars="0"/>
              <w:jc w:val="center"/>
              <w:rPr>
                <w:rFonts w:hint="eastAsia" w:ascii="Times New Roman" w:hAnsi="Times New Roman" w:eastAsia="宋体" w:cs="Times New Roman"/>
                <w:highlight w:val="none"/>
                <w:lang w:val="en-US" w:eastAsia="zh-CN"/>
              </w:rPr>
            </w:pPr>
            <w:r>
              <w:rPr>
                <w:rFonts w:hint="eastAsia" w:ascii="宋体" w:hAnsi="宋体" w:eastAsia="宋体" w:cs="宋体"/>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lang w:val="en-US" w:eastAsia="zh-CN"/>
              </w:rPr>
            </w:pPr>
            <w:r>
              <w:rPr>
                <w:rFonts w:hint="eastAsia"/>
                <w:lang w:val="en-US" w:eastAsia="zh-CN"/>
              </w:rPr>
              <w:t>6</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eastAsia="宋体" w:cs="Helvetica"/>
                <w:b/>
                <w:bCs/>
                <w:color w:val="auto"/>
                <w:kern w:val="0"/>
                <w:sz w:val="24"/>
              </w:rPr>
              <w:t>广告投放策略</w:t>
            </w:r>
          </w:p>
          <w:p>
            <w:pPr>
              <w:pStyle w:val="485"/>
              <w:ind w:left="0" w:leftChars="0" w:firstLine="0" w:firstLineChars="0"/>
              <w:jc w:val="left"/>
              <w:rPr>
                <w:rFonts w:hint="eastAsia" w:ascii="宋体" w:hAnsi="宋体" w:eastAsia="宋体" w:cs="Helvetica"/>
                <w:b/>
                <w:bCs/>
                <w:color w:val="auto"/>
                <w:kern w:val="0"/>
                <w:sz w:val="24"/>
                <w:lang w:val="en-US" w:eastAsia="zh-CN"/>
              </w:rPr>
            </w:pPr>
            <w:r>
              <w:rPr>
                <w:rFonts w:hint="eastAsia" w:ascii="宋体" w:hAnsi="宋体" w:eastAsia="宋体" w:cs="Helvetica"/>
                <w:b/>
                <w:bCs/>
                <w:color w:val="auto"/>
                <w:kern w:val="0"/>
                <w:sz w:val="24"/>
                <w:lang w:val="en-US" w:eastAsia="zh-CN"/>
              </w:rPr>
              <w:t>1、投放区域选择方案（0-5分）</w:t>
            </w:r>
          </w:p>
          <w:p>
            <w:pPr>
              <w:pStyle w:val="485"/>
              <w:ind w:left="0" w:leftChars="0" w:firstLine="0" w:firstLineChars="0"/>
              <w:jc w:val="left"/>
              <w:rPr>
                <w:color w:val="auto"/>
                <w:szCs w:val="24"/>
              </w:rPr>
            </w:pPr>
            <w:r>
              <w:rPr>
                <w:rFonts w:hint="eastAsia"/>
                <w:color w:val="auto"/>
                <w:szCs w:val="24"/>
                <w:lang w:eastAsia="zh-CN"/>
              </w:rPr>
              <w:t>区域选择科学合理，人流密集、商业繁华、户外广告资源质优</w:t>
            </w:r>
            <w:r>
              <w:rPr>
                <w:rFonts w:hint="eastAsia"/>
                <w:color w:val="auto"/>
                <w:szCs w:val="24"/>
              </w:rPr>
              <w:t>的得5分；</w:t>
            </w:r>
          </w:p>
          <w:p>
            <w:pPr>
              <w:pStyle w:val="485"/>
              <w:ind w:left="0" w:leftChars="0" w:firstLine="0" w:firstLineChars="0"/>
              <w:jc w:val="left"/>
              <w:rPr>
                <w:color w:val="auto"/>
                <w:szCs w:val="24"/>
              </w:rPr>
            </w:pPr>
            <w:r>
              <w:rPr>
                <w:rFonts w:hint="eastAsia"/>
                <w:color w:val="auto"/>
                <w:szCs w:val="24"/>
                <w:lang w:eastAsia="zh-CN"/>
              </w:rPr>
              <w:t>区域选择基本合理，</w:t>
            </w:r>
            <w:r>
              <w:rPr>
                <w:rFonts w:hint="eastAsia" w:ascii="宋体" w:hAnsi="宋体" w:eastAsia="宋体" w:cs="Helvetica"/>
                <w:color w:val="auto"/>
                <w:kern w:val="0"/>
                <w:sz w:val="24"/>
              </w:rPr>
              <w:t>人流</w:t>
            </w:r>
            <w:r>
              <w:rPr>
                <w:rFonts w:hint="eastAsia" w:ascii="宋体" w:hAnsi="宋体" w:eastAsia="宋体" w:cs="Helvetica"/>
                <w:color w:val="auto"/>
                <w:kern w:val="0"/>
                <w:sz w:val="24"/>
                <w:lang w:eastAsia="zh-CN"/>
              </w:rPr>
              <w:t>一般</w:t>
            </w:r>
            <w:r>
              <w:rPr>
                <w:rFonts w:hint="eastAsia" w:ascii="宋体" w:hAnsi="宋体" w:eastAsia="宋体" w:cs="Helvetica"/>
                <w:color w:val="auto"/>
                <w:kern w:val="0"/>
                <w:sz w:val="24"/>
              </w:rPr>
              <w:t>、商业繁华</w:t>
            </w:r>
            <w:r>
              <w:rPr>
                <w:rFonts w:hint="eastAsia" w:ascii="宋体" w:hAnsi="宋体" w:eastAsia="宋体" w:cs="Helvetica"/>
                <w:color w:val="auto"/>
                <w:kern w:val="0"/>
                <w:sz w:val="24"/>
                <w:lang w:eastAsia="zh-CN"/>
              </w:rPr>
              <w:t>度一般</w:t>
            </w:r>
            <w:r>
              <w:rPr>
                <w:rFonts w:hint="eastAsia" w:ascii="宋体" w:hAnsi="宋体" w:eastAsia="宋体" w:cs="Helvetica"/>
                <w:color w:val="auto"/>
                <w:kern w:val="0"/>
                <w:sz w:val="24"/>
              </w:rPr>
              <w:t>、户外广告资源</w:t>
            </w:r>
            <w:r>
              <w:rPr>
                <w:rFonts w:hint="eastAsia" w:ascii="宋体" w:hAnsi="宋体" w:eastAsia="宋体" w:cs="Helvetica"/>
                <w:color w:val="auto"/>
                <w:kern w:val="0"/>
                <w:sz w:val="24"/>
                <w:lang w:eastAsia="zh-CN"/>
              </w:rPr>
              <w:t>一般</w:t>
            </w:r>
            <w:r>
              <w:rPr>
                <w:rFonts w:hint="eastAsia"/>
                <w:color w:val="auto"/>
                <w:szCs w:val="24"/>
              </w:rPr>
              <w:t>的得3分；</w:t>
            </w:r>
          </w:p>
          <w:p>
            <w:pPr>
              <w:pStyle w:val="485"/>
              <w:ind w:left="0" w:leftChars="0" w:firstLine="0" w:firstLineChars="0"/>
              <w:jc w:val="left"/>
              <w:rPr>
                <w:color w:val="auto"/>
                <w:szCs w:val="24"/>
              </w:rPr>
            </w:pPr>
            <w:r>
              <w:rPr>
                <w:rFonts w:hint="eastAsia"/>
                <w:color w:val="auto"/>
                <w:szCs w:val="24"/>
                <w:lang w:eastAsia="zh-CN"/>
              </w:rPr>
              <w:t>区域选择</w:t>
            </w:r>
            <w:r>
              <w:rPr>
                <w:rFonts w:hint="eastAsia"/>
                <w:color w:val="auto"/>
                <w:szCs w:val="24"/>
              </w:rPr>
              <w:t>存在</w:t>
            </w:r>
            <w:r>
              <w:rPr>
                <w:rFonts w:hint="eastAsia"/>
                <w:color w:val="auto"/>
                <w:szCs w:val="24"/>
                <w:lang w:eastAsia="zh-CN"/>
              </w:rPr>
              <w:t>不足</w:t>
            </w:r>
            <w:r>
              <w:rPr>
                <w:rFonts w:hint="eastAsia"/>
                <w:color w:val="auto"/>
                <w:szCs w:val="24"/>
              </w:rPr>
              <w:t>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p>
            <w:pPr>
              <w:numPr>
                <w:ilvl w:val="0"/>
                <w:numId w:val="0"/>
              </w:numPr>
              <w:rPr>
                <w:rFonts w:hint="eastAsia" w:ascii="宋体" w:hAnsi="宋体" w:cs="Helvetica"/>
                <w:b/>
                <w:bCs/>
                <w:color w:val="auto"/>
                <w:kern w:val="0"/>
                <w:sz w:val="24"/>
                <w:szCs w:val="22"/>
                <w:lang w:val="en-US" w:eastAsia="zh-CN" w:bidi="ar-SA"/>
              </w:rPr>
            </w:pPr>
            <w:r>
              <w:rPr>
                <w:rFonts w:hint="eastAsia" w:ascii="宋体" w:hAnsi="宋体" w:cs="Helvetica"/>
                <w:b/>
                <w:bCs/>
                <w:color w:val="auto"/>
                <w:kern w:val="0"/>
                <w:sz w:val="24"/>
                <w:szCs w:val="22"/>
                <w:lang w:val="en-US" w:eastAsia="zh-CN" w:bidi="ar-SA"/>
              </w:rPr>
              <w:t>2、</w:t>
            </w:r>
            <w:r>
              <w:rPr>
                <w:rFonts w:hint="eastAsia" w:ascii="宋体" w:hAnsi="宋体" w:eastAsia="宋体" w:cs="Helvetica"/>
                <w:b/>
                <w:bCs/>
                <w:color w:val="auto"/>
                <w:kern w:val="0"/>
                <w:sz w:val="24"/>
                <w:szCs w:val="22"/>
                <w:lang w:val="en-US" w:eastAsia="zh-CN" w:bidi="ar-SA"/>
              </w:rPr>
              <w:t>本项目拟投放区域点位LED电子大屏</w:t>
            </w:r>
            <w:r>
              <w:rPr>
                <w:rFonts w:hint="eastAsia" w:ascii="宋体" w:hAnsi="宋体" w:cs="Helvetica"/>
                <w:b/>
                <w:bCs/>
                <w:color w:val="auto"/>
                <w:kern w:val="0"/>
                <w:sz w:val="24"/>
                <w:szCs w:val="22"/>
                <w:lang w:val="en-US" w:eastAsia="zh-CN" w:bidi="ar-SA"/>
              </w:rPr>
              <w:t>搭配方案</w:t>
            </w:r>
            <w:r>
              <w:rPr>
                <w:rFonts w:hint="eastAsia" w:ascii="宋体" w:hAnsi="宋体" w:eastAsia="宋体" w:cs="Helvetica"/>
                <w:b/>
                <w:bCs/>
                <w:color w:val="auto"/>
                <w:kern w:val="0"/>
                <w:sz w:val="24"/>
                <w:szCs w:val="22"/>
                <w:lang w:val="en-US" w:eastAsia="zh-CN" w:bidi="ar-SA"/>
              </w:rPr>
              <w:t>（包括但不限于屏幕尺寸、所处位置、视野效果等）</w:t>
            </w:r>
            <w:r>
              <w:rPr>
                <w:rFonts w:hint="eastAsia" w:ascii="宋体" w:hAnsi="宋体" w:cs="Helvetica"/>
                <w:b/>
                <w:bCs/>
                <w:color w:val="auto"/>
                <w:kern w:val="0"/>
                <w:sz w:val="24"/>
                <w:szCs w:val="22"/>
                <w:lang w:val="en-US" w:eastAsia="zh-CN" w:bidi="ar-SA"/>
              </w:rPr>
              <w:t>（0-5分）</w:t>
            </w:r>
          </w:p>
          <w:p>
            <w:pPr>
              <w:numPr>
                <w:ilvl w:val="0"/>
                <w:numId w:val="0"/>
              </w:numPr>
              <w:rPr>
                <w:rFonts w:hint="eastAsia" w:ascii="宋体" w:hAnsi="宋体" w:cs="Helvetica"/>
                <w:b/>
                <w:bCs/>
                <w:color w:val="auto"/>
                <w:kern w:val="0"/>
                <w:sz w:val="24"/>
                <w:szCs w:val="22"/>
                <w:lang w:val="en-US" w:eastAsia="zh-CN" w:bidi="ar-SA"/>
              </w:rPr>
            </w:pPr>
            <w:r>
              <w:rPr>
                <w:rFonts w:hint="eastAsia" w:ascii="宋体" w:hAnsi="宋体" w:cs="Helvetica"/>
                <w:b/>
                <w:bCs/>
                <w:color w:val="auto"/>
                <w:kern w:val="0"/>
                <w:sz w:val="24"/>
                <w:szCs w:val="22"/>
                <w:lang w:val="en-US" w:eastAsia="zh-CN" w:bidi="ar-SA"/>
              </w:rPr>
              <w:t>2.1屏幕搭配方案（注明每处点位LED大屏尺寸）</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宋体" w:hAnsi="宋体" w:cs="Helvetica"/>
                <w:b w:val="0"/>
                <w:bCs w:val="0"/>
                <w:color w:val="auto"/>
                <w:kern w:val="0"/>
                <w:sz w:val="24"/>
                <w:szCs w:val="22"/>
                <w:lang w:val="en-US" w:eastAsia="zh-CN" w:bidi="ar-SA"/>
              </w:rPr>
              <w:t>按所选屏幕搭配方案LED屏幕尺寸超1000㎡的数量在满足招标文件要求（不少于2处点位）的基础上，每增加1处屏幕尺寸超1000㎡点位的得1分，最高得3分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0-3分</w:t>
            </w:r>
            <w:r>
              <w:rPr>
                <w:rFonts w:hint="eastAsia" w:ascii="宋体" w:hAnsi="宋体" w:cs="宋体"/>
                <w:color w:val="auto"/>
                <w:kern w:val="0"/>
                <w:szCs w:val="21"/>
                <w:highlight w:val="none"/>
                <w:lang w:eastAsia="zh-CN"/>
              </w:rPr>
              <w:t>）</w:t>
            </w:r>
          </w:p>
          <w:p>
            <w:pPr>
              <w:numPr>
                <w:ilvl w:val="0"/>
                <w:numId w:val="0"/>
              </w:numPr>
              <w:rPr>
                <w:rFonts w:hint="default" w:ascii="宋体" w:hAnsi="宋体" w:cs="Helvetica"/>
                <w:b/>
                <w:bCs/>
                <w:color w:val="auto"/>
                <w:kern w:val="0"/>
                <w:sz w:val="24"/>
                <w:szCs w:val="22"/>
                <w:lang w:val="en-US" w:eastAsia="zh-CN" w:bidi="ar-SA"/>
              </w:rPr>
            </w:pPr>
            <w:r>
              <w:rPr>
                <w:rFonts w:hint="eastAsia" w:ascii="宋体" w:hAnsi="宋体" w:cs="Helvetica"/>
                <w:b/>
                <w:bCs/>
                <w:color w:val="auto"/>
                <w:kern w:val="0"/>
                <w:sz w:val="24"/>
                <w:szCs w:val="22"/>
                <w:lang w:val="en-US" w:eastAsia="zh-CN" w:bidi="ar-SA"/>
              </w:rPr>
              <w:t>2.2所处位置、视野效果</w:t>
            </w:r>
          </w:p>
          <w:p>
            <w:pPr>
              <w:numPr>
                <w:ilvl w:val="0"/>
                <w:numId w:val="0"/>
              </w:numPr>
              <w:rPr>
                <w:rFonts w:hint="eastAsia" w:ascii="宋体" w:hAnsi="宋体" w:cs="Helvetica"/>
                <w:b w:val="0"/>
                <w:bCs w:val="0"/>
                <w:color w:val="auto"/>
                <w:kern w:val="0"/>
                <w:sz w:val="24"/>
                <w:szCs w:val="22"/>
                <w:lang w:val="en-US" w:eastAsia="zh-CN" w:bidi="ar-SA"/>
              </w:rPr>
            </w:pPr>
            <w:r>
              <w:rPr>
                <w:rFonts w:hint="eastAsia" w:ascii="宋体" w:hAnsi="宋体" w:cs="Helvetica"/>
                <w:b w:val="0"/>
                <w:bCs w:val="0"/>
                <w:color w:val="auto"/>
                <w:kern w:val="0"/>
                <w:sz w:val="24"/>
                <w:szCs w:val="22"/>
                <w:lang w:val="en-US" w:eastAsia="zh-CN" w:bidi="ar-SA"/>
              </w:rPr>
              <w:t>所选屏幕所处位置佳、视野效果好，得2分；</w:t>
            </w:r>
          </w:p>
          <w:p>
            <w:pPr>
              <w:pStyle w:val="3"/>
              <w:numPr>
                <w:ilvl w:val="0"/>
                <w:numId w:val="0"/>
              </w:numPr>
              <w:ind w:leftChars="0"/>
              <w:jc w:val="both"/>
              <w:rPr>
                <w:rFonts w:hint="eastAsia" w:ascii="宋体" w:hAnsi="宋体" w:cs="Helvetica"/>
                <w:b w:val="0"/>
                <w:bCs w:val="0"/>
                <w:color w:val="auto"/>
                <w:kern w:val="0"/>
                <w:sz w:val="24"/>
                <w:szCs w:val="22"/>
                <w:lang w:val="en-US" w:eastAsia="zh-CN" w:bidi="ar-SA"/>
              </w:rPr>
            </w:pPr>
            <w:r>
              <w:rPr>
                <w:rFonts w:hint="eastAsia"/>
                <w:b w:val="0"/>
                <w:bCs w:val="0"/>
                <w:color w:val="auto"/>
                <w:sz w:val="24"/>
                <w:szCs w:val="24"/>
                <w:lang w:val="en-US" w:eastAsia="zh-CN"/>
              </w:rPr>
              <w:t>所选</w:t>
            </w:r>
            <w:r>
              <w:rPr>
                <w:rFonts w:hint="eastAsia" w:ascii="宋体" w:hAnsi="宋体" w:cs="Helvetica"/>
                <w:b w:val="0"/>
                <w:bCs w:val="0"/>
                <w:color w:val="auto"/>
                <w:kern w:val="0"/>
                <w:sz w:val="24"/>
                <w:szCs w:val="22"/>
                <w:lang w:val="en-US" w:eastAsia="zh-CN" w:bidi="ar-SA"/>
              </w:rPr>
              <w:t>屏幕所处位置一般、视野效果一般，得1分；</w:t>
            </w:r>
          </w:p>
          <w:p>
            <w:pPr>
              <w:pStyle w:val="3"/>
              <w:numPr>
                <w:ilvl w:val="0"/>
                <w:numId w:val="0"/>
              </w:numPr>
              <w:ind w:leftChars="0"/>
              <w:jc w:val="both"/>
              <w:rPr>
                <w:rFonts w:hint="eastAsia" w:ascii="宋体" w:hAnsi="宋体" w:cs="Helvetica"/>
                <w:b w:val="0"/>
                <w:bCs w:val="0"/>
                <w:color w:val="auto"/>
                <w:kern w:val="0"/>
                <w:sz w:val="24"/>
                <w:szCs w:val="22"/>
                <w:lang w:val="en-US" w:eastAsia="zh-CN" w:bidi="ar-SA"/>
              </w:rPr>
            </w:pPr>
            <w:r>
              <w:rPr>
                <w:rFonts w:hint="eastAsia"/>
                <w:b w:val="0"/>
                <w:bCs w:val="0"/>
                <w:color w:val="auto"/>
                <w:sz w:val="24"/>
                <w:szCs w:val="24"/>
                <w:lang w:val="en-US" w:eastAsia="zh-CN"/>
              </w:rPr>
              <w:t>所选</w:t>
            </w:r>
            <w:r>
              <w:rPr>
                <w:rFonts w:hint="eastAsia" w:ascii="宋体" w:hAnsi="宋体" w:cs="Helvetica"/>
                <w:b w:val="0"/>
                <w:bCs w:val="0"/>
                <w:color w:val="auto"/>
                <w:kern w:val="0"/>
                <w:sz w:val="24"/>
                <w:szCs w:val="22"/>
                <w:lang w:val="en-US" w:eastAsia="zh-CN" w:bidi="ar-SA"/>
              </w:rPr>
              <w:t>屏幕所处位置、视野效果存在不足，得0.5分；</w:t>
            </w:r>
          </w:p>
          <w:p>
            <w:pPr>
              <w:ind w:left="0" w:leftChars="0" w:firstLine="0" w:firstLineChars="0"/>
              <w:jc w:val="left"/>
              <w:rPr>
                <w:rFonts w:hint="default"/>
                <w:b w:val="0"/>
                <w:bCs w:val="0"/>
                <w:color w:val="FF0000"/>
                <w:sz w:val="24"/>
                <w:szCs w:val="24"/>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1、2.2</w:t>
            </w:r>
            <w:r>
              <w:rPr>
                <w:rFonts w:hint="eastAsia" w:ascii="Times New Roman" w:hAnsi="Times New Roman" w:eastAsia="宋体" w:cs="Times New Roman"/>
                <w:color w:val="auto"/>
                <w:lang w:val="en-US" w:eastAsia="zh-CN"/>
              </w:rPr>
              <w:t>主观分</w:t>
            </w:r>
          </w:p>
          <w:p>
            <w:pPr>
              <w:bidi w:val="0"/>
              <w:ind w:left="0" w:leftChars="0" w:firstLine="0" w:firstLineChars="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2.1客观分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color w:val="auto"/>
                <w:lang w:val="en-US" w:eastAsia="zh-CN"/>
              </w:rPr>
            </w:pPr>
            <w:r>
              <w:rPr>
                <w:rFonts w:hint="eastAsia"/>
                <w:color w:val="auto"/>
                <w:lang w:val="en-US" w:eastAsia="zh-CN"/>
              </w:rPr>
              <w:t>7</w:t>
            </w:r>
          </w:p>
        </w:tc>
        <w:tc>
          <w:tcPr>
            <w:tcW w:w="592" w:type="pct"/>
            <w:noWrap w:val="0"/>
            <w:vAlign w:val="center"/>
          </w:tcPr>
          <w:p>
            <w:pPr>
              <w:bidi w:val="0"/>
              <w:ind w:left="0" w:leftChars="0" w:firstLine="0" w:firstLineChars="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技术</w:t>
            </w:r>
          </w:p>
        </w:tc>
        <w:tc>
          <w:tcPr>
            <w:tcW w:w="2727" w:type="pct"/>
            <w:noWrap w:val="0"/>
            <w:vAlign w:val="center"/>
          </w:tcPr>
          <w:p>
            <w:pPr>
              <w:pStyle w:val="485"/>
              <w:ind w:left="0" w:leftChars="0" w:firstLine="0" w:firstLineChars="0"/>
              <w:jc w:val="left"/>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1、广告投放频次方案（分别注明每处点位屏幕的投放频次）（0-4分）</w:t>
            </w:r>
          </w:p>
          <w:p>
            <w:pPr>
              <w:pStyle w:val="485"/>
              <w:ind w:left="0" w:leftChars="0" w:firstLine="0" w:firstLineChars="0"/>
              <w:jc w:val="left"/>
              <w:rPr>
                <w:rFonts w:hint="eastAsia"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在满足招标文件要求（不少于7个点位，每个点位的投放频次不少于180次/天）的基础上，承诺投放广告频次不低于210次/天的，每承诺1个点位得0.5分，最高得2分；承诺投放广告频次不低于240次/天的，每承诺1个点位得1分，最高得4分；本项评分最高得4分。（0-4分）</w:t>
            </w:r>
          </w:p>
          <w:p>
            <w:pPr>
              <w:pStyle w:val="485"/>
              <w:numPr>
                <w:ilvl w:val="0"/>
                <w:numId w:val="4"/>
              </w:numPr>
              <w:ind w:left="0" w:leftChars="0" w:firstLine="0" w:firstLineChars="0"/>
              <w:jc w:val="left"/>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广告投放时长方案（分别注明每处点位屏幕的投放时长）（0-4分）</w:t>
            </w:r>
          </w:p>
          <w:p>
            <w:pPr>
              <w:pStyle w:val="485"/>
              <w:ind w:left="0" w:leftChars="0" w:firstLine="0" w:firstLineChars="0"/>
              <w:jc w:val="left"/>
              <w:rPr>
                <w:rFonts w:hint="eastAsia"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在满足招标文件要求（不少于7个点位，每处点位投放时长不少于15s/次）的基础上，承诺投放时长不少于20s/次的，每承诺1个点位得0.5分，最高得2分；承诺投放时长不少于30s/次的，每承诺1个点位得1分，最高得4分；本项评分最高得4分；（0-4分）</w:t>
            </w:r>
          </w:p>
          <w:p>
            <w:pPr>
              <w:pStyle w:val="485"/>
              <w:ind w:left="0" w:leftChars="0" w:firstLine="0" w:firstLineChars="0"/>
              <w:jc w:val="left"/>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3、广告投放周期方案（分别注明每处点位屏幕的投放周期）（0-4分）</w:t>
            </w:r>
          </w:p>
          <w:p>
            <w:pPr>
              <w:pStyle w:val="485"/>
              <w:ind w:left="0" w:leftChars="0" w:firstLine="0" w:firstLineChars="0"/>
              <w:jc w:val="left"/>
              <w:rPr>
                <w:rFonts w:hint="eastAsia"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在满足招标文件要求（不少于7个点位，每处点位投放周期连续不间断不少于4周）的基础上，承诺投放周期连续不间断不少于5周的，每承诺1个点位得0.5分，最高得2分；承诺投放周期连续不间断不少于6周的，每承诺1个点位得1分，最高得4分；本项评分最高得4分。（0-4分）</w:t>
            </w:r>
          </w:p>
          <w:p>
            <w:pPr>
              <w:pStyle w:val="485"/>
              <w:numPr>
                <w:ilvl w:val="0"/>
                <w:numId w:val="0"/>
              </w:numPr>
              <w:ind w:leftChars="0"/>
              <w:jc w:val="left"/>
              <w:rPr>
                <w:rFonts w:hint="eastAsia" w:cs="Times New Roman"/>
                <w:b/>
                <w:bCs/>
                <w:color w:val="auto"/>
                <w:kern w:val="0"/>
                <w:highlight w:val="none"/>
                <w:lang w:val="en-US" w:eastAsia="zh-CN"/>
              </w:rPr>
            </w:pPr>
            <w:r>
              <w:rPr>
                <w:rFonts w:hint="eastAsia" w:cs="Times New Roman"/>
                <w:b/>
                <w:bCs/>
                <w:color w:val="auto"/>
                <w:kern w:val="0"/>
                <w:highlight w:val="none"/>
                <w:lang w:val="en-US" w:eastAsia="zh-CN"/>
              </w:rPr>
              <w:t>4、广告投放时间段选择方案（0-3分）</w:t>
            </w:r>
          </w:p>
          <w:p>
            <w:pPr>
              <w:pStyle w:val="485"/>
              <w:numPr>
                <w:ilvl w:val="0"/>
                <w:numId w:val="0"/>
              </w:numPr>
              <w:ind w:leftChars="0"/>
              <w:jc w:val="left"/>
              <w:rPr>
                <w:rFonts w:hint="eastAsia" w:cs="Times New Roman"/>
                <w:color w:val="auto"/>
                <w:kern w:val="0"/>
                <w:highlight w:val="none"/>
                <w:lang w:val="en-US" w:eastAsia="zh-CN"/>
              </w:rPr>
            </w:pPr>
            <w:r>
              <w:rPr>
                <w:rFonts w:hint="eastAsia" w:cs="Times New Roman"/>
                <w:color w:val="auto"/>
                <w:kern w:val="0"/>
                <w:highlight w:val="none"/>
                <w:lang w:val="en-US" w:eastAsia="zh-CN"/>
              </w:rPr>
              <w:t>投放时间段收视率高得3分；</w:t>
            </w:r>
          </w:p>
          <w:p>
            <w:pPr>
              <w:pStyle w:val="485"/>
              <w:numPr>
                <w:ilvl w:val="0"/>
                <w:numId w:val="0"/>
              </w:numPr>
              <w:ind w:leftChars="0"/>
              <w:jc w:val="left"/>
              <w:rPr>
                <w:rFonts w:hint="eastAsia" w:cs="Times New Roman"/>
                <w:color w:val="auto"/>
                <w:kern w:val="0"/>
                <w:highlight w:val="none"/>
                <w:lang w:val="en-US" w:eastAsia="zh-CN"/>
              </w:rPr>
            </w:pPr>
            <w:r>
              <w:rPr>
                <w:rFonts w:hint="eastAsia" w:cs="Times New Roman"/>
                <w:color w:val="auto"/>
                <w:kern w:val="0"/>
                <w:highlight w:val="none"/>
                <w:lang w:val="en-US" w:eastAsia="zh-CN"/>
              </w:rPr>
              <w:t>投放时间段收视率一般得2分；</w:t>
            </w:r>
          </w:p>
          <w:p>
            <w:pPr>
              <w:pStyle w:val="485"/>
              <w:numPr>
                <w:ilvl w:val="0"/>
                <w:numId w:val="0"/>
              </w:numPr>
              <w:ind w:leftChars="0"/>
              <w:jc w:val="left"/>
              <w:rPr>
                <w:rFonts w:hint="eastAsia" w:cs="Times New Roman"/>
                <w:color w:val="auto"/>
                <w:kern w:val="0"/>
                <w:highlight w:val="none"/>
                <w:lang w:val="en-US" w:eastAsia="zh-CN"/>
              </w:rPr>
            </w:pPr>
            <w:r>
              <w:rPr>
                <w:rFonts w:hint="eastAsia" w:cs="Times New Roman"/>
                <w:color w:val="auto"/>
                <w:kern w:val="0"/>
                <w:highlight w:val="none"/>
                <w:lang w:val="en-US" w:eastAsia="zh-CN"/>
              </w:rPr>
              <w:t>投放时间段收视率低得1分；</w:t>
            </w:r>
          </w:p>
          <w:p>
            <w:pPr>
              <w:pStyle w:val="485"/>
              <w:numPr>
                <w:ilvl w:val="0"/>
                <w:numId w:val="0"/>
              </w:numPr>
              <w:ind w:leftChars="0"/>
              <w:jc w:val="left"/>
              <w:rPr>
                <w:rFonts w:hint="default" w:cs="Times New Roman"/>
                <w:color w:val="auto"/>
                <w:kern w:val="0"/>
                <w:highlight w:val="none"/>
                <w:lang w:val="en-US" w:eastAsia="zh-CN"/>
              </w:rPr>
            </w:pPr>
            <w:r>
              <w:rPr>
                <w:rFonts w:hint="eastAsia" w:cs="Times New Roman"/>
                <w:color w:val="auto"/>
                <w:kern w:val="0"/>
                <w:highlight w:val="none"/>
                <w:lang w:val="en-US" w:eastAsia="zh-CN"/>
              </w:rPr>
              <w:t>未提供相关内容不得分。</w:t>
            </w:r>
          </w:p>
        </w:tc>
        <w:tc>
          <w:tcPr>
            <w:tcW w:w="624" w:type="pct"/>
            <w:noWrap w:val="0"/>
            <w:vAlign w:val="center"/>
          </w:tcPr>
          <w:p>
            <w:pPr>
              <w:ind w:left="0" w:leftChars="0" w:firstLine="0" w:firstLineChars="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0-15</w:t>
            </w:r>
          </w:p>
        </w:tc>
        <w:tc>
          <w:tcPr>
            <w:tcW w:w="638" w:type="pct"/>
            <w:noWrap w:val="0"/>
            <w:vAlign w:val="center"/>
          </w:tcPr>
          <w:p>
            <w:pPr>
              <w:ind w:left="0" w:leftChars="0" w:firstLine="0" w:firstLineChars="0"/>
              <w:jc w:val="center"/>
              <w:rPr>
                <w:rFonts w:hint="eastAsia" w:ascii="宋体" w:hAnsi="宋体" w:cs="宋体"/>
                <w:color w:val="auto"/>
                <w:sz w:val="24"/>
                <w:lang w:val="en-US" w:eastAsia="zh-CN"/>
              </w:rPr>
            </w:pPr>
            <w:r>
              <w:rPr>
                <w:rFonts w:hint="eastAsia" w:ascii="宋体" w:hAnsi="宋体" w:cs="宋体"/>
                <w:color w:val="auto"/>
                <w:sz w:val="24"/>
                <w:lang w:val="en-US" w:eastAsia="zh-CN"/>
              </w:rPr>
              <w:t>1-3客观分</w:t>
            </w:r>
          </w:p>
          <w:p>
            <w:pPr>
              <w:pStyle w:val="3"/>
              <w:rPr>
                <w:rFonts w:hint="default"/>
                <w:color w:val="auto"/>
                <w:lang w:val="en-US" w:eastAsia="zh-CN"/>
              </w:rPr>
            </w:pPr>
            <w:r>
              <w:rPr>
                <w:rFonts w:hint="eastAsia" w:ascii="宋体" w:hAnsi="宋体" w:eastAsia="宋体" w:cs="宋体"/>
                <w:b w:val="0"/>
                <w:bCs w:val="0"/>
                <w:color w:val="auto"/>
                <w:kern w:val="2"/>
                <w:sz w:val="24"/>
                <w:szCs w:val="24"/>
                <w:lang w:val="en-US" w:eastAsia="zh-CN" w:bidi="ar-SA"/>
              </w:rPr>
              <w:t>4主观分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8</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ind w:left="0" w:leftChars="0" w:firstLine="0" w:firstLineChars="0"/>
              <w:rPr>
                <w:rFonts w:hint="default"/>
                <w:b/>
                <w:bCs/>
                <w:lang w:val="en-US" w:eastAsia="zh-CN"/>
              </w:rPr>
            </w:pPr>
            <w:r>
              <w:rPr>
                <w:rFonts w:hint="eastAsia"/>
                <w:b/>
                <w:bCs/>
                <w:lang w:val="en-US" w:eastAsia="zh-CN"/>
              </w:rPr>
              <w:t>广告</w:t>
            </w:r>
            <w:r>
              <w:rPr>
                <w:rFonts w:hint="default"/>
                <w:b/>
                <w:bCs/>
                <w:lang w:val="en-US" w:eastAsia="zh-CN"/>
              </w:rPr>
              <w:t>投放效果监测、跟踪及优化的方案</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方案存在缺陷的得1分；</w:t>
            </w:r>
          </w:p>
          <w:p>
            <w:pPr>
              <w:pStyle w:val="485"/>
              <w:ind w:left="0" w:leftChars="0" w:firstLine="0" w:firstLineChars="0"/>
              <w:jc w:val="left"/>
              <w:rPr>
                <w:rFonts w:hint="default" w:ascii="宋体" w:hAnsi="宋体" w:cs="宋体"/>
                <w:color w:val="auto"/>
                <w:lang w:val="en-US" w:eastAsia="zh-CN"/>
              </w:rPr>
            </w:pPr>
            <w:r>
              <w:rPr>
                <w:rFonts w:hint="eastAsia" w:ascii="Times New Roman" w:hAnsi="Times New Roman" w:eastAsia="宋体" w:cs="Times New Roman"/>
                <w:color w:val="auto"/>
                <w:sz w:val="24"/>
                <w:szCs w:val="24"/>
                <w:highlight w:val="none"/>
                <w:lang w:eastAsia="zh-CN"/>
              </w:rPr>
              <w:t>未提供相关描述不得分。</w:t>
            </w:r>
          </w:p>
        </w:tc>
        <w:tc>
          <w:tcPr>
            <w:tcW w:w="624" w:type="pct"/>
            <w:noWrap w:val="0"/>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宋体" w:hAnsi="宋体" w:eastAsia="宋体" w:cs="宋体"/>
                <w:sz w:val="24"/>
                <w:lang w:val="en-US" w:eastAsia="zh-CN"/>
              </w:rPr>
              <w:t>0-5</w:t>
            </w:r>
          </w:p>
        </w:tc>
        <w:tc>
          <w:tcPr>
            <w:tcW w:w="638" w:type="pct"/>
            <w:noWrap w:val="0"/>
            <w:vAlign w:val="center"/>
          </w:tcPr>
          <w:p>
            <w:pPr>
              <w:ind w:left="0" w:leftChars="0" w:firstLine="0" w:firstLineChars="0"/>
              <w:jc w:val="center"/>
              <w:rPr>
                <w:rFonts w:hint="default"/>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9</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b/>
                <w:bCs/>
                <w:lang w:val="en-US" w:eastAsia="zh-CN"/>
              </w:rPr>
            </w:pPr>
            <w:r>
              <w:rPr>
                <w:rFonts w:hint="eastAsia"/>
                <w:b/>
                <w:bCs/>
                <w:lang w:val="en-US" w:eastAsia="zh-CN"/>
              </w:rPr>
              <w:t>广告制作方案（包括但不限于制作流程、内审制度管理等）</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方案存在缺陷的得1分；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未提供相关描述不得分。</w:t>
            </w:r>
          </w:p>
        </w:tc>
        <w:tc>
          <w:tcPr>
            <w:tcW w:w="624" w:type="pct"/>
            <w:noWrap w:val="0"/>
            <w:vAlign w:val="center"/>
          </w:tcPr>
          <w:p>
            <w:pPr>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0-4</w:t>
            </w:r>
          </w:p>
        </w:tc>
        <w:tc>
          <w:tcPr>
            <w:tcW w:w="638" w:type="pct"/>
            <w:noWrap w:val="0"/>
            <w:vAlign w:val="center"/>
          </w:tcPr>
          <w:p>
            <w:pPr>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10</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后期维护方案</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方案存在缺陷的得1分；</w:t>
            </w:r>
          </w:p>
          <w:p>
            <w:pPr>
              <w:pStyle w:val="485"/>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eastAsia="宋体" w:cs="Times New Roman"/>
                <w:color w:val="auto"/>
                <w:sz w:val="24"/>
                <w:szCs w:val="24"/>
                <w:highlight w:val="none"/>
                <w:lang w:eastAsia="zh-CN"/>
              </w:rPr>
              <w:t>未提供相关描述不得分。</w:t>
            </w:r>
          </w:p>
        </w:tc>
        <w:tc>
          <w:tcPr>
            <w:tcW w:w="624"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0-5</w:t>
            </w:r>
          </w:p>
        </w:tc>
        <w:tc>
          <w:tcPr>
            <w:tcW w:w="638"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11</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snapToGrid w:val="0"/>
              <w:spacing w:line="288" w:lineRule="auto"/>
              <w:ind w:left="0" w:leftChars="0" w:firstLine="0" w:firstLineChars="0"/>
              <w:textAlignment w:val="baseline"/>
              <w:rPr>
                <w:rFonts w:hint="default" w:ascii="宋体" w:hAnsi="宋体" w:eastAsia="宋体" w:cs="宋体"/>
                <w:b/>
                <w:bCs/>
                <w:color w:val="auto"/>
                <w:szCs w:val="21"/>
                <w:lang w:val="en-US" w:eastAsia="zh-CN"/>
              </w:rPr>
            </w:pPr>
            <w:r>
              <w:rPr>
                <w:rFonts w:hint="eastAsia" w:ascii="宋体" w:hAnsi="宋体" w:cs="宋体"/>
                <w:b/>
                <w:bCs/>
                <w:color w:val="auto"/>
                <w:szCs w:val="21"/>
                <w:lang w:eastAsia="zh-CN"/>
              </w:rPr>
              <w:t>投</w:t>
            </w:r>
            <w:r>
              <w:rPr>
                <w:rFonts w:hint="eastAsia" w:ascii="宋体" w:hAnsi="宋体" w:eastAsia="宋体" w:cs="宋体"/>
                <w:b/>
                <w:bCs/>
                <w:color w:val="auto"/>
                <w:szCs w:val="21"/>
              </w:rPr>
              <w:t>标人遇突发事件时应急响应时效</w:t>
            </w:r>
            <w:r>
              <w:rPr>
                <w:rFonts w:hint="eastAsia" w:ascii="宋体" w:hAnsi="宋体" w:cs="宋体"/>
                <w:b/>
                <w:bCs/>
                <w:color w:val="auto"/>
                <w:szCs w:val="21"/>
                <w:lang w:eastAsia="zh-CN"/>
              </w:rPr>
              <w:t>、</w:t>
            </w:r>
            <w:r>
              <w:rPr>
                <w:rFonts w:hint="eastAsia" w:ascii="宋体" w:hAnsi="宋体" w:eastAsia="宋体" w:cs="宋体"/>
                <w:b/>
                <w:bCs/>
                <w:color w:val="auto"/>
                <w:szCs w:val="21"/>
              </w:rPr>
              <w:t>对突发事件的应急预案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及时</w:t>
            </w:r>
            <w:r>
              <w:rPr>
                <w:rFonts w:hint="eastAsia" w:cs="Times New Roman"/>
                <w:color w:val="auto"/>
                <w:kern w:val="0"/>
                <w:highlight w:val="none"/>
                <w:lang w:val="en-US" w:eastAsia="zh-CN"/>
              </w:rPr>
              <w:t>且</w:t>
            </w:r>
            <w:r>
              <w:rPr>
                <w:rFonts w:hint="eastAsia" w:ascii="Times New Roman" w:hAnsi="Times New Roman" w:cs="Times New Roman"/>
                <w:color w:val="auto"/>
                <w:kern w:val="0"/>
                <w:highlight w:val="none"/>
              </w:rPr>
              <w:t>突发事件的应急预案完善，实施风险保障措施充足的得</w:t>
            </w:r>
            <w:r>
              <w:rPr>
                <w:rFonts w:hint="eastAsia" w:ascii="Times New Roman" w:hAnsi="Times New Roman" w:cs="Times New Roman"/>
                <w:color w:val="auto"/>
                <w:kern w:val="0"/>
                <w:highlight w:val="none"/>
                <w:lang w:val="en-US" w:eastAsia="zh-CN"/>
              </w:rPr>
              <w:t>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一般</w:t>
            </w:r>
            <w:r>
              <w:rPr>
                <w:rFonts w:hint="eastAsia" w:ascii="Times New Roman" w:hAnsi="Times New Roman" w:cs="Times New Roman"/>
                <w:color w:val="auto"/>
                <w:kern w:val="0"/>
                <w:highlight w:val="none"/>
              </w:rPr>
              <w:t>且突发事件的应急预案、实施风险保障措施一般，基本满足采购需求的得</w:t>
            </w:r>
            <w:r>
              <w:rPr>
                <w:rFonts w:hint="eastAsia" w:ascii="Times New Roman" w:hAnsi="Times New Roman"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慢</w:t>
            </w:r>
            <w:r>
              <w:rPr>
                <w:rFonts w:hint="eastAsia" w:ascii="Times New Roman" w:hAnsi="Times New Roman" w:cs="Times New Roman"/>
                <w:color w:val="auto"/>
                <w:kern w:val="0"/>
                <w:highlight w:val="none"/>
              </w:rPr>
              <w:t>且突发事件的应急预案、实施风险保障措施略有欠缺或不到位的得1分；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4"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12</w:t>
            </w:r>
          </w:p>
        </w:tc>
        <w:tc>
          <w:tcPr>
            <w:tcW w:w="592" w:type="pct"/>
            <w:noWrap w:val="0"/>
            <w:vAlign w:val="center"/>
          </w:tcPr>
          <w:p>
            <w:pPr>
              <w:bidi w:val="0"/>
              <w:ind w:left="0" w:leftChars="0" w:firstLine="0" w:firstLineChars="0"/>
              <w:jc w:val="center"/>
              <w:rPr>
                <w:rFonts w:hint="eastAsia"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项目实施进度计划、关键节点安排及进度保障措施：</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对项目实施关键节点把握准确，能够完全掌控进度，计划详细完整，可操作性强得5分；</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对项目实施关键节点把握基本准确，基本能够掌控进度，计划基本完整，具备可操作性得3分；</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对项目实施关键节点把握不够准确，无法掌控进度，计划简单，可操作性不强得1分；</w:t>
            </w:r>
          </w:p>
          <w:p>
            <w:pPr>
              <w:ind w:left="0" w:leftChars="0" w:firstLine="0" w:firstLineChars="0"/>
              <w:rPr>
                <w:rFonts w:hint="eastAsia" w:ascii="Times New Roman" w:hAnsi="Times New Roman" w:cs="Times New Roman"/>
                <w:color w:val="auto"/>
                <w:kern w:val="0"/>
                <w:highlight w:val="none"/>
              </w:rPr>
            </w:pPr>
            <w:r>
              <w:rPr>
                <w:rFonts w:hint="eastAsia" w:ascii="宋体" w:hAnsi="宋体" w:eastAsia="宋体" w:cs="宋体"/>
                <w:sz w:val="24"/>
                <w:lang w:val="en-US" w:eastAsia="zh-CN"/>
              </w:rPr>
              <w:t>未提供任何内容不得分。</w:t>
            </w:r>
          </w:p>
        </w:tc>
        <w:tc>
          <w:tcPr>
            <w:tcW w:w="624"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0-5</w:t>
            </w:r>
          </w:p>
        </w:tc>
        <w:tc>
          <w:tcPr>
            <w:tcW w:w="638"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13</w:t>
            </w:r>
          </w:p>
        </w:tc>
        <w:tc>
          <w:tcPr>
            <w:tcW w:w="592" w:type="pct"/>
            <w:noWrap w:val="0"/>
            <w:vAlign w:val="center"/>
          </w:tcPr>
          <w:p>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cs="Times New Roman"/>
                <w:lang w:val="en-US" w:eastAsia="zh-CN"/>
              </w:rPr>
              <w:t>技术</w:t>
            </w:r>
          </w:p>
        </w:tc>
        <w:tc>
          <w:tcPr>
            <w:tcW w:w="2727" w:type="pct"/>
            <w:noWrap w:val="0"/>
            <w:vAlign w:val="center"/>
          </w:tcPr>
          <w:p>
            <w:pPr>
              <w:ind w:left="0" w:leftChars="0" w:firstLine="0" w:firstLineChars="0"/>
              <w:jc w:val="left"/>
              <w:rPr>
                <w:rFonts w:hint="eastAsia" w:ascii="Times New Roman" w:hAnsi="Times New Roman" w:cs="Times New Roman"/>
                <w:b/>
                <w:bCs/>
                <w:color w:val="auto"/>
                <w:kern w:val="0"/>
                <w:highlight w:val="none"/>
                <w:lang w:eastAsia="zh-CN"/>
              </w:rPr>
            </w:pPr>
            <w:r>
              <w:rPr>
                <w:rFonts w:hint="eastAsia" w:ascii="Times New Roman" w:hAnsi="Times New Roman" w:cs="Times New Roman"/>
                <w:b/>
                <w:bCs/>
                <w:color w:val="auto"/>
                <w:kern w:val="0"/>
                <w:highlight w:val="none"/>
              </w:rPr>
              <w:t>投标人针对本项目保障措施</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保障措施完全满足需求且合理性及可行性高得5分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保障措施基本满足需求且合理性及可行性一般得3分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保障措施部分满足需求且可行性存在欠缺及不合理得1分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highlight w:val="none"/>
              </w:rPr>
              <w:t>未提供相关内容或不满足采购需求要求的不得分</w:t>
            </w:r>
            <w:r>
              <w:rPr>
                <w:rFonts w:hint="eastAsia" w:ascii="Times New Roman" w:hAnsi="Times New Roman" w:cs="Times New Roman"/>
                <w:color w:val="auto"/>
                <w:kern w:val="0"/>
                <w:highlight w:val="none"/>
                <w:lang w:eastAsia="zh-CN"/>
              </w:rPr>
              <w:t>。</w:t>
            </w:r>
          </w:p>
        </w:tc>
        <w:tc>
          <w:tcPr>
            <w:tcW w:w="624" w:type="pct"/>
            <w:noWrap w:val="0"/>
            <w:vAlign w:val="center"/>
          </w:tcPr>
          <w:p>
            <w:pPr>
              <w:bidi w:val="0"/>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14</w:t>
            </w:r>
          </w:p>
        </w:tc>
        <w:tc>
          <w:tcPr>
            <w:tcW w:w="592" w:type="pct"/>
            <w:noWrap w:val="0"/>
            <w:vAlign w:val="center"/>
          </w:tcPr>
          <w:p>
            <w:pPr>
              <w:bidi w:val="0"/>
              <w:ind w:left="0" w:leftChars="0" w:firstLine="0" w:firstLineChars="0"/>
              <w:jc w:val="center"/>
              <w:rPr>
                <w:rFonts w:hint="eastAsia"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其它服务方案及承诺：</w:t>
            </w:r>
          </w:p>
          <w:p>
            <w:pPr>
              <w:numPr>
                <w:ilvl w:val="0"/>
                <w:numId w:val="5"/>
              </w:numPr>
              <w:ind w:left="0" w:leftChars="0" w:firstLine="0" w:firstLineChars="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投标人自有或可利用的优势广告资源，其他宣传推广服务方案</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0-</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lang w:val="en-US" w:eastAsia="zh-CN"/>
              </w:rPr>
              <w:t>分</w:t>
            </w:r>
            <w:r>
              <w:rPr>
                <w:rFonts w:hint="eastAsia" w:ascii="宋体" w:hAnsi="宋体" w:eastAsia="宋体" w:cs="宋体"/>
                <w:b/>
                <w:bCs/>
                <w:szCs w:val="21"/>
                <w:highlight w:val="none"/>
                <w:lang w:eastAsia="zh-CN"/>
              </w:rPr>
              <w:t>）</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方案内容详实，逻辑缜密，具有针对性，可实施性强的得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分；</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方案内容较详实，基本能符合采购需要，针对性，可实施性一般的得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分；</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方案存在缺陷的得1分；</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未提供相关描述不得分。</w:t>
            </w:r>
          </w:p>
          <w:p>
            <w:pPr>
              <w:ind w:left="0" w:leftChars="0" w:firstLine="0" w:firstLineChars="0"/>
              <w:rPr>
                <w:rFonts w:hint="eastAsia" w:ascii="Times New Roman" w:hAnsi="Times New Roman" w:cs="Times New Roman"/>
                <w:color w:val="auto"/>
                <w:kern w:val="0"/>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lang w:eastAsia="zh-CN"/>
              </w:rPr>
              <w:t>服务响应时间及及时性保障措施（</w:t>
            </w:r>
            <w:r>
              <w:rPr>
                <w:rFonts w:hint="eastAsia" w:ascii="宋体" w:hAnsi="宋体" w:eastAsia="宋体" w:cs="宋体"/>
                <w:b/>
                <w:bCs/>
                <w:szCs w:val="21"/>
                <w:highlight w:val="none"/>
                <w:lang w:val="en-US" w:eastAsia="zh-CN"/>
              </w:rPr>
              <w:t>0-</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lang w:val="en-US" w:eastAsia="zh-CN"/>
              </w:rPr>
              <w:t>分</w:t>
            </w:r>
            <w:r>
              <w:rPr>
                <w:rFonts w:hint="eastAsia" w:ascii="宋体" w:hAnsi="宋体" w:eastAsia="宋体" w:cs="宋体"/>
                <w:b/>
                <w:bCs/>
                <w:szCs w:val="21"/>
                <w:highlight w:val="none"/>
                <w:lang w:eastAsia="zh-CN"/>
              </w:rPr>
              <w:t>）</w:t>
            </w:r>
            <w:r>
              <w:rPr>
                <w:rFonts w:hint="eastAsia" w:ascii="宋体" w:hAnsi="宋体" w:cs="宋体"/>
                <w:b/>
                <w:bCs/>
                <w:szCs w:val="21"/>
                <w:highlight w:val="none"/>
                <w:lang w:eastAsia="zh-CN"/>
              </w:rPr>
              <w:t>（评分范围：</w:t>
            </w:r>
            <w:r>
              <w:rPr>
                <w:rFonts w:hint="eastAsia" w:ascii="宋体" w:hAnsi="宋体" w:cs="宋体"/>
                <w:b/>
                <w:bCs/>
                <w:szCs w:val="21"/>
                <w:highlight w:val="none"/>
                <w:lang w:val="en-US" w:eastAsia="zh-CN"/>
              </w:rPr>
              <w:t>3,2,1,0</w:t>
            </w:r>
            <w:r>
              <w:rPr>
                <w:rFonts w:hint="eastAsia" w:ascii="宋体" w:hAnsi="宋体" w:cs="宋体"/>
                <w:b/>
                <w:bCs/>
                <w:szCs w:val="21"/>
                <w:highlight w:val="none"/>
                <w:lang w:eastAsia="zh-CN"/>
              </w:rPr>
              <w:t>）</w:t>
            </w:r>
          </w:p>
        </w:tc>
        <w:tc>
          <w:tcPr>
            <w:tcW w:w="624" w:type="pct"/>
            <w:noWrap w:val="0"/>
            <w:vAlign w:val="center"/>
          </w:tcPr>
          <w:p>
            <w:pPr>
              <w:ind w:left="0" w:leftChars="0" w:firstLine="0" w:firstLineChars="0"/>
              <w:jc w:val="center"/>
              <w:rPr>
                <w:rFonts w:hint="eastAsia" w:ascii="Times New Roman" w:hAnsi="Times New Roman" w:eastAsia="宋体" w:cs="Times New Roman"/>
                <w:lang w:val="en-US" w:eastAsia="zh-CN"/>
              </w:rPr>
            </w:pP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8</w:t>
            </w:r>
          </w:p>
        </w:tc>
        <w:tc>
          <w:tcPr>
            <w:tcW w:w="638" w:type="pct"/>
            <w:noWrap w:val="0"/>
            <w:vAlign w:val="center"/>
          </w:tcPr>
          <w:p>
            <w:pPr>
              <w:ind w:left="0" w:leftChars="0" w:firstLine="0" w:firstLineChars="0"/>
              <w:jc w:val="center"/>
              <w:rPr>
                <w:rFonts w:hint="eastAsia"/>
                <w:highlight w:val="none"/>
                <w:lang w:val="en-US" w:eastAsia="zh-CN"/>
              </w:rPr>
            </w:pPr>
          </w:p>
          <w:p>
            <w:pPr>
              <w:pStyle w:val="3"/>
              <w:ind w:left="0" w:leftChars="0" w:firstLine="0" w:firstLineChars="0"/>
              <w:jc w:val="center"/>
              <w:rPr>
                <w:rFonts w:hint="eastAsia" w:ascii="Times New Roman" w:hAnsi="Times New Roman" w:eastAsia="宋体" w:cs="Times New Roman"/>
                <w:lang w:val="en-US" w:eastAsia="zh-CN"/>
              </w:rPr>
            </w:pPr>
            <w:r>
              <w:rPr>
                <w:rFonts w:hint="eastAsia" w:ascii="宋体" w:hAnsi="宋体" w:eastAsia="宋体" w:cs="宋体"/>
                <w:b w:val="0"/>
                <w:bCs w:val="0"/>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15</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7"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拟投入本项目的项目负责人的类似项目经验</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提供相应证明材料</w:t>
            </w:r>
            <w:r>
              <w:rPr>
                <w:rFonts w:hint="eastAsia" w:cs="Times New Roman"/>
                <w:b/>
                <w:bCs/>
                <w:color w:val="auto"/>
                <w:kern w:val="0"/>
                <w:highlight w:val="none"/>
                <w:lang w:eastAsia="zh-CN"/>
              </w:rPr>
              <w:t>）</w:t>
            </w:r>
            <w:r>
              <w:rPr>
                <w:rFonts w:hint="eastAsia" w:ascii="Times New Roman" w:hAnsi="Times New Roman" w:cs="Times New Roman"/>
                <w:b/>
                <w:bCs/>
                <w:color w:val="auto"/>
                <w:kern w:val="0"/>
                <w:highlight w:val="none"/>
              </w:rPr>
              <w:t>，资源调配能力、项目协调能力等。</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提供项目负责人在本单位缴纳的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项目负责人具有充足的类似项目经验、对项目的资源调配、项目协调等能力强的得</w:t>
            </w:r>
            <w:r>
              <w:rPr>
                <w:rFonts w:hint="eastAsia"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项目负责人具有较少的类似项目经验、对项目的资源调配、项目协调等能力一般的得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项目负责人未有类似项目经验、对项目的资源调配、项目协调等能力差的得1分。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4"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3</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16</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7"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拟投入本项目的视频制作团队、美工、文案、新媒体广告投放等专业人员（除项目</w:t>
            </w:r>
            <w:r>
              <w:rPr>
                <w:rFonts w:hint="eastAsia" w:ascii="Times New Roman" w:hAnsi="Times New Roman" w:cs="Times New Roman"/>
                <w:b/>
                <w:bCs/>
                <w:color w:val="auto"/>
                <w:kern w:val="0"/>
                <w:highlight w:val="none"/>
                <w:lang w:eastAsia="zh-CN"/>
              </w:rPr>
              <w:t>负责人</w:t>
            </w:r>
            <w:r>
              <w:rPr>
                <w:rFonts w:hint="eastAsia" w:ascii="Times New Roman" w:hAnsi="Times New Roman" w:cs="Times New Roman"/>
                <w:b/>
                <w:bCs/>
                <w:color w:val="auto"/>
                <w:kern w:val="0"/>
                <w:highlight w:val="none"/>
              </w:rPr>
              <w:t>）的数量及工作经验、职业能力等内容，须提供详细的人员分工表及专业的分布。</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提供上述人员在本单位缴纳的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投入人员数量充足、分工配备完善、类似项目经验丰富得</w:t>
            </w:r>
            <w:r>
              <w:rPr>
                <w:rFonts w:hint="eastAsia" w:cs="Times New Roman"/>
                <w:color w:val="auto"/>
                <w:kern w:val="0"/>
                <w:highlight w:val="none"/>
                <w:lang w:val="en-US" w:eastAsia="zh-CN"/>
              </w:rPr>
              <w:t>4</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投入人员数量基本满足、分工配备一般、类似经验较少得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投入人员数量较少、分工配备一般、未有类似项目经验得1分；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4"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4</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bl>
    <w:p>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4"/>
        <w:bidi w:val="0"/>
      </w:pPr>
      <w:bookmarkStart w:id="421" w:name="_Toc24517"/>
      <w:bookmarkStart w:id="422" w:name="_Toc12882"/>
      <w:r>
        <w:rPr>
          <w:rFonts w:hint="eastAsia"/>
        </w:rPr>
        <w:t>三、评标程序</w:t>
      </w:r>
      <w:bookmarkEnd w:id="421"/>
      <w:bookmarkEnd w:id="422"/>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w:t>
      </w:r>
      <w:r>
        <w:rPr>
          <w:rFonts w:hint="eastAsia" w:ascii="宋体" w:hAnsi="宋体" w:cs="宋体"/>
          <w:kern w:val="0"/>
          <w:sz w:val="24"/>
        </w:rPr>
        <w:t>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bidi w:val="0"/>
        <w:rPr>
          <w:rFonts w:hint="eastAsia"/>
        </w:rPr>
      </w:pPr>
      <w:bookmarkStart w:id="423" w:name="_Toc22719"/>
      <w:bookmarkStart w:id="424" w:name="_Toc21677"/>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8</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bidi w:val="0"/>
      </w:pPr>
      <w:r>
        <w:rPr>
          <w:rFonts w:hint="eastAsia"/>
        </w:rPr>
        <w:t xml:space="preserve">    </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27" w:name="_Toc18817"/>
      <w:bookmarkStart w:id="428" w:name="_Toc8165"/>
      <w:bookmarkStart w:id="429" w:name="_Toc25422"/>
      <w:r>
        <w:rPr>
          <w:rFonts w:hint="eastAsia"/>
        </w:rPr>
        <w:t>第五部分 拟签订的合同文本</w:t>
      </w:r>
      <w:bookmarkEnd w:id="427"/>
      <w:bookmarkEnd w:id="428"/>
      <w:bookmarkEnd w:id="429"/>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4"/>
        <w:snapToGrid w:val="0"/>
        <w:spacing w:before="120" w:after="120" w:line="360" w:lineRule="auto"/>
        <w:ind w:right="600"/>
        <w:jc w:val="center"/>
        <w:rPr>
          <w:rFonts w:hAnsi="宋体"/>
        </w:rPr>
      </w:pPr>
      <w:r>
        <w:rPr>
          <w:rFonts w:hint="eastAsia" w:ascii="宋体" w:hAnsi="宋体"/>
        </w:rPr>
        <w:t xml:space="preserve">                                  </w:t>
      </w:r>
    </w:p>
    <w:p>
      <w:pPr>
        <w:ind w:firstLine="480"/>
        <w:jc w:val="center"/>
        <w:rPr>
          <w:rFonts w:ascii="仿宋" w:hAnsi="仿宋" w:eastAsia="仿宋"/>
          <w:b/>
          <w:bCs/>
          <w:sz w:val="30"/>
          <w:szCs w:val="30"/>
        </w:rPr>
      </w:pPr>
      <w:bookmarkStart w:id="430" w:name="_Toc26124"/>
      <w:bookmarkStart w:id="431" w:name="_Toc16158"/>
      <w:r>
        <w:rPr>
          <w:rFonts w:hint="eastAsia" w:ascii="仿宋" w:hAnsi="仿宋" w:eastAsia="仿宋"/>
          <w:b/>
          <w:bCs/>
          <w:sz w:val="30"/>
          <w:szCs w:val="30"/>
        </w:rPr>
        <w:t>浙江省福利彩票管理中心采购合同</w:t>
      </w:r>
    </w:p>
    <w:p>
      <w:pPr>
        <w:ind w:left="0" w:leftChars="0" w:firstLine="0" w:firstLineChars="0"/>
        <w:rPr>
          <w:szCs w:val="32"/>
        </w:rPr>
      </w:pPr>
      <w:r>
        <w:rPr>
          <w:rFonts w:hint="eastAsia" w:ascii="仿宋" w:hAnsi="仿宋" w:eastAsia="仿宋"/>
          <w:sz w:val="30"/>
          <w:szCs w:val="30"/>
        </w:rPr>
        <w:t xml:space="preserve">                         </w:t>
      </w:r>
      <w:r>
        <w:rPr>
          <w:rFonts w:hint="eastAsia"/>
          <w:szCs w:val="32"/>
        </w:rPr>
        <w:t xml:space="preserve">    </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项目名称：</w:t>
      </w:r>
      <w:r>
        <w:rPr>
          <w:rFonts w:hint="eastAsia" w:ascii="宋体" w:hAnsi="宋体" w:cs="宋体"/>
          <w:b/>
          <w:bCs/>
          <w:spacing w:val="-6"/>
          <w:lang w:eastAsia="zh-CN"/>
        </w:rPr>
        <w:t>2024</w:t>
      </w:r>
      <w:r>
        <w:rPr>
          <w:rFonts w:hint="eastAsia" w:ascii="宋体" w:hAnsi="宋体" w:cs="宋体"/>
          <w:b/>
          <w:bCs/>
          <w:spacing w:val="-6"/>
          <w:lang w:val="en-US" w:eastAsia="zh-CN"/>
        </w:rPr>
        <w:t>年</w:t>
      </w:r>
      <w:r>
        <w:rPr>
          <w:rFonts w:hint="eastAsia" w:ascii="宋体" w:hAnsi="宋体" w:cs="宋体"/>
          <w:b/>
          <w:bCs/>
          <w:spacing w:val="-6"/>
          <w:lang w:eastAsia="zh-CN"/>
        </w:rPr>
        <w:t>浙江福彩户外LED大屏品牌形象宣传项目</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项目编号：</w:t>
      </w:r>
      <w:r>
        <w:rPr>
          <w:rFonts w:hint="eastAsia" w:ascii="宋体" w:hAnsi="宋体" w:cs="宋体"/>
          <w:b/>
          <w:bCs/>
          <w:spacing w:val="-6"/>
          <w:lang w:eastAsia="zh-CN"/>
        </w:rPr>
        <w:t>ZJXL-FCZX-202408</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采购计划书：</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甲方（需方）：浙江省福利彩票管理中心</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乙方（供方）：</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spacing w:line="360" w:lineRule="auto"/>
        <w:ind w:left="0" w:leftChars="0" w:firstLine="0" w:firstLineChars="0"/>
        <w:rPr>
          <w:rFonts w:ascii="宋体" w:hAnsi="宋体" w:cs="宋体"/>
          <w:b/>
          <w:bCs/>
          <w:spacing w:val="-6"/>
        </w:rPr>
      </w:pPr>
      <w:r>
        <w:rPr>
          <w:rFonts w:hint="eastAsia" w:ascii="宋体" w:hAnsi="宋体" w:cs="宋体"/>
          <w:b/>
          <w:bCs/>
          <w:spacing w:val="-6"/>
        </w:rPr>
        <w:t>签约时间、地点：202</w:t>
      </w:r>
      <w:r>
        <w:rPr>
          <w:rFonts w:hint="eastAsia" w:ascii="宋体" w:hAnsi="宋体" w:cs="宋体"/>
          <w:b/>
          <w:bCs/>
          <w:spacing w:val="-6"/>
          <w:lang w:val="en-US" w:eastAsia="zh-CN"/>
        </w:rPr>
        <w:t>4</w:t>
      </w:r>
      <w:r>
        <w:rPr>
          <w:rFonts w:hint="eastAsia" w:ascii="宋体" w:hAnsi="宋体" w:cs="宋体"/>
          <w:b/>
          <w:bCs/>
          <w:spacing w:val="-6"/>
        </w:rPr>
        <w:t>年    月    日，杭州市余杭区</w:t>
      </w:r>
    </w:p>
    <w:p>
      <w:pPr>
        <w:spacing w:line="360" w:lineRule="auto"/>
        <w:rPr>
          <w:rFonts w:ascii="宋体" w:hAnsi="宋体" w:cs="宋体"/>
          <w:b/>
          <w:bCs/>
          <w:spacing w:val="-6"/>
        </w:rPr>
      </w:pPr>
    </w:p>
    <w:p>
      <w:pPr>
        <w:snapToGrid w:val="0"/>
        <w:spacing w:line="360" w:lineRule="auto"/>
        <w:ind w:firstLine="456" w:firstLineChars="200"/>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的成交供应商。根据《中华人民共和国民法典》规定，签署本合同。</w:t>
      </w:r>
    </w:p>
    <w:p>
      <w:pPr>
        <w:spacing w:line="360" w:lineRule="auto"/>
        <w:ind w:right="26" w:rightChars="11"/>
        <w:rPr>
          <w:rFonts w:ascii="宋体" w:hAnsi="宋体" w:cs="宋体"/>
          <w:spacing w:val="-6"/>
        </w:rPr>
      </w:pPr>
    </w:p>
    <w:p>
      <w:pPr>
        <w:spacing w:line="360" w:lineRule="auto"/>
        <w:rPr>
          <w:rFonts w:ascii="宋体" w:hAnsi="宋体" w:cs="宋体"/>
          <w:b/>
          <w:spacing w:val="-6"/>
        </w:rPr>
      </w:pPr>
      <w:r>
        <w:rPr>
          <w:rFonts w:hint="eastAsia" w:ascii="宋体" w:hAnsi="宋体" w:cs="宋体"/>
          <w:b/>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序号</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名称</w:t>
            </w: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描述</w:t>
            </w: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数量</w:t>
            </w: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单位</w:t>
            </w: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单价（元）</w:t>
            </w: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1</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2</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合同总价（大写，人民币元）：</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注：</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cs="宋体"/>
                <w:spacing w:val="-6"/>
                <w:lang w:val="en-US" w:eastAsia="zh-CN"/>
              </w:rPr>
              <w:t>1、</w:t>
            </w:r>
            <w:r>
              <w:rPr>
                <w:rFonts w:hint="eastAsia" w:ascii="宋体" w:hAnsi="宋体" w:eastAsia="宋体" w:cs="宋体"/>
                <w:spacing w:val="-6"/>
                <w:lang w:val="zh-CN"/>
              </w:rPr>
              <w:t>以上合同总价包含履行本项目服务所需的一切费用，包括</w:t>
            </w:r>
            <w:r>
              <w:rPr>
                <w:rFonts w:hint="eastAsia" w:ascii="宋体" w:hAnsi="宋体" w:cs="宋体"/>
                <w:spacing w:val="-6"/>
                <w:lang w:val="en-US" w:eastAsia="zh-CN"/>
              </w:rPr>
              <w:t>但不限于履行所有规定服务所产生的场地、物料、宣传品、广告费、人员费以及</w:t>
            </w:r>
            <w:r>
              <w:rPr>
                <w:rFonts w:hint="eastAsia" w:ascii="宋体" w:hAnsi="宋体" w:eastAsia="宋体" w:cs="宋体"/>
                <w:spacing w:val="-6"/>
                <w:lang w:val="zh-CN"/>
              </w:rPr>
              <w:t>税费</w:t>
            </w:r>
            <w:r>
              <w:rPr>
                <w:rFonts w:hint="eastAsia" w:ascii="宋体" w:hAnsi="宋体" w:eastAsia="宋体" w:cs="宋体"/>
                <w:spacing w:val="-6"/>
                <w:lang w:val="zh-CN" w:eastAsia="zh-Hans"/>
              </w:rPr>
              <w:t>，合同价格不因国家税率调整而变动</w:t>
            </w:r>
            <w:r>
              <w:rPr>
                <w:rFonts w:hint="eastAsia" w:ascii="宋体" w:hAnsi="宋体" w:eastAsia="宋体" w:cs="宋体"/>
                <w:spacing w:val="-6"/>
                <w:lang w:val="zh-CN"/>
              </w:rPr>
              <w:t>。</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cs="宋体"/>
                <w:spacing w:val="-6"/>
                <w:lang w:val="en-US" w:eastAsia="zh-CN"/>
              </w:rPr>
              <w:t>2、未服务或未验收通过的项目不予结算费用。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p>
        </w:tc>
      </w:tr>
    </w:tbl>
    <w:p>
      <w:pPr>
        <w:spacing w:line="360" w:lineRule="auto"/>
        <w:rPr>
          <w:rFonts w:ascii="宋体" w:hAnsi="宋体" w:cs="宋体"/>
          <w:b/>
          <w:spacing w:val="-6"/>
        </w:rPr>
      </w:pPr>
    </w:p>
    <w:p>
      <w:pPr>
        <w:spacing w:line="360" w:lineRule="auto"/>
        <w:rPr>
          <w:rFonts w:ascii="宋体" w:hAnsi="宋体" w:cs="宋体"/>
          <w:b/>
          <w:spacing w:val="-6"/>
        </w:rPr>
      </w:pPr>
      <w:r>
        <w:rPr>
          <w:rFonts w:hint="eastAsia" w:ascii="宋体" w:hAnsi="宋体" w:cs="宋体"/>
          <w:b/>
          <w:spacing w:val="-6"/>
        </w:rPr>
        <w:t>第二条：服务时间</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spacing w:line="360" w:lineRule="auto"/>
        <w:rPr>
          <w:rFonts w:hint="eastAsia" w:ascii="宋体" w:hAnsi="宋体" w:eastAsia="宋体" w:cs="宋体"/>
          <w:b/>
          <w:color w:val="auto"/>
          <w:spacing w:val="-6"/>
          <w:lang w:eastAsia="zh-CN"/>
        </w:rPr>
      </w:pPr>
      <w:r>
        <w:rPr>
          <w:rFonts w:hint="eastAsia" w:ascii="宋体" w:hAnsi="宋体" w:cs="宋体"/>
          <w:b/>
          <w:color w:val="auto"/>
          <w:spacing w:val="-6"/>
        </w:rPr>
        <w:t>第三条：付款方式</w:t>
      </w:r>
    </w:p>
    <w:p>
      <w:pPr>
        <w:numPr>
          <w:ilvl w:val="0"/>
          <w:numId w:val="6"/>
        </w:numPr>
        <w:ind w:firstLine="48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乙方向甲方开具发票，</w:t>
      </w:r>
      <w:r>
        <w:rPr>
          <w:rFonts w:hint="eastAsia" w:ascii="宋体" w:hAnsi="宋体" w:eastAsia="宋体" w:cs="Times New Roman"/>
          <w:color w:val="auto"/>
          <w:szCs w:val="21"/>
          <w:lang w:eastAsia="zh-CN"/>
        </w:rPr>
        <w:t>甲方</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numPr>
          <w:ilvl w:val="-1"/>
          <w:numId w:val="0"/>
        </w:numPr>
        <w:ind w:firstLine="480" w:firstLineChars="200"/>
        <w:rPr>
          <w:rFonts w:ascii="宋体" w:hAnsi="宋体" w:eastAsia="宋体" w:cs="Times New Roman"/>
          <w:color w:val="auto"/>
          <w:szCs w:val="21"/>
          <w:lang w:eastAsia="zh-Hans"/>
        </w:rPr>
      </w:pPr>
      <w:r>
        <w:rPr>
          <w:rFonts w:hint="eastAsia" w:ascii="宋体" w:hAnsi="宋体" w:eastAsia="宋体" w:cs="Times New Roman"/>
          <w:color w:val="auto"/>
          <w:szCs w:val="21"/>
        </w:rPr>
        <w:t>以上付款时间是指甲方完成向财政部门申报支付手续的时间，财政部门审查及实际支付可能造成的时间延误不视为甲方违约。</w:t>
      </w:r>
    </w:p>
    <w:p>
      <w:pPr>
        <w:numPr>
          <w:ilvl w:val="0"/>
          <w:numId w:val="6"/>
        </w:numPr>
        <w:ind w:firstLine="480" w:firstLineChars="200"/>
        <w:rPr>
          <w:rFonts w:ascii="宋体" w:hAnsi="宋体"/>
          <w:color w:val="auto"/>
          <w:szCs w:val="21"/>
        </w:rPr>
      </w:pPr>
      <w:r>
        <w:rPr>
          <w:rFonts w:ascii="宋体" w:hAnsi="宋体"/>
          <w:color w:val="auto"/>
          <w:szCs w:val="21"/>
        </w:rPr>
        <w:t>乙方确认收款账户信息为：户名：         ；账号：        ；开户行：</w:t>
      </w:r>
      <w:r>
        <w:rPr>
          <w:rFonts w:hint="eastAsia" w:ascii="宋体" w:hAnsi="宋体"/>
          <w:color w:val="auto"/>
          <w:szCs w:val="21"/>
          <w:lang w:eastAsia="zh-CN"/>
        </w:rPr>
        <w:t>。</w:t>
      </w:r>
      <w:r>
        <w:rPr>
          <w:rFonts w:ascii="宋体" w:hAnsi="宋体"/>
          <w:color w:val="auto"/>
          <w:szCs w:val="21"/>
        </w:rPr>
        <w:t xml:space="preserve">        </w:t>
      </w:r>
    </w:p>
    <w:p>
      <w:pPr>
        <w:numPr>
          <w:ilvl w:val="0"/>
          <w:numId w:val="6"/>
        </w:numPr>
        <w:ind w:firstLine="480" w:firstLineChars="200"/>
        <w:rPr>
          <w:rFonts w:ascii="宋体" w:hAnsi="宋体"/>
          <w:color w:val="auto"/>
          <w:szCs w:val="21"/>
        </w:rPr>
      </w:pPr>
      <w:r>
        <w:rPr>
          <w:rFonts w:hint="eastAsia" w:ascii="宋体" w:hAnsi="宋体"/>
          <w:color w:val="auto"/>
          <w:szCs w:val="21"/>
          <w:lang w:val="en-US" w:eastAsia="zh-CN"/>
        </w:rPr>
        <w:t>甲方支付每笔款项前，乙方均应按照本条第1款约定向甲方开具真实、等额且税率为【】%的增值税专用发票，乙方逾期提供导致甲方未能按期付款的不视为甲方违约</w:t>
      </w:r>
      <w:r>
        <w:rPr>
          <w:rFonts w:ascii="宋体" w:hAnsi="宋体"/>
          <w:color w:val="auto"/>
          <w:szCs w:val="21"/>
        </w:rPr>
        <w:t>。</w:t>
      </w:r>
    </w:p>
    <w:p>
      <w:pPr>
        <w:spacing w:line="360" w:lineRule="auto"/>
        <w:rPr>
          <w:rFonts w:hint="eastAsia" w:ascii="宋体" w:hAnsi="宋体" w:cs="宋体"/>
          <w:b/>
          <w:color w:val="auto"/>
          <w:spacing w:val="-6"/>
          <w:lang w:val="en-US" w:eastAsia="zh-CN"/>
        </w:rPr>
      </w:pPr>
      <w:r>
        <w:rPr>
          <w:rFonts w:hint="eastAsia" w:ascii="宋体" w:hAnsi="宋体" w:cs="宋体"/>
          <w:b/>
          <w:color w:val="auto"/>
          <w:spacing w:val="-6"/>
        </w:rPr>
        <w:t>第四条：服务内容</w:t>
      </w:r>
      <w:r>
        <w:rPr>
          <w:rFonts w:hint="eastAsia" w:ascii="宋体" w:hAnsi="宋体" w:cs="宋体"/>
          <w:b/>
          <w:color w:val="auto"/>
          <w:spacing w:val="-6"/>
          <w:lang w:val="en-US" w:eastAsia="zh-CN"/>
        </w:rPr>
        <w:t>及要求</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一、服务需求</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本项目整体以“公益福彩”为主题，旨在提升浙江福彩公益形象及品牌影响力，根据采购方特点及要求，设计制作并在杭州核心城区户外LED大屏上发布，主要投放区域计划在人流密集、商业繁华、户外广告资源质优的</w:t>
      </w:r>
      <w:r>
        <w:rPr>
          <w:rFonts w:hint="eastAsia" w:ascii="宋体" w:hAnsi="宋体" w:eastAsia="宋体" w:cs="Helvetica"/>
          <w:kern w:val="0"/>
          <w:sz w:val="24"/>
          <w:lang w:val="en-US" w:eastAsia="zh-CN"/>
        </w:rPr>
        <w:t>如</w:t>
      </w:r>
      <w:r>
        <w:rPr>
          <w:rFonts w:hint="eastAsia" w:ascii="宋体" w:hAnsi="宋体" w:eastAsia="宋体" w:cs="Helvetica"/>
          <w:kern w:val="0"/>
          <w:sz w:val="24"/>
        </w:rPr>
        <w:t>沿杭州延安路一带、武林商圈和湖滨商圈</w:t>
      </w:r>
      <w:r>
        <w:rPr>
          <w:rFonts w:hint="eastAsia" w:ascii="宋体" w:hAnsi="宋体" w:eastAsia="宋体" w:cs="Helvetica"/>
          <w:kern w:val="0"/>
          <w:sz w:val="24"/>
          <w:lang w:val="en-US" w:eastAsia="zh-CN"/>
        </w:rPr>
        <w:t>等</w:t>
      </w:r>
      <w:r>
        <w:rPr>
          <w:rFonts w:hint="eastAsia" w:ascii="宋体" w:hAnsi="宋体" w:eastAsia="宋体" w:cs="Helvetica"/>
          <w:kern w:val="0"/>
          <w:sz w:val="24"/>
        </w:rPr>
        <w:t>，具体涉及但不仅限于以下内容：</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1、广告形式为城市户外LED大屏广告（静态或动态），由</w:t>
      </w:r>
      <w:r>
        <w:rPr>
          <w:rFonts w:hint="eastAsia" w:ascii="宋体" w:hAnsi="宋体" w:cs="Helvetica"/>
          <w:kern w:val="0"/>
          <w:sz w:val="24"/>
          <w:lang w:eastAsia="zh-CN"/>
        </w:rPr>
        <w:t>乙方</w:t>
      </w:r>
      <w:r>
        <w:rPr>
          <w:rFonts w:hint="eastAsia" w:ascii="宋体" w:hAnsi="宋体" w:eastAsia="宋体" w:cs="Helvetica"/>
          <w:kern w:val="0"/>
          <w:sz w:val="24"/>
        </w:rPr>
        <w:t>负责设计制作，广告须包含福彩公益元素、福利彩票游戏元素，要求整体画面优美、颜色鲜艳、体现福彩公益宗旨，尺寸等参数需适配所采用的广告位。所有设计内容须严格遵守有关要求及规定，不得与之冲突，并经</w:t>
      </w:r>
      <w:r>
        <w:rPr>
          <w:rFonts w:hint="eastAsia" w:ascii="宋体" w:hAnsi="宋体" w:cs="Helvetica"/>
          <w:kern w:val="0"/>
          <w:sz w:val="24"/>
          <w:lang w:eastAsia="zh-CN"/>
        </w:rPr>
        <w:t>甲方</w:t>
      </w:r>
      <w:r>
        <w:rPr>
          <w:rFonts w:hint="eastAsia" w:ascii="宋体" w:hAnsi="宋体" w:eastAsia="宋体" w:cs="Helvetica"/>
          <w:kern w:val="0"/>
          <w:sz w:val="24"/>
        </w:rPr>
        <w:t>审核通过后投入使用。</w:t>
      </w:r>
    </w:p>
    <w:p>
      <w:pPr>
        <w:tabs>
          <w:tab w:val="left" w:pos="0"/>
        </w:tabs>
        <w:spacing w:line="360" w:lineRule="auto"/>
        <w:ind w:firstLine="480"/>
        <w:rPr>
          <w:rFonts w:hint="eastAsia" w:ascii="宋体" w:hAnsi="宋体" w:eastAsia="宋体" w:cs="Helvetica"/>
          <w:b w:val="0"/>
          <w:bCs w:val="0"/>
          <w:kern w:val="0"/>
          <w:sz w:val="24"/>
        </w:rPr>
      </w:pPr>
      <w:r>
        <w:rPr>
          <w:rFonts w:hint="eastAsia" w:ascii="宋体" w:hAnsi="宋体" w:eastAsia="宋体" w:cs="Helvetica"/>
          <w:b w:val="0"/>
          <w:bCs w:val="0"/>
          <w:kern w:val="0"/>
          <w:sz w:val="24"/>
        </w:rPr>
        <w:t>2、广告投放策略：</w:t>
      </w:r>
    </w:p>
    <w:p>
      <w:pPr>
        <w:tabs>
          <w:tab w:val="left" w:pos="0"/>
        </w:tabs>
        <w:spacing w:line="360" w:lineRule="auto"/>
        <w:ind w:firstLine="480"/>
        <w:rPr>
          <w:rFonts w:hint="eastAsia" w:ascii="宋体" w:hAnsi="宋体" w:eastAsia="宋体" w:cs="Helvetica"/>
          <w:b w:val="0"/>
          <w:bCs w:val="0"/>
          <w:kern w:val="0"/>
          <w:sz w:val="24"/>
        </w:rPr>
      </w:pPr>
      <w:r>
        <w:rPr>
          <w:rFonts w:hint="eastAsia" w:ascii="宋体" w:hAnsi="宋体" w:eastAsia="宋体" w:cs="Helvetica"/>
          <w:b w:val="0"/>
          <w:bCs w:val="0"/>
          <w:kern w:val="0"/>
          <w:sz w:val="24"/>
          <w:lang w:val="en-US" w:eastAsia="zh-CN"/>
        </w:rPr>
        <w:t>利用杭州核心城区沿杭州延安路一带、武林商圈和湖滨商圈等优质广告资源</w:t>
      </w:r>
      <w:r>
        <w:rPr>
          <w:rFonts w:hint="eastAsia" w:ascii="宋体" w:hAnsi="宋体" w:eastAsia="宋体" w:cs="Helvetica"/>
          <w:b w:val="0"/>
          <w:bCs w:val="0"/>
          <w:kern w:val="0"/>
          <w:sz w:val="24"/>
          <w:highlight w:val="none"/>
          <w:lang w:val="en-US" w:eastAsia="zh-CN"/>
        </w:rPr>
        <w:t>处投放，要求人流密集、商业繁华、户外广告资源优质</w:t>
      </w:r>
      <w:r>
        <w:rPr>
          <w:rFonts w:hint="eastAsia" w:ascii="宋体" w:hAnsi="宋体" w:eastAsia="宋体" w:cs="Helvetica"/>
          <w:b w:val="0"/>
          <w:bCs w:val="0"/>
          <w:kern w:val="0"/>
          <w:sz w:val="24"/>
          <w:highlight w:val="none"/>
          <w:lang w:eastAsia="zh-CN"/>
        </w:rPr>
        <w:t>。</w:t>
      </w:r>
      <w:r>
        <w:rPr>
          <w:rFonts w:hint="eastAsia" w:ascii="宋体" w:hAnsi="宋体" w:eastAsia="宋体" w:cs="Helvetica"/>
          <w:b w:val="0"/>
          <w:bCs w:val="0"/>
          <w:kern w:val="0"/>
          <w:sz w:val="24"/>
          <w:highlight w:val="none"/>
        </w:rPr>
        <w:t>总体不少于7处点位，</w:t>
      </w:r>
      <w:r>
        <w:rPr>
          <w:rFonts w:hint="eastAsia" w:ascii="宋体" w:hAnsi="宋体" w:cs="Helvetica"/>
          <w:b w:val="0"/>
          <w:bCs w:val="0"/>
          <w:kern w:val="0"/>
          <w:sz w:val="24"/>
          <w:highlight w:val="none"/>
          <w:lang w:val="en-US" w:eastAsia="zh-CN"/>
        </w:rPr>
        <w:t>其中</w:t>
      </w:r>
      <w:r>
        <w:rPr>
          <w:rFonts w:hint="eastAsia" w:ascii="宋体" w:hAnsi="宋体" w:eastAsia="宋体" w:cs="Helvetica"/>
          <w:b w:val="0"/>
          <w:bCs w:val="0"/>
          <w:kern w:val="0"/>
          <w:sz w:val="24"/>
          <w:highlight w:val="none"/>
          <w:lang w:val="en-US" w:eastAsia="zh-CN"/>
        </w:rPr>
        <w:t>杭州延安路一带</w:t>
      </w:r>
      <w:r>
        <w:rPr>
          <w:rFonts w:hint="eastAsia" w:ascii="宋体" w:hAnsi="宋体" w:cs="Helvetica"/>
          <w:b w:val="0"/>
          <w:bCs w:val="0"/>
          <w:kern w:val="0"/>
          <w:sz w:val="24"/>
          <w:highlight w:val="none"/>
          <w:lang w:val="en-US" w:eastAsia="zh-CN"/>
        </w:rPr>
        <w:t>不少于4处</w:t>
      </w:r>
      <w:r>
        <w:rPr>
          <w:rFonts w:hint="eastAsia" w:ascii="宋体" w:hAnsi="宋体" w:eastAsia="宋体" w:cs="Helvetica"/>
          <w:b w:val="0"/>
          <w:bCs w:val="0"/>
          <w:kern w:val="0"/>
          <w:sz w:val="24"/>
          <w:highlight w:val="none"/>
          <w:lang w:val="en-US" w:eastAsia="zh-CN"/>
        </w:rPr>
        <w:t>、武林商圈</w:t>
      </w:r>
      <w:r>
        <w:rPr>
          <w:rFonts w:hint="eastAsia" w:ascii="宋体" w:hAnsi="宋体" w:cs="Helvetica"/>
          <w:b w:val="0"/>
          <w:bCs w:val="0"/>
          <w:kern w:val="0"/>
          <w:sz w:val="24"/>
          <w:highlight w:val="none"/>
          <w:lang w:val="en-US" w:eastAsia="zh-CN"/>
        </w:rPr>
        <w:t>不少于2处，</w:t>
      </w:r>
      <w:r>
        <w:rPr>
          <w:rFonts w:hint="eastAsia" w:ascii="宋体" w:hAnsi="宋体" w:eastAsia="宋体" w:cs="Helvetica"/>
          <w:b w:val="0"/>
          <w:bCs w:val="0"/>
          <w:kern w:val="0"/>
          <w:sz w:val="24"/>
          <w:highlight w:val="none"/>
          <w:lang w:val="en-US" w:eastAsia="zh-CN"/>
        </w:rPr>
        <w:t>湖滨商圈</w:t>
      </w:r>
      <w:r>
        <w:rPr>
          <w:rFonts w:hint="eastAsia" w:ascii="宋体" w:hAnsi="宋体" w:cs="Helvetica"/>
          <w:b w:val="0"/>
          <w:bCs w:val="0"/>
          <w:kern w:val="0"/>
          <w:sz w:val="24"/>
          <w:highlight w:val="none"/>
          <w:lang w:val="en-US" w:eastAsia="zh-CN"/>
        </w:rPr>
        <w:t>不少于1处。至少2处点</w:t>
      </w:r>
      <w:r>
        <w:rPr>
          <w:rFonts w:hint="eastAsia" w:ascii="宋体" w:hAnsi="宋体" w:cs="Helvetica"/>
          <w:b w:val="0"/>
          <w:bCs w:val="0"/>
          <w:color w:val="auto"/>
          <w:kern w:val="0"/>
          <w:sz w:val="24"/>
          <w:highlight w:val="none"/>
          <w:lang w:val="en-US" w:eastAsia="zh-CN"/>
        </w:rPr>
        <w:t>位LED屏幕尺寸不小于1000</w:t>
      </w:r>
      <w:r>
        <w:rPr>
          <w:rFonts w:hint="eastAsia" w:ascii="宋体" w:hAnsi="宋体" w:eastAsia="宋体" w:cs="Helvetica"/>
          <w:b w:val="0"/>
          <w:bCs w:val="0"/>
          <w:color w:val="auto"/>
          <w:kern w:val="0"/>
          <w:sz w:val="24"/>
          <w:highlight w:val="none"/>
        </w:rPr>
        <w:t>㎡</w:t>
      </w:r>
      <w:r>
        <w:rPr>
          <w:rFonts w:hint="eastAsia" w:ascii="宋体" w:hAnsi="宋体" w:cs="Helvetica"/>
          <w:b w:val="0"/>
          <w:bCs w:val="0"/>
          <w:color w:val="auto"/>
          <w:kern w:val="0"/>
          <w:sz w:val="24"/>
          <w:highlight w:val="none"/>
          <w:lang w:eastAsia="zh-CN"/>
        </w:rPr>
        <w:t>，</w:t>
      </w:r>
      <w:r>
        <w:rPr>
          <w:rFonts w:hint="eastAsia" w:ascii="宋体" w:hAnsi="宋体" w:cs="Helvetica"/>
          <w:b w:val="0"/>
          <w:bCs w:val="0"/>
          <w:color w:val="auto"/>
          <w:kern w:val="0"/>
          <w:sz w:val="24"/>
          <w:highlight w:val="none"/>
          <w:lang w:val="en-US" w:eastAsia="zh-CN"/>
        </w:rPr>
        <w:t>其他</w:t>
      </w:r>
      <w:r>
        <w:rPr>
          <w:rFonts w:hint="eastAsia" w:ascii="宋体" w:hAnsi="宋体" w:eastAsia="宋体" w:cs="Helvetica"/>
          <w:b w:val="0"/>
          <w:bCs w:val="0"/>
          <w:color w:val="auto"/>
          <w:kern w:val="0"/>
          <w:sz w:val="24"/>
          <w:highlight w:val="none"/>
        </w:rPr>
        <w:t>点位LED屏幕尺寸不小于</w:t>
      </w:r>
      <w:r>
        <w:rPr>
          <w:rFonts w:hint="eastAsia" w:ascii="宋体" w:hAnsi="宋体" w:eastAsia="宋体" w:cs="Helvetica"/>
          <w:b w:val="0"/>
          <w:bCs w:val="0"/>
          <w:color w:val="auto"/>
          <w:kern w:val="0"/>
          <w:sz w:val="24"/>
          <w:highlight w:val="none"/>
          <w:lang w:val="en-US" w:eastAsia="zh-CN"/>
        </w:rPr>
        <w:t>18</w:t>
      </w:r>
      <w:r>
        <w:rPr>
          <w:rFonts w:hint="eastAsia" w:ascii="宋体" w:hAnsi="宋体" w:eastAsia="宋体" w:cs="Helvetica"/>
          <w:b w:val="0"/>
          <w:bCs w:val="0"/>
          <w:color w:val="auto"/>
          <w:kern w:val="0"/>
          <w:sz w:val="24"/>
          <w:highlight w:val="none"/>
        </w:rPr>
        <w:t>0㎡，投放频次及时长为</w:t>
      </w:r>
      <w:r>
        <w:rPr>
          <w:rFonts w:hint="eastAsia" w:ascii="宋体" w:hAnsi="宋体" w:cs="Helvetica"/>
          <w:b w:val="0"/>
          <w:bCs w:val="0"/>
          <w:color w:val="auto"/>
          <w:kern w:val="0"/>
          <w:sz w:val="24"/>
          <w:highlight w:val="none"/>
          <w:lang w:val="en-US" w:eastAsia="zh-CN"/>
        </w:rPr>
        <w:t>不少于</w:t>
      </w:r>
      <w:r>
        <w:rPr>
          <w:rFonts w:hint="eastAsia" w:ascii="宋体" w:hAnsi="宋体" w:eastAsia="宋体" w:cs="Helvetica"/>
          <w:b w:val="0"/>
          <w:bCs w:val="0"/>
          <w:color w:val="auto"/>
          <w:kern w:val="0"/>
          <w:sz w:val="24"/>
          <w:highlight w:val="none"/>
        </w:rPr>
        <w:t>180次/天，</w:t>
      </w:r>
      <w:r>
        <w:rPr>
          <w:rFonts w:hint="eastAsia" w:ascii="宋体" w:hAnsi="宋体" w:cs="Helvetica"/>
          <w:b w:val="0"/>
          <w:bCs w:val="0"/>
          <w:color w:val="auto"/>
          <w:kern w:val="0"/>
          <w:sz w:val="24"/>
          <w:highlight w:val="none"/>
          <w:lang w:val="en-US" w:eastAsia="zh-CN"/>
        </w:rPr>
        <w:t>不少于</w:t>
      </w:r>
      <w:r>
        <w:rPr>
          <w:rFonts w:hint="eastAsia" w:ascii="宋体" w:hAnsi="宋体" w:eastAsia="宋体" w:cs="Helvetica"/>
          <w:b w:val="0"/>
          <w:bCs w:val="0"/>
          <w:color w:val="auto"/>
          <w:kern w:val="0"/>
          <w:sz w:val="24"/>
          <w:highlight w:val="none"/>
        </w:rPr>
        <w:t>15s/次，每处点位</w:t>
      </w:r>
      <w:r>
        <w:rPr>
          <w:rFonts w:hint="eastAsia" w:cs="Times New Roman"/>
          <w:b w:val="0"/>
          <w:bCs w:val="0"/>
          <w:color w:val="auto"/>
          <w:sz w:val="24"/>
          <w:szCs w:val="24"/>
          <w:highlight w:val="none"/>
          <w:lang w:val="en-US" w:eastAsia="zh-CN"/>
        </w:rPr>
        <w:t>投放周期</w:t>
      </w:r>
      <w:r>
        <w:rPr>
          <w:rFonts w:hint="eastAsia" w:ascii="宋体" w:hAnsi="宋体" w:eastAsia="宋体" w:cs="Helvetica"/>
          <w:b w:val="0"/>
          <w:bCs w:val="0"/>
          <w:color w:val="auto"/>
          <w:kern w:val="0"/>
          <w:sz w:val="24"/>
          <w:highlight w:val="none"/>
        </w:rPr>
        <w:t>连续不间断不少于4周，LED电子大屏所处位置要求视野佳，广告效果好，在交通干道沿线或重要大型商业综合体外立面。</w:t>
      </w:r>
    </w:p>
    <w:p>
      <w:pPr>
        <w:tabs>
          <w:tab w:val="left" w:pos="0"/>
        </w:tabs>
        <w:spacing w:line="360" w:lineRule="auto"/>
        <w:ind w:firstLine="480"/>
        <w:rPr>
          <w:rFonts w:hint="eastAsia" w:ascii="宋体" w:hAnsi="宋体" w:eastAsia="宋体" w:cs="Helvetica"/>
          <w:b w:val="0"/>
          <w:bCs w:val="0"/>
          <w:kern w:val="0"/>
          <w:sz w:val="24"/>
        </w:rPr>
      </w:pPr>
      <w:r>
        <w:rPr>
          <w:rFonts w:hint="eastAsia" w:ascii="宋体" w:hAnsi="宋体" w:eastAsia="宋体" w:cs="Helvetica"/>
          <w:b w:val="0"/>
          <w:bCs w:val="0"/>
          <w:kern w:val="0"/>
          <w:sz w:val="24"/>
        </w:rPr>
        <w:t>3、其他服务</w:t>
      </w:r>
    </w:p>
    <w:p>
      <w:pPr>
        <w:tabs>
          <w:tab w:val="left" w:pos="0"/>
        </w:tabs>
        <w:spacing w:line="360" w:lineRule="auto"/>
        <w:ind w:firstLine="480"/>
        <w:rPr>
          <w:rFonts w:hint="eastAsia" w:ascii="宋体" w:hAnsi="宋体" w:eastAsia="宋体" w:cs="Helvetica"/>
          <w:b w:val="0"/>
          <w:bCs w:val="0"/>
          <w:kern w:val="0"/>
          <w:sz w:val="24"/>
        </w:rPr>
      </w:pPr>
      <w:r>
        <w:rPr>
          <w:rFonts w:hint="eastAsia" w:ascii="宋体" w:hAnsi="宋体" w:eastAsia="宋体" w:cs="Helvetica"/>
          <w:b w:val="0"/>
          <w:bCs w:val="0"/>
          <w:kern w:val="0"/>
          <w:sz w:val="24"/>
        </w:rPr>
        <w:t>为了更好地执行本项目，</w:t>
      </w:r>
      <w:r>
        <w:rPr>
          <w:rFonts w:hint="eastAsia" w:ascii="宋体" w:hAnsi="宋体" w:cs="Helvetica"/>
          <w:kern w:val="0"/>
          <w:sz w:val="24"/>
          <w:lang w:eastAsia="zh-CN"/>
        </w:rPr>
        <w:t>乙方</w:t>
      </w:r>
      <w:r>
        <w:rPr>
          <w:rFonts w:hint="eastAsia" w:ascii="宋体" w:hAnsi="宋体" w:eastAsia="宋体" w:cs="Helvetica"/>
          <w:b w:val="0"/>
          <w:bCs w:val="0"/>
          <w:kern w:val="0"/>
          <w:sz w:val="24"/>
        </w:rPr>
        <w:t>利用自有或可利用的优势广告资源提供其他服务，并提供完善的执行方案。</w:t>
      </w:r>
    </w:p>
    <w:p>
      <w:pPr>
        <w:tabs>
          <w:tab w:val="left" w:pos="0"/>
        </w:tabs>
        <w:spacing w:line="360" w:lineRule="auto"/>
        <w:ind w:firstLine="480"/>
        <w:rPr>
          <w:rFonts w:hint="eastAsia" w:ascii="宋体" w:hAnsi="宋体" w:eastAsia="宋体" w:cs="Helvetica"/>
          <w:b/>
          <w:bCs/>
          <w:kern w:val="0"/>
          <w:sz w:val="24"/>
          <w:lang w:val="en-US" w:eastAsia="zh-CN"/>
        </w:rPr>
      </w:pPr>
      <w:bookmarkStart w:id="481" w:name="_GoBack"/>
      <w:bookmarkEnd w:id="481"/>
      <w:r>
        <w:rPr>
          <w:rFonts w:hint="eastAsia" w:ascii="宋体" w:hAnsi="宋体" w:eastAsia="宋体" w:cs="Helvetica"/>
          <w:b/>
          <w:bCs/>
          <w:kern w:val="0"/>
          <w:sz w:val="24"/>
          <w:lang w:val="en-US" w:eastAsia="zh-CN"/>
        </w:rPr>
        <w:t>二、服务团队</w:t>
      </w:r>
    </w:p>
    <w:p>
      <w:pPr>
        <w:tabs>
          <w:tab w:val="left" w:pos="0"/>
        </w:tabs>
        <w:spacing w:line="360" w:lineRule="auto"/>
        <w:ind w:firstLine="480"/>
        <w:rPr>
          <w:rFonts w:hint="eastAsia" w:ascii="宋体" w:hAnsi="宋体" w:cs="Helvetica"/>
          <w:color w:val="auto"/>
          <w:kern w:val="0"/>
          <w:sz w:val="24"/>
          <w:lang w:val="en-US" w:eastAsia="zh-CN"/>
        </w:rPr>
      </w:pPr>
      <w:r>
        <w:rPr>
          <w:rFonts w:hint="eastAsia" w:ascii="宋体" w:hAnsi="宋体" w:cs="Helvetica"/>
          <w:color w:val="auto"/>
          <w:kern w:val="0"/>
          <w:sz w:val="24"/>
          <w:lang w:val="en-US" w:eastAsia="zh-CN"/>
        </w:rPr>
        <w:t>1.</w:t>
      </w:r>
      <w:r>
        <w:rPr>
          <w:rFonts w:hint="eastAsia" w:ascii="宋体" w:hAnsi="宋体" w:eastAsia="宋体" w:cs="Helvetica"/>
          <w:color w:val="auto"/>
          <w:kern w:val="0"/>
          <w:sz w:val="24"/>
        </w:rPr>
        <w:t>服务团队需配备经验丰富的项目负责人、完整的视频制作团队、美工、文案、新媒体广告投放等专业人员，必须了解福彩业务，理解福彩文化。</w:t>
      </w:r>
      <w:r>
        <w:rPr>
          <w:rFonts w:hint="eastAsia" w:ascii="宋体" w:hAnsi="宋体" w:cs="Helvetica"/>
          <w:color w:val="auto"/>
          <w:kern w:val="0"/>
          <w:sz w:val="24"/>
          <w:lang w:val="en-US" w:eastAsia="zh-CN"/>
        </w:rPr>
        <w:t>具体团队成员以双方确认为准，合作期间未经甲方书面同意，乙方不得变更团队成员。</w:t>
      </w:r>
    </w:p>
    <w:p>
      <w:pPr>
        <w:tabs>
          <w:tab w:val="left" w:pos="0"/>
        </w:tabs>
        <w:spacing w:line="360" w:lineRule="auto"/>
        <w:ind w:firstLine="480"/>
        <w:rPr>
          <w:rFonts w:hint="default" w:ascii="宋体" w:hAnsi="宋体" w:cs="Helvetica"/>
          <w:color w:val="auto"/>
          <w:kern w:val="0"/>
          <w:sz w:val="24"/>
          <w:lang w:val="en-US" w:eastAsia="zh-CN"/>
        </w:rPr>
      </w:pPr>
      <w:r>
        <w:rPr>
          <w:rFonts w:hint="eastAsia" w:ascii="宋体" w:hAnsi="宋体" w:cs="Helvetica"/>
          <w:color w:val="auto"/>
          <w:kern w:val="0"/>
          <w:sz w:val="24"/>
          <w:lang w:val="en-US" w:eastAsia="zh-CN"/>
        </w:rPr>
        <w:t>2.甲方认为乙方团队成员不符合甲方要求的，甲方有权要求乙方予以更换。</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三、宣传成果提交要求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个工作日内向甲方提交书面结案报告。</w:t>
      </w:r>
    </w:p>
    <w:p>
      <w:pPr>
        <w:spacing w:line="360" w:lineRule="auto"/>
        <w:rPr>
          <w:rFonts w:ascii="宋体" w:hAnsi="宋体" w:cs="宋体"/>
          <w:b/>
          <w:spacing w:val="-6"/>
          <w:highlight w:val="none"/>
        </w:rPr>
      </w:pPr>
      <w:r>
        <w:rPr>
          <w:rFonts w:hint="eastAsia" w:ascii="宋体" w:hAnsi="宋体" w:cs="宋体"/>
          <w:b/>
          <w:spacing w:val="-6"/>
          <w:highlight w:val="none"/>
        </w:rPr>
        <w:t>第五条：其他技术、服务要求</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2.乙方应保证所提供的服务或其中任何一部分均不会侵犯第三方的知识产权或其他合法权益。</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3.乙方根据本合同为甲方提供的服务所产生的一切工作成果，包括但不限于视频、图片、</w:t>
      </w:r>
      <w:r>
        <w:rPr>
          <w:rFonts w:hint="eastAsia" w:ascii="宋体" w:hAnsi="宋体" w:cs="宋体"/>
          <w:spacing w:val="-6"/>
          <w:lang w:val="en-US" w:eastAsia="zh-CN"/>
        </w:rPr>
        <w:t>LOGO、</w:t>
      </w:r>
      <w:r>
        <w:rPr>
          <w:rFonts w:hint="eastAsia" w:ascii="宋体" w:hAnsi="宋体" w:eastAsia="宋体" w:cs="宋体"/>
          <w:spacing w:val="-6"/>
        </w:rPr>
        <w:t>文案、音乐、软件程序等，知识产权均归属于甲方所有。未经甲方书面同意，乙方不得擅自使用或提供给任何第三方使用。</w:t>
      </w:r>
    </w:p>
    <w:p>
      <w:pPr>
        <w:numPr>
          <w:ilvl w:val="-1"/>
          <w:numId w:val="0"/>
        </w:numPr>
        <w:spacing w:line="360" w:lineRule="auto"/>
        <w:ind w:right="26" w:rightChars="11" w:firstLine="456" w:firstLineChars="200"/>
        <w:rPr>
          <w:rFonts w:hint="eastAsia" w:ascii="宋体" w:hAnsi="宋体" w:cs="宋体"/>
          <w:spacing w:val="-6"/>
          <w:lang w:val="en-US" w:eastAsia="zh-CN"/>
        </w:rPr>
      </w:pPr>
      <w:r>
        <w:rPr>
          <w:rFonts w:hint="eastAsia" w:ascii="宋体" w:hAnsi="宋体" w:cs="宋体"/>
          <w:spacing w:val="-6"/>
          <w:lang w:val="en-US" w:eastAsia="zh-CN"/>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numPr>
          <w:ilvl w:val="-1"/>
          <w:numId w:val="0"/>
        </w:numPr>
        <w:spacing w:line="360" w:lineRule="auto"/>
        <w:ind w:right="26" w:rightChars="11" w:firstLine="456" w:firstLineChars="200"/>
        <w:rPr>
          <w:rFonts w:hint="eastAsia" w:ascii="宋体" w:hAnsi="宋体" w:cs="Helvetica"/>
          <w:b w:val="0"/>
          <w:bCs w:val="0"/>
          <w:kern w:val="0"/>
          <w:sz w:val="24"/>
          <w:lang w:val="en-US" w:eastAsia="zh-CN"/>
        </w:rPr>
      </w:pPr>
      <w:r>
        <w:rPr>
          <w:rFonts w:hint="eastAsia" w:ascii="宋体" w:hAnsi="宋体" w:cs="宋体"/>
          <w:spacing w:val="-6"/>
          <w:lang w:val="en-US" w:eastAsia="zh-CN"/>
        </w:rPr>
        <w:t>5.</w:t>
      </w:r>
      <w:r>
        <w:rPr>
          <w:rFonts w:hint="eastAsia" w:ascii="宋体" w:hAnsi="宋体" w:cs="Helvetica"/>
          <w:b w:val="0"/>
          <w:bCs w:val="0"/>
          <w:kern w:val="0"/>
          <w:sz w:val="24"/>
          <w:lang w:val="en-US" w:eastAsia="zh-CN"/>
        </w:rPr>
        <w:t>甲方对广告内容的确认不意味着对乙方审查义务的免除，乙方应保证广告内容不违反法律、法规、政策，并对广告内容承担责任。</w:t>
      </w:r>
    </w:p>
    <w:p>
      <w:pPr>
        <w:snapToGrid w:val="0"/>
        <w:spacing w:line="360" w:lineRule="auto"/>
        <w:rPr>
          <w:rFonts w:ascii="宋体" w:hAnsi="宋体" w:cs="宋体"/>
          <w:b/>
          <w:spacing w:val="-6"/>
        </w:rPr>
      </w:pPr>
      <w:r>
        <w:rPr>
          <w:rFonts w:hint="eastAsia" w:ascii="宋体" w:hAnsi="宋体" w:cs="宋体"/>
          <w:b/>
          <w:spacing w:val="-6"/>
        </w:rPr>
        <w:t>第六条：验收标准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1.验收由甲方负责实施；</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2.验收依据：</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2.1合同、采购文件、</w:t>
      </w:r>
      <w:r>
        <w:rPr>
          <w:rFonts w:hint="eastAsia" w:ascii="宋体" w:hAnsi="宋体" w:cs="宋体"/>
          <w:spacing w:val="-6"/>
          <w:lang w:eastAsia="zh-CN"/>
        </w:rPr>
        <w:t>投标</w:t>
      </w:r>
      <w:r>
        <w:rPr>
          <w:rFonts w:hint="eastAsia" w:ascii="宋体" w:hAnsi="宋体" w:cs="宋体"/>
          <w:spacing w:val="-6"/>
        </w:rPr>
        <w:t>文件；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2.2于</w:t>
      </w:r>
      <w:r>
        <w:rPr>
          <w:rFonts w:hint="eastAsia" w:ascii="宋体" w:hAnsi="宋体" w:cs="宋体"/>
          <w:color w:val="auto"/>
          <w:spacing w:val="-6"/>
          <w:lang w:val="en-US" w:eastAsia="zh-CN"/>
        </w:rPr>
        <w:t>2024</w:t>
      </w:r>
      <w:r>
        <w:rPr>
          <w:rFonts w:hint="eastAsia" w:ascii="宋体" w:hAnsi="宋体" w:cs="宋体"/>
          <w:color w:val="auto"/>
          <w:spacing w:val="-6"/>
        </w:rPr>
        <w:t>年</w:t>
      </w:r>
      <w:r>
        <w:rPr>
          <w:rFonts w:hint="eastAsia" w:ascii="宋体" w:hAnsi="宋体" w:cs="宋体"/>
          <w:color w:val="auto"/>
          <w:spacing w:val="-6"/>
          <w:lang w:val="en-US" w:eastAsia="zh-CN"/>
        </w:rPr>
        <w:t>11</w:t>
      </w:r>
      <w:r>
        <w:rPr>
          <w:rFonts w:hint="eastAsia" w:ascii="宋体" w:hAnsi="宋体" w:cs="宋体"/>
          <w:color w:val="auto"/>
          <w:spacing w:val="-6"/>
        </w:rPr>
        <w:t>月</w:t>
      </w:r>
      <w:r>
        <w:rPr>
          <w:rFonts w:hint="eastAsia" w:ascii="宋体" w:hAnsi="宋体" w:cs="宋体"/>
          <w:color w:val="auto"/>
          <w:spacing w:val="-6"/>
          <w:lang w:val="en-US" w:eastAsia="zh-CN"/>
        </w:rPr>
        <w:t>25</w:t>
      </w:r>
      <w:r>
        <w:rPr>
          <w:rFonts w:hint="eastAsia" w:ascii="宋体" w:hAnsi="宋体" w:cs="宋体"/>
          <w:color w:val="auto"/>
          <w:spacing w:val="-6"/>
        </w:rPr>
        <w:t>日前，乙方向甲方提供与采购文件相符的结案报告供甲方验收，以合作内容的落实情况报告为主。</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color w:val="auto"/>
          <w:spacing w:val="-6"/>
          <w:lang w:eastAsia="zh-Hans"/>
        </w:rPr>
        <w:t>单项金额并按第七条追究乙方违约责任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4.验收合格的条件：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4.1所供服务符合标准和合同的要求；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4.2在进行验收过程中发现的问题已被解决并得到甲方的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4.3合同中规定的所有服务和材料均已交付；</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4.4所有相关的技术文件及资料均已提交并得到接受。</w:t>
      </w:r>
    </w:p>
    <w:p>
      <w:pPr>
        <w:spacing w:line="360" w:lineRule="auto"/>
        <w:ind w:right="-588" w:rightChars="-245"/>
        <w:rPr>
          <w:rFonts w:ascii="宋体" w:hAnsi="宋体" w:cs="宋体"/>
          <w:b/>
          <w:spacing w:val="-6"/>
        </w:rPr>
      </w:pPr>
      <w:r>
        <w:rPr>
          <w:rFonts w:hint="eastAsia" w:ascii="宋体" w:hAnsi="宋体" w:cs="宋体"/>
          <w:b/>
          <w:spacing w:val="-6"/>
        </w:rPr>
        <w:t>第七条：违约责任</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snapToGrid w:val="0"/>
        <w:spacing w:line="360" w:lineRule="auto"/>
        <w:ind w:right="26" w:rightChars="11" w:firstLine="456" w:firstLineChars="200"/>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3.乙方最终提供的结案报告未能验收合格的，乙方除应按照验收要求进行整改外，还应按照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snapToGrid w:val="0"/>
        <w:spacing w:line="360" w:lineRule="auto"/>
        <w:ind w:right="26" w:rightChars="11" w:firstLine="456" w:firstLineChars="200"/>
        <w:rPr>
          <w:rFonts w:ascii="宋体" w:hAnsi="宋体" w:cs="宋体"/>
          <w:spacing w:val="-6"/>
        </w:rPr>
      </w:pPr>
      <w:r>
        <w:rPr>
          <w:rFonts w:hint="default" w:ascii="宋体" w:hAnsi="宋体" w:cs="宋体"/>
          <w:spacing w:val="-6"/>
          <w:lang w:val="en-US"/>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snapToGrid w:val="0"/>
        <w:spacing w:line="360" w:lineRule="auto"/>
        <w:ind w:right="26" w:rightChars="11" w:firstLine="456" w:firstLineChars="200"/>
        <w:rPr>
          <w:rFonts w:hint="eastAsia" w:ascii="宋体" w:hAnsi="宋体" w:cs="宋体"/>
          <w:spacing w:val="-6"/>
        </w:rPr>
      </w:pPr>
      <w:r>
        <w:rPr>
          <w:rFonts w:hint="default" w:ascii="宋体" w:hAnsi="宋体" w:cs="宋体"/>
          <w:spacing w:val="-6"/>
          <w:lang w:val="en-US"/>
        </w:rPr>
        <w:t>5</w:t>
      </w:r>
      <w:r>
        <w:rPr>
          <w:rFonts w:hint="eastAsia" w:ascii="宋体" w:hAnsi="宋体" w:cs="宋体"/>
          <w:spacing w:val="-6"/>
        </w:rPr>
        <w:t>.乙方逾期履行合同或逾期完成合同设定之阶段性任务的，自逾期之日起，向甲方每日偿付合同总价千分之一的违约金。经甲方通知其履行之日起超过三十日仍未履行的，甲方有权选择单方解除本合同，乙方应按照合同总额的10%向甲方支付违约金。</w:t>
      </w:r>
    </w:p>
    <w:p>
      <w:pPr>
        <w:snapToGrid w:val="0"/>
        <w:spacing w:line="360" w:lineRule="auto"/>
        <w:ind w:right="26" w:rightChars="11" w:firstLine="456" w:firstLineChars="200"/>
        <w:rPr>
          <w:rFonts w:hint="eastAsia" w:ascii="宋体" w:hAnsi="宋体" w:cs="宋体"/>
          <w:spacing w:val="-6"/>
        </w:rPr>
      </w:pPr>
      <w:r>
        <w:rPr>
          <w:rFonts w:hint="eastAsia" w:ascii="宋体" w:hAnsi="宋体" w:cs="宋体"/>
          <w:spacing w:val="-6"/>
          <w:lang w:val="en-US" w:eastAsia="zh-CN"/>
        </w:rPr>
        <w:t>6.</w:t>
      </w:r>
      <w:r>
        <w:rPr>
          <w:rFonts w:hint="eastAsia" w:ascii="宋体" w:hAnsi="宋体" w:cs="宋体"/>
          <w:spacing w:val="-6"/>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lang w:val="en-US" w:eastAsia="zh-CN"/>
        </w:rPr>
        <w:t>7.</w:t>
      </w:r>
      <w:r>
        <w:rPr>
          <w:rFonts w:hint="eastAsia" w:ascii="宋体" w:hAnsi="宋体" w:cs="宋体"/>
          <w:spacing w:val="-6"/>
        </w:rPr>
        <w:t>协议履行过程中若因国家重大法律、政策发生变动或不可抗拒的事件发生，造成协议不能政策履行，甲乙双方共同协商解决。</w:t>
      </w:r>
    </w:p>
    <w:p>
      <w:pPr>
        <w:snapToGrid w:val="0"/>
        <w:spacing w:line="360" w:lineRule="auto"/>
        <w:rPr>
          <w:rFonts w:ascii="宋体" w:hAnsi="宋体" w:cs="宋体"/>
          <w:b/>
          <w:spacing w:val="-6"/>
        </w:rPr>
      </w:pPr>
      <w:r>
        <w:rPr>
          <w:rFonts w:hint="eastAsia" w:ascii="宋体" w:hAnsi="宋体" w:cs="宋体"/>
          <w:b/>
          <w:spacing w:val="-6"/>
        </w:rPr>
        <w:t>第八条：不可抗力事件处理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2.不可抗力事件发生后，应立即通知对方，并寄送有关权威机构出具的证明。</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3.不可抗力事件延续120天以上，双方应通过友好协商，确定是否继续履行合同。</w:t>
      </w:r>
    </w:p>
    <w:p>
      <w:pPr>
        <w:snapToGrid w:val="0"/>
        <w:spacing w:line="360" w:lineRule="auto"/>
        <w:ind w:right="-588" w:rightChars="-245"/>
        <w:rPr>
          <w:rFonts w:ascii="宋体" w:hAnsi="宋体" w:cs="宋体"/>
          <w:b/>
          <w:spacing w:val="-6"/>
        </w:rPr>
      </w:pPr>
      <w:r>
        <w:rPr>
          <w:rFonts w:hint="eastAsia" w:ascii="宋体" w:hAnsi="宋体" w:cs="宋体"/>
          <w:b/>
          <w:spacing w:val="-6"/>
        </w:rPr>
        <w:t>第九条：争议解决</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snapToGrid w:val="0"/>
        <w:spacing w:line="360" w:lineRule="auto"/>
        <w:ind w:right="-588" w:rightChars="-245"/>
        <w:rPr>
          <w:rFonts w:ascii="宋体" w:hAnsi="宋体" w:cs="宋体"/>
          <w:b/>
          <w:spacing w:val="-6"/>
        </w:rPr>
      </w:pPr>
      <w:r>
        <w:rPr>
          <w:rFonts w:hint="eastAsia" w:ascii="宋体" w:hAnsi="宋体" w:cs="宋体"/>
          <w:b/>
          <w:spacing w:val="-6"/>
        </w:rPr>
        <w:t>第十条：合同生效</w:t>
      </w:r>
    </w:p>
    <w:p>
      <w:pPr>
        <w:snapToGrid w:val="0"/>
        <w:spacing w:line="360" w:lineRule="auto"/>
        <w:ind w:firstLine="456" w:firstLineChars="200"/>
        <w:rPr>
          <w:rFonts w:ascii="宋体" w:hAnsi="宋体" w:cs="宋体"/>
          <w:spacing w:val="-6"/>
        </w:rPr>
      </w:pPr>
      <w:r>
        <w:rPr>
          <w:rFonts w:hint="eastAsia" w:ascii="宋体" w:hAnsi="宋体" w:cs="宋体"/>
          <w:spacing w:val="-6"/>
        </w:rPr>
        <w:t>1.合同经甲、乙双方法定代表人或</w:t>
      </w:r>
      <w:r>
        <w:rPr>
          <w:rFonts w:hint="eastAsia" w:ascii="宋体" w:hAnsi="宋体" w:cs="宋体"/>
          <w:spacing w:val="-6"/>
          <w:lang w:eastAsia="zh-CN"/>
        </w:rPr>
        <w:t>经办人</w:t>
      </w:r>
      <w:r>
        <w:rPr>
          <w:rFonts w:hint="eastAsia" w:ascii="宋体" w:hAnsi="宋体" w:cs="宋体"/>
          <w:spacing w:val="-6"/>
        </w:rPr>
        <w:t>签字并加盖单位公章后生效。</w:t>
      </w:r>
    </w:p>
    <w:p>
      <w:pPr>
        <w:snapToGrid w:val="0"/>
        <w:spacing w:line="360" w:lineRule="auto"/>
        <w:ind w:firstLine="456" w:firstLineChars="200"/>
        <w:rPr>
          <w:rFonts w:ascii="宋体" w:hAnsi="宋体" w:cs="宋体"/>
          <w:spacing w:val="-6"/>
        </w:rPr>
      </w:pPr>
      <w:r>
        <w:rPr>
          <w:rFonts w:hint="eastAsia" w:ascii="宋体" w:hAnsi="宋体" w:cs="宋体"/>
          <w:spacing w:val="-6"/>
        </w:rPr>
        <w:t>2.本合同附件、招标文件、投标文件、询标澄清、中标通知书均为合同的组成部分，与本合同具有同等法律效力。</w:t>
      </w:r>
      <w:r>
        <w:rPr>
          <w:rFonts w:hint="eastAsia" w:ascii="宋体" w:hAnsi="宋体" w:cs="宋体"/>
          <w:spacing w:val="-6"/>
          <w:lang w:val="en-US" w:eastAsia="zh-CN"/>
        </w:rPr>
        <w:t>如有约定不一致的，以标准较高者为准。</w:t>
      </w:r>
    </w:p>
    <w:p>
      <w:pPr>
        <w:snapToGrid w:val="0"/>
        <w:spacing w:line="360" w:lineRule="auto"/>
        <w:rPr>
          <w:rFonts w:ascii="宋体" w:hAnsi="宋体" w:cs="宋体"/>
          <w:b/>
          <w:spacing w:val="-6"/>
        </w:rPr>
      </w:pPr>
      <w:r>
        <w:rPr>
          <w:rFonts w:hint="eastAsia" w:ascii="宋体" w:hAnsi="宋体" w:cs="宋体"/>
          <w:b/>
          <w:spacing w:val="-6"/>
        </w:rPr>
        <w:t>第十一条：合同份数</w:t>
      </w:r>
    </w:p>
    <w:p>
      <w:pPr>
        <w:snapToGrid w:val="0"/>
        <w:spacing w:line="360" w:lineRule="auto"/>
        <w:ind w:firstLine="456" w:firstLineChars="200"/>
        <w:rPr>
          <w:rFonts w:ascii="宋体" w:hAnsi="宋体" w:cs="宋体"/>
          <w:spacing w:val="-6"/>
        </w:rPr>
      </w:pPr>
      <w:r>
        <w:rPr>
          <w:rFonts w:hint="eastAsia" w:ascii="宋体" w:hAnsi="宋体" w:cs="宋体"/>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地址：</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电话：</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开户银行：</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帐号：</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spacing w:val="-6"/>
              </w:rPr>
              <w:t>采购代理机构代表：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鉴证日期：      年    月    日</w:t>
            </w:r>
          </w:p>
        </w:tc>
      </w:tr>
    </w:tbl>
    <w:p>
      <w:pPr>
        <w:snapToGrid w:val="0"/>
        <w:spacing w:line="360" w:lineRule="auto"/>
        <w:rPr>
          <w:rFonts w:ascii="宋体" w:hAnsi="宋体" w:cs="宋体"/>
          <w:spacing w:val="-6"/>
        </w:rPr>
      </w:pPr>
    </w:p>
    <w:p>
      <w:pPr>
        <w:pStyle w:val="2"/>
        <w:bidi w:val="0"/>
        <w:rPr>
          <w:rFonts w:hint="eastAsia"/>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2"/>
        <w:bidi w:val="0"/>
      </w:pPr>
      <w:bookmarkStart w:id="432" w:name="_Toc7621"/>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bidi w:val="0"/>
      </w:pPr>
    </w:p>
    <w:p>
      <w:pPr>
        <w:pStyle w:val="3"/>
        <w:bidi w:val="0"/>
      </w:pPr>
      <w:bookmarkStart w:id="433" w:name="_Toc13095"/>
      <w:bookmarkStart w:id="434" w:name="_Toc8900"/>
      <w:r>
        <w:rPr>
          <w:rFonts w:hint="eastAsia"/>
        </w:rPr>
        <w:t>资格文件部分</w:t>
      </w:r>
      <w:bookmarkEnd w:id="433"/>
      <w:bookmarkEnd w:id="434"/>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numPr>
          <w:ilvl w:val="0"/>
          <w:numId w:val="7"/>
        </w:numPr>
        <w:bidi w:val="0"/>
        <w:rPr>
          <w:rFonts w:hint="eastAsia"/>
        </w:rPr>
      </w:pPr>
      <w:r>
        <w:rPr>
          <w:rFonts w:hint="eastAsia" w:ascii="宋体" w:hAnsi="宋体" w:cs="宋体"/>
          <w:kern w:val="0"/>
          <w:sz w:val="24"/>
        </w:rPr>
        <w:br w:type="page"/>
      </w:r>
      <w:bookmarkStart w:id="435" w:name="_Toc22040"/>
      <w:bookmarkStart w:id="436" w:name="_Toc10261"/>
      <w:r>
        <w:rPr>
          <w:rFonts w:hint="eastAsia"/>
        </w:rPr>
        <w:t>符合参加政府采购活动应当具备的一般条件的承诺函</w:t>
      </w:r>
      <w:bookmarkEnd w:id="435"/>
      <w:bookmarkEnd w:id="436"/>
    </w:p>
    <w:p>
      <w:pPr>
        <w:bidi w:val="0"/>
      </w:pP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bidi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7" w:name="_Toc27338"/>
      <w:bookmarkStart w:id="438" w:name="_Toc14124"/>
      <w:r>
        <w:rPr>
          <w:rFonts w:hint="eastAsia"/>
        </w:rPr>
        <w:t>二、联合协议（如有）</w:t>
      </w:r>
      <w:bookmarkEnd w:id="437"/>
      <w:bookmarkEnd w:id="438"/>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bidi w:val="0"/>
      </w:pPr>
      <w:bookmarkStart w:id="439" w:name="_Toc16477"/>
      <w:bookmarkStart w:id="440" w:name="_Toc15398"/>
      <w:r>
        <w:rPr>
          <w:rFonts w:hint="eastAsia"/>
        </w:rPr>
        <w:t>三、落实政府采购政策需满足的资格要求</w:t>
      </w:r>
      <w:bookmarkEnd w:id="439"/>
      <w:bookmarkEnd w:id="440"/>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1" w:name="_Toc25288"/>
      <w:bookmarkStart w:id="442" w:name="_Toc25980"/>
      <w:r>
        <w:rPr>
          <w:rFonts w:hint="eastAsia"/>
        </w:rPr>
        <w:t>四、本项目的特定资格要求</w:t>
      </w:r>
      <w:bookmarkEnd w:id="441"/>
      <w:bookmarkEnd w:id="442"/>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bidi w:val="0"/>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3" w:name="_Toc933"/>
      <w:bookmarkStart w:id="444" w:name="_Toc18377"/>
      <w:r>
        <w:rPr>
          <w:rFonts w:hint="eastAsia"/>
        </w:rPr>
        <w:t>商务技术文件部分</w:t>
      </w:r>
      <w:bookmarkEnd w:id="443"/>
      <w:bookmarkEnd w:id="444"/>
    </w:p>
    <w:p>
      <w:pPr>
        <w:bidi w:val="0"/>
      </w:pPr>
    </w:p>
    <w:p>
      <w:pPr>
        <w:bidi w:val="0"/>
        <w:ind w:left="0" w:leftChars="0" w:firstLine="0" w:firstLineChars="0"/>
        <w:jc w:val="center"/>
        <w:rPr>
          <w:b/>
          <w:bCs/>
          <w:sz w:val="36"/>
          <w:szCs w:val="36"/>
        </w:rPr>
      </w:pPr>
      <w:r>
        <w:rPr>
          <w:rFonts w:hint="eastAsia"/>
          <w:b/>
          <w:bCs/>
          <w:sz w:val="36"/>
          <w:szCs w:val="36"/>
        </w:rPr>
        <w:t>目录</w:t>
      </w:r>
    </w:p>
    <w:p>
      <w:pPr>
        <w:numPr>
          <w:ilvl w:val="0"/>
          <w:numId w:val="8"/>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pPr>
        <w:numPr>
          <w:ilvl w:val="0"/>
          <w:numId w:val="8"/>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）评标标准相应的商务技术资料…………………………………………（页码）（</w:t>
      </w:r>
      <w:r>
        <w:rPr>
          <w:rFonts w:hint="eastAsia" w:ascii="宋体" w:hAnsi="宋体" w:cs="宋体"/>
          <w:sz w:val="24"/>
          <w:lang w:val="en-US" w:eastAsia="zh-CN"/>
        </w:rPr>
        <w:t>6</w:t>
      </w:r>
      <w:r>
        <w:rPr>
          <w:rFonts w:hint="eastAsia" w:ascii="宋体" w:hAnsi="宋体" w:cs="宋体"/>
          <w:sz w:val="24"/>
        </w:rPr>
        <w:t>）商务偏离表………………………………………………………………（页码）（</w:t>
      </w:r>
      <w:r>
        <w:rPr>
          <w:rFonts w:hint="eastAsia" w:ascii="宋体" w:hAnsi="宋体" w:cs="宋体"/>
          <w:sz w:val="24"/>
          <w:lang w:val="en-US" w:eastAsia="zh-CN"/>
        </w:rPr>
        <w:t>7</w:t>
      </w:r>
      <w:r>
        <w:rPr>
          <w:rFonts w:hint="eastAsia" w:ascii="宋体" w:hAnsi="宋体" w:cs="宋体"/>
          <w:sz w:val="24"/>
        </w:rPr>
        <w:t>）技术偏离表………………………………………………………………（页码）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9）采购</w:t>
      </w:r>
      <w:r>
        <w:rPr>
          <w:rFonts w:hint="eastAsia" w:ascii="宋体" w:hAnsi="宋体" w:cs="宋体"/>
          <w:sz w:val="24"/>
          <w:lang w:val="zh-CN" w:eastAsia="zh-CN"/>
        </w:rPr>
        <w:t>代理服务费支付承诺书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p>
    <w:p>
      <w:pPr>
        <w:bidi w:val="0"/>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3"/>
        <w:bidi w:val="0"/>
      </w:pPr>
      <w:bookmarkStart w:id="445" w:name="_Toc624"/>
      <w:bookmarkStart w:id="446" w:name="_Toc8786"/>
      <w:r>
        <w:rPr>
          <w:rFonts w:hint="eastAsia"/>
        </w:rPr>
        <w:t>一、投标函</w:t>
      </w:r>
      <w:bookmarkEnd w:id="445"/>
      <w:bookmarkEnd w:id="446"/>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snapToGrid w:val="0"/>
          <w:color w:val="auto"/>
          <w:kern w:val="28"/>
          <w:sz w:val="24"/>
          <w:szCs w:val="20"/>
        </w:rPr>
        <w:t>（如有)</w:t>
      </w:r>
      <w:bookmarkEnd w:id="447"/>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商务偏离表；</w:t>
      </w:r>
    </w:p>
    <w:p>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技术偏离表；</w:t>
      </w:r>
    </w:p>
    <w:p>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2.2.9采购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pStyle w:val="23"/>
        <w:numPr>
          <w:ilvl w:val="0"/>
          <w:numId w:val="0"/>
        </w:numPr>
      </w:pPr>
    </w:p>
    <w:p>
      <w:pPr>
        <w:pStyle w:val="24"/>
      </w:pPr>
    </w:p>
    <w:p/>
    <w:p>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rPr>
          <w:lang w:val="zh-CN"/>
        </w:rPr>
      </w:pPr>
      <w:bookmarkStart w:id="448" w:name="_Toc17110"/>
      <w:bookmarkStart w:id="449" w:name="_Toc27417"/>
      <w:r>
        <w:rPr>
          <w:rFonts w:hint="eastAsia"/>
          <w:lang w:val="zh-CN"/>
        </w:rPr>
        <w:t>二、授权委托书或法定代表人（单位负责人、自然人本人）身份证明</w:t>
      </w:r>
      <w:bookmarkEnd w:id="448"/>
      <w:bookmarkEnd w:id="449"/>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2"/>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23"/>
        <w:rPr>
          <w:rFonts w:hint="eastAsia"/>
          <w:lang w:val="zh-CN"/>
        </w:rPr>
      </w:pPr>
    </w:p>
    <w:p>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pStyle w:val="152"/>
        <w:spacing w:line="360" w:lineRule="auto"/>
        <w:rPr>
          <w:rFonts w:hint="eastAsia" w:ascii="宋体" w:hAnsi="宋体" w:eastAsia="宋体" w:cs="宋体"/>
          <w:color w:val="auto"/>
          <w:kern w:val="0"/>
          <w:sz w:val="24"/>
          <w:highlight w:val="none"/>
          <w:lang w:val="zh-CN"/>
        </w:rPr>
      </w:pP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3"/>
      </w:pP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pPr>
      <w:bookmarkStart w:id="450" w:name="_Toc12686"/>
      <w:bookmarkStart w:id="451" w:name="_Toc26755"/>
      <w:r>
        <w:rPr>
          <w:rFonts w:hint="eastAsia"/>
          <w:lang w:val="en-US" w:eastAsia="zh-CN"/>
        </w:rPr>
        <w:t>三</w:t>
      </w:r>
      <w:r>
        <w:rPr>
          <w:rFonts w:hint="eastAsia"/>
        </w:rPr>
        <w:t>、联合协议（如有）</w:t>
      </w:r>
      <w:bookmarkEnd w:id="450"/>
      <w:bookmarkEnd w:id="451"/>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2" w:name="_Toc11086"/>
      <w:bookmarkStart w:id="453" w:name="_Toc15871"/>
      <w:r>
        <w:rPr>
          <w:rFonts w:hint="eastAsia"/>
          <w:lang w:val="en-US" w:eastAsia="zh-CN"/>
        </w:rPr>
        <w:t>四</w:t>
      </w:r>
      <w:r>
        <w:rPr>
          <w:rFonts w:hint="eastAsia"/>
        </w:rPr>
        <w:t>、分包意向协议（如有）</w:t>
      </w:r>
      <w:bookmarkEnd w:id="452"/>
      <w:bookmarkEnd w:id="453"/>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4" w:name="_Toc29359"/>
      <w:bookmarkStart w:id="455" w:name="_Toc20008"/>
      <w:r>
        <w:rPr>
          <w:rFonts w:hint="eastAsia"/>
          <w:lang w:val="en-US" w:eastAsia="zh-CN"/>
        </w:rPr>
        <w:t>五</w:t>
      </w:r>
      <w:r>
        <w:rPr>
          <w:rFonts w:hint="eastAsia"/>
        </w:rPr>
        <w:t>、评标标准相应的商务技术资料</w:t>
      </w:r>
      <w:bookmarkEnd w:id="454"/>
      <w:bookmarkEnd w:id="455"/>
    </w:p>
    <w:p>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6" w:name="_Toc10001"/>
      <w:bookmarkStart w:id="457" w:name="_Toc18478"/>
      <w:bookmarkStart w:id="458" w:name="_Toc5985"/>
      <w:r>
        <w:rPr>
          <w:rFonts w:hint="eastAsia"/>
          <w:lang w:val="en-US" w:eastAsia="zh-CN"/>
        </w:rPr>
        <w:t>六、</w:t>
      </w:r>
      <w:r>
        <w:rPr>
          <w:rFonts w:hint="eastAsia"/>
        </w:rPr>
        <w:t>商务</w:t>
      </w:r>
      <w:r>
        <w:rPr>
          <w:rFonts w:hint="eastAsia"/>
          <w:lang w:val="en-US" w:eastAsia="zh-CN"/>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pStyle w:val="3"/>
        <w:bidi w:val="0"/>
      </w:pPr>
      <w:bookmarkStart w:id="459" w:name="_Toc29279"/>
      <w:bookmarkStart w:id="460" w:name="_Toc13710"/>
      <w:r>
        <w:rPr>
          <w:rFonts w:hint="eastAsia"/>
          <w:lang w:val="en-US" w:eastAsia="zh-CN"/>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ascii="宋体" w:hAnsi="宋体" w:cs="宋体"/>
          <w:b/>
          <w:kern w:val="0"/>
          <w:sz w:val="32"/>
          <w:szCs w:val="32"/>
        </w:rPr>
      </w:pPr>
      <w:bookmarkStart w:id="461" w:name="_Toc22522"/>
      <w:bookmarkStart w:id="462" w:name="_Toc1831"/>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1"/>
      <w:bookmarkEnd w:id="462"/>
    </w:p>
    <w:p>
      <w:pPr>
        <w:snapToGrid w:val="0"/>
        <w:spacing w:line="360" w:lineRule="auto"/>
        <w:rPr>
          <w:rFonts w:ascii="宋体" w:hAnsi="宋体" w:cs="宋体"/>
          <w:sz w:val="24"/>
        </w:rPr>
      </w:pP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hint="eastAsia"/>
          <w:lang w:val="en-US" w:eastAsia="zh-CN"/>
        </w:rPr>
      </w:pPr>
      <w:bookmarkStart w:id="463" w:name="_Toc2224"/>
      <w:bookmarkStart w:id="464" w:name="_Toc24979"/>
      <w:r>
        <w:rPr>
          <w:rFonts w:hint="eastAsia"/>
          <w:lang w:val="en-US" w:eastAsia="zh-CN"/>
        </w:rPr>
        <w:t>九、代理服务费支付承诺书</w:t>
      </w:r>
      <w:bookmarkEnd w:id="463"/>
      <w:bookmarkEnd w:id="464"/>
    </w:p>
    <w:p>
      <w:pPr>
        <w:snapToGrid w:val="0"/>
        <w:spacing w:before="50" w:after="50" w:line="360" w:lineRule="auto"/>
        <w:rPr>
          <w:rFonts w:ascii="Times New Roman" w:hAnsi="Times New Roman"/>
          <w:spacing w:val="20"/>
          <w:sz w:val="24"/>
          <w:u w:val="single"/>
        </w:rPr>
      </w:pPr>
    </w:p>
    <w:p>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pPr>
              <w:snapToGrid w:val="0"/>
              <w:spacing w:before="50" w:after="50" w:line="360" w:lineRule="auto"/>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pPr>
        <w:snapToGrid w:val="0"/>
        <w:spacing w:before="50" w:after="50" w:line="360" w:lineRule="auto"/>
        <w:ind w:firstLine="630"/>
        <w:rPr>
          <w:rFonts w:ascii="Times New Roman" w:hAnsi="Times New Roman"/>
          <w:sz w:val="24"/>
        </w:rPr>
      </w:pPr>
    </w:p>
    <w:p>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pPr>
        <w:snapToGrid w:val="0"/>
        <w:spacing w:before="50" w:after="50" w:line="360" w:lineRule="auto"/>
        <w:rPr>
          <w:rFonts w:hint="eastAsia" w:ascii="Times New Roman" w:hAnsi="宋体"/>
          <w:sz w:val="24"/>
          <w:lang w:val="en-US" w:eastAsia="zh-CN"/>
        </w:rPr>
      </w:pPr>
    </w:p>
    <w:p>
      <w:pPr>
        <w:pStyle w:val="2"/>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5" w:name="_Toc8380"/>
      <w:bookmarkStart w:id="466" w:name="_Toc28938"/>
      <w:r>
        <w:rPr>
          <w:rFonts w:hint="eastAsia"/>
        </w:rPr>
        <w:t>报价文件部分</w:t>
      </w:r>
      <w:bookmarkEnd w:id="465"/>
      <w:bookmarkEnd w:id="466"/>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left="0" w:leftChars="0" w:firstLine="0" w:firstLineChars="0"/>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7" w:name="_Toc28115"/>
      <w:bookmarkStart w:id="468" w:name="_Toc16712"/>
      <w:r>
        <w:rPr>
          <w:rFonts w:hint="eastAsia"/>
        </w:rPr>
        <w:t>一、开标一览表（报价表）</w:t>
      </w:r>
      <w:bookmarkEnd w:id="467"/>
      <w:bookmarkEnd w:id="468"/>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pPr>
              <w:pStyle w:val="485"/>
              <w:bidi w:val="0"/>
              <w:ind w:left="0" w:leftChars="0" w:firstLine="0" w:firstLineChars="0"/>
              <w:jc w:val="center"/>
              <w:rPr>
                <w:rFonts w:hint="eastAsia"/>
                <w:b/>
                <w:bCs/>
              </w:rPr>
            </w:pPr>
            <w:r>
              <w:rPr>
                <w:rFonts w:hint="eastAsia"/>
                <w:b/>
                <w:bCs/>
              </w:rPr>
              <w:t>序号</w:t>
            </w:r>
          </w:p>
        </w:tc>
        <w:tc>
          <w:tcPr>
            <w:tcW w:w="2762" w:type="dxa"/>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pPr>
              <w:pStyle w:val="485"/>
              <w:bidi w:val="0"/>
              <w:ind w:left="0" w:leftChars="0" w:firstLine="0" w:firstLineChars="0"/>
              <w:jc w:val="center"/>
              <w:rPr>
                <w:rFonts w:hint="eastAsia"/>
                <w:b/>
                <w:bCs/>
              </w:rPr>
            </w:pPr>
            <w:r>
              <w:rPr>
                <w:rFonts w:hint="eastAsia"/>
                <w:b/>
                <w:bCs/>
              </w:rPr>
              <w:t>数量</w:t>
            </w:r>
          </w:p>
        </w:tc>
        <w:tc>
          <w:tcPr>
            <w:tcW w:w="1225" w:type="dxa"/>
            <w:noWrap w:val="0"/>
            <w:vAlign w:val="center"/>
          </w:tcPr>
          <w:p>
            <w:pPr>
              <w:pStyle w:val="485"/>
              <w:bidi w:val="0"/>
              <w:ind w:left="0" w:leftChars="0" w:firstLine="0" w:firstLineChars="0"/>
              <w:jc w:val="center"/>
              <w:rPr>
                <w:rFonts w:hint="eastAsia"/>
                <w:b/>
                <w:bCs/>
              </w:rPr>
            </w:pPr>
            <w:r>
              <w:rPr>
                <w:rFonts w:hint="eastAsia"/>
                <w:b/>
                <w:bCs/>
              </w:rPr>
              <w:t>单价</w:t>
            </w:r>
          </w:p>
        </w:tc>
        <w:tc>
          <w:tcPr>
            <w:tcW w:w="1890" w:type="dxa"/>
            <w:noWrap w:val="0"/>
            <w:vAlign w:val="center"/>
          </w:tcPr>
          <w:p>
            <w:pPr>
              <w:pStyle w:val="485"/>
              <w:bidi w:val="0"/>
              <w:ind w:left="0" w:leftChars="0" w:firstLine="0" w:firstLineChars="0"/>
              <w:jc w:val="center"/>
              <w:rPr>
                <w:rFonts w:hint="eastAsia"/>
                <w:b/>
                <w:bCs/>
              </w:rPr>
            </w:pPr>
            <w:r>
              <w:rPr>
                <w:rFonts w:hint="eastAsia"/>
                <w:b/>
                <w:bCs/>
              </w:rPr>
              <w:t>总价</w:t>
            </w:r>
          </w:p>
        </w:tc>
        <w:tc>
          <w:tcPr>
            <w:tcW w:w="1220" w:type="dxa"/>
            <w:noWrap w:val="0"/>
            <w:vAlign w:val="center"/>
          </w:tcPr>
          <w:p>
            <w:pPr>
              <w:pStyle w:val="485"/>
              <w:bidi w:val="0"/>
              <w:ind w:left="0" w:leftChars="0" w:firstLine="0" w:firstLineChars="0"/>
              <w:jc w:val="center"/>
              <w:rPr>
                <w:rFonts w:hint="eastAsia"/>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pPr>
              <w:pStyle w:val="485"/>
              <w:bidi w:val="0"/>
              <w:ind w:left="0" w:leftChars="0" w:firstLine="0" w:firstLineChars="0"/>
              <w:jc w:val="center"/>
              <w:rPr>
                <w:rFonts w:hint="eastAsia"/>
                <w:b/>
                <w:bCs/>
              </w:rPr>
            </w:pPr>
          </w:p>
        </w:tc>
      </w:tr>
    </w:tbl>
    <w:p>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color w:val="auto"/>
        </w:rPr>
      </w:pPr>
      <w:bookmarkStart w:id="469" w:name="_Toc19337"/>
      <w:bookmarkStart w:id="470" w:name="_Toc1047"/>
      <w:r>
        <w:rPr>
          <w:rFonts w:hint="eastAsia"/>
          <w:color w:val="auto"/>
        </w:rPr>
        <w:t>二、</w:t>
      </w:r>
      <w:r>
        <w:rPr>
          <w:rFonts w:hint="eastAsia"/>
          <w:color w:val="auto"/>
          <w:lang w:eastAsia="zh-CN"/>
        </w:rPr>
        <w:t>报价情况说明</w:t>
      </w:r>
      <w:r>
        <w:rPr>
          <w:rFonts w:hint="eastAsia"/>
          <w:color w:val="auto"/>
        </w:rPr>
        <w:t>（如果有）</w:t>
      </w:r>
    </w:p>
    <w:p>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pPr>
        <w:pStyle w:val="3"/>
        <w:bidi w:val="0"/>
        <w:jc w:val="both"/>
        <w:rPr>
          <w:rFonts w:hint="eastAsia"/>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r>
        <w:rPr>
          <w:rFonts w:hint="eastAsia"/>
          <w:lang w:eastAsia="zh-CN"/>
        </w:rPr>
        <w:t>三</w:t>
      </w:r>
      <w:r>
        <w:rPr>
          <w:rFonts w:hint="eastAsia"/>
        </w:rPr>
        <w:t>、中小企业声明函（如果有）</w:t>
      </w:r>
      <w:bookmarkEnd w:id="469"/>
      <w:bookmarkEnd w:id="47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bidi w:val="0"/>
      </w:pPr>
      <w:bookmarkStart w:id="471" w:name="_Toc29378"/>
      <w:bookmarkStart w:id="472" w:name="_Toc465665161"/>
      <w:bookmarkStart w:id="473" w:name="_Toc30052"/>
      <w:r>
        <w:rPr>
          <w:rFonts w:hint="eastAsia"/>
        </w:rPr>
        <w:t>附件</w:t>
      </w:r>
      <w:bookmarkEnd w:id="471"/>
      <w:bookmarkEnd w:id="472"/>
      <w:bookmarkEnd w:id="473"/>
    </w:p>
    <w:p>
      <w:pPr>
        <w:pStyle w:val="4"/>
        <w:bidi w:val="0"/>
      </w:pPr>
      <w:r>
        <w:rPr>
          <w:rFonts w:hint="eastAsia"/>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74" w:name="OLE_LINK13"/>
      <w:bookmarkStart w:id="475" w:name="OLE_LINK14"/>
      <w:r>
        <w:rPr>
          <w:rFonts w:hint="eastAsia" w:ascii="宋体" w:hAnsi="宋体" w:cs="宋体"/>
          <w:b/>
          <w:spacing w:val="6"/>
          <w:sz w:val="32"/>
          <w:szCs w:val="32"/>
        </w:rPr>
        <w:t>残疾人福利性单位声明函</w:t>
      </w:r>
    </w:p>
    <w:bookmarkEnd w:id="474"/>
    <w:bookmarkEnd w:id="47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pPr>
      <w:r>
        <w:rPr>
          <w:rFonts w:hint="eastAsia"/>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4"/>
        <w:bidi w:val="0"/>
      </w:pPr>
      <w:r>
        <w:rPr>
          <w:rFonts w:hint="eastAsia"/>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7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6"/>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9"/>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bidi w:val="0"/>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wis721 WGL4 B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wis721 WGL4 BT">
    <w:panose1 w:val="020B0504020202020204"/>
    <w:charset w:val="00"/>
    <w:family w:val="auto"/>
    <w:pitch w:val="default"/>
    <w:sig w:usb0="00000287" w:usb1="00000000" w:usb2="00000000" w:usb3="00000000" w:csb0="4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77" w:name="_Toc131845147"/>
    <w:bookmarkStart w:id="478" w:name="_Toc36110187"/>
    <w:bookmarkStart w:id="479" w:name="_Toc91899912"/>
    <w:bookmarkStart w:id="480" w:name="_Toc164085800"/>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4557D0A"/>
    <w:multiLevelType w:val="singleLevel"/>
    <w:tmpl w:val="E4557D0A"/>
    <w:lvl w:ilvl="0" w:tentative="0">
      <w:start w:val="2"/>
      <w:numFmt w:val="decimal"/>
      <w:suff w:val="nothing"/>
      <w:lvlText w:val="%1、"/>
      <w:lvlJc w:val="left"/>
    </w:lvl>
  </w:abstractNum>
  <w:abstractNum w:abstractNumId="2">
    <w:nsid w:val="ED70B397"/>
    <w:multiLevelType w:val="singleLevel"/>
    <w:tmpl w:val="ED70B397"/>
    <w:lvl w:ilvl="0" w:tentative="0">
      <w:start w:val="2"/>
      <w:numFmt w:val="chineseCounting"/>
      <w:suff w:val="nothing"/>
      <w:lvlText w:val="%1、"/>
      <w:lvlJc w:val="left"/>
      <w:rPr>
        <w:rFonts w:hint="eastAsia"/>
      </w:rPr>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3991CAFD"/>
    <w:multiLevelType w:val="singleLevel"/>
    <w:tmpl w:val="3991CAFD"/>
    <w:lvl w:ilvl="0" w:tentative="0">
      <w:start w:val="1"/>
      <w:numFmt w:val="decimal"/>
      <w:suff w:val="nothing"/>
      <w:lvlText w:val="%1、"/>
      <w:lvlJc w:val="left"/>
    </w:lvl>
  </w:abstractNum>
  <w:abstractNum w:abstractNumId="6">
    <w:nsid w:val="47123116"/>
    <w:multiLevelType w:val="singleLevel"/>
    <w:tmpl w:val="47123116"/>
    <w:lvl w:ilvl="0" w:tentative="0">
      <w:start w:val="1"/>
      <w:numFmt w:val="decimal"/>
      <w:suff w:val="nothing"/>
      <w:lvlText w:val="%1、"/>
      <w:lvlJc w:val="left"/>
    </w:lvl>
  </w:abstractNum>
  <w:abstractNum w:abstractNumId="7">
    <w:nsid w:val="68C6679C"/>
    <w:multiLevelType w:val="singleLevel"/>
    <w:tmpl w:val="68C6679C"/>
    <w:lvl w:ilvl="0" w:tentative="0">
      <w:start w:val="1"/>
      <w:numFmt w:val="decimal"/>
      <w:lvlText w:val="%1."/>
      <w:lvlJc w:val="left"/>
      <w:pPr>
        <w:tabs>
          <w:tab w:val="left" w:pos="312"/>
        </w:tabs>
      </w:pPr>
    </w:lvl>
  </w:abstractNum>
  <w:abstractNum w:abstractNumId="8">
    <w:nsid w:val="6DCEB687"/>
    <w:multiLevelType w:val="singleLevel"/>
    <w:tmpl w:val="6DCEB687"/>
    <w:lvl w:ilvl="0" w:tentative="0">
      <w:start w:val="1"/>
      <w:numFmt w:val="decimal"/>
      <w:lvlText w:val="%1."/>
      <w:lvlJc w:val="left"/>
      <w:pPr>
        <w:tabs>
          <w:tab w:val="left" w:pos="312"/>
        </w:tabs>
      </w:pPr>
    </w:lvl>
  </w:abstractNum>
  <w:num w:numId="1">
    <w:abstractNumId w:val="5"/>
  </w:num>
  <w:num w:numId="2">
    <w:abstractNumId w:val="2"/>
  </w:num>
  <w:num w:numId="3">
    <w:abstractNumId w:val="7"/>
  </w:num>
  <w:num w:numId="4">
    <w:abstractNumId w:val="1"/>
  </w:num>
  <w:num w:numId="5">
    <w:abstractNumId w:val="8"/>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jJlODVkNjQyNzBiMmY0ZjdhNGY3MjY1Mjhm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951217"/>
    <w:rsid w:val="019F7441"/>
    <w:rsid w:val="01B37585"/>
    <w:rsid w:val="01B76F0F"/>
    <w:rsid w:val="01BB4E57"/>
    <w:rsid w:val="01D55165"/>
    <w:rsid w:val="01DF6BF8"/>
    <w:rsid w:val="01EC2C57"/>
    <w:rsid w:val="02213098"/>
    <w:rsid w:val="0227136C"/>
    <w:rsid w:val="025F0711"/>
    <w:rsid w:val="026B2E25"/>
    <w:rsid w:val="02824D4D"/>
    <w:rsid w:val="02824DFC"/>
    <w:rsid w:val="0294008E"/>
    <w:rsid w:val="02976980"/>
    <w:rsid w:val="02D12E1C"/>
    <w:rsid w:val="02DC4B10"/>
    <w:rsid w:val="02DD76CE"/>
    <w:rsid w:val="02EA06AE"/>
    <w:rsid w:val="02EE130F"/>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2B240F"/>
    <w:rsid w:val="053E0EA6"/>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4207B"/>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A4AC2"/>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F50604"/>
    <w:rsid w:val="0DF540CC"/>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0FD8769D"/>
    <w:rsid w:val="10433B10"/>
    <w:rsid w:val="10646583"/>
    <w:rsid w:val="107D4B15"/>
    <w:rsid w:val="1081433D"/>
    <w:rsid w:val="108A3C80"/>
    <w:rsid w:val="10A67900"/>
    <w:rsid w:val="10C26171"/>
    <w:rsid w:val="10DC3AFF"/>
    <w:rsid w:val="10F33360"/>
    <w:rsid w:val="10FC16EA"/>
    <w:rsid w:val="110F1D40"/>
    <w:rsid w:val="1122342A"/>
    <w:rsid w:val="11266F33"/>
    <w:rsid w:val="11302E58"/>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2F5292A"/>
    <w:rsid w:val="13072A44"/>
    <w:rsid w:val="133B6DF8"/>
    <w:rsid w:val="13481143"/>
    <w:rsid w:val="135409A7"/>
    <w:rsid w:val="135F4BE2"/>
    <w:rsid w:val="139B1A0A"/>
    <w:rsid w:val="139D25C7"/>
    <w:rsid w:val="13BB36C2"/>
    <w:rsid w:val="13BF3CE4"/>
    <w:rsid w:val="140D7E52"/>
    <w:rsid w:val="141008D8"/>
    <w:rsid w:val="14125FE6"/>
    <w:rsid w:val="146D271E"/>
    <w:rsid w:val="14982588"/>
    <w:rsid w:val="149A5AD9"/>
    <w:rsid w:val="14A7619D"/>
    <w:rsid w:val="14B72CF4"/>
    <w:rsid w:val="14BA2CD9"/>
    <w:rsid w:val="14D01265"/>
    <w:rsid w:val="14D40792"/>
    <w:rsid w:val="150536C3"/>
    <w:rsid w:val="150C1963"/>
    <w:rsid w:val="151447A0"/>
    <w:rsid w:val="152807B7"/>
    <w:rsid w:val="154A6454"/>
    <w:rsid w:val="15762120"/>
    <w:rsid w:val="158626FD"/>
    <w:rsid w:val="15D33E82"/>
    <w:rsid w:val="15DF7B3C"/>
    <w:rsid w:val="15E117D1"/>
    <w:rsid w:val="15E71E0B"/>
    <w:rsid w:val="15F60C24"/>
    <w:rsid w:val="16382D92"/>
    <w:rsid w:val="16A8729C"/>
    <w:rsid w:val="16B33777"/>
    <w:rsid w:val="16B921CE"/>
    <w:rsid w:val="16BC70A7"/>
    <w:rsid w:val="16C6339E"/>
    <w:rsid w:val="16E74130"/>
    <w:rsid w:val="172F2D79"/>
    <w:rsid w:val="17557BEF"/>
    <w:rsid w:val="17D349C1"/>
    <w:rsid w:val="17F36AF9"/>
    <w:rsid w:val="1830729E"/>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A071A03"/>
    <w:rsid w:val="1A1F16AE"/>
    <w:rsid w:val="1A3B5C77"/>
    <w:rsid w:val="1A5E71D6"/>
    <w:rsid w:val="1A7F48BE"/>
    <w:rsid w:val="1A9609E5"/>
    <w:rsid w:val="1A984BAD"/>
    <w:rsid w:val="1AB8220E"/>
    <w:rsid w:val="1AE4166C"/>
    <w:rsid w:val="1AE914E9"/>
    <w:rsid w:val="1AF06CFB"/>
    <w:rsid w:val="1AF11B8D"/>
    <w:rsid w:val="1B11359C"/>
    <w:rsid w:val="1B196286"/>
    <w:rsid w:val="1B1A33C4"/>
    <w:rsid w:val="1B251A22"/>
    <w:rsid w:val="1B2A271F"/>
    <w:rsid w:val="1B4346C9"/>
    <w:rsid w:val="1B4D42B7"/>
    <w:rsid w:val="1B530544"/>
    <w:rsid w:val="1B6237D6"/>
    <w:rsid w:val="1B713184"/>
    <w:rsid w:val="1BA209CF"/>
    <w:rsid w:val="1BB4777D"/>
    <w:rsid w:val="1BD75AB8"/>
    <w:rsid w:val="1C0459C2"/>
    <w:rsid w:val="1C0B75F6"/>
    <w:rsid w:val="1C1B3B4A"/>
    <w:rsid w:val="1C53459F"/>
    <w:rsid w:val="1C705992"/>
    <w:rsid w:val="1C88086E"/>
    <w:rsid w:val="1CA41E93"/>
    <w:rsid w:val="1CC03DE6"/>
    <w:rsid w:val="1CC40E9D"/>
    <w:rsid w:val="1D013333"/>
    <w:rsid w:val="1D1A36B1"/>
    <w:rsid w:val="1D1A595F"/>
    <w:rsid w:val="1D266CE1"/>
    <w:rsid w:val="1D3963AF"/>
    <w:rsid w:val="1D3F13B8"/>
    <w:rsid w:val="1D554554"/>
    <w:rsid w:val="1D5F7333"/>
    <w:rsid w:val="1D6A673C"/>
    <w:rsid w:val="1D9247AE"/>
    <w:rsid w:val="1DB567EC"/>
    <w:rsid w:val="1DD24F8B"/>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BD6790"/>
    <w:rsid w:val="1EE008AE"/>
    <w:rsid w:val="1EFB350D"/>
    <w:rsid w:val="1F0A0FF3"/>
    <w:rsid w:val="1F38206B"/>
    <w:rsid w:val="1F5771FF"/>
    <w:rsid w:val="1F6146A4"/>
    <w:rsid w:val="1FB44357"/>
    <w:rsid w:val="1FD013DE"/>
    <w:rsid w:val="1FD2426D"/>
    <w:rsid w:val="1FD67D2B"/>
    <w:rsid w:val="1FE868A9"/>
    <w:rsid w:val="1FF52CDF"/>
    <w:rsid w:val="20034907"/>
    <w:rsid w:val="20173E4B"/>
    <w:rsid w:val="20174376"/>
    <w:rsid w:val="20436D85"/>
    <w:rsid w:val="204E48BC"/>
    <w:rsid w:val="208606BA"/>
    <w:rsid w:val="208921B3"/>
    <w:rsid w:val="20973DEB"/>
    <w:rsid w:val="20B26522"/>
    <w:rsid w:val="20B44310"/>
    <w:rsid w:val="20ED311F"/>
    <w:rsid w:val="20F41B9B"/>
    <w:rsid w:val="2103170F"/>
    <w:rsid w:val="211116EB"/>
    <w:rsid w:val="211F1734"/>
    <w:rsid w:val="21423675"/>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AB3909"/>
    <w:rsid w:val="22BE6801"/>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7B1377"/>
    <w:rsid w:val="24A24583"/>
    <w:rsid w:val="24B22173"/>
    <w:rsid w:val="24B95AD9"/>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F47146"/>
    <w:rsid w:val="27044A29"/>
    <w:rsid w:val="2705294F"/>
    <w:rsid w:val="271D34C8"/>
    <w:rsid w:val="274E1DF6"/>
    <w:rsid w:val="274F6984"/>
    <w:rsid w:val="275053D0"/>
    <w:rsid w:val="27514BC5"/>
    <w:rsid w:val="27606603"/>
    <w:rsid w:val="276142BF"/>
    <w:rsid w:val="27783712"/>
    <w:rsid w:val="277B51EB"/>
    <w:rsid w:val="27907362"/>
    <w:rsid w:val="27955DFF"/>
    <w:rsid w:val="27BB0BF2"/>
    <w:rsid w:val="27BF5A1F"/>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F26D24"/>
    <w:rsid w:val="2A021BF3"/>
    <w:rsid w:val="2A077EA1"/>
    <w:rsid w:val="2A15033F"/>
    <w:rsid w:val="2A1662C1"/>
    <w:rsid w:val="2A1C7367"/>
    <w:rsid w:val="2A1D290F"/>
    <w:rsid w:val="2A2815FA"/>
    <w:rsid w:val="2A4F6D47"/>
    <w:rsid w:val="2A6D6092"/>
    <w:rsid w:val="2A7059AD"/>
    <w:rsid w:val="2A783C63"/>
    <w:rsid w:val="2A7D76B4"/>
    <w:rsid w:val="2A840C26"/>
    <w:rsid w:val="2A945420"/>
    <w:rsid w:val="2AC646EF"/>
    <w:rsid w:val="2ACE5934"/>
    <w:rsid w:val="2AFA4BDA"/>
    <w:rsid w:val="2B1B5580"/>
    <w:rsid w:val="2B4324C3"/>
    <w:rsid w:val="2B437463"/>
    <w:rsid w:val="2B7807EE"/>
    <w:rsid w:val="2B9D3AD8"/>
    <w:rsid w:val="2BA50BF7"/>
    <w:rsid w:val="2BAC6FF8"/>
    <w:rsid w:val="2BBF00EC"/>
    <w:rsid w:val="2BC37160"/>
    <w:rsid w:val="2BC37CFD"/>
    <w:rsid w:val="2BD5237F"/>
    <w:rsid w:val="2BD81687"/>
    <w:rsid w:val="2BE536CE"/>
    <w:rsid w:val="2BE758D9"/>
    <w:rsid w:val="2BEF4AE8"/>
    <w:rsid w:val="2C025EDA"/>
    <w:rsid w:val="2C09049E"/>
    <w:rsid w:val="2C0A653C"/>
    <w:rsid w:val="2C191F85"/>
    <w:rsid w:val="2C3D7BB8"/>
    <w:rsid w:val="2C4747CF"/>
    <w:rsid w:val="2C750989"/>
    <w:rsid w:val="2CA73354"/>
    <w:rsid w:val="2CE82D6F"/>
    <w:rsid w:val="2D031F0A"/>
    <w:rsid w:val="2D12214D"/>
    <w:rsid w:val="2D343236"/>
    <w:rsid w:val="2D5E35E4"/>
    <w:rsid w:val="2D771A84"/>
    <w:rsid w:val="2DAA74E0"/>
    <w:rsid w:val="2DCE5BE2"/>
    <w:rsid w:val="2DD15014"/>
    <w:rsid w:val="2DF72DE4"/>
    <w:rsid w:val="2E0220AF"/>
    <w:rsid w:val="2E4B082A"/>
    <w:rsid w:val="2E5D4E86"/>
    <w:rsid w:val="2E5D6C6C"/>
    <w:rsid w:val="2E5D790B"/>
    <w:rsid w:val="2E9A3C18"/>
    <w:rsid w:val="2EA80FBB"/>
    <w:rsid w:val="2EAA1469"/>
    <w:rsid w:val="2EBB0FEE"/>
    <w:rsid w:val="2EC63002"/>
    <w:rsid w:val="2F0A6B38"/>
    <w:rsid w:val="2F0C09E8"/>
    <w:rsid w:val="2F0F0341"/>
    <w:rsid w:val="2F946CCB"/>
    <w:rsid w:val="2F9D6E59"/>
    <w:rsid w:val="2FA06539"/>
    <w:rsid w:val="2FB45B8C"/>
    <w:rsid w:val="2FD25781"/>
    <w:rsid w:val="2FDC745C"/>
    <w:rsid w:val="2FF50D74"/>
    <w:rsid w:val="2FFD7934"/>
    <w:rsid w:val="301744FA"/>
    <w:rsid w:val="305407BD"/>
    <w:rsid w:val="30733ACD"/>
    <w:rsid w:val="308C3862"/>
    <w:rsid w:val="30931AAA"/>
    <w:rsid w:val="309379D8"/>
    <w:rsid w:val="30A270F7"/>
    <w:rsid w:val="30DF1478"/>
    <w:rsid w:val="30EC586F"/>
    <w:rsid w:val="31994BEB"/>
    <w:rsid w:val="319C6071"/>
    <w:rsid w:val="31A92BF9"/>
    <w:rsid w:val="31AC537E"/>
    <w:rsid w:val="31E3679B"/>
    <w:rsid w:val="31E732FD"/>
    <w:rsid w:val="31F70D78"/>
    <w:rsid w:val="32070E04"/>
    <w:rsid w:val="3212150D"/>
    <w:rsid w:val="32236BAB"/>
    <w:rsid w:val="32430FFB"/>
    <w:rsid w:val="32462AB5"/>
    <w:rsid w:val="32517576"/>
    <w:rsid w:val="32523D7F"/>
    <w:rsid w:val="32543208"/>
    <w:rsid w:val="32811B31"/>
    <w:rsid w:val="32AF46F6"/>
    <w:rsid w:val="32BE5C2C"/>
    <w:rsid w:val="32DF0D23"/>
    <w:rsid w:val="32DF6C24"/>
    <w:rsid w:val="32FB6478"/>
    <w:rsid w:val="33263B3F"/>
    <w:rsid w:val="33510884"/>
    <w:rsid w:val="336963EB"/>
    <w:rsid w:val="33783B53"/>
    <w:rsid w:val="33816EEB"/>
    <w:rsid w:val="33A658D0"/>
    <w:rsid w:val="33C323F3"/>
    <w:rsid w:val="33EB55CD"/>
    <w:rsid w:val="33EC4C02"/>
    <w:rsid w:val="34006087"/>
    <w:rsid w:val="340D2360"/>
    <w:rsid w:val="3410665D"/>
    <w:rsid w:val="341E7629"/>
    <w:rsid w:val="34211214"/>
    <w:rsid w:val="342E63AB"/>
    <w:rsid w:val="34377663"/>
    <w:rsid w:val="34950E68"/>
    <w:rsid w:val="34986E94"/>
    <w:rsid w:val="34A94C8A"/>
    <w:rsid w:val="34AF62C9"/>
    <w:rsid w:val="34B85E70"/>
    <w:rsid w:val="34C06EA1"/>
    <w:rsid w:val="34CB4388"/>
    <w:rsid w:val="34EF59D0"/>
    <w:rsid w:val="34FA31E1"/>
    <w:rsid w:val="34FA6E12"/>
    <w:rsid w:val="35457DE9"/>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7FE41B2"/>
    <w:rsid w:val="38196A86"/>
    <w:rsid w:val="38296C89"/>
    <w:rsid w:val="383002EB"/>
    <w:rsid w:val="383218F5"/>
    <w:rsid w:val="384A10CB"/>
    <w:rsid w:val="385616DA"/>
    <w:rsid w:val="38586797"/>
    <w:rsid w:val="38653F8D"/>
    <w:rsid w:val="38B44A00"/>
    <w:rsid w:val="38B642D4"/>
    <w:rsid w:val="38BC0149"/>
    <w:rsid w:val="38D87D1C"/>
    <w:rsid w:val="394418E0"/>
    <w:rsid w:val="39557407"/>
    <w:rsid w:val="39636459"/>
    <w:rsid w:val="396B7F6C"/>
    <w:rsid w:val="39B417A9"/>
    <w:rsid w:val="39CD63CE"/>
    <w:rsid w:val="39EE5889"/>
    <w:rsid w:val="39FC5695"/>
    <w:rsid w:val="39FE23D7"/>
    <w:rsid w:val="3A006D8E"/>
    <w:rsid w:val="3A2C7DDF"/>
    <w:rsid w:val="3A3651E5"/>
    <w:rsid w:val="3A3D442D"/>
    <w:rsid w:val="3A41726F"/>
    <w:rsid w:val="3A4B6C9E"/>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CFB75AA"/>
    <w:rsid w:val="3D3103CE"/>
    <w:rsid w:val="3D3C7F39"/>
    <w:rsid w:val="3D440F09"/>
    <w:rsid w:val="3D4504A0"/>
    <w:rsid w:val="3D6702AE"/>
    <w:rsid w:val="3D8734BB"/>
    <w:rsid w:val="3D8A7047"/>
    <w:rsid w:val="3D9A11D4"/>
    <w:rsid w:val="3D9A6B04"/>
    <w:rsid w:val="3DA16D89"/>
    <w:rsid w:val="3DA364BE"/>
    <w:rsid w:val="3DDB1283"/>
    <w:rsid w:val="3DE041CB"/>
    <w:rsid w:val="3DE1502A"/>
    <w:rsid w:val="3DE6565C"/>
    <w:rsid w:val="3DF11A29"/>
    <w:rsid w:val="3E0709FB"/>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264C5"/>
    <w:rsid w:val="3F060E16"/>
    <w:rsid w:val="3F1D1096"/>
    <w:rsid w:val="3F2D1834"/>
    <w:rsid w:val="3F2F0234"/>
    <w:rsid w:val="3F4C3C26"/>
    <w:rsid w:val="3F6363FE"/>
    <w:rsid w:val="3F756B8F"/>
    <w:rsid w:val="3F95482B"/>
    <w:rsid w:val="3F9C1CE6"/>
    <w:rsid w:val="3FA94F62"/>
    <w:rsid w:val="3FC0345D"/>
    <w:rsid w:val="3FFC538D"/>
    <w:rsid w:val="3FFF07C5"/>
    <w:rsid w:val="4019356B"/>
    <w:rsid w:val="401C4AEF"/>
    <w:rsid w:val="401D0186"/>
    <w:rsid w:val="40421A8A"/>
    <w:rsid w:val="404544F3"/>
    <w:rsid w:val="404552A0"/>
    <w:rsid w:val="40592157"/>
    <w:rsid w:val="406E1CAE"/>
    <w:rsid w:val="40890521"/>
    <w:rsid w:val="40955117"/>
    <w:rsid w:val="40A0133A"/>
    <w:rsid w:val="40AC64D2"/>
    <w:rsid w:val="40C31A53"/>
    <w:rsid w:val="40C615C5"/>
    <w:rsid w:val="40FF545D"/>
    <w:rsid w:val="410067C8"/>
    <w:rsid w:val="412C31AD"/>
    <w:rsid w:val="4134048C"/>
    <w:rsid w:val="415A4752"/>
    <w:rsid w:val="41765884"/>
    <w:rsid w:val="417A621E"/>
    <w:rsid w:val="418F0D2A"/>
    <w:rsid w:val="41996E28"/>
    <w:rsid w:val="41C932CA"/>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174B3D"/>
    <w:rsid w:val="434B790E"/>
    <w:rsid w:val="43516679"/>
    <w:rsid w:val="4360274F"/>
    <w:rsid w:val="438A6373"/>
    <w:rsid w:val="43977AB6"/>
    <w:rsid w:val="43A3342B"/>
    <w:rsid w:val="43A63197"/>
    <w:rsid w:val="43C77C27"/>
    <w:rsid w:val="43D602EB"/>
    <w:rsid w:val="43D877F5"/>
    <w:rsid w:val="43DE09EE"/>
    <w:rsid w:val="44002FAD"/>
    <w:rsid w:val="446677B2"/>
    <w:rsid w:val="449101DD"/>
    <w:rsid w:val="44DD24C2"/>
    <w:rsid w:val="44DE1391"/>
    <w:rsid w:val="450E0CAE"/>
    <w:rsid w:val="451B225C"/>
    <w:rsid w:val="452410C9"/>
    <w:rsid w:val="452B2968"/>
    <w:rsid w:val="45317DFB"/>
    <w:rsid w:val="453C389E"/>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574"/>
    <w:rsid w:val="475F1DC4"/>
    <w:rsid w:val="47644757"/>
    <w:rsid w:val="476C2789"/>
    <w:rsid w:val="47706278"/>
    <w:rsid w:val="477B778F"/>
    <w:rsid w:val="478203EC"/>
    <w:rsid w:val="47B025FA"/>
    <w:rsid w:val="47D3281F"/>
    <w:rsid w:val="48032022"/>
    <w:rsid w:val="4809698F"/>
    <w:rsid w:val="4811697D"/>
    <w:rsid w:val="485B6724"/>
    <w:rsid w:val="487A3E25"/>
    <w:rsid w:val="488B5503"/>
    <w:rsid w:val="48937E21"/>
    <w:rsid w:val="48987CCA"/>
    <w:rsid w:val="489A0361"/>
    <w:rsid w:val="48B94FF3"/>
    <w:rsid w:val="48BB2297"/>
    <w:rsid w:val="48E37AAB"/>
    <w:rsid w:val="48FD4B4C"/>
    <w:rsid w:val="490A68E0"/>
    <w:rsid w:val="491055FE"/>
    <w:rsid w:val="495F5B3E"/>
    <w:rsid w:val="496F77D7"/>
    <w:rsid w:val="49704F0A"/>
    <w:rsid w:val="497654FD"/>
    <w:rsid w:val="49B64211"/>
    <w:rsid w:val="49F6167F"/>
    <w:rsid w:val="4A064FA0"/>
    <w:rsid w:val="4A16615C"/>
    <w:rsid w:val="4A3F01A4"/>
    <w:rsid w:val="4A4424D7"/>
    <w:rsid w:val="4AA62243"/>
    <w:rsid w:val="4AB82D0F"/>
    <w:rsid w:val="4AC20427"/>
    <w:rsid w:val="4AC76815"/>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245A30"/>
    <w:rsid w:val="4C80445A"/>
    <w:rsid w:val="4C871B54"/>
    <w:rsid w:val="4CB14CA1"/>
    <w:rsid w:val="4CB6685F"/>
    <w:rsid w:val="4CC367FE"/>
    <w:rsid w:val="4D077F3C"/>
    <w:rsid w:val="4D123355"/>
    <w:rsid w:val="4D2A3B31"/>
    <w:rsid w:val="4D312C52"/>
    <w:rsid w:val="4D905305"/>
    <w:rsid w:val="4D964A72"/>
    <w:rsid w:val="4D9C1254"/>
    <w:rsid w:val="4DF74D1B"/>
    <w:rsid w:val="4E0833CC"/>
    <w:rsid w:val="4E091428"/>
    <w:rsid w:val="4E1F6637"/>
    <w:rsid w:val="4E793892"/>
    <w:rsid w:val="4E800872"/>
    <w:rsid w:val="4E8D1FA1"/>
    <w:rsid w:val="4E9751B5"/>
    <w:rsid w:val="4E9D1D67"/>
    <w:rsid w:val="4EC569ED"/>
    <w:rsid w:val="4ED50EA1"/>
    <w:rsid w:val="4EEC050C"/>
    <w:rsid w:val="4EF54F8F"/>
    <w:rsid w:val="4F104EC3"/>
    <w:rsid w:val="4F247EF5"/>
    <w:rsid w:val="4F47354A"/>
    <w:rsid w:val="4F911C54"/>
    <w:rsid w:val="4F912F4E"/>
    <w:rsid w:val="4FA03191"/>
    <w:rsid w:val="4FB81CB8"/>
    <w:rsid w:val="4FE625E0"/>
    <w:rsid w:val="5021480F"/>
    <w:rsid w:val="50407605"/>
    <w:rsid w:val="505F6D03"/>
    <w:rsid w:val="507117F6"/>
    <w:rsid w:val="50746AF7"/>
    <w:rsid w:val="507E6F02"/>
    <w:rsid w:val="50962ECB"/>
    <w:rsid w:val="50A42E38"/>
    <w:rsid w:val="50A4577F"/>
    <w:rsid w:val="50B73D1F"/>
    <w:rsid w:val="50BD5BC9"/>
    <w:rsid w:val="50C11EEE"/>
    <w:rsid w:val="50DD0EE9"/>
    <w:rsid w:val="50E97CFC"/>
    <w:rsid w:val="50EF1BED"/>
    <w:rsid w:val="50FA4028"/>
    <w:rsid w:val="51010FDA"/>
    <w:rsid w:val="510D65B7"/>
    <w:rsid w:val="511157AB"/>
    <w:rsid w:val="5142540C"/>
    <w:rsid w:val="514C5AD9"/>
    <w:rsid w:val="51501312"/>
    <w:rsid w:val="51674AAB"/>
    <w:rsid w:val="518832C8"/>
    <w:rsid w:val="518A1BE1"/>
    <w:rsid w:val="518F1137"/>
    <w:rsid w:val="519D3C50"/>
    <w:rsid w:val="51A0432A"/>
    <w:rsid w:val="51A477D8"/>
    <w:rsid w:val="51A86090"/>
    <w:rsid w:val="51AD6B85"/>
    <w:rsid w:val="51B7396D"/>
    <w:rsid w:val="51CB2747"/>
    <w:rsid w:val="522E4CC3"/>
    <w:rsid w:val="52331D7F"/>
    <w:rsid w:val="5240116C"/>
    <w:rsid w:val="5244713B"/>
    <w:rsid w:val="52615633"/>
    <w:rsid w:val="526679D0"/>
    <w:rsid w:val="526F4DE4"/>
    <w:rsid w:val="528C5C89"/>
    <w:rsid w:val="52977FD4"/>
    <w:rsid w:val="52A25790"/>
    <w:rsid w:val="52A42173"/>
    <w:rsid w:val="52A96B6F"/>
    <w:rsid w:val="52B34185"/>
    <w:rsid w:val="52B45975"/>
    <w:rsid w:val="52D7336D"/>
    <w:rsid w:val="52D94AA4"/>
    <w:rsid w:val="52DA1E8F"/>
    <w:rsid w:val="52EA3A62"/>
    <w:rsid w:val="52F50BB8"/>
    <w:rsid w:val="53097272"/>
    <w:rsid w:val="530A525A"/>
    <w:rsid w:val="531360AD"/>
    <w:rsid w:val="53544462"/>
    <w:rsid w:val="536116CB"/>
    <w:rsid w:val="53762B86"/>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92E4A"/>
    <w:rsid w:val="55364EFD"/>
    <w:rsid w:val="555D4828"/>
    <w:rsid w:val="5575108B"/>
    <w:rsid w:val="557A4C8B"/>
    <w:rsid w:val="558931E1"/>
    <w:rsid w:val="558E060E"/>
    <w:rsid w:val="55923347"/>
    <w:rsid w:val="55925180"/>
    <w:rsid w:val="55980179"/>
    <w:rsid w:val="55983B1B"/>
    <w:rsid w:val="55A8376B"/>
    <w:rsid w:val="55B17915"/>
    <w:rsid w:val="55C65992"/>
    <w:rsid w:val="55DC29B6"/>
    <w:rsid w:val="55DD4241"/>
    <w:rsid w:val="56646524"/>
    <w:rsid w:val="566B6D1E"/>
    <w:rsid w:val="568338FF"/>
    <w:rsid w:val="568A2F88"/>
    <w:rsid w:val="56B544E7"/>
    <w:rsid w:val="56CB7313"/>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4F65D5"/>
    <w:rsid w:val="5A5D3B6E"/>
    <w:rsid w:val="5A637A76"/>
    <w:rsid w:val="5A6D33BA"/>
    <w:rsid w:val="5A792B1F"/>
    <w:rsid w:val="5A874767"/>
    <w:rsid w:val="5AA85BE2"/>
    <w:rsid w:val="5AAD6F28"/>
    <w:rsid w:val="5AB04370"/>
    <w:rsid w:val="5ABE3BC9"/>
    <w:rsid w:val="5AD21814"/>
    <w:rsid w:val="5AD63A24"/>
    <w:rsid w:val="5B2E1A1D"/>
    <w:rsid w:val="5B330FD0"/>
    <w:rsid w:val="5B3E21DC"/>
    <w:rsid w:val="5B4269DA"/>
    <w:rsid w:val="5B843A1C"/>
    <w:rsid w:val="5B873E3F"/>
    <w:rsid w:val="5B8B7D36"/>
    <w:rsid w:val="5B8F6EDB"/>
    <w:rsid w:val="5BA770FE"/>
    <w:rsid w:val="5BE30FD5"/>
    <w:rsid w:val="5C02690E"/>
    <w:rsid w:val="5C196DA7"/>
    <w:rsid w:val="5C2A048C"/>
    <w:rsid w:val="5C530A93"/>
    <w:rsid w:val="5C80234E"/>
    <w:rsid w:val="5C8026E5"/>
    <w:rsid w:val="5C82418F"/>
    <w:rsid w:val="5C844510"/>
    <w:rsid w:val="5C8A680C"/>
    <w:rsid w:val="5C8E73AF"/>
    <w:rsid w:val="5CAF6A84"/>
    <w:rsid w:val="5CDD5A24"/>
    <w:rsid w:val="5D07136C"/>
    <w:rsid w:val="5D0C4701"/>
    <w:rsid w:val="5D0F0395"/>
    <w:rsid w:val="5D1B7170"/>
    <w:rsid w:val="5D221076"/>
    <w:rsid w:val="5D397964"/>
    <w:rsid w:val="5D5A391C"/>
    <w:rsid w:val="5D5C103F"/>
    <w:rsid w:val="5D5F10C0"/>
    <w:rsid w:val="5D697CB0"/>
    <w:rsid w:val="5D6A375C"/>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E17A4E"/>
    <w:rsid w:val="5EE252D1"/>
    <w:rsid w:val="5EFC7377"/>
    <w:rsid w:val="5F002C5F"/>
    <w:rsid w:val="5F06174D"/>
    <w:rsid w:val="5F3A3602"/>
    <w:rsid w:val="5F4104EC"/>
    <w:rsid w:val="5F45733B"/>
    <w:rsid w:val="5F6277C6"/>
    <w:rsid w:val="5F6D0B1D"/>
    <w:rsid w:val="5F8D0B82"/>
    <w:rsid w:val="5FB44916"/>
    <w:rsid w:val="5FB7255D"/>
    <w:rsid w:val="5FCC5339"/>
    <w:rsid w:val="5FE34A5B"/>
    <w:rsid w:val="5FFE1E36"/>
    <w:rsid w:val="600E4517"/>
    <w:rsid w:val="60232584"/>
    <w:rsid w:val="6063353A"/>
    <w:rsid w:val="6065283C"/>
    <w:rsid w:val="607330CE"/>
    <w:rsid w:val="60825176"/>
    <w:rsid w:val="608D10A6"/>
    <w:rsid w:val="608E5C6A"/>
    <w:rsid w:val="60937EE0"/>
    <w:rsid w:val="609F2AC4"/>
    <w:rsid w:val="60D93E32"/>
    <w:rsid w:val="60E903BA"/>
    <w:rsid w:val="60F44FE8"/>
    <w:rsid w:val="60FA2EE8"/>
    <w:rsid w:val="61054A27"/>
    <w:rsid w:val="610A52BC"/>
    <w:rsid w:val="610C28A7"/>
    <w:rsid w:val="611D2366"/>
    <w:rsid w:val="61421856"/>
    <w:rsid w:val="615227C4"/>
    <w:rsid w:val="61654E3F"/>
    <w:rsid w:val="6182292A"/>
    <w:rsid w:val="618229A0"/>
    <w:rsid w:val="61953654"/>
    <w:rsid w:val="619F7F92"/>
    <w:rsid w:val="61B01959"/>
    <w:rsid w:val="61F94C26"/>
    <w:rsid w:val="62000E56"/>
    <w:rsid w:val="624B51DE"/>
    <w:rsid w:val="624F3E49"/>
    <w:rsid w:val="62632286"/>
    <w:rsid w:val="62885958"/>
    <w:rsid w:val="62E26C7B"/>
    <w:rsid w:val="62F40B65"/>
    <w:rsid w:val="62FC2CFE"/>
    <w:rsid w:val="63024505"/>
    <w:rsid w:val="630755A9"/>
    <w:rsid w:val="63387D47"/>
    <w:rsid w:val="633961F6"/>
    <w:rsid w:val="635600A5"/>
    <w:rsid w:val="635A1B7D"/>
    <w:rsid w:val="635B1DB5"/>
    <w:rsid w:val="63711FED"/>
    <w:rsid w:val="63880DDC"/>
    <w:rsid w:val="638D750D"/>
    <w:rsid w:val="63AC6CC0"/>
    <w:rsid w:val="64055776"/>
    <w:rsid w:val="64240056"/>
    <w:rsid w:val="643E143A"/>
    <w:rsid w:val="64491666"/>
    <w:rsid w:val="644C301C"/>
    <w:rsid w:val="64812A1F"/>
    <w:rsid w:val="648B6EEF"/>
    <w:rsid w:val="64B13A1E"/>
    <w:rsid w:val="64C158BF"/>
    <w:rsid w:val="64CE2EAA"/>
    <w:rsid w:val="64E624BC"/>
    <w:rsid w:val="650A5C8A"/>
    <w:rsid w:val="652F4898"/>
    <w:rsid w:val="653C3090"/>
    <w:rsid w:val="653C4FAA"/>
    <w:rsid w:val="65425461"/>
    <w:rsid w:val="65854376"/>
    <w:rsid w:val="658767BE"/>
    <w:rsid w:val="65892531"/>
    <w:rsid w:val="658F6D0E"/>
    <w:rsid w:val="65951872"/>
    <w:rsid w:val="65973DFB"/>
    <w:rsid w:val="65B33BEC"/>
    <w:rsid w:val="65E322FD"/>
    <w:rsid w:val="661204ED"/>
    <w:rsid w:val="66195831"/>
    <w:rsid w:val="662E75B1"/>
    <w:rsid w:val="66342C2E"/>
    <w:rsid w:val="663E784C"/>
    <w:rsid w:val="6678210A"/>
    <w:rsid w:val="668B6A45"/>
    <w:rsid w:val="66A40E14"/>
    <w:rsid w:val="66C85FD6"/>
    <w:rsid w:val="66D6776C"/>
    <w:rsid w:val="670578C8"/>
    <w:rsid w:val="671B7875"/>
    <w:rsid w:val="672243F5"/>
    <w:rsid w:val="672F3F24"/>
    <w:rsid w:val="673E055F"/>
    <w:rsid w:val="67450E58"/>
    <w:rsid w:val="67551CE3"/>
    <w:rsid w:val="67577E13"/>
    <w:rsid w:val="67A22552"/>
    <w:rsid w:val="67AE2497"/>
    <w:rsid w:val="67B22DCC"/>
    <w:rsid w:val="67B87FD6"/>
    <w:rsid w:val="67BE71AA"/>
    <w:rsid w:val="67C91DE0"/>
    <w:rsid w:val="67D90273"/>
    <w:rsid w:val="67DE5875"/>
    <w:rsid w:val="67E55852"/>
    <w:rsid w:val="67EB1AB4"/>
    <w:rsid w:val="67FA1285"/>
    <w:rsid w:val="68084FB1"/>
    <w:rsid w:val="68441F4C"/>
    <w:rsid w:val="68502B9D"/>
    <w:rsid w:val="68551F4F"/>
    <w:rsid w:val="686E75CF"/>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77531D"/>
    <w:rsid w:val="69877256"/>
    <w:rsid w:val="698A0CE2"/>
    <w:rsid w:val="69926EAA"/>
    <w:rsid w:val="699410ED"/>
    <w:rsid w:val="699F1009"/>
    <w:rsid w:val="69B83AA1"/>
    <w:rsid w:val="69CA10DE"/>
    <w:rsid w:val="69CC2BFF"/>
    <w:rsid w:val="69D03A8B"/>
    <w:rsid w:val="69FD55B8"/>
    <w:rsid w:val="6A042526"/>
    <w:rsid w:val="6A06256A"/>
    <w:rsid w:val="6A0B1C62"/>
    <w:rsid w:val="6A2358EB"/>
    <w:rsid w:val="6A2406C8"/>
    <w:rsid w:val="6A3603B7"/>
    <w:rsid w:val="6A6F1742"/>
    <w:rsid w:val="6A9001BE"/>
    <w:rsid w:val="6AB165E0"/>
    <w:rsid w:val="6AD17EDC"/>
    <w:rsid w:val="6ADE0BD1"/>
    <w:rsid w:val="6AE508C6"/>
    <w:rsid w:val="6AE96859"/>
    <w:rsid w:val="6B147746"/>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CF110B0"/>
    <w:rsid w:val="6D167928"/>
    <w:rsid w:val="6D1A412B"/>
    <w:rsid w:val="6D26299B"/>
    <w:rsid w:val="6D4772EC"/>
    <w:rsid w:val="6D9078AF"/>
    <w:rsid w:val="6DAA3FEF"/>
    <w:rsid w:val="6DC0172B"/>
    <w:rsid w:val="6DCB690C"/>
    <w:rsid w:val="6DD41A5B"/>
    <w:rsid w:val="6DF43C2E"/>
    <w:rsid w:val="6DF51CA3"/>
    <w:rsid w:val="6DFD22FE"/>
    <w:rsid w:val="6E063CFD"/>
    <w:rsid w:val="6E0C6A78"/>
    <w:rsid w:val="6E173084"/>
    <w:rsid w:val="6E25722B"/>
    <w:rsid w:val="6E5F098F"/>
    <w:rsid w:val="6E73752A"/>
    <w:rsid w:val="6E8335BD"/>
    <w:rsid w:val="6E8E12EF"/>
    <w:rsid w:val="6E972936"/>
    <w:rsid w:val="6ECE1671"/>
    <w:rsid w:val="6ED446C5"/>
    <w:rsid w:val="6EDC5B3C"/>
    <w:rsid w:val="6F2A7D94"/>
    <w:rsid w:val="6F71097A"/>
    <w:rsid w:val="6F7352BE"/>
    <w:rsid w:val="6F8331F1"/>
    <w:rsid w:val="6FAE1A09"/>
    <w:rsid w:val="6FB43569"/>
    <w:rsid w:val="6FCE5D0B"/>
    <w:rsid w:val="6FD75BF8"/>
    <w:rsid w:val="6FD94C49"/>
    <w:rsid w:val="6FF15617"/>
    <w:rsid w:val="707723D0"/>
    <w:rsid w:val="70AB7EBB"/>
    <w:rsid w:val="70BE583B"/>
    <w:rsid w:val="70C44A43"/>
    <w:rsid w:val="70C54F37"/>
    <w:rsid w:val="70E66662"/>
    <w:rsid w:val="70F5661B"/>
    <w:rsid w:val="70F77D0A"/>
    <w:rsid w:val="71290E87"/>
    <w:rsid w:val="71360107"/>
    <w:rsid w:val="713B688E"/>
    <w:rsid w:val="71926986"/>
    <w:rsid w:val="71A57B7A"/>
    <w:rsid w:val="71BC1C54"/>
    <w:rsid w:val="71D43752"/>
    <w:rsid w:val="71E846CF"/>
    <w:rsid w:val="71EC683B"/>
    <w:rsid w:val="71F1796A"/>
    <w:rsid w:val="72154626"/>
    <w:rsid w:val="72161E08"/>
    <w:rsid w:val="72262B5D"/>
    <w:rsid w:val="72283FF7"/>
    <w:rsid w:val="722E7212"/>
    <w:rsid w:val="723A0474"/>
    <w:rsid w:val="725923E4"/>
    <w:rsid w:val="72686882"/>
    <w:rsid w:val="72864BF7"/>
    <w:rsid w:val="729023FC"/>
    <w:rsid w:val="733A1083"/>
    <w:rsid w:val="73720D0C"/>
    <w:rsid w:val="739E1612"/>
    <w:rsid w:val="73A50197"/>
    <w:rsid w:val="73AF7192"/>
    <w:rsid w:val="73C0646E"/>
    <w:rsid w:val="73E21E46"/>
    <w:rsid w:val="741325D9"/>
    <w:rsid w:val="7416389E"/>
    <w:rsid w:val="741743EB"/>
    <w:rsid w:val="742222F5"/>
    <w:rsid w:val="74476126"/>
    <w:rsid w:val="745148D6"/>
    <w:rsid w:val="746D05CC"/>
    <w:rsid w:val="74706664"/>
    <w:rsid w:val="74790B89"/>
    <w:rsid w:val="747F3682"/>
    <w:rsid w:val="749C4185"/>
    <w:rsid w:val="74CB2696"/>
    <w:rsid w:val="74E03EAC"/>
    <w:rsid w:val="75067759"/>
    <w:rsid w:val="752E6DCD"/>
    <w:rsid w:val="753541F8"/>
    <w:rsid w:val="7551380D"/>
    <w:rsid w:val="75600BE5"/>
    <w:rsid w:val="7564475C"/>
    <w:rsid w:val="7583797F"/>
    <w:rsid w:val="75B03B6C"/>
    <w:rsid w:val="75D20F1D"/>
    <w:rsid w:val="75D94B83"/>
    <w:rsid w:val="75DA2C18"/>
    <w:rsid w:val="75F43EC6"/>
    <w:rsid w:val="75F54412"/>
    <w:rsid w:val="761D08E0"/>
    <w:rsid w:val="76360227"/>
    <w:rsid w:val="764F1A43"/>
    <w:rsid w:val="765D347C"/>
    <w:rsid w:val="766B1082"/>
    <w:rsid w:val="76826699"/>
    <w:rsid w:val="768909FA"/>
    <w:rsid w:val="768947FB"/>
    <w:rsid w:val="769FC7E3"/>
    <w:rsid w:val="76A71A13"/>
    <w:rsid w:val="76C87133"/>
    <w:rsid w:val="76CD08D5"/>
    <w:rsid w:val="76D70AD3"/>
    <w:rsid w:val="76DB4B92"/>
    <w:rsid w:val="77052AA4"/>
    <w:rsid w:val="77136511"/>
    <w:rsid w:val="77340A39"/>
    <w:rsid w:val="77351FD0"/>
    <w:rsid w:val="773F65DA"/>
    <w:rsid w:val="77472422"/>
    <w:rsid w:val="775C5C1A"/>
    <w:rsid w:val="777F31F2"/>
    <w:rsid w:val="779F4A84"/>
    <w:rsid w:val="77AF3E74"/>
    <w:rsid w:val="77BC475C"/>
    <w:rsid w:val="77C6711F"/>
    <w:rsid w:val="77D1700D"/>
    <w:rsid w:val="77E918D9"/>
    <w:rsid w:val="77EC04CC"/>
    <w:rsid w:val="77EF68E0"/>
    <w:rsid w:val="7840538D"/>
    <w:rsid w:val="7852440F"/>
    <w:rsid w:val="78775729"/>
    <w:rsid w:val="78794951"/>
    <w:rsid w:val="78A42DB0"/>
    <w:rsid w:val="78A51694"/>
    <w:rsid w:val="78A656AB"/>
    <w:rsid w:val="78B2245C"/>
    <w:rsid w:val="78E172CC"/>
    <w:rsid w:val="78EA1D1F"/>
    <w:rsid w:val="7904172F"/>
    <w:rsid w:val="790F7E27"/>
    <w:rsid w:val="792A231A"/>
    <w:rsid w:val="79316829"/>
    <w:rsid w:val="797E66A9"/>
    <w:rsid w:val="798518A4"/>
    <w:rsid w:val="79916E2D"/>
    <w:rsid w:val="79A97383"/>
    <w:rsid w:val="79E27E8B"/>
    <w:rsid w:val="79E640A7"/>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F82F16"/>
    <w:rsid w:val="7B257FFD"/>
    <w:rsid w:val="7B2F6C85"/>
    <w:rsid w:val="7B343476"/>
    <w:rsid w:val="7B3C56EE"/>
    <w:rsid w:val="7B5A2978"/>
    <w:rsid w:val="7B5A7E4C"/>
    <w:rsid w:val="7B667AF9"/>
    <w:rsid w:val="7B7468F8"/>
    <w:rsid w:val="7B974734"/>
    <w:rsid w:val="7BA13B58"/>
    <w:rsid w:val="7BA656AB"/>
    <w:rsid w:val="7BB97561"/>
    <w:rsid w:val="7BC425AA"/>
    <w:rsid w:val="7BEE0103"/>
    <w:rsid w:val="7BF15121"/>
    <w:rsid w:val="7C0A0FE4"/>
    <w:rsid w:val="7C254906"/>
    <w:rsid w:val="7C376AA7"/>
    <w:rsid w:val="7C590818"/>
    <w:rsid w:val="7C7C10F6"/>
    <w:rsid w:val="7C813471"/>
    <w:rsid w:val="7C853BEA"/>
    <w:rsid w:val="7C881368"/>
    <w:rsid w:val="7CB023B6"/>
    <w:rsid w:val="7CD06DFF"/>
    <w:rsid w:val="7CE27788"/>
    <w:rsid w:val="7CE62623"/>
    <w:rsid w:val="7D0C32F1"/>
    <w:rsid w:val="7D0F408D"/>
    <w:rsid w:val="7D1D5F09"/>
    <w:rsid w:val="7D2343BE"/>
    <w:rsid w:val="7D2D17A9"/>
    <w:rsid w:val="7D491C6C"/>
    <w:rsid w:val="7D5429C0"/>
    <w:rsid w:val="7D59CFB4"/>
    <w:rsid w:val="7D6E6D43"/>
    <w:rsid w:val="7D711B45"/>
    <w:rsid w:val="7D77201B"/>
    <w:rsid w:val="7DB57A34"/>
    <w:rsid w:val="7DBF8964"/>
    <w:rsid w:val="7DDA94C6"/>
    <w:rsid w:val="7DE60973"/>
    <w:rsid w:val="7DEF0916"/>
    <w:rsid w:val="7E102FFF"/>
    <w:rsid w:val="7E1322BB"/>
    <w:rsid w:val="7E1E5218"/>
    <w:rsid w:val="7E4B6E7F"/>
    <w:rsid w:val="7E4D4360"/>
    <w:rsid w:val="7E5C7A06"/>
    <w:rsid w:val="7E750A33"/>
    <w:rsid w:val="7E795122"/>
    <w:rsid w:val="7E9A4E1F"/>
    <w:rsid w:val="7EA7723A"/>
    <w:rsid w:val="7EC642EF"/>
    <w:rsid w:val="7ED06A30"/>
    <w:rsid w:val="7EDF3993"/>
    <w:rsid w:val="7EE718FB"/>
    <w:rsid w:val="7EEF4326"/>
    <w:rsid w:val="7EF56FBB"/>
    <w:rsid w:val="7F0768EB"/>
    <w:rsid w:val="7F143BEC"/>
    <w:rsid w:val="7F3B48A0"/>
    <w:rsid w:val="7F6A2CF0"/>
    <w:rsid w:val="7F715AF2"/>
    <w:rsid w:val="7F886E69"/>
    <w:rsid w:val="7FC627FF"/>
    <w:rsid w:val="7FDB3BED"/>
    <w:rsid w:val="BB7FA927"/>
    <w:rsid w:val="CEDFFF2B"/>
    <w:rsid w:val="E6BF5D84"/>
    <w:rsid w:val="EAFFEC88"/>
    <w:rsid w:val="F5FFD31F"/>
    <w:rsid w:val="FEEDD861"/>
    <w:rsid w:val="FFF1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6"/>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1">
    <w:name w:val="Default"/>
    <w:next w:val="1"/>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firstLineChars="20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4"/>
    <w:next w:val="23"/>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autoRedefine/>
    <w:qFormat/>
    <w:uiPriority w:val="0"/>
  </w:style>
  <w:style w:type="paragraph" w:customStyle="1" w:styleId="969">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29392</Words>
  <Characters>30955</Characters>
  <Lines>284</Lines>
  <Paragraphs>80</Paragraphs>
  <TotalTime>21</TotalTime>
  <ScaleCrop>false</ScaleCrop>
  <LinksUpToDate>false</LinksUpToDate>
  <CharactersWithSpaces>36849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yoyo</cp:lastModifiedBy>
  <cp:lastPrinted>2024-05-17T04:59:05Z</cp:lastPrinted>
  <dcterms:modified xsi:type="dcterms:W3CDTF">2024-05-17T05:00:35Z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