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both"/>
        <w:rPr>
          <w:rFonts w:ascii="宋体" w:hAnsi="宋体" w:cs="宋体"/>
          <w:b/>
          <w:sz w:val="48"/>
          <w:szCs w:val="48"/>
        </w:rPr>
      </w:pPr>
    </w:p>
    <w:p>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2024年浙江福彩“走进福彩公益金资助项目”活动项目</w:t>
      </w:r>
    </w:p>
    <w:p>
      <w:pPr>
        <w:adjustRightInd/>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pPr>
        <w:adjustRightInd/>
        <w:spacing w:line="360" w:lineRule="auto"/>
        <w:ind w:firstLine="0" w:firstLineChars="0"/>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ind w:firstLine="0" w:firstLineChars="0"/>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ZJXL-FCZX-202405</w:t>
      </w:r>
    </w:p>
    <w:p>
      <w:pPr>
        <w:pStyle w:val="23"/>
        <w:ind w:firstLine="0" w:firstLineChars="0"/>
        <w:jc w:val="center"/>
        <w:rPr>
          <w:rFonts w:hint="eastAsia" w:eastAsia="微软雅黑"/>
          <w:color w:val="auto"/>
          <w:lang w:val="en-US" w:eastAsia="zh-CN"/>
        </w:rPr>
      </w:pPr>
      <w:r>
        <w:rPr>
          <w:rFonts w:hint="eastAsia" w:ascii="宋体" w:hAnsi="宋体" w:cs="宋体"/>
          <w:color w:val="auto"/>
          <w:sz w:val="30"/>
          <w:szCs w:val="30"/>
        </w:rPr>
        <w:t>确认书号：</w:t>
      </w:r>
      <w:r>
        <w:rPr>
          <w:rFonts w:hint="eastAsia" w:hAnsi="宋体" w:cs="宋体"/>
          <w:color w:val="auto"/>
          <w:sz w:val="30"/>
          <w:szCs w:val="30"/>
        </w:rPr>
        <w:fldChar w:fldCharType="begin"/>
      </w:r>
      <w:r>
        <w:rPr>
          <w:rFonts w:hint="eastAsia" w:hAnsi="宋体" w:cs="宋体"/>
          <w:color w:val="auto"/>
          <w:sz w:val="30"/>
          <w:szCs w:val="30"/>
        </w:rPr>
        <w:instrText xml:space="preserve"> HYPERLINK "https://pay.zcygov.cn/purchaseplan_front/" \l "/plan/list/detail?id=1000000000002132251&amp;encrypt=c0dae0ef925e618d77b99e0171178b8a" \t "_blank" </w:instrText>
      </w:r>
      <w:r>
        <w:rPr>
          <w:rFonts w:hint="eastAsia" w:hAnsi="宋体" w:cs="宋体"/>
          <w:color w:val="auto"/>
          <w:sz w:val="30"/>
          <w:szCs w:val="30"/>
        </w:rPr>
        <w:fldChar w:fldCharType="separate"/>
      </w:r>
      <w:r>
        <w:rPr>
          <w:rFonts w:hint="eastAsia" w:ascii="宋体" w:hAnsi="宋体" w:cs="宋体"/>
          <w:color w:val="auto"/>
          <w:sz w:val="30"/>
          <w:szCs w:val="30"/>
        </w:rPr>
        <w:t>浙财采确</w:t>
      </w:r>
      <w:r>
        <w:rPr>
          <w:rFonts w:hint="eastAsia" w:ascii="宋体" w:hAnsi="宋体" w:cs="宋体"/>
          <w:color w:val="auto"/>
          <w:sz w:val="30"/>
          <w:szCs w:val="30"/>
        </w:rPr>
        <w:fldChar w:fldCharType="end"/>
      </w:r>
      <w:r>
        <w:rPr>
          <w:rFonts w:hint="eastAsia" w:ascii="宋体" w:hAnsi="宋体" w:cs="宋体"/>
          <w:color w:val="auto"/>
          <w:sz w:val="30"/>
          <w:szCs w:val="30"/>
        </w:rPr>
        <w:t>[2024]26390号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ind w:left="0" w:leftChars="0" w:firstLine="0" w:firstLineChars="0"/>
        <w:jc w:val="both"/>
        <w:rPr>
          <w:rFonts w:ascii="宋体" w:hAnsi="宋体" w:cs="宋体"/>
          <w:sz w:val="24"/>
        </w:rPr>
      </w:pPr>
    </w:p>
    <w:p>
      <w:pPr>
        <w:spacing w:line="360" w:lineRule="auto"/>
        <w:rPr>
          <w:rFonts w:ascii="宋体" w:hAnsi="宋体" w:cs="宋体"/>
          <w:sz w:val="32"/>
          <w:szCs w:val="32"/>
        </w:rPr>
      </w:pPr>
    </w:p>
    <w:p>
      <w:pPr>
        <w:snapToGrid w:val="0"/>
        <w:spacing w:line="360" w:lineRule="auto"/>
        <w:ind w:firstLine="0" w:firstLineChars="0"/>
        <w:jc w:val="center"/>
        <w:rPr>
          <w:rFonts w:hint="eastAsia" w:cs="仿宋_GB2312" w:asciiTheme="minorEastAsia" w:hAnsiTheme="minorEastAsia" w:eastAsiaTheme="minorEastAsia"/>
          <w:color w:val="auto"/>
          <w:sz w:val="32"/>
          <w:szCs w:val="32"/>
          <w:lang w:eastAsia="zh-CN"/>
        </w:rPr>
      </w:pPr>
      <w:r>
        <w:rPr>
          <w:rFonts w:hint="eastAsia" w:cs="仿宋_GB2312" w:asciiTheme="minorEastAsia" w:hAnsiTheme="minorEastAsia" w:eastAsiaTheme="minorEastAsia"/>
          <w:color w:val="auto"/>
          <w:sz w:val="32"/>
          <w:szCs w:val="32"/>
          <w:lang w:eastAsia="zh-CN"/>
        </w:rPr>
        <w:t>浙江省福利彩票管理中心</w:t>
      </w:r>
    </w:p>
    <w:p>
      <w:pPr>
        <w:snapToGrid w:val="0"/>
        <w:spacing w:line="360" w:lineRule="auto"/>
        <w:ind w:firstLine="0" w:firstLineChars="0"/>
        <w:jc w:val="center"/>
        <w:rPr>
          <w:rFonts w:hint="eastAsia" w:ascii="宋体" w:hAnsi="宋体" w:cs="宋体"/>
          <w:bCs/>
          <w:sz w:val="32"/>
          <w:szCs w:val="32"/>
          <w:lang w:eastAsia="zh-CN"/>
        </w:rPr>
      </w:pPr>
      <w:r>
        <w:rPr>
          <w:rFonts w:hint="eastAsia" w:ascii="宋体" w:hAnsi="宋体" w:cs="宋体"/>
          <w:bCs/>
          <w:sz w:val="32"/>
          <w:szCs w:val="32"/>
          <w:lang w:eastAsia="zh-CN"/>
        </w:rPr>
        <w:t>浙江信镧建设工程咨询有限公司</w:t>
      </w:r>
    </w:p>
    <w:p>
      <w:pPr>
        <w:snapToGrid w:val="0"/>
        <w:spacing w:line="360" w:lineRule="auto"/>
        <w:ind w:firstLine="0" w:firstLineChars="0"/>
        <w:jc w:val="center"/>
        <w:rPr>
          <w:rFonts w:hint="eastAsia" w:ascii="宋体" w:hAnsi="宋体" w:cs="宋体"/>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p>
    <w:p>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pPr>
        <w:bidi w:val="0"/>
        <w:rPr>
          <w:rFonts w:hint="eastAsia"/>
          <w:color w:val="auto"/>
        </w:rPr>
      </w:pPr>
      <w:r>
        <w:rPr>
          <w:rFonts w:hint="eastAsia"/>
          <w:color w:val="auto"/>
          <w:lang w:val="en-US" w:eastAsia="zh-CN"/>
        </w:rPr>
        <w:t>7、</w:t>
      </w:r>
      <w:r>
        <w:rPr>
          <w:rFonts w:hint="eastAsia"/>
          <w:color w:val="auto"/>
        </w:rPr>
        <w:t>不提供招标文件纸质版；</w:t>
      </w:r>
    </w:p>
    <w:p>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pPr>
        <w:pStyle w:val="43"/>
        <w:tabs>
          <w:tab w:val="right" w:leader="dot" w:pos="8311"/>
        </w:tabs>
        <w:ind w:left="0" w:leftChars="0" w:firstLine="482"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_Toc15631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_Toc15631 \h </w:instrText>
      </w:r>
      <w:r>
        <w:rPr>
          <w:b/>
          <w:bCs/>
        </w:rPr>
        <w:fldChar w:fldCharType="separate"/>
      </w:r>
      <w:r>
        <w:rPr>
          <w:b/>
          <w:bCs/>
        </w:rPr>
        <w:t>4</w:t>
      </w:r>
      <w:r>
        <w:rPr>
          <w:b/>
          <w:bCs/>
        </w:rPr>
        <w:fldChar w:fldCharType="end"/>
      </w:r>
      <w:r>
        <w:rPr>
          <w:rFonts w:ascii="宋体" w:hAnsi="宋体" w:cs="宋体"/>
          <w:b/>
          <w:bCs/>
          <w:szCs w:val="32"/>
        </w:rPr>
        <w:fldChar w:fldCharType="end"/>
      </w:r>
    </w:p>
    <w:p>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_Toc32299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_Toc32299 \h </w:instrText>
      </w:r>
      <w:r>
        <w:rPr>
          <w:b/>
          <w:bCs/>
        </w:rPr>
        <w:fldChar w:fldCharType="separate"/>
      </w:r>
      <w:r>
        <w:rPr>
          <w:b/>
          <w:bCs/>
        </w:rPr>
        <w:t>8</w:t>
      </w:r>
      <w:r>
        <w:rPr>
          <w:b/>
          <w:bCs/>
        </w:rPr>
        <w:fldChar w:fldCharType="end"/>
      </w:r>
      <w:r>
        <w:rPr>
          <w:rFonts w:ascii="宋体" w:hAnsi="宋体" w:cs="宋体"/>
          <w:b/>
          <w:bCs/>
          <w:szCs w:val="32"/>
        </w:rPr>
        <w:fldChar w:fldCharType="end"/>
      </w:r>
    </w:p>
    <w:p>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_Toc919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_Toc919 \h </w:instrText>
      </w:r>
      <w:r>
        <w:rPr>
          <w:b/>
          <w:bCs/>
        </w:rPr>
        <w:fldChar w:fldCharType="separate"/>
      </w:r>
      <w:r>
        <w:rPr>
          <w:b/>
          <w:bCs/>
        </w:rPr>
        <w:t>32</w:t>
      </w:r>
      <w:r>
        <w:rPr>
          <w:b/>
          <w:bCs/>
        </w:rPr>
        <w:fldChar w:fldCharType="end"/>
      </w:r>
      <w:r>
        <w:rPr>
          <w:rFonts w:ascii="宋体" w:hAnsi="宋体" w:cs="宋体"/>
          <w:b/>
          <w:bCs/>
          <w:szCs w:val="32"/>
        </w:rPr>
        <w:fldChar w:fldCharType="end"/>
      </w:r>
    </w:p>
    <w:p>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_Toc1733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_Toc1733 \h </w:instrText>
      </w:r>
      <w:r>
        <w:rPr>
          <w:b/>
          <w:bCs/>
        </w:rPr>
        <w:fldChar w:fldCharType="separate"/>
      </w:r>
      <w:r>
        <w:rPr>
          <w:b/>
          <w:bCs/>
        </w:rPr>
        <w:t>35</w:t>
      </w:r>
      <w:r>
        <w:rPr>
          <w:b/>
          <w:bCs/>
        </w:rPr>
        <w:fldChar w:fldCharType="end"/>
      </w:r>
      <w:r>
        <w:rPr>
          <w:rFonts w:ascii="宋体" w:hAnsi="宋体" w:cs="宋体"/>
          <w:b/>
          <w:bCs/>
          <w:szCs w:val="32"/>
        </w:rPr>
        <w:fldChar w:fldCharType="end"/>
      </w:r>
    </w:p>
    <w:p>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_Toc14809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_Toc14809 \h </w:instrText>
      </w:r>
      <w:r>
        <w:rPr>
          <w:b/>
          <w:bCs/>
        </w:rPr>
        <w:fldChar w:fldCharType="separate"/>
      </w:r>
      <w:r>
        <w:rPr>
          <w:b/>
          <w:bCs/>
        </w:rPr>
        <w:t>46</w:t>
      </w:r>
      <w:r>
        <w:rPr>
          <w:b/>
          <w:bCs/>
        </w:rPr>
        <w:fldChar w:fldCharType="end"/>
      </w:r>
      <w:r>
        <w:rPr>
          <w:rFonts w:ascii="宋体" w:hAnsi="宋体" w:cs="宋体"/>
          <w:b/>
          <w:bCs/>
          <w:szCs w:val="32"/>
        </w:rPr>
        <w:fldChar w:fldCharType="end"/>
      </w:r>
    </w:p>
    <w:p>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_Toc17909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_Toc17909 \h </w:instrText>
      </w:r>
      <w:r>
        <w:rPr>
          <w:b/>
          <w:bCs/>
        </w:rPr>
        <w:fldChar w:fldCharType="separate"/>
      </w:r>
      <w:r>
        <w:rPr>
          <w:b/>
          <w:bCs/>
        </w:rPr>
        <w:t>52</w:t>
      </w:r>
      <w:r>
        <w:rPr>
          <w:b/>
          <w:bCs/>
        </w:rPr>
        <w:fldChar w:fldCharType="end"/>
      </w:r>
      <w:r>
        <w:rPr>
          <w:rFonts w:ascii="宋体" w:hAnsi="宋体" w:cs="宋体"/>
          <w:b/>
          <w:bCs/>
          <w:szCs w:val="32"/>
        </w:rPr>
        <w:fldChar w:fldCharType="end"/>
      </w:r>
    </w:p>
    <w:p>
      <w:pPr>
        <w:spacing w:line="360" w:lineRule="auto"/>
        <w:rPr>
          <w:rFonts w:ascii="宋体" w:hAnsi="宋体" w:cs="宋体"/>
          <w:sz w:val="32"/>
          <w:szCs w:val="32"/>
        </w:rPr>
      </w:pPr>
      <w:r>
        <w:rPr>
          <w:rFonts w:ascii="宋体" w:hAnsi="宋体" w:cs="宋体"/>
          <w:b/>
          <w:bCs/>
          <w:szCs w:val="32"/>
        </w:rPr>
        <w:fldChar w:fldCharType="end"/>
      </w:r>
    </w:p>
    <w:p>
      <w:pPr>
        <w:spacing w:line="360" w:lineRule="auto"/>
        <w:outlineLvl w:val="0"/>
        <w:rPr>
          <w:rFonts w:ascii="宋体" w:hAnsi="宋体" w:cs="宋体"/>
          <w:sz w:val="32"/>
          <w:szCs w:val="32"/>
        </w:rPr>
      </w:pPr>
    </w:p>
    <w:p>
      <w:pPr>
        <w:spacing w:line="360" w:lineRule="auto"/>
        <w:ind w:firstLine="549" w:firstLineChars="229"/>
        <w:rPr>
          <w:rFonts w:ascii="宋体" w:hAnsi="宋体" w:cs="宋体"/>
          <w:sz w:val="24"/>
        </w:rPr>
      </w:pPr>
      <w:bookmarkStart w:id="3" w:name="_Hlt91233176"/>
      <w:bookmarkEnd w:id="3"/>
      <w:bookmarkStart w:id="4"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bookmarkEnd w:id="4"/>
    <w:p>
      <w:pPr>
        <w:pStyle w:val="2"/>
        <w:bidi w:val="0"/>
        <w:rPr>
          <w:rFonts w:hint="eastAsia" w:ascii="宋体" w:hAnsi="宋体" w:cs="宋体"/>
          <w:b/>
          <w:sz w:val="36"/>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bookmarkStart w:id="5" w:name="_Hlt74729822"/>
      <w:bookmarkEnd w:id="5"/>
      <w:bookmarkStart w:id="6" w:name="_Hlt74649545"/>
      <w:bookmarkEnd w:id="6"/>
      <w:bookmarkStart w:id="7" w:name="_Hlt74728647"/>
      <w:bookmarkEnd w:id="7"/>
      <w:bookmarkStart w:id="8" w:name="_Hlt74707423"/>
      <w:bookmarkEnd w:id="8"/>
      <w:bookmarkStart w:id="9" w:name="_Toc19410"/>
      <w:bookmarkStart w:id="10" w:name="_Toc26969"/>
      <w:bookmarkStart w:id="11" w:name="第二部分"/>
      <w:bookmarkStart w:id="12" w:name="_Toc91899870"/>
      <w:bookmarkStart w:id="13" w:name="_Toc91899871"/>
    </w:p>
    <w:p>
      <w:pPr>
        <w:pStyle w:val="2"/>
        <w:bidi w:val="0"/>
        <w:rPr>
          <w:rFonts w:ascii="宋体" w:hAnsi="宋体" w:cs="宋体"/>
          <w:b/>
          <w:sz w:val="36"/>
          <w:szCs w:val="20"/>
        </w:rPr>
      </w:pPr>
      <w:bookmarkStart w:id="14" w:name="_Toc15631"/>
      <w:r>
        <w:rPr>
          <w:rFonts w:hint="eastAsia" w:ascii="宋体" w:hAnsi="宋体" w:cs="宋体"/>
          <w:b/>
          <w:sz w:val="36"/>
          <w:szCs w:val="20"/>
        </w:rPr>
        <w:t>第一部分 招标公告</w:t>
      </w:r>
      <w:bookmarkEnd w:id="9"/>
      <w:bookmarkEnd w:id="10"/>
      <w:bookmarkEnd w:id="14"/>
    </w:p>
    <w:p>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sz w:val="24"/>
        </w:rPr>
      </w:pPr>
      <w:r>
        <w:rPr>
          <w:rFonts w:hint="eastAsia" w:ascii="宋体" w:hAnsi="宋体" w:cs="宋体"/>
          <w:b/>
          <w:bCs/>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2024年浙江福彩“走进福彩公益金资助项目”活动项目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 :00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bidi w:val="0"/>
        <w:rPr>
          <w:rFonts w:hint="eastAsia"/>
        </w:rPr>
      </w:pPr>
    </w:p>
    <w:p>
      <w:pPr>
        <w:pStyle w:val="4"/>
      </w:pPr>
      <w:r>
        <w:rPr>
          <w:rFonts w:hint="eastAsia"/>
        </w:rPr>
        <w:t xml:space="preserve">一、项目基本情况                                            </w:t>
      </w:r>
    </w:p>
    <w:p>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ZJXL-FCZX-202405</w:t>
      </w:r>
    </w:p>
    <w:p>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2024年浙江福彩“走进福彩公益金资助项目”活动</w:t>
      </w:r>
    </w:p>
    <w:p>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color w:val="auto"/>
          <w:sz w:val="24"/>
          <w:lang w:val="en-US" w:eastAsia="zh-CN"/>
        </w:rPr>
        <w:t>1500000</w:t>
      </w:r>
      <w:r>
        <w:rPr>
          <w:rFonts w:hint="eastAsia" w:ascii="宋体" w:hAnsi="宋体" w:cs="宋体"/>
          <w:color w:val="auto"/>
          <w:sz w:val="24"/>
          <w:lang w:eastAsia="zh-CN"/>
        </w:rPr>
        <w:t xml:space="preserve"> </w:t>
      </w:r>
    </w:p>
    <w:p>
      <w:pPr>
        <w:spacing w:line="360" w:lineRule="auto"/>
        <w:ind w:firstLine="482" w:firstLineChars="200"/>
        <w:rPr>
          <w:rFonts w:ascii="宋体" w:hAnsi="宋体" w:cs="宋体"/>
          <w:color w:val="FF0000"/>
          <w:sz w:val="24"/>
        </w:rPr>
      </w:pPr>
      <w:r>
        <w:rPr>
          <w:rFonts w:hint="eastAsia" w:ascii="宋体" w:hAnsi="宋体" w:cs="宋体"/>
          <w:b/>
          <w:color w:val="auto"/>
          <w:sz w:val="24"/>
        </w:rPr>
        <w:t>最高限价（元）：</w:t>
      </w:r>
      <w:r>
        <w:rPr>
          <w:rFonts w:hint="eastAsia" w:ascii="宋体" w:hAnsi="宋体" w:cs="宋体"/>
          <w:color w:val="auto"/>
          <w:sz w:val="24"/>
          <w:lang w:val="en-US" w:eastAsia="zh-CN"/>
        </w:rPr>
        <w:t xml:space="preserve">1500000 </w:t>
      </w:r>
    </w:p>
    <w:p>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pPr>
              <w:pStyle w:val="143"/>
              <w:widowControl w:val="0"/>
              <w:rPr>
                <w:color w:val="auto"/>
              </w:rPr>
            </w:pPr>
            <w:r>
              <w:rPr>
                <w:rFonts w:hint="eastAsia"/>
                <w:color w:val="auto"/>
              </w:rPr>
              <w:t>标项号</w:t>
            </w:r>
          </w:p>
        </w:tc>
        <w:tc>
          <w:tcPr>
            <w:tcW w:w="1381" w:type="dxa"/>
            <w:vAlign w:val="center"/>
          </w:tcPr>
          <w:p>
            <w:pPr>
              <w:pStyle w:val="143"/>
              <w:widowControl w:val="0"/>
              <w:rPr>
                <w:color w:val="auto"/>
              </w:rPr>
            </w:pPr>
            <w:r>
              <w:rPr>
                <w:rFonts w:hint="eastAsia"/>
                <w:color w:val="auto"/>
              </w:rPr>
              <w:t>标项名称</w:t>
            </w:r>
          </w:p>
        </w:tc>
        <w:tc>
          <w:tcPr>
            <w:tcW w:w="799" w:type="dxa"/>
            <w:vAlign w:val="center"/>
          </w:tcPr>
          <w:p>
            <w:pPr>
              <w:pStyle w:val="143"/>
              <w:widowControl w:val="0"/>
              <w:rPr>
                <w:color w:val="auto"/>
              </w:rPr>
            </w:pPr>
            <w:r>
              <w:rPr>
                <w:rFonts w:hint="eastAsia"/>
                <w:color w:val="auto"/>
              </w:rPr>
              <w:t>数量</w:t>
            </w:r>
          </w:p>
        </w:tc>
        <w:tc>
          <w:tcPr>
            <w:tcW w:w="1317" w:type="dxa"/>
            <w:vAlign w:val="center"/>
          </w:tcPr>
          <w:p>
            <w:pPr>
              <w:pStyle w:val="143"/>
              <w:widowControl w:val="0"/>
              <w:rPr>
                <w:rFonts w:hint="eastAsia"/>
                <w:color w:val="auto"/>
                <w:lang w:val="en-US" w:eastAsia="zh-CN"/>
              </w:rPr>
            </w:pPr>
            <w:r>
              <w:rPr>
                <w:rFonts w:hint="eastAsia"/>
                <w:color w:val="auto"/>
                <w:lang w:val="en-US" w:eastAsia="zh-CN"/>
              </w:rPr>
              <w:t>预算金额（元）</w:t>
            </w:r>
          </w:p>
        </w:tc>
        <w:tc>
          <w:tcPr>
            <w:tcW w:w="3224" w:type="dxa"/>
            <w:vAlign w:val="center"/>
          </w:tcPr>
          <w:p>
            <w:pPr>
              <w:pStyle w:val="143"/>
              <w:widowControl w:val="0"/>
              <w:rPr>
                <w:color w:val="auto"/>
              </w:rPr>
            </w:pPr>
            <w:r>
              <w:rPr>
                <w:color w:val="auto"/>
              </w:rPr>
              <w:t>简要规格描述或项目基本概况介绍、用途：</w:t>
            </w:r>
          </w:p>
        </w:tc>
        <w:tc>
          <w:tcPr>
            <w:tcW w:w="1241" w:type="dxa"/>
            <w:vAlign w:val="center"/>
          </w:tcPr>
          <w:p>
            <w:pPr>
              <w:pStyle w:val="143"/>
              <w:widowControl w:val="0"/>
              <w:rPr>
                <w:color w:val="auto"/>
              </w:rPr>
            </w:pPr>
            <w:r>
              <w:rPr>
                <w:rFonts w:hint="eastAsia"/>
                <w:color w:val="auto"/>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pPr>
              <w:pStyle w:val="143"/>
              <w:widowControl w:val="0"/>
              <w:rPr>
                <w:color w:val="auto"/>
              </w:rPr>
            </w:pPr>
            <w:r>
              <w:rPr>
                <w:rFonts w:hint="eastAsia"/>
                <w:color w:val="auto"/>
              </w:rPr>
              <w:t>1</w:t>
            </w:r>
          </w:p>
        </w:tc>
        <w:tc>
          <w:tcPr>
            <w:tcW w:w="1381" w:type="dxa"/>
            <w:vAlign w:val="center"/>
          </w:tcPr>
          <w:p>
            <w:pPr>
              <w:pStyle w:val="143"/>
              <w:widowControl w:val="0"/>
              <w:rPr>
                <w:rFonts w:hint="eastAsia"/>
                <w:color w:val="auto"/>
                <w:lang w:eastAsia="zh-CN"/>
              </w:rPr>
            </w:pPr>
            <w:r>
              <w:rPr>
                <w:rFonts w:hint="eastAsia"/>
                <w:color w:val="auto"/>
                <w:lang w:eastAsia="zh-CN"/>
              </w:rPr>
              <w:t>2024年浙江福彩“走进福彩公益金资助项目”活动项目</w:t>
            </w:r>
          </w:p>
        </w:tc>
        <w:tc>
          <w:tcPr>
            <w:tcW w:w="799" w:type="dxa"/>
            <w:vAlign w:val="center"/>
          </w:tcPr>
          <w:p>
            <w:pPr>
              <w:pStyle w:val="143"/>
              <w:widowControl w:val="0"/>
              <w:rPr>
                <w:rFonts w:hint="default"/>
                <w:color w:val="auto"/>
                <w:lang w:val="en-US" w:eastAsia="zh-CN"/>
              </w:rPr>
            </w:pPr>
            <w:r>
              <w:rPr>
                <w:rFonts w:hint="eastAsia"/>
                <w:color w:val="auto"/>
                <w:lang w:val="en-US" w:eastAsia="zh-CN"/>
              </w:rPr>
              <w:t>1项</w:t>
            </w:r>
          </w:p>
        </w:tc>
        <w:tc>
          <w:tcPr>
            <w:tcW w:w="1317" w:type="dxa"/>
            <w:vAlign w:val="center"/>
          </w:tcPr>
          <w:p>
            <w:pPr>
              <w:pStyle w:val="143"/>
              <w:widowControl w:val="0"/>
              <w:rPr>
                <w:rFonts w:hint="eastAsia"/>
                <w:color w:val="auto"/>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00000</w:t>
            </w:r>
            <w:r>
              <w:rPr>
                <w:rFonts w:hint="eastAsia" w:ascii="宋体" w:hAnsi="宋体" w:cs="宋体"/>
                <w:color w:val="auto"/>
                <w:sz w:val="24"/>
              </w:rPr>
              <w:t xml:space="preserve">  </w:t>
            </w:r>
          </w:p>
        </w:tc>
        <w:tc>
          <w:tcPr>
            <w:tcW w:w="3224" w:type="dxa"/>
            <w:vAlign w:val="center"/>
          </w:tcPr>
          <w:p>
            <w:pPr>
              <w:pStyle w:val="143"/>
              <w:widowControl w:val="0"/>
              <w:jc w:val="both"/>
              <w:rPr>
                <w:color w:val="auto"/>
              </w:rPr>
            </w:pPr>
            <w:r>
              <w:rPr>
                <w:rFonts w:hint="eastAsia"/>
                <w:color w:val="auto"/>
              </w:rPr>
              <w:t>为进一步提升浙江福彩公益品牌影响力，更好地履行福利彩票的社会责任，践行浙江福彩为民爱民使命及公益慈善初心，促进我省福利彩票安全健康发展，建设好、宣传好福彩公益品牌，拟在全省各市（含义乌）开展浙江福彩“走进福彩公益金资助项目”活动，详见招标文件第三部分采购需求。</w:t>
            </w:r>
          </w:p>
        </w:tc>
        <w:tc>
          <w:tcPr>
            <w:tcW w:w="1241" w:type="dxa"/>
            <w:vAlign w:val="center"/>
          </w:tcPr>
          <w:p>
            <w:pPr>
              <w:pStyle w:val="143"/>
              <w:widowControl w:val="0"/>
              <w:rPr>
                <w:rFonts w:hint="eastAsia"/>
                <w:color w:val="auto"/>
                <w:lang w:eastAsia="zh-CN"/>
              </w:rPr>
            </w:pPr>
          </w:p>
        </w:tc>
      </w:tr>
    </w:tbl>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lang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本合同项下全部服务</w:t>
      </w:r>
      <w:r>
        <w:rPr>
          <w:rFonts w:hint="eastAsia"/>
          <w:color w:val="auto"/>
        </w:rPr>
        <w:t>项目。</w:t>
      </w:r>
    </w:p>
    <w:p>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4"/>
        <w:rPr>
          <w:color w:val="auto"/>
        </w:rPr>
      </w:pPr>
      <w:r>
        <w:rPr>
          <w:rFonts w:hint="eastAsia"/>
          <w:color w:val="auto"/>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.落实政府采购政策需满足的资格要求：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服务全部由符合政策要求的</w:t>
      </w:r>
      <w:r>
        <w:rPr>
          <w:rFonts w:hint="eastAsia" w:ascii="宋体" w:hAnsi="宋体" w:cs="宋体"/>
          <w:color w:val="auto"/>
          <w:sz w:val="24"/>
          <w:highlight w:val="none"/>
        </w:rPr>
        <w:t>中小</w:t>
      </w:r>
      <w:r>
        <w:rPr>
          <w:rFonts w:hint="eastAsia" w:ascii="宋体" w:hAnsi="宋体" w:eastAsia="宋体" w:cs="宋体"/>
          <w:color w:val="auto"/>
          <w:sz w:val="24"/>
          <w:highlight w:val="none"/>
        </w:rPr>
        <w:t>企业承接</w:t>
      </w:r>
      <w:r>
        <w:rPr>
          <w:rFonts w:hint="eastAsia" w:ascii="宋体" w:hAnsi="宋体" w:cs="宋体"/>
          <w:color w:val="auto"/>
          <w:sz w:val="24"/>
          <w:highlight w:val="none"/>
        </w:rPr>
        <w:t>，提供中小企业声明函；</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pPr>
        <w:pStyle w:val="4"/>
      </w:pPr>
      <w:r>
        <w:rPr>
          <w:rFonts w:hint="eastAsia"/>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pStyle w:val="4"/>
      </w:pPr>
      <w:r>
        <w:rPr>
          <w:rFonts w:hint="eastAsia"/>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color w:val="auto"/>
          <w:sz w:val="24"/>
        </w:rPr>
        <w:t>（北京时间）</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pStyle w:val="4"/>
      </w:pPr>
      <w:r>
        <w:rPr>
          <w:rFonts w:hint="eastAsia"/>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pStyle w:val="4"/>
      </w:pPr>
      <w:r>
        <w:rPr>
          <w:rFonts w:hint="eastAsia"/>
        </w:rPr>
        <w:t>六、其他补充事宜</w:t>
      </w:r>
    </w:p>
    <w:p>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sz w:val="24"/>
        </w:rPr>
      </w:pPr>
      <w:r>
        <w:rPr>
          <w:rFonts w:hint="eastAsia" w:ascii="宋体" w:hAnsi="宋体" w:cs="宋体"/>
          <w:sz w:val="24"/>
        </w:rPr>
        <w:t>4.其他事项：</w:t>
      </w:r>
    </w:p>
    <w:p>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w:t>
      </w:r>
      <w:r>
        <w:rPr>
          <w:rFonts w:hint="eastAsia" w:ascii="宋体" w:hAnsi="宋体" w:cs="宋体"/>
          <w:sz w:val="24"/>
          <w:lang w:eastAsia="zh-CN"/>
        </w:rPr>
        <w:t>，具体</w:t>
      </w:r>
      <w:r>
        <w:rPr>
          <w:rFonts w:hint="eastAsia" w:ascii="宋体" w:hAnsi="宋体" w:cs="宋体"/>
          <w:sz w:val="24"/>
        </w:rPr>
        <w:t>详见招标文件。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pPr>
        <w:ind w:left="0" w:leftChars="0" w:firstLine="480" w:firstLineChars="200"/>
        <w:rPr>
          <w:color w:val="auto"/>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pPr>
        <w:pStyle w:val="4"/>
      </w:pPr>
      <w:r>
        <w:rPr>
          <w:rFonts w:hint="eastAsia"/>
        </w:rPr>
        <w:t>七、对本次采购提出询问、质疑、投诉，请按以下方式联系</w:t>
      </w:r>
    </w:p>
    <w:p>
      <w:pPr>
        <w:spacing w:line="360" w:lineRule="auto"/>
        <w:ind w:firstLine="482" w:firstLineChars="200"/>
        <w:rPr>
          <w:rFonts w:ascii="宋体" w:hAnsi="宋体" w:cs="宋体"/>
          <w:sz w:val="24"/>
        </w:rPr>
      </w:pPr>
      <w:r>
        <w:rPr>
          <w:rFonts w:hint="eastAsia" w:ascii="宋体" w:hAnsi="宋体" w:cs="宋体"/>
          <w:b/>
          <w:bCs/>
          <w:sz w:val="24"/>
        </w:rPr>
        <w:t>1.采购人信息</w:t>
      </w:r>
    </w:p>
    <w:p>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cs="仿宋_GB2312" w:asciiTheme="minorEastAsia" w:hAnsiTheme="minorEastAsia" w:eastAsiaTheme="minorEastAsia"/>
          <w:sz w:val="24"/>
          <w:lang w:eastAsia="zh-CN"/>
        </w:rPr>
        <w:t>浙江省福利彩票管理中心</w:t>
      </w:r>
    </w:p>
    <w:p>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rPr>
        <w:t>杭州市荆长路539号</w:t>
      </w:r>
      <w:r>
        <w:rPr>
          <w:rFonts w:hint="eastAsia" w:ascii="宋体" w:hAnsi="宋体" w:cs="宋体"/>
          <w:sz w:val="24"/>
        </w:rPr>
        <w:t xml:space="preserve">       </w:t>
      </w:r>
    </w:p>
    <w:p>
      <w:pPr>
        <w:spacing w:line="360" w:lineRule="auto"/>
        <w:ind w:firstLine="720" w:firstLineChars="300"/>
        <w:rPr>
          <w:rFonts w:ascii="宋体" w:hAnsi="宋体" w:cs="宋体"/>
          <w:sz w:val="24"/>
        </w:rPr>
      </w:pPr>
      <w:r>
        <w:rPr>
          <w:rFonts w:hint="eastAsia" w:ascii="宋体" w:hAnsi="宋体" w:cs="宋体"/>
          <w:sz w:val="24"/>
        </w:rPr>
        <w:t>传    真： /</w:t>
      </w:r>
    </w:p>
    <w:p>
      <w:pPr>
        <w:spacing w:line="360" w:lineRule="auto"/>
        <w:ind w:firstLine="720" w:firstLineChars="300"/>
        <w:rPr>
          <w:rFonts w:ascii="宋体" w:hAnsi="宋体" w:cs="宋体"/>
          <w:color w:val="auto"/>
          <w:sz w:val="24"/>
        </w:rPr>
      </w:pPr>
      <w:r>
        <w:rPr>
          <w:rFonts w:hint="eastAsia" w:ascii="宋体" w:hAnsi="宋体" w:cs="宋体"/>
          <w:color w:val="auto"/>
          <w:sz w:val="24"/>
        </w:rPr>
        <w:t>项目联系人（询问）：</w:t>
      </w:r>
      <w:r>
        <w:rPr>
          <w:rFonts w:hint="eastAsia" w:cs="仿宋_GB2312" w:asciiTheme="minorEastAsia" w:hAnsiTheme="minorEastAsia" w:eastAsiaTheme="minorEastAsia"/>
          <w:color w:val="auto"/>
          <w:kern w:val="2"/>
          <w:lang w:eastAsia="zh-CN"/>
        </w:rPr>
        <w:t>梁</w:t>
      </w:r>
      <w:r>
        <w:rPr>
          <w:rFonts w:hint="eastAsia" w:cs="仿宋_GB2312" w:asciiTheme="minorEastAsia" w:hAnsiTheme="minorEastAsia" w:eastAsiaTheme="minorEastAsia"/>
          <w:color w:val="auto"/>
          <w:kern w:val="2"/>
        </w:rPr>
        <w:t>老师</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cs="仿宋_GB2312" w:asciiTheme="minorEastAsia" w:hAnsiTheme="minorEastAsia" w:eastAsiaTheme="minorEastAsia"/>
          <w:color w:val="auto"/>
          <w:kern w:val="2"/>
        </w:rPr>
        <w:t>0571-89057766</w:t>
      </w:r>
    </w:p>
    <w:p>
      <w:pPr>
        <w:spacing w:line="360" w:lineRule="auto"/>
        <w:rPr>
          <w:rFonts w:ascii="宋体" w:hAnsi="宋体" w:cs="宋体"/>
          <w:sz w:val="24"/>
        </w:rPr>
      </w:pPr>
      <w:r>
        <w:rPr>
          <w:rFonts w:hint="eastAsia" w:ascii="宋体" w:hAnsi="宋体" w:cs="宋体"/>
          <w:sz w:val="24"/>
        </w:rPr>
        <w:t xml:space="preserve">  质疑联系人：</w:t>
      </w:r>
      <w:r>
        <w:rPr>
          <w:rFonts w:hint="eastAsia" w:cs="仿宋_GB2312" w:asciiTheme="minorEastAsia" w:hAnsiTheme="minorEastAsia" w:eastAsiaTheme="minorEastAsia"/>
          <w:lang w:eastAsia="zh-CN"/>
        </w:rPr>
        <w:t>刘</w:t>
      </w:r>
      <w:r>
        <w:rPr>
          <w:rFonts w:hint="eastAsia" w:cs="仿宋_GB2312" w:asciiTheme="minorEastAsia" w:hAnsiTheme="minorEastAsia" w:eastAsiaTheme="minorEastAsia"/>
        </w:rPr>
        <w:t>老师</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w:t>
      </w:r>
      <w:r>
        <w:rPr>
          <w:rStyle w:val="966"/>
          <w:rFonts w:hint="eastAsia" w:cs="仿宋_GB2312" w:asciiTheme="minorEastAsia" w:hAnsiTheme="minorEastAsia" w:eastAsiaTheme="minorEastAsia"/>
        </w:rPr>
        <w:t>0571-8905779</w:t>
      </w:r>
      <w:r>
        <w:rPr>
          <w:rStyle w:val="966"/>
          <w:rFonts w:hint="eastAsia" w:cs="仿宋_GB2312" w:asciiTheme="minorEastAsia" w:hAnsiTheme="minorEastAsia" w:eastAsiaTheme="minorEastAsia"/>
          <w:lang w:val="en-US" w:eastAsia="zh-CN"/>
        </w:rPr>
        <w:t>3</w:t>
      </w:r>
      <w:r>
        <w:rPr>
          <w:rFonts w:hint="eastAsia" w:ascii="宋体" w:hAnsi="宋体" w:cs="宋体"/>
        </w:rPr>
        <w:t xml:space="preserve"> </w:t>
      </w:r>
      <w:r>
        <w:rPr>
          <w:rFonts w:hint="eastAsia" w:ascii="宋体" w:hAnsi="宋体" w:cs="宋体"/>
          <w:sz w:val="24"/>
        </w:rPr>
        <w:t xml:space="preserve"> </w:t>
      </w:r>
    </w:p>
    <w:p>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pPr>
        <w:spacing w:line="360" w:lineRule="auto"/>
        <w:ind w:firstLine="720" w:firstLineChars="300"/>
        <w:rPr>
          <w:rFonts w:ascii="宋体" w:hAnsi="宋体" w:cs="宋体"/>
          <w:sz w:val="24"/>
        </w:rPr>
      </w:pPr>
      <w:r>
        <w:rPr>
          <w:rFonts w:hint="eastAsia" w:ascii="宋体" w:hAnsi="宋体" w:cs="宋体"/>
          <w:sz w:val="24"/>
        </w:rPr>
        <w:t>地    址：浙江省杭州市西湖区文二路391号西湖国际科技大厦B2楼1107室  </w:t>
      </w:r>
    </w:p>
    <w:p>
      <w:pPr>
        <w:spacing w:line="360" w:lineRule="auto"/>
        <w:rPr>
          <w:rFonts w:ascii="宋体" w:hAnsi="宋体" w:cs="宋体"/>
          <w:sz w:val="24"/>
        </w:rPr>
      </w:pPr>
      <w:r>
        <w:rPr>
          <w:rFonts w:hint="eastAsia" w:ascii="宋体" w:hAnsi="宋体" w:cs="宋体"/>
          <w:sz w:val="24"/>
        </w:rPr>
        <w:t xml:space="preserve">  传    真：0571-85024997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郑晓冬</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项目联系方式（询问）：0571-87967630 </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葛梅兰</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质疑联系方式：0571-87967630 </w:t>
      </w:r>
    </w:p>
    <w:p>
      <w:pPr>
        <w:spacing w:line="360" w:lineRule="auto"/>
        <w:ind w:firstLine="482" w:firstLineChars="200"/>
        <w:rPr>
          <w:rFonts w:ascii="宋体" w:hAnsi="宋体" w:cs="宋体"/>
          <w:sz w:val="24"/>
        </w:rPr>
      </w:pPr>
      <w:r>
        <w:rPr>
          <w:rFonts w:hint="eastAsia" w:ascii="宋体" w:hAnsi="宋体" w:cs="宋体"/>
          <w:b/>
          <w:bCs/>
          <w:sz w:val="24"/>
        </w:rPr>
        <w:t xml:space="preserve">3.同级政府采购监督管理部门  </w:t>
      </w:r>
      <w:r>
        <w:rPr>
          <w:rFonts w:hint="eastAsia" w:ascii="宋体" w:hAnsi="宋体" w:cs="宋体"/>
          <w:sz w:val="24"/>
        </w:rPr>
        <w:t xml:space="preserve">          </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称：浙江省财政厅政府采购监管处、浙江省政府采购行政裁决服务中心（杭州） </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址：杭州市上城区四季青街道新业路市民之家G03办公室（快递仅限ems或顺丰）</w:t>
      </w:r>
    </w:p>
    <w:p>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传    真： /</w:t>
      </w:r>
    </w:p>
    <w:p>
      <w:pPr>
        <w:spacing w:line="360" w:lineRule="auto"/>
        <w:rPr>
          <w:rFonts w:hint="eastAsia" w:ascii="宋体" w:hAnsi="宋体" w:cs="宋体"/>
          <w:color w:val="auto"/>
          <w:sz w:val="24"/>
        </w:rPr>
      </w:pPr>
      <w:r>
        <w:rPr>
          <w:rFonts w:hint="eastAsia" w:ascii="宋体" w:hAnsi="宋体" w:cs="宋体"/>
          <w:color w:val="auto"/>
          <w:sz w:val="24"/>
        </w:rPr>
        <w:t xml:space="preserve">  联系人 ：朱女士、王女士     </w:t>
      </w:r>
    </w:p>
    <w:p>
      <w:pPr>
        <w:spacing w:line="360" w:lineRule="auto"/>
        <w:ind w:firstLine="720" w:firstLineChars="300"/>
        <w:rPr>
          <w:rFonts w:hint="eastAsia" w:ascii="宋体" w:hAnsi="宋体" w:cs="宋体"/>
          <w:color w:val="auto"/>
          <w:sz w:val="24"/>
        </w:rPr>
      </w:pPr>
      <w:r>
        <w:rPr>
          <w:rFonts w:hint="eastAsia" w:ascii="宋体" w:hAnsi="宋体" w:cs="宋体"/>
          <w:color w:val="auto"/>
          <w:sz w:val="24"/>
        </w:rPr>
        <w:t xml:space="preserve">监督投诉电话：0571-85252453 </w:t>
      </w:r>
    </w:p>
    <w:p>
      <w:pPr>
        <w:pStyle w:val="24"/>
        <w:rPr>
          <w:rFonts w:hint="eastAsia"/>
          <w:color w:val="auto"/>
        </w:rPr>
      </w:pPr>
    </w:p>
    <w:p>
      <w:pPr>
        <w:spacing w:line="360" w:lineRule="auto"/>
        <w:ind w:firstLine="720" w:firstLineChars="300"/>
        <w:rPr>
          <w:rFonts w:hint="eastAsia"/>
          <w:color w:val="auto"/>
        </w:rPr>
      </w:pPr>
      <w:r>
        <w:rPr>
          <w:rFonts w:hint="eastAsia" w:ascii="宋体" w:hAnsi="宋体" w:cs="宋体"/>
          <w:color w:val="auto"/>
          <w:sz w:val="24"/>
        </w:rPr>
        <w:t>政策咨询：何一平、冯华，0571-87058424、87055741</w:t>
      </w:r>
    </w:p>
    <w:p>
      <w:pPr>
        <w:spacing w:line="360" w:lineRule="auto"/>
        <w:ind w:firstLine="240" w:firstLineChars="100"/>
        <w:rPr>
          <w:rFonts w:hint="eastAsia" w:ascii="宋体" w:hAnsi="宋体" w:cs="宋体"/>
          <w:color w:val="auto"/>
          <w:sz w:val="24"/>
        </w:rPr>
      </w:pPr>
      <w:r>
        <w:rPr>
          <w:rFonts w:hint="eastAsia" w:ascii="宋体" w:hAnsi="宋体" w:cs="宋体"/>
          <w:color w:val="auto"/>
          <w:sz w:val="24"/>
        </w:rPr>
        <w:t> </w:t>
      </w:r>
      <w:r>
        <w:rPr>
          <w:rFonts w:hint="eastAsia" w:ascii="宋体" w:hAnsi="宋体" w:cs="宋体"/>
          <w:color w:val="auto"/>
          <w:sz w:val="24"/>
          <w:lang w:val="en-US" w:eastAsia="zh-CN"/>
        </w:rPr>
        <w:t xml:space="preserve"> </w:t>
      </w:r>
      <w:r>
        <w:rPr>
          <w:rFonts w:hint="eastAsia" w:ascii="宋体" w:hAnsi="宋体" w:cs="宋体"/>
          <w:color w:val="auto"/>
          <w:sz w:val="24"/>
        </w:rPr>
        <w:t>预算金额未达100万元的采购项目，由采购人处理采购争议。</w:t>
      </w:r>
    </w:p>
    <w:p>
      <w:pPr>
        <w:pStyle w:val="33"/>
        <w:spacing w:line="360" w:lineRule="auto"/>
        <w:rPr>
          <w:rFonts w:hint="eastAsia" w:hAnsi="宋体" w:cs="宋体"/>
          <w:sz w:val="24"/>
        </w:rPr>
      </w:pPr>
    </w:p>
    <w:p>
      <w:pPr>
        <w:pStyle w:val="33"/>
        <w:spacing w:line="360" w:lineRule="auto"/>
        <w:ind w:firstLine="480" w:firstLineChars="200"/>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w:t>
      </w:r>
      <w:r>
        <w:rPr>
          <w:rFonts w:hint="eastAsia" w:hAnsi="宋体" w:cs="宋体"/>
          <w:sz w:val="24"/>
          <w:lang w:val="en-US" w:eastAsia="zh-CN"/>
        </w:rPr>
        <w:t>95763</w:t>
      </w:r>
      <w:r>
        <w:rPr>
          <w:rFonts w:hint="eastAsia" w:hAnsi="宋体" w:cs="宋体"/>
          <w:sz w:val="24"/>
        </w:rPr>
        <w:t>获取热线服务帮助。        </w:t>
      </w:r>
    </w:p>
    <w:p>
      <w:pPr>
        <w:pStyle w:val="33"/>
        <w:spacing w:line="360" w:lineRule="auto"/>
        <w:ind w:firstLine="480" w:firstLineChars="200"/>
        <w:rPr>
          <w:rFonts w:hint="eastAsia" w:hAnsi="宋体" w:cs="宋体"/>
          <w:sz w:val="24"/>
        </w:rPr>
      </w:pPr>
      <w:r>
        <w:rPr>
          <w:rFonts w:hint="eastAsia" w:hAnsi="宋体" w:cs="宋体"/>
          <w:sz w:val="24"/>
        </w:rPr>
        <w:t>CA问题联系电话（人工）：汇信CA 400-888-4636；天谷CA 400-087-8198。</w:t>
      </w:r>
    </w:p>
    <w:p>
      <w:pPr>
        <w:pStyle w:val="33"/>
        <w:spacing w:line="360" w:lineRule="auto"/>
        <w:rPr>
          <w:rFonts w:hint="eastAsia"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hAnsi="宋体" w:cs="宋体"/>
          <w:sz w:val="24"/>
        </w:rPr>
        <w:t xml:space="preserve">                       </w:t>
      </w:r>
    </w:p>
    <w:p>
      <w:pPr>
        <w:pStyle w:val="2"/>
        <w:bidi w:val="0"/>
      </w:pPr>
      <w:bookmarkStart w:id="15" w:name="_Toc26813"/>
      <w:bookmarkStart w:id="16" w:name="_Toc21996"/>
      <w:bookmarkStart w:id="17" w:name="_Toc32299"/>
      <w:r>
        <w:rPr>
          <w:rFonts w:hint="eastAsia"/>
        </w:rPr>
        <w:t>第二部分</w:t>
      </w:r>
      <w:bookmarkEnd w:id="11"/>
      <w:r>
        <w:rPr>
          <w:rFonts w:hint="eastAsia"/>
        </w:rPr>
        <w:t xml:space="preserve"> 投标人须知</w:t>
      </w:r>
      <w:bookmarkEnd w:id="12"/>
      <w:bookmarkEnd w:id="15"/>
      <w:bookmarkEnd w:id="16"/>
      <w:bookmarkEnd w:id="17"/>
    </w:p>
    <w:p>
      <w:pPr>
        <w:ind w:firstLine="0" w:firstLineChars="0"/>
        <w:jc w:val="center"/>
        <w:rPr>
          <w:rFonts w:hint="eastAsia"/>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序号</w:t>
            </w:r>
          </w:p>
        </w:tc>
        <w:tc>
          <w:tcPr>
            <w:tcW w:w="2206" w:type="dxa"/>
            <w:vAlign w:val="center"/>
          </w:tcPr>
          <w:p>
            <w:pPr>
              <w:pStyle w:val="143"/>
              <w:widowControl w:val="0"/>
              <w:rPr>
                <w:b/>
                <w:bCs/>
              </w:rPr>
            </w:pPr>
            <w:r>
              <w:rPr>
                <w:rFonts w:hint="eastAsia"/>
                <w:b/>
                <w:bCs/>
              </w:rPr>
              <w:t>事项</w:t>
            </w:r>
          </w:p>
        </w:tc>
        <w:tc>
          <w:tcPr>
            <w:tcW w:w="5901" w:type="dxa"/>
            <w:vAlign w:val="center"/>
          </w:tcPr>
          <w:p>
            <w:pPr>
              <w:snapToGrid w:val="0"/>
              <w:spacing w:line="360" w:lineRule="auto"/>
              <w:ind w:firstLine="0" w:firstLineChars="0"/>
              <w:jc w:val="center"/>
              <w:rPr>
                <w:vertAlign w:val="baseline"/>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w:t>
            </w:r>
          </w:p>
        </w:tc>
        <w:tc>
          <w:tcPr>
            <w:tcW w:w="2206" w:type="dxa"/>
            <w:vAlign w:val="center"/>
          </w:tcPr>
          <w:p>
            <w:pPr>
              <w:pStyle w:val="143"/>
              <w:widowControl w:val="0"/>
              <w:rPr>
                <w:b/>
                <w:bCs/>
              </w:rPr>
            </w:pPr>
            <w:r>
              <w:rPr>
                <w:rFonts w:hint="eastAsia"/>
                <w:b/>
                <w:bCs/>
              </w:rPr>
              <w:t>项目属性</w:t>
            </w:r>
          </w:p>
        </w:tc>
        <w:tc>
          <w:tcPr>
            <w:tcW w:w="5901" w:type="dxa"/>
            <w:vAlign w:val="center"/>
          </w:tcPr>
          <w:p>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服务</w:t>
            </w:r>
            <w:r>
              <w:rPr>
                <w:rFonts w:hint="eastAsia" w:ascii="宋体" w:hAnsi="宋体" w:cs="宋体"/>
                <w:b w:val="0"/>
                <w:bCs w:val="0"/>
                <w:color w:val="auto"/>
                <w:kern w:val="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lang w:val="en-US" w:eastAsia="zh-CN"/>
              </w:rPr>
              <w:t>2</w:t>
            </w:r>
          </w:p>
        </w:tc>
        <w:tc>
          <w:tcPr>
            <w:tcW w:w="2206" w:type="dxa"/>
            <w:vAlign w:val="center"/>
          </w:tcPr>
          <w:p>
            <w:pPr>
              <w:pStyle w:val="143"/>
              <w:widowControl w:val="0"/>
              <w:rPr>
                <w:rFonts w:hint="eastAsia" w:ascii="Times New Roman" w:hAnsi="Times New Roman" w:eastAsia="宋体"/>
                <w:b/>
                <w:bCs/>
              </w:rPr>
            </w:pPr>
            <w:r>
              <w:rPr>
                <w:rFonts w:hint="eastAsia" w:ascii="Times New Roman" w:hAnsi="Times New Roman" w:eastAsia="宋体"/>
                <w:b/>
                <w:bCs/>
              </w:rPr>
              <w:t>采购标的及其对应的中小企业划分标准所属行业</w:t>
            </w:r>
          </w:p>
        </w:tc>
        <w:tc>
          <w:tcPr>
            <w:tcW w:w="5901" w:type="dxa"/>
            <w:vAlign w:val="center"/>
          </w:tcPr>
          <w:p>
            <w:pPr>
              <w:pStyle w:val="143"/>
              <w:widowControl w:val="0"/>
              <w:ind w:firstLine="480" w:firstLineChars="200"/>
              <w:jc w:val="left"/>
              <w:rPr>
                <w:rFonts w:hint="eastAsia" w:ascii="Times New Roman" w:hAnsi="Times New Roman" w:eastAsia="宋体"/>
                <w:b/>
                <w:bCs/>
                <w:vertAlign w:val="baseline"/>
              </w:rPr>
            </w:pPr>
            <w:r>
              <w:rPr>
                <w:rFonts w:hint="eastAsia" w:ascii="宋体" w:hAnsi="宋体" w:eastAsia="宋体" w:cs="宋体"/>
                <w:b w:val="0"/>
                <w:bCs w:val="0"/>
                <w:color w:val="auto"/>
                <w:kern w:val="2"/>
                <w:sz w:val="24"/>
                <w:szCs w:val="24"/>
                <w:lang w:eastAsia="zh-CN"/>
              </w:rPr>
              <w:t>采购</w:t>
            </w:r>
            <w:r>
              <w:rPr>
                <w:rFonts w:hint="eastAsia" w:ascii="宋体" w:hAnsi="宋体" w:eastAsia="宋体" w:cs="宋体"/>
                <w:b w:val="0"/>
                <w:bCs w:val="0"/>
                <w:color w:val="auto"/>
                <w:kern w:val="2"/>
                <w:sz w:val="24"/>
                <w:szCs w:val="24"/>
              </w:rPr>
              <w:t>标的：</w:t>
            </w:r>
            <w:r>
              <w:rPr>
                <w:rFonts w:hint="eastAsia" w:ascii="宋体" w:hAnsi="宋体" w:cs="宋体"/>
                <w:b w:val="0"/>
                <w:bCs w:val="0"/>
                <w:color w:val="auto"/>
                <w:kern w:val="2"/>
                <w:sz w:val="24"/>
                <w:szCs w:val="24"/>
                <w:lang w:eastAsia="zh-CN"/>
              </w:rPr>
              <w:t>2024年浙江福彩“走进福彩公益金资助项目”活动项目</w:t>
            </w:r>
            <w:r>
              <w:rPr>
                <w:rFonts w:hint="eastAsia" w:ascii="宋体" w:hAnsi="宋体" w:eastAsia="宋体" w:cs="宋体"/>
                <w:b w:val="0"/>
                <w:bCs w:val="0"/>
                <w:color w:val="auto"/>
                <w:kern w:val="2"/>
                <w:sz w:val="24"/>
                <w:szCs w:val="24"/>
              </w:rPr>
              <w:t>，属于</w:t>
            </w:r>
            <w:r>
              <w:rPr>
                <w:rFonts w:hint="eastAsia" w:ascii="宋体" w:hAnsi="宋体" w:eastAsia="宋体" w:cs="宋体"/>
                <w:b w:val="0"/>
                <w:bCs w:val="0"/>
                <w:color w:val="auto"/>
                <w:kern w:val="2"/>
                <w:sz w:val="24"/>
                <w:szCs w:val="24"/>
                <w:u w:val="none"/>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3</w:t>
            </w:r>
          </w:p>
        </w:tc>
        <w:tc>
          <w:tcPr>
            <w:tcW w:w="2206" w:type="dxa"/>
            <w:vAlign w:val="center"/>
          </w:tcPr>
          <w:p>
            <w:pPr>
              <w:pStyle w:val="143"/>
              <w:widowControl w:val="0"/>
              <w:rPr>
                <w:b/>
                <w:bCs/>
              </w:rPr>
            </w:pPr>
            <w:r>
              <w:rPr>
                <w:rFonts w:hint="eastAsia"/>
                <w:b/>
                <w:bCs/>
              </w:rPr>
              <w:t>是否允许采购进口产品</w:t>
            </w:r>
          </w:p>
        </w:tc>
        <w:tc>
          <w:tcPr>
            <w:tcW w:w="5901" w:type="dxa"/>
            <w:vAlign w:val="center"/>
          </w:tcPr>
          <w:p>
            <w:pPr>
              <w:spacing w:line="360" w:lineRule="auto"/>
              <w:jc w:val="left"/>
              <w:rPr>
                <w:rFonts w:ascii="宋体" w:hAnsi="宋体" w:cs="宋体"/>
                <w:kern w:val="0"/>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jc w:val="left"/>
              <w:rPr>
                <w:vertAlign w:val="baseline"/>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4</w:t>
            </w:r>
          </w:p>
        </w:tc>
        <w:tc>
          <w:tcPr>
            <w:tcW w:w="2206" w:type="dxa"/>
            <w:vAlign w:val="center"/>
          </w:tcPr>
          <w:p>
            <w:pPr>
              <w:pStyle w:val="143"/>
              <w:widowControl w:val="0"/>
              <w:rPr>
                <w:b/>
                <w:bCs/>
              </w:rPr>
            </w:pPr>
            <w:r>
              <w:rPr>
                <w:rFonts w:hint="eastAsia"/>
                <w:b/>
                <w:bCs/>
              </w:rPr>
              <w:t>是否允许转包与分包</w:t>
            </w:r>
          </w:p>
        </w:tc>
        <w:tc>
          <w:tcPr>
            <w:tcW w:w="5901" w:type="dxa"/>
            <w:vAlign w:val="center"/>
          </w:tcPr>
          <w:p>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val="en-US" w:eastAsia="zh-CN"/>
              </w:rPr>
            </w:pPr>
            <w:r>
              <w:rPr>
                <w:rFonts w:hint="eastAsia"/>
                <w:b/>
                <w:bCs/>
                <w:lang w:val="en-US" w:eastAsia="zh-CN"/>
              </w:rPr>
              <w:t>5</w:t>
            </w:r>
          </w:p>
        </w:tc>
        <w:tc>
          <w:tcPr>
            <w:tcW w:w="2206" w:type="dxa"/>
            <w:vAlign w:val="center"/>
          </w:tcPr>
          <w:p>
            <w:pPr>
              <w:pStyle w:val="143"/>
              <w:widowControl w:val="0"/>
              <w:rPr>
                <w:rFonts w:hint="eastAsia"/>
                <w:b/>
                <w:bCs/>
              </w:rPr>
            </w:pPr>
            <w:r>
              <w:rPr>
                <w:rFonts w:hint="eastAsia"/>
                <w:b/>
                <w:bCs/>
              </w:rPr>
              <w:t>开标前答疑会或现场考察</w:t>
            </w:r>
          </w:p>
        </w:tc>
        <w:tc>
          <w:tcPr>
            <w:tcW w:w="5901" w:type="dxa"/>
            <w:vAlign w:val="center"/>
          </w:tcPr>
          <w:p>
            <w:pPr>
              <w:spacing w:line="360" w:lineRule="auto"/>
              <w:rPr>
                <w:rFonts w:ascii="宋体" w:hAnsi="宋体" w:cs="宋体"/>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color w:val="auto"/>
                <w:kern w:val="0"/>
                <w:sz w:val="24"/>
                <w:lang w:val="en-US" w:eastAsia="zh-CN"/>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6</w:t>
            </w:r>
          </w:p>
        </w:tc>
        <w:tc>
          <w:tcPr>
            <w:tcW w:w="2206" w:type="dxa"/>
            <w:vAlign w:val="center"/>
          </w:tcPr>
          <w:p>
            <w:pPr>
              <w:pStyle w:val="143"/>
              <w:widowControl w:val="0"/>
              <w:rPr>
                <w:b/>
                <w:bCs/>
              </w:rPr>
            </w:pPr>
            <w:r>
              <w:rPr>
                <w:rFonts w:hint="eastAsia"/>
                <w:b/>
                <w:bCs/>
              </w:rPr>
              <w:t>样品提供</w:t>
            </w:r>
          </w:p>
        </w:tc>
        <w:tc>
          <w:tcPr>
            <w:tcW w:w="5901" w:type="dxa"/>
            <w:vAlign w:val="center"/>
          </w:tcPr>
          <w:p>
            <w:pPr>
              <w:spacing w:line="360" w:lineRule="auto"/>
              <w:jc w:val="left"/>
              <w:rPr>
                <w:rFonts w:ascii="宋体" w:hAnsi="宋体" w:cs="宋体"/>
                <w:color w:val="auto"/>
                <w:sz w:val="24"/>
              </w:rPr>
            </w:pPr>
            <w:sdt>
              <w:sdtPr>
                <w:rPr>
                  <w:rFonts w:hint="eastAsia" w:ascii="宋体" w:hAnsi="宋体" w:cs="宋体"/>
                  <w:color w:val="auto"/>
                  <w:kern w:val="0"/>
                  <w:sz w:val="24"/>
                </w:rPr>
                <w:id w:val="-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jc w:val="left"/>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p>
            <w:pPr>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highlight w:val="none"/>
                <w:u w:val="single"/>
              </w:rPr>
              <w:t>详见第</w:t>
            </w:r>
            <w:r>
              <w:rPr>
                <w:rFonts w:hint="eastAsia" w:ascii="宋体" w:hAnsi="宋体" w:cs="宋体"/>
                <w:color w:val="auto"/>
                <w:highlight w:val="none"/>
                <w:u w:val="single"/>
                <w:lang w:eastAsia="zh-CN"/>
              </w:rPr>
              <w:t>三</w:t>
            </w:r>
            <w:r>
              <w:rPr>
                <w:rFonts w:hint="eastAsia" w:ascii="宋体" w:hAnsi="宋体" w:cs="宋体"/>
                <w:color w:val="auto"/>
                <w:highlight w:val="none"/>
                <w:u w:val="single"/>
              </w:rPr>
              <w:t>章</w:t>
            </w:r>
            <w:r>
              <w:rPr>
                <w:rFonts w:hint="eastAsia" w:ascii="宋体" w:hAnsi="宋体" w:cs="宋体"/>
                <w:color w:val="auto"/>
                <w:highlight w:val="none"/>
                <w:u w:val="single"/>
                <w:lang w:eastAsia="zh-CN"/>
              </w:rPr>
              <w:t>部分</w:t>
            </w:r>
            <w:r>
              <w:rPr>
                <w:rFonts w:hint="eastAsia" w:ascii="宋体" w:hAnsi="宋体" w:cs="宋体"/>
                <w:color w:val="auto"/>
                <w:highlight w:val="none"/>
                <w:u w:val="single"/>
              </w:rPr>
              <w:t>采购需求</w:t>
            </w:r>
            <w:r>
              <w:rPr>
                <w:rFonts w:hint="eastAsia" w:ascii="宋体" w:hAnsi="宋体" w:cs="宋体"/>
                <w:color w:val="auto"/>
                <w:sz w:val="24"/>
                <w:u w:val="single"/>
              </w:rPr>
              <w:t xml:space="preserve">  </w:t>
            </w:r>
            <w:r>
              <w:rPr>
                <w:rFonts w:hint="eastAsia" w:ascii="宋体" w:hAnsi="宋体" w:cs="宋体"/>
                <w:color w:val="auto"/>
                <w:kern w:val="0"/>
                <w:sz w:val="24"/>
              </w:rPr>
              <w:t>；所提供的样品参数指标需与</w:t>
            </w:r>
            <w:r>
              <w:rPr>
                <w:rFonts w:hint="eastAsia" w:ascii="宋体" w:hAnsi="宋体" w:cs="宋体"/>
                <w:color w:val="auto"/>
                <w:kern w:val="0"/>
                <w:sz w:val="24"/>
                <w:lang w:eastAsia="zh-CN"/>
              </w:rPr>
              <w:t>投标</w:t>
            </w:r>
            <w:r>
              <w:rPr>
                <w:rFonts w:hint="eastAsia" w:ascii="宋体" w:hAnsi="宋体" w:cs="宋体"/>
                <w:color w:val="auto"/>
                <w:kern w:val="0"/>
                <w:sz w:val="24"/>
              </w:rPr>
              <w:t>文件响应的参数指标一致，否则视为虚假响应，后果自负</w:t>
            </w:r>
            <w:r>
              <w:rPr>
                <w:rFonts w:hint="eastAsia" w:ascii="宋体" w:hAnsi="宋体" w:cs="宋体"/>
                <w:color w:val="auto"/>
                <w:kern w:val="0"/>
                <w:sz w:val="24"/>
                <w:lang w:eastAsia="zh-CN"/>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第</w:t>
            </w:r>
            <w:r>
              <w:rPr>
                <w:rFonts w:hint="eastAsia" w:ascii="宋体" w:hAnsi="宋体" w:cs="宋体"/>
                <w:color w:val="auto"/>
                <w:sz w:val="24"/>
                <w:u w:val="single"/>
                <w:lang w:eastAsia="zh-CN"/>
              </w:rPr>
              <w:t>三部分采购需求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lang w:eastAsia="zh-CN"/>
              </w:rPr>
              <w:t>评审标准</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（5）</w:t>
            </w:r>
            <w:r>
              <w:rPr>
                <w:rFonts w:hint="eastAsia" w:ascii="宋体" w:hAnsi="宋体" w:cs="宋体"/>
                <w:b/>
                <w:bCs/>
                <w:color w:val="auto"/>
                <w:sz w:val="24"/>
                <w:lang w:eastAsia="zh-CN"/>
              </w:rPr>
              <w:t>递交</w:t>
            </w:r>
            <w:r>
              <w:rPr>
                <w:rFonts w:hint="eastAsia" w:ascii="宋体" w:hAnsi="宋体" w:cs="宋体"/>
                <w:b/>
                <w:bCs/>
                <w:color w:val="auto"/>
                <w:sz w:val="24"/>
              </w:rPr>
              <w:t>样品的时间</w:t>
            </w:r>
            <w:r>
              <w:rPr>
                <w:rFonts w:hint="eastAsia" w:ascii="宋体" w:hAnsi="宋体" w:cs="宋体"/>
                <w:b/>
                <w:bCs/>
                <w:color w:val="auto"/>
                <w:sz w:val="24"/>
                <w:lang w:eastAsia="zh-CN"/>
              </w:rPr>
              <w:t>及地点</w:t>
            </w:r>
            <w:r>
              <w:rPr>
                <w:rFonts w:hint="eastAsia" w:ascii="宋体" w:hAnsi="宋体" w:cs="宋体"/>
                <w:b/>
                <w:bCs/>
                <w:color w:val="auto"/>
                <w:sz w:val="24"/>
              </w:rPr>
              <w:t>：</w:t>
            </w:r>
            <w:r>
              <w:rPr>
                <w:rFonts w:hint="eastAsia" w:ascii="宋体" w:hAnsi="宋体" w:cs="Helvetica"/>
                <w:b w:val="0"/>
                <w:bCs w:val="0"/>
                <w:kern w:val="0"/>
              </w:rPr>
              <w:t>在投标截止时间前样品须全部递交完毕</w:t>
            </w:r>
            <w:r>
              <w:rPr>
                <w:rFonts w:hint="eastAsia" w:ascii="宋体" w:hAnsi="宋体" w:cs="Helvetica"/>
                <w:b w:val="0"/>
                <w:bCs w:val="0"/>
                <w:kern w:val="0"/>
                <w:lang w:eastAsia="zh-CN"/>
              </w:rPr>
              <w:t>（如需安装，需安装完毕）</w:t>
            </w:r>
            <w:r>
              <w:rPr>
                <w:rFonts w:hint="eastAsia" w:ascii="宋体" w:hAnsi="宋体" w:cs="Helvetica"/>
                <w:b w:val="0"/>
                <w:bCs w:val="0"/>
                <w:kern w:val="0"/>
              </w:rPr>
              <w:t>，逾期送达将予以拒收</w:t>
            </w:r>
            <w:r>
              <w:rPr>
                <w:rFonts w:hint="eastAsia" w:ascii="宋体" w:hAnsi="宋体" w:cs="Helvetica"/>
                <w:b w:val="0"/>
                <w:bCs w:val="0"/>
                <w:kern w:val="0"/>
                <w:lang w:eastAsia="zh-CN"/>
              </w:rPr>
              <w:t>（</w:t>
            </w:r>
            <w:r>
              <w:rPr>
                <w:rFonts w:hint="eastAsia"/>
                <w:sz w:val="24"/>
                <w:szCs w:val="24"/>
                <w:lang w:eastAsia="zh-CN"/>
              </w:rPr>
              <w:t>可邮寄（发生遗失、损坏或延期送达等情况的，由投标人自行负责）</w:t>
            </w:r>
            <w:r>
              <w:rPr>
                <w:rFonts w:hint="eastAsia" w:ascii="宋体" w:hAnsi="宋体" w:cs="Helvetica"/>
                <w:b w:val="0"/>
                <w:bCs w:val="0"/>
                <w:kern w:val="0"/>
                <w:lang w:eastAsia="zh-CN"/>
              </w:rPr>
              <w:t>）</w:t>
            </w:r>
            <w:r>
              <w:rPr>
                <w:rFonts w:hint="eastAsia" w:ascii="宋体" w:hAnsi="宋体" w:cs="Helvetica"/>
                <w:b w:val="0"/>
                <w:bCs w:val="0"/>
                <w:kern w:val="0"/>
              </w:rPr>
              <w:t>。</w:t>
            </w:r>
            <w:r>
              <w:rPr>
                <w:rFonts w:hint="eastAsia" w:ascii="宋体" w:hAnsi="宋体" w:cs="Helvetica"/>
                <w:b/>
                <w:bCs/>
                <w:kern w:val="0"/>
              </w:rPr>
              <w:t>样品接收地址：</w:t>
            </w:r>
            <w:r>
              <w:rPr>
                <w:rFonts w:hint="eastAsia"/>
                <w:sz w:val="24"/>
                <w:szCs w:val="24"/>
              </w:rPr>
              <w:t>浙江省杭州市西湖区文二路391号西湖国际科技大厦B2楼</w:t>
            </w:r>
            <w:r>
              <w:rPr>
                <w:rFonts w:hint="eastAsia"/>
                <w:sz w:val="24"/>
                <w:szCs w:val="24"/>
                <w:lang w:val="en-US" w:eastAsia="zh-CN"/>
              </w:rPr>
              <w:t>11</w:t>
            </w:r>
            <w:r>
              <w:rPr>
                <w:rFonts w:hint="eastAsia"/>
                <w:sz w:val="24"/>
                <w:szCs w:val="24"/>
              </w:rPr>
              <w:t>07室浙江信镧建设工程咨询有限公司</w:t>
            </w:r>
            <w:r>
              <w:rPr>
                <w:rFonts w:hint="eastAsia" w:ascii="宋体" w:hAnsi="宋体" w:cs="Helvetica"/>
                <w:b w:val="0"/>
                <w:bCs w:val="0"/>
                <w:kern w:val="0"/>
              </w:rPr>
              <w:t>，联系人：</w:t>
            </w:r>
            <w:r>
              <w:rPr>
                <w:rFonts w:hint="eastAsia" w:ascii="宋体" w:hAnsi="宋体" w:cs="Helvetica"/>
                <w:b w:val="0"/>
                <w:bCs w:val="0"/>
                <w:kern w:val="0"/>
                <w:lang w:eastAsia="zh-CN"/>
              </w:rPr>
              <w:t>胡校芳</w:t>
            </w:r>
            <w:r>
              <w:rPr>
                <w:rFonts w:hint="eastAsia" w:ascii="宋体" w:hAnsi="宋体" w:cs="Helvetica"/>
                <w:b w:val="0"/>
                <w:bCs w:val="0"/>
                <w:kern w:val="0"/>
              </w:rPr>
              <w:t>，联系电话：</w:t>
            </w:r>
            <w:r>
              <w:rPr>
                <w:rFonts w:hint="eastAsia" w:ascii="宋体" w:hAnsi="宋体" w:cs="宋体"/>
                <w:color w:val="auto"/>
              </w:rPr>
              <w:t>0571-87967630</w:t>
            </w:r>
            <w:r>
              <w:rPr>
                <w:rFonts w:hint="eastAsia" w:ascii="宋体" w:hAnsi="宋体" w:cs="Helvetica"/>
                <w:b w:val="0"/>
                <w:bCs w:val="0"/>
                <w:kern w:val="0"/>
              </w:rPr>
              <w:t>。如因自身原因导致样品未在规定时间送达指定地点，后果自负。超过截止时间的，采购人或采购代理机构将不予接收。</w:t>
            </w:r>
          </w:p>
          <w:p>
            <w:pPr>
              <w:spacing w:line="360" w:lineRule="auto"/>
              <w:jc w:val="left"/>
              <w:rPr>
                <w:rFonts w:hint="eastAsia" w:ascii="宋体" w:hAnsi="宋体" w:cs="宋体"/>
                <w:color w:val="auto"/>
                <w:sz w:val="24"/>
              </w:rPr>
            </w:pPr>
            <w:r>
              <w:rPr>
                <w:rFonts w:hint="eastAsia" w:ascii="宋体" w:hAnsi="宋体" w:cs="宋体"/>
                <w:color w:val="auto"/>
                <w:sz w:val="24"/>
              </w:rPr>
              <w:t xml:space="preserve"> (6)采购活动结束后，对于未中标人提供的样品，请未中标人在</w:t>
            </w:r>
            <w:r>
              <w:rPr>
                <w:rFonts w:hint="eastAsia" w:ascii="宋体" w:hAnsi="宋体" w:cs="宋体"/>
                <w:color w:val="auto"/>
                <w:sz w:val="24"/>
                <w:lang w:eastAsia="zh-CN"/>
              </w:rPr>
              <w:t>中标</w:t>
            </w:r>
            <w:r>
              <w:rPr>
                <w:rFonts w:hint="eastAsia" w:ascii="宋体" w:hAnsi="宋体" w:cs="宋体"/>
                <w:color w:val="auto"/>
                <w:sz w:val="24"/>
              </w:rPr>
              <w:t>结果公示结束后</w:t>
            </w:r>
            <w:r>
              <w:rPr>
                <w:rFonts w:hint="eastAsia" w:ascii="宋体" w:hAnsi="宋体" w:cs="宋体"/>
                <w:color w:val="auto"/>
                <w:sz w:val="24"/>
                <w:lang w:eastAsia="zh-CN"/>
              </w:rPr>
              <w:t>自行</w:t>
            </w:r>
            <w:r>
              <w:rPr>
                <w:rFonts w:hint="eastAsia" w:ascii="宋体" w:hAnsi="宋体" w:cs="宋体"/>
                <w:color w:val="auto"/>
                <w:sz w:val="24"/>
              </w:rPr>
              <w:t>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7</w:t>
            </w:r>
            <w:r>
              <w:rPr>
                <w:rFonts w:hint="eastAsia" w:ascii="Times New Roman" w:hAnsi="Times New Roman" w:eastAsia="宋体" w:cs="Times New Roman"/>
                <w:lang w:eastAsia="zh-CN"/>
              </w:rPr>
              <w:t>）</w:t>
            </w:r>
            <w:r>
              <w:rPr>
                <w:rFonts w:hint="eastAsia" w:ascii="Times New Roman" w:hAnsi="Times New Roman" w:eastAsia="宋体" w:cs="Times New Roman"/>
              </w:rPr>
              <w:t>投标供应商应在样品标注</w:t>
            </w:r>
            <w:r>
              <w:rPr>
                <w:rFonts w:hint="eastAsia"/>
              </w:rPr>
              <w:t>注明产品、材料名称、供应商单位名称</w:t>
            </w:r>
            <w:r>
              <w:rPr>
                <w:rFonts w:hint="eastAsia" w:ascii="Times New Roman" w:hAnsi="Times New Roman" w:eastAsia="宋体" w:cs="Times New Roman"/>
              </w:rPr>
              <w:t>等信息，否则由此造成的漏评、错评的一切后果由供应商自己承担。</w:t>
            </w:r>
          </w:p>
          <w:p>
            <w:pPr>
              <w:spacing w:line="360" w:lineRule="auto"/>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）制作、运输、安装和保管样品所发生的一切费用由投标人自理。</w:t>
            </w:r>
          </w:p>
          <w:p>
            <w:pPr>
              <w:spacing w:line="360" w:lineRule="auto"/>
              <w:ind w:firstLine="240" w:firstLineChars="100"/>
              <w:jc w:val="left"/>
              <w:rPr>
                <w:rFonts w:hint="eastAsia" w:ascii="宋体" w:hAnsi="宋体" w:eastAsia="宋体" w:cs="宋体"/>
                <w:color w:val="auto"/>
                <w:sz w:val="24"/>
                <w:lang w:eastAsia="zh-CN"/>
              </w:rPr>
            </w:pPr>
            <w:r>
              <w:rPr>
                <w:rFonts w:hint="eastAsia" w:ascii="宋体" w:hAnsi="宋体" w:cs="宋体"/>
                <w:color w:val="auto"/>
              </w:rPr>
              <w:t>▲</w:t>
            </w:r>
            <w:r>
              <w:rPr>
                <w:rFonts w:hint="eastAsia" w:ascii="宋体" w:hAnsi="宋体" w:cs="宋体"/>
                <w:b/>
                <w:bCs/>
                <w:color w:val="auto"/>
              </w:rPr>
              <w:t>（9）未提供样品或</w:t>
            </w:r>
            <w:r>
              <w:rPr>
                <w:rFonts w:hint="eastAsia" w:ascii="宋体" w:hAnsi="宋体" w:cs="宋体"/>
                <w:b/>
                <w:bCs/>
                <w:color w:val="auto"/>
                <w:lang w:val="en-US" w:eastAsia="zh-CN"/>
              </w:rPr>
              <w:t>提供样品不满足采购需求实质性条件或</w:t>
            </w:r>
            <w:r>
              <w:rPr>
                <w:rFonts w:hint="eastAsia" w:ascii="宋体" w:hAnsi="宋体" w:cs="宋体"/>
                <w:b/>
                <w:bCs/>
                <w:color w:val="auto"/>
              </w:rPr>
              <w:t>样品不全为无效标。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7</w:t>
            </w:r>
          </w:p>
        </w:tc>
        <w:tc>
          <w:tcPr>
            <w:tcW w:w="2206" w:type="dxa"/>
            <w:vAlign w:val="center"/>
          </w:tcPr>
          <w:p>
            <w:pPr>
              <w:pStyle w:val="143"/>
              <w:widowControl w:val="0"/>
              <w:rPr>
                <w:b/>
                <w:bCs/>
              </w:rPr>
            </w:pPr>
            <w:r>
              <w:rPr>
                <w:rFonts w:hint="eastAsia"/>
                <w:b/>
                <w:bCs/>
              </w:rPr>
              <w:t>方案讲解演示</w:t>
            </w:r>
          </w:p>
        </w:tc>
        <w:tc>
          <w:tcPr>
            <w:tcW w:w="5901" w:type="dxa"/>
            <w:vAlign w:val="center"/>
          </w:tcPr>
          <w:p>
            <w:pPr>
              <w:spacing w:line="360" w:lineRule="auto"/>
              <w:jc w:val="left"/>
              <w:rPr>
                <w:rFonts w:ascii="宋体" w:hAnsi="宋体" w:cs="宋体"/>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jc w:val="left"/>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pStyle w:val="24"/>
              <w:ind w:firstLine="360" w:firstLineChars="150"/>
              <w:rPr>
                <w:rFonts w:ascii="宋体" w:hAnsi="宋体" w:cs="宋体"/>
                <w:color w:val="auto"/>
                <w:kern w:val="0"/>
                <w:sz w:val="24"/>
              </w:rPr>
            </w:pPr>
            <w:r>
              <w:rPr>
                <w:rFonts w:hint="eastAsia" w:cs="仿宋" w:asciiTheme="minorEastAsia" w:hAnsiTheme="minorEastAsia" w:eastAsiaTheme="minorEastAsia"/>
                <w:b w:val="0"/>
                <w:bCs w:val="0"/>
                <w:color w:val="auto"/>
                <w:kern w:val="0"/>
                <w:sz w:val="24"/>
                <w:szCs w:val="24"/>
                <w:lang w:val="en-US"/>
              </w:rPr>
              <w:t>本项目要求提供演示，</w:t>
            </w:r>
            <w:r>
              <w:rPr>
                <w:rFonts w:hint="eastAsia" w:cs="Arial" w:asciiTheme="minorEastAsia" w:hAnsiTheme="minorEastAsia" w:eastAsiaTheme="minorEastAsia"/>
                <w:b w:val="0"/>
                <w:bCs w:val="0"/>
                <w:color w:val="auto"/>
                <w:kern w:val="0"/>
                <w:sz w:val="24"/>
                <w:szCs w:val="24"/>
                <w:highlight w:val="none"/>
                <w:u w:val="single"/>
                <w:lang w:val="en-US" w:eastAsia="zh-CN"/>
              </w:rPr>
              <w:t>演示由投标人事先提供录制演示视频（具体</w:t>
            </w:r>
            <w:r>
              <w:rPr>
                <w:rFonts w:hint="eastAsia" w:cs="仿宋" w:asciiTheme="minorEastAsia" w:hAnsiTheme="minorEastAsia" w:eastAsiaTheme="minorEastAsia"/>
                <w:b w:val="0"/>
                <w:bCs w:val="0"/>
                <w:color w:val="auto"/>
                <w:kern w:val="0"/>
                <w:sz w:val="24"/>
                <w:szCs w:val="24"/>
                <w:u w:val="single"/>
              </w:rPr>
              <w:t>演示内容详见</w:t>
            </w:r>
            <w:r>
              <w:rPr>
                <w:rFonts w:hint="eastAsia" w:cs="仿宋" w:asciiTheme="minorEastAsia" w:hAnsiTheme="minorEastAsia" w:eastAsiaTheme="minorEastAsia"/>
                <w:b w:val="0"/>
                <w:bCs w:val="0"/>
                <w:color w:val="auto"/>
                <w:kern w:val="0"/>
                <w:sz w:val="24"/>
                <w:szCs w:val="24"/>
                <w:u w:val="single"/>
                <w:lang w:eastAsia="zh-CN"/>
              </w:rPr>
              <w:t>第三部分采购需求及评审标准，要求</w:t>
            </w:r>
            <w:r>
              <w:rPr>
                <w:rFonts w:hint="eastAsia" w:cs="Arial" w:asciiTheme="minorEastAsia" w:hAnsiTheme="minorEastAsia" w:eastAsiaTheme="minorEastAsia"/>
                <w:b w:val="0"/>
                <w:bCs w:val="0"/>
                <w:color w:val="auto"/>
                <w:kern w:val="0"/>
                <w:sz w:val="24"/>
                <w:szCs w:val="24"/>
                <w:highlight w:val="none"/>
                <w:u w:val="single"/>
                <w:lang w:val="en-US" w:eastAsia="zh-CN"/>
              </w:rPr>
              <w:t>时间不超过XX分钟），演示视频</w:t>
            </w:r>
            <w:r>
              <w:rPr>
                <w:rFonts w:hint="eastAsia" w:cs="仿宋" w:asciiTheme="minorEastAsia" w:hAnsiTheme="minorEastAsia" w:eastAsiaTheme="minorEastAsia"/>
                <w:b w:val="0"/>
                <w:bCs w:val="0"/>
                <w:color w:val="auto"/>
                <w:kern w:val="0"/>
                <w:sz w:val="24"/>
                <w:szCs w:val="24"/>
                <w:lang w:val="en-US"/>
              </w:rPr>
              <w:t>以介质存储（U盘）一份并且密封包装（外包装上要求标注项目名称、项目编号、演示视频字样</w:t>
            </w:r>
            <w:r>
              <w:rPr>
                <w:rFonts w:hint="eastAsia" w:cs="仿宋" w:asciiTheme="minorEastAsia" w:hAnsiTheme="minorEastAsia" w:eastAsiaTheme="minorEastAsia"/>
                <w:b w:val="0"/>
                <w:bCs w:val="0"/>
                <w:color w:val="auto"/>
                <w:kern w:val="0"/>
                <w:sz w:val="24"/>
                <w:szCs w:val="24"/>
                <w:lang w:val="en-US" w:eastAsia="zh-CN"/>
              </w:rPr>
              <w:t>投标人</w:t>
            </w:r>
            <w:r>
              <w:rPr>
                <w:rFonts w:hint="eastAsia" w:cs="仿宋" w:asciiTheme="minorEastAsia" w:hAnsiTheme="minorEastAsia" w:eastAsiaTheme="minorEastAsia"/>
                <w:b w:val="0"/>
                <w:bCs w:val="0"/>
                <w:color w:val="auto"/>
                <w:kern w:val="0"/>
                <w:sz w:val="24"/>
                <w:szCs w:val="24"/>
                <w:lang w:val="en-US"/>
              </w:rPr>
              <w:t>名称并加盖公章）后在</w:t>
            </w:r>
            <w:r>
              <w:rPr>
                <w:rFonts w:hint="eastAsia" w:cs="仿宋" w:asciiTheme="minorEastAsia" w:hAnsiTheme="minorEastAsia" w:eastAsiaTheme="minorEastAsia"/>
                <w:b w:val="0"/>
                <w:bCs w:val="0"/>
                <w:color w:val="auto"/>
                <w:kern w:val="0"/>
                <w:sz w:val="24"/>
                <w:szCs w:val="24"/>
                <w:lang w:val="en-US" w:eastAsia="zh-CN"/>
              </w:rPr>
              <w:t>投标</w:t>
            </w:r>
            <w:r>
              <w:rPr>
                <w:rFonts w:hint="eastAsia" w:cs="仿宋" w:asciiTheme="minorEastAsia" w:hAnsiTheme="minorEastAsia" w:eastAsiaTheme="minorEastAsia"/>
                <w:b w:val="0"/>
                <w:bCs w:val="0"/>
                <w:color w:val="auto"/>
                <w:kern w:val="0"/>
                <w:sz w:val="24"/>
                <w:szCs w:val="24"/>
                <w:lang w:val="en-US"/>
              </w:rPr>
              <w:t>文件提交截止时间前递交（可邮寄，发生泄露、遗失、损坏或延期送达等情况的，由供应商自行负责），邮寄地址：</w:t>
            </w:r>
            <w:r>
              <w:rPr>
                <w:rFonts w:hint="eastAsia" w:ascii="宋体" w:hAnsi="宋体" w:cs="宋体"/>
                <w:color w:val="auto"/>
              </w:rPr>
              <w:t>浙江省文二路391号西湖国际科技大厦B2楼1107室</w:t>
            </w:r>
            <w:r>
              <w:rPr>
                <w:rFonts w:hint="eastAsia" w:ascii="宋体" w:hAnsi="宋体" w:cs="宋体"/>
                <w:color w:val="auto"/>
                <w:lang w:eastAsia="zh-CN"/>
              </w:rPr>
              <w:t>，</w:t>
            </w:r>
            <w:r>
              <w:rPr>
                <w:rFonts w:hint="eastAsia" w:ascii="宋体" w:hAnsi="宋体" w:cs="宋体"/>
                <w:color w:val="auto"/>
              </w:rPr>
              <w:t xml:space="preserve"> </w:t>
            </w:r>
            <w:r>
              <w:rPr>
                <w:rFonts w:hint="eastAsia" w:ascii="宋体" w:hAnsi="宋体" w:cs="宋体"/>
                <w:color w:val="auto"/>
                <w:lang w:eastAsia="zh-CN"/>
              </w:rPr>
              <w:t>胡校芳</w:t>
            </w:r>
            <w:r>
              <w:rPr>
                <w:rFonts w:hint="eastAsia" w:ascii="宋体" w:hAnsi="宋体" w:cs="宋体"/>
                <w:color w:val="auto"/>
              </w:rPr>
              <w:t>收 0571-87967630</w:t>
            </w:r>
            <w:r>
              <w:rPr>
                <w:rFonts w:hint="eastAsia" w:cs="仿宋" w:asciiTheme="minorEastAsia" w:hAnsiTheme="minorEastAsia" w:eastAsiaTheme="minorEastAsia"/>
                <w:b w:val="0"/>
                <w:bCs w:val="0"/>
                <w:color w:val="auto"/>
                <w:kern w:val="0"/>
                <w:sz w:val="24"/>
                <w:szCs w:val="24"/>
                <w:u w:val="none"/>
                <w:lang w:val="en-US"/>
              </w:rPr>
              <w:t xml:space="preserve"> </w:t>
            </w:r>
            <w:r>
              <w:rPr>
                <w:rFonts w:hint="eastAsia" w:cs="仿宋" w:asciiTheme="minorEastAsia" w:hAnsiTheme="minorEastAsia" w:eastAsiaTheme="minorEastAsia"/>
                <w:b w:val="0"/>
                <w:bCs w:val="0"/>
                <w:color w:val="auto"/>
                <w:kern w:val="0"/>
                <w:sz w:val="24"/>
                <w:szCs w:val="24"/>
                <w:lang w:val="en-US"/>
              </w:rPr>
              <w:t>）。逾期送达或未密封将被拒收。</w:t>
            </w:r>
          </w:p>
          <w:p>
            <w:pPr>
              <w:snapToGrid w:val="0"/>
              <w:spacing w:line="360" w:lineRule="auto"/>
              <w:ind w:firstLine="480" w:firstLineChars="200"/>
              <w:jc w:val="left"/>
              <w:rPr>
                <w:vertAlign w:val="baseline"/>
              </w:rPr>
            </w:pPr>
            <w:r>
              <w:rPr>
                <w:rFonts w:hint="eastAsia" w:ascii="宋体" w:hAnsi="宋体" w:cs="宋体"/>
                <w:color w:val="auto"/>
                <w:kern w:val="0"/>
                <w:sz w:val="24"/>
              </w:rPr>
              <w:t>注：</w:t>
            </w:r>
            <w:r>
              <w:rPr>
                <w:rFonts w:hint="eastAsia" w:ascii="宋体" w:hAnsi="宋体" w:cs="宋体"/>
                <w:color w:val="auto"/>
                <w:kern w:val="0"/>
                <w:sz w:val="24"/>
                <w:lang w:eastAsia="zh-CN"/>
              </w:rPr>
              <w:t>因</w:t>
            </w:r>
            <w:r>
              <w:rPr>
                <w:rFonts w:hint="eastAsia" w:ascii="宋体" w:hAnsi="宋体" w:cs="宋体"/>
                <w:color w:val="auto"/>
                <w:kern w:val="0"/>
                <w:sz w:val="24"/>
              </w:rPr>
              <w:t>投标人</w:t>
            </w:r>
            <w:r>
              <w:rPr>
                <w:rFonts w:hint="eastAsia" w:ascii="宋体" w:hAnsi="宋体" w:cs="宋体"/>
                <w:color w:val="auto"/>
                <w:kern w:val="0"/>
                <w:sz w:val="24"/>
                <w:lang w:eastAsia="zh-CN"/>
              </w:rPr>
              <w:t>自身原因导致提供的演示视频</w:t>
            </w:r>
            <w:r>
              <w:rPr>
                <w:rFonts w:hint="eastAsia" w:ascii="宋体" w:hAnsi="宋体" w:cs="宋体"/>
                <w:color w:val="auto"/>
                <w:kern w:val="0"/>
                <w:sz w:val="24"/>
              </w:rPr>
              <w:t>无法</w:t>
            </w:r>
            <w:r>
              <w:rPr>
                <w:rFonts w:hint="eastAsia" w:ascii="宋体" w:hAnsi="宋体" w:cs="宋体"/>
                <w:color w:val="auto"/>
                <w:kern w:val="0"/>
                <w:sz w:val="24"/>
                <w:lang w:eastAsia="zh-CN"/>
              </w:rPr>
              <w:t>正常播放</w:t>
            </w:r>
            <w:r>
              <w:rPr>
                <w:rFonts w:hint="eastAsia" w:ascii="宋体" w:hAnsi="宋体" w:cs="宋体"/>
                <w:color w:val="auto"/>
                <w:kern w:val="0"/>
                <w:sz w:val="24"/>
              </w:rPr>
              <w:t>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rFonts w:hint="eastAsia"/>
                <w:b/>
                <w:bCs/>
                <w:lang w:eastAsia="zh-CN"/>
              </w:rPr>
            </w:pPr>
            <w:r>
              <w:rPr>
                <w:rFonts w:hint="eastAsia"/>
                <w:b/>
                <w:bCs/>
                <w:lang w:val="en-US" w:eastAsia="zh-CN"/>
              </w:rPr>
              <w:t>8</w:t>
            </w:r>
          </w:p>
        </w:tc>
        <w:tc>
          <w:tcPr>
            <w:tcW w:w="2206" w:type="dxa"/>
            <w:vMerge w:val="restart"/>
            <w:vAlign w:val="center"/>
          </w:tcPr>
          <w:p>
            <w:pPr>
              <w:pStyle w:val="143"/>
              <w:widowControl w:val="0"/>
              <w:rPr>
                <w:b/>
                <w:bCs/>
              </w:rPr>
            </w:pPr>
            <w:r>
              <w:rPr>
                <w:rFonts w:hint="eastAsia"/>
                <w:b/>
                <w:bCs/>
              </w:rPr>
              <w:t>投标人应当提供的资格、资信证明文件</w:t>
            </w:r>
          </w:p>
        </w:tc>
        <w:tc>
          <w:tcPr>
            <w:tcW w:w="5901" w:type="dxa"/>
            <w:vAlign w:val="center"/>
          </w:tcPr>
          <w:p>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spacing w:line="360" w:lineRule="auto"/>
              <w:rPr>
                <w:vertAlign w:val="baseline"/>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9</w:t>
            </w:r>
          </w:p>
        </w:tc>
        <w:tc>
          <w:tcPr>
            <w:tcW w:w="2206" w:type="dxa"/>
            <w:vAlign w:val="center"/>
          </w:tcPr>
          <w:p>
            <w:pPr>
              <w:pStyle w:val="143"/>
              <w:widowControl w:val="0"/>
              <w:rPr>
                <w:b/>
                <w:bCs/>
              </w:rPr>
            </w:pPr>
            <w:r>
              <w:rPr>
                <w:rFonts w:hint="eastAsia"/>
                <w:b/>
                <w:bCs/>
              </w:rPr>
              <w:t>节能产品、环境标志产品</w:t>
            </w:r>
          </w:p>
        </w:tc>
        <w:tc>
          <w:tcPr>
            <w:tcW w:w="5901" w:type="dxa"/>
            <w:vAlign w:val="center"/>
          </w:tcPr>
          <w:p>
            <w:pPr>
              <w:snapToGrid w:val="0"/>
              <w:spacing w:line="360" w:lineRule="auto"/>
              <w:jc w:val="left"/>
              <w:rPr>
                <w:vertAlign w:val="baseline"/>
              </w:rPr>
            </w:pPr>
            <w:r>
              <w:rPr>
                <w:rFonts w:hint="eastAsia"/>
                <w:vertAlign w:val="baseli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10</w:t>
            </w:r>
          </w:p>
        </w:tc>
        <w:tc>
          <w:tcPr>
            <w:tcW w:w="2206" w:type="dxa"/>
            <w:vAlign w:val="center"/>
          </w:tcPr>
          <w:p>
            <w:pPr>
              <w:pStyle w:val="143"/>
              <w:widowControl w:val="0"/>
              <w:rPr>
                <w:b/>
                <w:bCs/>
              </w:rPr>
            </w:pPr>
            <w:r>
              <w:rPr>
                <w:rFonts w:hint="eastAsia"/>
                <w:b/>
                <w:bCs/>
              </w:rPr>
              <w:t>报价要求</w:t>
            </w:r>
          </w:p>
        </w:tc>
        <w:tc>
          <w:tcPr>
            <w:tcW w:w="5901" w:type="dxa"/>
            <w:vAlign w:val="center"/>
          </w:tcPr>
          <w:p>
            <w:pPr>
              <w:snapToGrid w:val="0"/>
              <w:spacing w:line="360" w:lineRule="auto"/>
              <w:jc w:val="left"/>
              <w:rPr>
                <w:rFonts w:hint="eastAsia"/>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p>
            <w:pPr>
              <w:snapToGrid w:val="0"/>
              <w:spacing w:line="360" w:lineRule="auto"/>
              <w:ind w:left="0" w:leftChars="0" w:firstLine="0" w:firstLineChars="0"/>
              <w:jc w:val="left"/>
              <w:rPr>
                <w:b/>
                <w:bCs/>
                <w:lang w:val="zh-CN"/>
              </w:rPr>
            </w:pPr>
            <w:r>
              <w:rPr>
                <w:rFonts w:hint="eastAsia"/>
                <w:b/>
                <w:bCs/>
                <w:lang w:val="zh-CN"/>
              </w:rPr>
              <w:t>投标报价出现下列情形的，投标无效：</w:t>
            </w:r>
          </w:p>
          <w:p>
            <w:pPr>
              <w:snapToGrid w:val="0"/>
              <w:spacing w:line="360" w:lineRule="auto"/>
              <w:ind w:firstLine="482" w:firstLineChars="200"/>
              <w:jc w:val="left"/>
              <w:rPr>
                <w:b/>
                <w:bCs/>
                <w:lang w:val="zh-CN"/>
              </w:rPr>
            </w:pPr>
            <w:r>
              <w:rPr>
                <w:rFonts w:hint="eastAsia"/>
                <w:b/>
                <w:bCs/>
                <w:lang w:val="zh-CN"/>
              </w:rPr>
              <w:t>投标文件出现不是唯一的、有选择性投标报价的；</w:t>
            </w:r>
          </w:p>
          <w:p>
            <w:pPr>
              <w:snapToGrid w:val="0"/>
              <w:spacing w:line="360" w:lineRule="auto"/>
              <w:ind w:firstLine="482" w:firstLineChars="200"/>
              <w:jc w:val="left"/>
              <w:rPr>
                <w:b/>
                <w:bCs/>
                <w:lang w:val="zh-CN"/>
              </w:rPr>
            </w:pPr>
            <w:r>
              <w:rPr>
                <w:rFonts w:hint="eastAsia"/>
                <w:b/>
                <w:bCs/>
                <w:lang w:val="zh-CN"/>
              </w:rPr>
              <w:t>投标报价超过招标文件中规定的预算金额或者最高限价的;</w:t>
            </w:r>
          </w:p>
          <w:p>
            <w:pPr>
              <w:spacing w:line="360" w:lineRule="auto"/>
              <w:ind w:firstLine="482" w:firstLineChars="200"/>
              <w:jc w:val="left"/>
              <w:rPr>
                <w:rFonts w:hint="eastAsia"/>
                <w:b/>
                <w:bCs/>
                <w:lang w:eastAsia="zh-CN"/>
              </w:rPr>
            </w:pPr>
            <w:r>
              <w:rPr>
                <w:rFonts w:hint="eastAsia"/>
                <w:b/>
                <w:bCs/>
              </w:rPr>
              <w:t>报价明显低于其他通过符合性审查投标人的报价，有可能影响产品质量或者不能诚信履约的，未能按要求提供书面说明或者提交相关证明材料证明其报价合理性的</w:t>
            </w:r>
            <w:r>
              <w:rPr>
                <w:rFonts w:hint="eastAsia"/>
                <w:b/>
                <w:bCs/>
                <w:lang w:eastAsia="zh-CN"/>
              </w:rPr>
              <w:t>；</w:t>
            </w:r>
          </w:p>
          <w:p>
            <w:pPr>
              <w:spacing w:line="360" w:lineRule="auto"/>
              <w:ind w:firstLine="482" w:firstLineChars="200"/>
              <w:jc w:val="left"/>
              <w:rPr>
                <w:rFonts w:hint="eastAsia"/>
                <w:b/>
                <w:bCs/>
                <w:lang w:eastAsia="zh-CN"/>
              </w:rPr>
            </w:pPr>
            <w:r>
              <w:rPr>
                <w:rFonts w:hint="eastAsia"/>
                <w:b/>
                <w:bCs/>
              </w:rPr>
              <w:t>投标人对根据修正原则修正后的报价不确认的</w:t>
            </w:r>
            <w:r>
              <w:rPr>
                <w:rFonts w:hint="eastAsia"/>
                <w:b/>
                <w:bCs/>
                <w:lang w:eastAsia="zh-CN"/>
              </w:rPr>
              <w:t>；</w:t>
            </w:r>
          </w:p>
          <w:p>
            <w:pPr>
              <w:pStyle w:val="79"/>
              <w:ind w:left="0" w:leftChars="0" w:firstLine="482" w:firstLineChars="200"/>
            </w:pPr>
            <w:r>
              <w:rPr>
                <w:rFonts w:hint="eastAsia" w:ascii="Times New Roman" w:hAnsi="Times New Roman" w:cs="Times New Roman"/>
                <w:b/>
                <w:bCs/>
                <w:spacing w:val="0"/>
                <w:kern w:val="2"/>
                <w:sz w:val="24"/>
                <w:szCs w:val="24"/>
                <w:lang w:val="en-US" w:eastAsia="zh-CN" w:bidi="ar-SA"/>
              </w:rPr>
              <w:t>投标</w:t>
            </w:r>
            <w:r>
              <w:rPr>
                <w:rFonts w:hint="eastAsia" w:ascii="Times New Roman" w:hAnsi="Times New Roman" w:eastAsia="宋体" w:cs="Times New Roman"/>
                <w:b/>
                <w:bCs/>
                <w:spacing w:val="0"/>
                <w:kern w:val="2"/>
                <w:sz w:val="24"/>
                <w:szCs w:val="24"/>
                <w:lang w:val="zh-CN" w:eastAsia="zh-CN" w:bidi="ar-SA"/>
              </w:rPr>
              <w:t>报价不符合</w:t>
            </w:r>
            <w:r>
              <w:rPr>
                <w:rFonts w:hint="eastAsia" w:ascii="Times New Roman" w:hAnsi="Times New Roman" w:cs="Times New Roman"/>
                <w:b/>
                <w:bCs/>
                <w:spacing w:val="0"/>
                <w:kern w:val="2"/>
                <w:sz w:val="24"/>
                <w:szCs w:val="24"/>
                <w:lang w:val="en-US" w:eastAsia="zh-CN" w:bidi="ar-SA"/>
              </w:rPr>
              <w:t>招标</w:t>
            </w:r>
            <w:r>
              <w:rPr>
                <w:rFonts w:hint="eastAsia" w:ascii="Times New Roman" w:hAnsi="Times New Roman" w:eastAsia="宋体" w:cs="Times New Roman"/>
                <w:b/>
                <w:bCs/>
                <w:spacing w:val="0"/>
                <w:kern w:val="2"/>
                <w:sz w:val="24"/>
                <w:szCs w:val="24"/>
                <w:lang w:val="zh-CN" w:eastAsia="zh-CN" w:bidi="ar-SA"/>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pPr>
              <w:pStyle w:val="143"/>
              <w:widowControl w:val="0"/>
              <w:rPr>
                <w:rFonts w:hint="default"/>
                <w:b/>
                <w:bCs/>
                <w:lang w:val="en-US" w:eastAsia="zh-CN"/>
              </w:rPr>
            </w:pPr>
            <w:r>
              <w:rPr>
                <w:rFonts w:hint="eastAsia"/>
                <w:b/>
                <w:bCs/>
                <w:lang w:val="en-US" w:eastAsia="zh-CN"/>
              </w:rPr>
              <w:t>11</w:t>
            </w:r>
          </w:p>
        </w:tc>
        <w:tc>
          <w:tcPr>
            <w:tcW w:w="2206" w:type="dxa"/>
            <w:vAlign w:val="center"/>
          </w:tcPr>
          <w:p>
            <w:pPr>
              <w:pStyle w:val="143"/>
              <w:widowControl w:val="0"/>
              <w:rPr>
                <w:b/>
                <w:bCs/>
              </w:rPr>
            </w:pPr>
            <w:r>
              <w:rPr>
                <w:rFonts w:hint="eastAsia"/>
                <w:b/>
                <w:bCs/>
              </w:rPr>
              <w:t>中小企业信用融资</w:t>
            </w:r>
          </w:p>
        </w:tc>
        <w:tc>
          <w:tcPr>
            <w:tcW w:w="5901" w:type="dxa"/>
            <w:vAlign w:val="center"/>
          </w:tcPr>
          <w:p>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12</w:t>
            </w:r>
          </w:p>
        </w:tc>
        <w:tc>
          <w:tcPr>
            <w:tcW w:w="2206" w:type="dxa"/>
            <w:vAlign w:val="center"/>
          </w:tcPr>
          <w:p>
            <w:pPr>
              <w:pStyle w:val="143"/>
              <w:widowControl w:val="0"/>
              <w:rPr>
                <w:b/>
                <w:bCs/>
              </w:rPr>
            </w:pPr>
            <w:r>
              <w:rPr>
                <w:rFonts w:hint="eastAsia"/>
                <w:b/>
                <w:bCs/>
              </w:rPr>
              <w:t>备份投标文件送达地点和签收人员</w:t>
            </w:r>
          </w:p>
        </w:tc>
        <w:tc>
          <w:tcPr>
            <w:tcW w:w="5901" w:type="dxa"/>
            <w:vAlign w:val="center"/>
          </w:tcPr>
          <w:p>
            <w:pPr>
              <w:pStyle w:val="33"/>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6"/>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rPr>
              <w:t>胡校芳</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pPr>
              <w:pStyle w:val="143"/>
              <w:widowControl w:val="0"/>
              <w:rPr>
                <w:rFonts w:hint="default"/>
                <w:b/>
                <w:bCs/>
                <w:lang w:val="en-US" w:eastAsia="zh-CN"/>
              </w:rPr>
            </w:pPr>
            <w:r>
              <w:rPr>
                <w:rFonts w:hint="eastAsia"/>
                <w:b/>
                <w:bCs/>
                <w:lang w:val="en-US" w:eastAsia="zh-CN"/>
              </w:rPr>
              <w:t>13</w:t>
            </w:r>
          </w:p>
        </w:tc>
        <w:tc>
          <w:tcPr>
            <w:tcW w:w="2206" w:type="dxa"/>
            <w:vMerge w:val="restart"/>
            <w:vAlign w:val="center"/>
          </w:tcPr>
          <w:p>
            <w:pPr>
              <w:pStyle w:val="143"/>
              <w:widowControl w:val="0"/>
              <w:rPr>
                <w:b/>
                <w:bCs/>
              </w:rPr>
            </w:pPr>
            <w:r>
              <w:rPr>
                <w:rFonts w:hint="eastAsia"/>
                <w:b/>
                <w:bCs/>
              </w:rPr>
              <w:t>特别说明</w:t>
            </w:r>
          </w:p>
        </w:tc>
        <w:tc>
          <w:tcPr>
            <w:tcW w:w="5901" w:type="dxa"/>
            <w:vAlign w:val="center"/>
          </w:tcPr>
          <w:p>
            <w:pPr>
              <w:bidi w:val="0"/>
              <w:rPr>
                <w:color w:val="auto"/>
                <w:highlight w:val="none"/>
                <w:vertAlign w:val="baseline"/>
              </w:rPr>
            </w:pPr>
            <w:r>
              <w:rPr>
                <w:rFonts w:hint="eastAsia" w:ascii="Times New Roman" w:hAnsi="Times New Roman"/>
                <w:b/>
                <w:bCs/>
                <w:color w:val="auto"/>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pStyle w:val="143"/>
              <w:widowControl w:val="0"/>
              <w:rPr>
                <w:rFonts w:hint="eastAsia"/>
                <w:b/>
                <w:bCs/>
                <w:lang w:val="en-US" w:eastAsia="zh-CN"/>
              </w:rPr>
            </w:pPr>
          </w:p>
        </w:tc>
        <w:tc>
          <w:tcPr>
            <w:tcW w:w="2206" w:type="dxa"/>
            <w:vMerge w:val="continue"/>
            <w:vAlign w:val="center"/>
          </w:tcPr>
          <w:p>
            <w:pPr>
              <w:pStyle w:val="143"/>
              <w:widowControl w:val="0"/>
              <w:rPr>
                <w:rFonts w:hint="eastAsia"/>
                <w:b/>
                <w:bCs/>
              </w:rPr>
            </w:pPr>
          </w:p>
        </w:tc>
        <w:tc>
          <w:tcPr>
            <w:tcW w:w="5901" w:type="dxa"/>
            <w:vAlign w:val="center"/>
          </w:tcPr>
          <w:p>
            <w:pPr>
              <w:bidi w:val="0"/>
              <w:rPr>
                <w:rFonts w:hint="eastAsia"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pPr>
              <w:pStyle w:val="143"/>
              <w:widowControl w:val="0"/>
              <w:rPr>
                <w:b/>
                <w:bCs/>
              </w:rPr>
            </w:pPr>
            <w:bookmarkStart w:id="20" w:name="_Toc164416483"/>
            <w:bookmarkStart w:id="21" w:name="第三部分"/>
          </w:p>
        </w:tc>
        <w:tc>
          <w:tcPr>
            <w:tcW w:w="2206" w:type="dxa"/>
            <w:vMerge w:val="continue"/>
            <w:vAlign w:val="center"/>
          </w:tcPr>
          <w:p>
            <w:pPr>
              <w:pStyle w:val="143"/>
              <w:widowControl w:val="0"/>
              <w:rPr>
                <w:b/>
                <w:bCs/>
              </w:rPr>
            </w:pPr>
          </w:p>
        </w:tc>
        <w:tc>
          <w:tcPr>
            <w:tcW w:w="5901" w:type="dxa"/>
            <w:vAlign w:val="center"/>
          </w:tcPr>
          <w:p>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14</w:t>
            </w:r>
          </w:p>
        </w:tc>
        <w:tc>
          <w:tcPr>
            <w:tcW w:w="2206" w:type="dxa"/>
            <w:vAlign w:val="center"/>
          </w:tcPr>
          <w:p>
            <w:pPr>
              <w:pStyle w:val="143"/>
              <w:widowControl w:val="0"/>
              <w:rPr>
                <w:b/>
                <w:bCs/>
                <w:color w:val="auto"/>
              </w:rPr>
            </w:pPr>
            <w:r>
              <w:rPr>
                <w:rFonts w:hint="eastAsia"/>
                <w:b/>
                <w:bCs/>
                <w:color w:val="auto"/>
              </w:rPr>
              <w:t>采购代理服务费</w:t>
            </w:r>
          </w:p>
        </w:tc>
        <w:tc>
          <w:tcPr>
            <w:tcW w:w="5901" w:type="dxa"/>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本项目的采购代理服务费为：</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（1）采购代理服务收费采用差额定率累进计费方式，以</w:t>
            </w:r>
            <w:r>
              <w:rPr>
                <w:rFonts w:hint="eastAsia" w:ascii="宋体" w:hAnsi="宋体" w:cs="宋体"/>
                <w:color w:val="auto"/>
                <w:kern w:val="0"/>
                <w:sz w:val="24"/>
                <w:szCs w:val="24"/>
                <w:lang w:val="en-US" w:eastAsia="zh-CN"/>
              </w:rPr>
              <w:t>中标总额</w:t>
            </w:r>
            <w:r>
              <w:rPr>
                <w:rFonts w:hint="eastAsia" w:ascii="宋体" w:hAnsi="宋体" w:cs="宋体"/>
                <w:color w:val="auto"/>
                <w:kern w:val="0"/>
                <w:sz w:val="24"/>
                <w:szCs w:val="24"/>
              </w:rPr>
              <w:t>为计算基数。</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（2）各区段具体收费标准如下：</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成交金额              费率</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100万元以下          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p>
          <w:p>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0.64</w:t>
            </w:r>
            <w:r>
              <w:rPr>
                <w:rFonts w:hint="eastAsia" w:ascii="宋体" w:hAnsi="宋体" w:cs="宋体"/>
                <w:color w:val="auto"/>
                <w:kern w:val="0"/>
                <w:sz w:val="24"/>
                <w:szCs w:val="24"/>
              </w:rPr>
              <w:t>%</w:t>
            </w:r>
          </w:p>
          <w:p>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收款单位（户名）：浙江信镧建设工程咨询有限公司</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开户银行：交通银行杭州华浙广场支行</w:t>
            </w:r>
          </w:p>
          <w:p>
            <w:pPr>
              <w:spacing w:line="360" w:lineRule="auto"/>
              <w:ind w:firstLine="463" w:firstLineChars="193"/>
              <w:rPr>
                <w:rFonts w:hint="eastAsia" w:ascii="宋体" w:hAnsi="宋体" w:cs="宋体"/>
                <w:color w:val="auto"/>
                <w:sz w:val="24"/>
                <w:szCs w:val="24"/>
              </w:rPr>
            </w:pPr>
            <w:r>
              <w:rPr>
                <w:rFonts w:hint="eastAsia" w:ascii="宋体" w:hAnsi="宋体" w:cs="宋体"/>
                <w:color w:val="auto"/>
                <w:kern w:val="0"/>
                <w:sz w:val="24"/>
                <w:szCs w:val="24"/>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rFonts w:hint="default"/>
                <w:b/>
                <w:bCs/>
                <w:lang w:val="en-US" w:eastAsia="zh-CN"/>
              </w:rPr>
            </w:pPr>
            <w:r>
              <w:rPr>
                <w:rFonts w:hint="eastAsia"/>
                <w:b/>
                <w:bCs/>
                <w:lang w:val="en-US" w:eastAsia="zh-CN"/>
              </w:rPr>
              <w:t>15</w:t>
            </w:r>
          </w:p>
        </w:tc>
        <w:tc>
          <w:tcPr>
            <w:tcW w:w="2206" w:type="dxa"/>
            <w:vMerge w:val="restart"/>
            <w:vAlign w:val="center"/>
          </w:tcPr>
          <w:p>
            <w:pPr>
              <w:pStyle w:val="143"/>
              <w:widowControl w:val="0"/>
              <w:rPr>
                <w:rFonts w:hint="default"/>
                <w:b/>
                <w:bCs/>
                <w:color w:val="auto"/>
                <w:lang w:val="en-US" w:eastAsia="zh-CN"/>
              </w:rPr>
            </w:pPr>
            <w:r>
              <w:rPr>
                <w:rFonts w:hint="eastAsia"/>
                <w:b/>
                <w:bCs/>
                <w:color w:val="auto"/>
              </w:rPr>
              <w:t>其他注意事项</w:t>
            </w:r>
          </w:p>
        </w:tc>
        <w:tc>
          <w:tcPr>
            <w:tcW w:w="5901" w:type="dxa"/>
            <w:vAlign w:val="center"/>
          </w:tcPr>
          <w:p>
            <w:pPr>
              <w:pStyle w:val="725"/>
              <w:snapToGrid w:val="0"/>
              <w:spacing w:line="360" w:lineRule="auto"/>
              <w:ind w:firstLine="482" w:firstLineChars="200"/>
              <w:rPr>
                <w:rFonts w:hint="eastAsia" w:ascii="宋体" w:hAnsi="宋体" w:eastAsia="宋体" w:cs="宋体"/>
                <w:color w:val="auto"/>
                <w:kern w:val="0"/>
                <w:sz w:val="24"/>
                <w:szCs w:val="24"/>
                <w:lang w:eastAsia="zh-CN"/>
              </w:rPr>
            </w:pPr>
            <w:r>
              <w:rPr>
                <w:rFonts w:hint="eastAsia" w:cs="宋体"/>
                <w:b/>
                <w:bCs/>
                <w:color w:val="auto"/>
                <w:sz w:val="24"/>
                <w:lang w:eastAsia="zh-CN" w:bidi="ar"/>
              </w:rPr>
              <w:t>在评审过程中，投标人</w:t>
            </w:r>
            <w:r>
              <w:rPr>
                <w:rFonts w:hint="eastAsia" w:ascii="宋体" w:hAnsi="宋体" w:cs="宋体"/>
                <w:b/>
                <w:bCs/>
                <w:color w:val="auto"/>
                <w:sz w:val="24"/>
                <w:lang w:bidi="ar"/>
              </w:rPr>
              <w:t>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rFonts w:hint="eastAsia"/>
                <w:b/>
                <w:bCs/>
                <w:lang w:val="en-US" w:eastAsia="zh-CN"/>
              </w:rPr>
            </w:pPr>
          </w:p>
        </w:tc>
        <w:tc>
          <w:tcPr>
            <w:tcW w:w="2206" w:type="dxa"/>
            <w:vMerge w:val="continue"/>
            <w:vAlign w:val="center"/>
          </w:tcPr>
          <w:p>
            <w:pPr>
              <w:pStyle w:val="143"/>
              <w:widowControl w:val="0"/>
              <w:rPr>
                <w:rFonts w:hint="eastAsia"/>
                <w:b/>
                <w:bCs/>
                <w:color w:val="auto"/>
              </w:rPr>
            </w:pPr>
          </w:p>
        </w:tc>
        <w:tc>
          <w:tcPr>
            <w:tcW w:w="5901" w:type="dxa"/>
            <w:vAlign w:val="center"/>
          </w:tcPr>
          <w:p>
            <w:pPr>
              <w:pStyle w:val="725"/>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16</w:t>
            </w:r>
          </w:p>
        </w:tc>
        <w:tc>
          <w:tcPr>
            <w:tcW w:w="2206" w:type="dxa"/>
            <w:vAlign w:val="center"/>
          </w:tcPr>
          <w:p>
            <w:pPr>
              <w:pStyle w:val="143"/>
              <w:widowControl w:val="0"/>
              <w:rPr>
                <w:rFonts w:hint="eastAsia"/>
                <w:b/>
                <w:bCs/>
                <w:color w:val="auto"/>
              </w:rPr>
            </w:pPr>
            <w:bookmarkStart w:id="22" w:name="_Toc26773"/>
            <w:bookmarkStart w:id="23" w:name="_Toc20235"/>
            <w:r>
              <w:rPr>
                <w:rFonts w:hint="eastAsia"/>
                <w:b/>
                <w:bCs/>
                <w:color w:val="auto"/>
              </w:rPr>
              <w:t>解释权</w:t>
            </w:r>
            <w:bookmarkEnd w:id="22"/>
            <w:bookmarkEnd w:id="23"/>
          </w:p>
        </w:tc>
        <w:tc>
          <w:tcPr>
            <w:tcW w:w="5901" w:type="dxa"/>
            <w:vAlign w:val="center"/>
          </w:tcPr>
          <w:p>
            <w:pPr>
              <w:rPr>
                <w:rFonts w:hint="eastAsia"/>
                <w:color w:val="auto"/>
              </w:rPr>
            </w:pPr>
            <w:bookmarkStart w:id="24" w:name="_Toc27891"/>
            <w:bookmarkStart w:id="25" w:name="_Toc13944"/>
            <w:r>
              <w:rPr>
                <w:rFonts w:hint="eastAsia"/>
                <w:color w:val="auto"/>
              </w:rPr>
              <w:t>本招标文件的解释权属于</w:t>
            </w:r>
            <w:r>
              <w:rPr>
                <w:rFonts w:hint="eastAsia"/>
                <w:color w:val="auto"/>
                <w:lang w:eastAsia="zh-CN"/>
              </w:rPr>
              <w:t>浙江信镧建设工程咨询有限公司</w:t>
            </w:r>
            <w:r>
              <w:rPr>
                <w:rFonts w:hint="eastAsia"/>
                <w:color w:val="auto"/>
              </w:rPr>
              <w:t>。</w:t>
            </w:r>
            <w:bookmarkEnd w:id="24"/>
            <w:bookmarkEnd w:id="25"/>
          </w:p>
        </w:tc>
      </w:tr>
      <w:bookmarkEnd w:id="13"/>
    </w:tbl>
    <w:p>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26" w:name="_Toc2518"/>
      <w:bookmarkStart w:id="27" w:name="_Toc3424"/>
      <w:r>
        <w:rPr>
          <w:rFonts w:hint="eastAsia"/>
        </w:rPr>
        <w:t>一、总则</w:t>
      </w:r>
      <w:bookmarkEnd w:id="26"/>
      <w:bookmarkEnd w:id="27"/>
    </w:p>
    <w:p>
      <w:pPr>
        <w:pStyle w:val="4"/>
      </w:pPr>
      <w:r>
        <w:rPr>
          <w:rFonts w:hint="eastAsia"/>
        </w:rPr>
        <w:t>1.适用范围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pStyle w:val="4"/>
        <w:rPr>
          <w:rFonts w:hint="eastAsia"/>
        </w:rPr>
      </w:pPr>
      <w:r>
        <w:rPr>
          <w:rFonts w:hint="eastAsia"/>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pStyle w:val="4"/>
      </w:pPr>
      <w:r>
        <w:rPr>
          <w:rFonts w:hint="eastAsia"/>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以联合体形式参加政府采购活动，联合体各方均为中小企业的，联合体视同中小企业。其中，联合体各方均为小微企业的，联合体视同小微企业。</w:t>
      </w:r>
    </w:p>
    <w:p>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color w:val="auto"/>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1" w:firstLineChars="100"/>
        <w:rPr>
          <w:rFonts w:ascii="宋体" w:hAnsi="宋体" w:cs="宋体"/>
          <w:b/>
          <w:bCs/>
          <w:sz w:val="24"/>
        </w:rPr>
      </w:pPr>
      <w:r>
        <w:rPr>
          <w:rFonts w:hint="eastAsia" w:ascii="宋体" w:hAnsi="宋体" w:cs="宋体"/>
          <w:b/>
          <w:bCs/>
          <w:sz w:val="24"/>
        </w:rPr>
        <w:t>3.4支持创新发展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pPr>
        <w:bidi w:val="0"/>
        <w:ind w:firstLine="480" w:firstLineChars="200"/>
        <w:rPr>
          <w:rFonts w:hint="eastAsia"/>
        </w:rPr>
      </w:pPr>
      <w:r>
        <w:rPr>
          <w:rFonts w:hint="eastAsia"/>
        </w:rPr>
        <w:t>平等对待内外资企业和符合条件的破产重整企业，切实保障企业公平竞争，平等维护企业的合法利益。</w:t>
      </w:r>
    </w:p>
    <w:p>
      <w:pPr>
        <w:pStyle w:val="4"/>
        <w:bidi w:val="0"/>
        <w:rPr>
          <w:rFonts w:hint="eastAsia"/>
          <w:color w:val="auto"/>
        </w:rPr>
      </w:pPr>
      <w:r>
        <w:rPr>
          <w:rFonts w:hint="eastAsia" w:ascii="宋体" w:hAnsi="宋体" w:cs="宋体"/>
          <w:sz w:val="24"/>
          <w:lang w:val="en-US" w:eastAsia="zh-CN"/>
        </w:rPr>
        <w:t>4.</w:t>
      </w:r>
      <w:r>
        <w:rPr>
          <w:rFonts w:hint="eastAsia"/>
          <w:color w:val="auto"/>
        </w:rPr>
        <w:t>询问、质疑、投诉</w:t>
      </w:r>
    </w:p>
    <w:p>
      <w:pPr>
        <w:pStyle w:val="5"/>
        <w:bidi w:val="0"/>
      </w:pPr>
      <w:r>
        <w:rPr>
          <w:rFonts w:hint="eastAsia"/>
          <w:lang w:val="en-US" w:eastAsia="zh-CN"/>
        </w:rPr>
        <w:t>4.1</w:t>
      </w:r>
      <w:r>
        <w:t>在线询问、质疑、投诉</w:t>
      </w:r>
    </w:p>
    <w:p>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bidi w:val="0"/>
      </w:pPr>
      <w:r>
        <w:rPr>
          <w:rFonts w:hint="eastAsia"/>
          <w:lang w:val="en-US" w:eastAsia="zh-CN"/>
        </w:rPr>
        <w:t>4.</w:t>
      </w:r>
      <w:r>
        <w:rPr>
          <w:rFonts w:hint="eastAsia"/>
        </w:rPr>
        <w:t>2供应商询问</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5"/>
        <w:bidi w:val="0"/>
      </w:pPr>
      <w:r>
        <w:rPr>
          <w:rFonts w:hint="eastAsia"/>
          <w:lang w:val="en-US" w:eastAsia="zh-CN"/>
        </w:rPr>
        <w:t>4.</w:t>
      </w:r>
      <w:r>
        <w:rPr>
          <w:rFonts w:hint="eastAsia"/>
        </w:rPr>
        <w:t>3供应商质疑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pPr>
        <w:pStyle w:val="33"/>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pPr>
        <w:pStyle w:val="33"/>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5"/>
        <w:bidi w:val="0"/>
      </w:pPr>
      <w:r>
        <w:rPr>
          <w:rFonts w:hint="eastAsia"/>
        </w:rPr>
        <w:t>4.</w:t>
      </w:r>
      <w:r>
        <w:rPr>
          <w:rFonts w:hint="eastAsia"/>
          <w:lang w:val="en-US" w:eastAsia="zh-CN"/>
        </w:rPr>
        <w:t>4</w:t>
      </w:r>
      <w:r>
        <w:rPr>
          <w:rFonts w:hint="eastAsia"/>
        </w:rPr>
        <w:t>供应商投诉</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pPr>
        <w:pStyle w:val="33"/>
        <w:spacing w:line="360" w:lineRule="auto"/>
        <w:ind w:firstLine="482"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pPr>
        <w:pStyle w:val="33"/>
        <w:spacing w:line="360" w:lineRule="auto"/>
        <w:ind w:firstLine="480" w:firstLineChars="200"/>
        <w:rPr>
          <w:rFonts w:hint="eastAsia" w:ascii="宋体" w:hAnsi="宋体" w:eastAsia="宋体"/>
          <w:sz w:val="24"/>
          <w:lang w:val="zh-CN" w:eastAsia="zh-CN"/>
        </w:rPr>
      </w:pPr>
    </w:p>
    <w:p>
      <w:pPr>
        <w:pStyle w:val="890"/>
        <w:shd w:val="clear" w:color="auto" w:fill="FFFFFF"/>
        <w:snapToGrid w:val="0"/>
        <w:spacing w:after="240" w:afterAutospacing="0" w:line="360" w:lineRule="auto"/>
        <w:ind w:firstLine="400"/>
        <w:contextualSpacing/>
      </w:pPr>
    </w:p>
    <w:p>
      <w:pPr>
        <w:pStyle w:val="134"/>
        <w:snapToGrid w:val="0"/>
        <w:spacing w:before="0"/>
        <w:ind w:firstLine="360"/>
        <w:rPr>
          <w:rFonts w:ascii="宋体" w:hAnsi="宋体" w:cs="宋体"/>
          <w:sz w:val="18"/>
          <w:szCs w:val="18"/>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28" w:name="_Toc2155"/>
      <w:bookmarkStart w:id="29" w:name="_Toc6417"/>
      <w:r>
        <w:rPr>
          <w:rFonts w:hint="eastAsia"/>
        </w:rPr>
        <w:t>二、招标文件的构成、澄清、修改</w:t>
      </w:r>
      <w:bookmarkEnd w:id="28"/>
      <w:bookmarkEnd w:id="29"/>
    </w:p>
    <w:p>
      <w:pPr>
        <w:pStyle w:val="4"/>
        <w:bidi w:val="0"/>
      </w:pPr>
      <w:r>
        <w:rPr>
          <w:rFonts w:hint="eastAsia"/>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4"/>
        <w:bidi w:val="0"/>
      </w:pPr>
      <w:r>
        <w:rPr>
          <w:rFonts w:hint="eastAsia"/>
        </w:rPr>
        <w:t>6. 招标文件的澄清、修改</w:t>
      </w:r>
    </w:p>
    <w:p>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4"/>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0" w:name="_Toc23795"/>
      <w:bookmarkStart w:id="31" w:name="_Toc21343"/>
      <w:r>
        <w:rPr>
          <w:rFonts w:hint="eastAsia"/>
        </w:rPr>
        <w:t>三、投标</w:t>
      </w:r>
      <w:bookmarkEnd w:id="30"/>
      <w:bookmarkEnd w:id="31"/>
    </w:p>
    <w:p>
      <w:pPr>
        <w:pStyle w:val="4"/>
        <w:bidi w:val="0"/>
      </w:pPr>
      <w:r>
        <w:rPr>
          <w:rFonts w:hint="eastAsia"/>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4"/>
        <w:bidi w:val="0"/>
      </w:pPr>
      <w:r>
        <w:rPr>
          <w:rFonts w:hint="eastAsia"/>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4"/>
        <w:bidi w:val="0"/>
      </w:pPr>
      <w:r>
        <w:rPr>
          <w:rFonts w:hint="eastAsia"/>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4"/>
        <w:bidi w:val="0"/>
      </w:pPr>
      <w:r>
        <w:rPr>
          <w:rFonts w:hint="eastAsia"/>
        </w:rPr>
        <w:t>10.投标文件的语言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4"/>
        <w:bidi w:val="0"/>
      </w:pPr>
      <w:r>
        <w:rPr>
          <w:rFonts w:hint="eastAsia"/>
        </w:rPr>
        <w:t>11.投标文件的组成</w:t>
      </w:r>
    </w:p>
    <w:p>
      <w:pPr>
        <w:pStyle w:val="5"/>
        <w:bidi w:val="0"/>
      </w:pPr>
      <w:r>
        <w:rPr>
          <w:rFonts w:hint="eastAsia"/>
        </w:rPr>
        <w:t>11.1资格文件</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pPr>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rPr>
        <w:t>11.1.2联合协议（</w:t>
      </w:r>
      <w:r>
        <w:rPr>
          <w:rFonts w:hint="eastAsia" w:ascii="宋体" w:hAnsi="宋体" w:eastAsia="宋体" w:cs="宋体"/>
          <w:sz w:val="24"/>
          <w:lang w:val="en-US" w:eastAsia="zh-CN"/>
        </w:rPr>
        <w:t>若</w:t>
      </w:r>
      <w:r>
        <w:rPr>
          <w:rFonts w:hint="eastAsia" w:ascii="宋体" w:hAnsi="宋体" w:eastAsia="宋体" w:cs="宋体"/>
          <w:sz w:val="24"/>
        </w:rPr>
        <w:t>本项目不接受联合体响应或者供应商不以联合体形式响应的，则不需要提供)</w:t>
      </w:r>
      <w:r>
        <w:rPr>
          <w:rFonts w:hint="eastAsia" w:ascii="宋体" w:hAnsi="宋体" w:eastAsia="宋体" w:cs="宋体"/>
          <w:sz w:val="24"/>
          <w:lang w:eastAsia="zh-CN"/>
        </w:rPr>
        <w:t>；</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cs="宋体"/>
          <w:sz w:val="24"/>
          <w:lang w:eastAsia="zh-CN"/>
        </w:rPr>
        <w:t>：</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r>
        <w:rPr>
          <w:rFonts w:hint="eastAsia" w:ascii="宋体" w:hAnsi="宋体" w:eastAsia="宋体" w:cs="宋体"/>
          <w:sz w:val="24"/>
        </w:rPr>
        <w:t>；</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11.1.4本项目的特定资格要求（如有</w:t>
      </w:r>
      <w:r>
        <w:rPr>
          <w:rFonts w:hint="eastAsia" w:ascii="宋体" w:hAnsi="宋体" w:eastAsia="宋体" w:cs="宋体"/>
          <w:sz w:val="24"/>
          <w:lang w:eastAsia="zh-CN"/>
        </w:rPr>
        <w:t>要求</w:t>
      </w:r>
      <w:r>
        <w:rPr>
          <w:rFonts w:hint="eastAsia" w:ascii="宋体" w:hAnsi="宋体" w:eastAsia="宋体" w:cs="宋体"/>
          <w:sz w:val="24"/>
        </w:rPr>
        <w:t>)。</w:t>
      </w:r>
    </w:p>
    <w:p>
      <w:pPr>
        <w:pStyle w:val="5"/>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rPr>
          <w:rFonts w:ascii="宋体" w:hAnsi="宋体" w:cs="宋体"/>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w:t>
      </w:r>
    </w:p>
    <w:p>
      <w:pPr>
        <w:snapToGrid w:val="0"/>
        <w:spacing w:line="360" w:lineRule="auto"/>
        <w:rPr>
          <w:rFonts w:hint="eastAsia" w:ascii="宋体" w:hAnsi="宋体" w:eastAsia="宋体" w:cs="宋体"/>
          <w:snapToGrid w:val="0"/>
          <w:kern w:val="28"/>
          <w:sz w:val="24"/>
          <w:szCs w:val="20"/>
          <w:lang w:eastAsia="zh-CN"/>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r>
        <w:rPr>
          <w:rFonts w:hint="eastAsia" w:ascii="宋体" w:hAnsi="宋体" w:cs="宋体"/>
          <w:snapToGrid w:val="0"/>
          <w:kern w:val="28"/>
          <w:sz w:val="24"/>
          <w:szCs w:val="20"/>
          <w:lang w:eastAsia="zh-CN"/>
        </w:rPr>
        <w:t>）；</w:t>
      </w:r>
    </w:p>
    <w:p>
      <w:pPr>
        <w:snapToGrid w:val="0"/>
        <w:spacing w:line="360" w:lineRule="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napToGrid w:val="0"/>
          <w:kern w:val="28"/>
          <w:sz w:val="24"/>
          <w:szCs w:val="20"/>
        </w:rPr>
        <w:t>（如有)</w:t>
      </w:r>
      <w:r>
        <w:rPr>
          <w:rFonts w:hint="eastAsia" w:ascii="宋体" w:hAnsi="宋体" w:cs="宋体"/>
          <w:sz w:val="24"/>
        </w:rPr>
        <w:t>；</w:t>
      </w:r>
    </w:p>
    <w:p>
      <w:pPr>
        <w:snapToGrid w:val="0"/>
        <w:spacing w:line="360" w:lineRule="auto"/>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5</w:t>
      </w:r>
      <w:r>
        <w:rPr>
          <w:rFonts w:hint="eastAsia" w:ascii="宋体" w:hAnsi="宋体" w:eastAsia="宋体" w:cs="宋体"/>
          <w:sz w:val="24"/>
        </w:rPr>
        <w:t>评标标准相应的商务技术资料；</w:t>
      </w:r>
    </w:p>
    <w:p>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11.2.6</w:t>
      </w:r>
      <w:r>
        <w:rPr>
          <w:rFonts w:hint="eastAsia" w:ascii="宋体" w:hAnsi="宋体" w:cs="宋体"/>
          <w:sz w:val="24"/>
        </w:rPr>
        <w:t>商务</w:t>
      </w:r>
      <w:r>
        <w:rPr>
          <w:rFonts w:hint="eastAsia" w:ascii="宋体" w:hAnsi="宋体" w:cs="宋体"/>
          <w:sz w:val="24"/>
          <w:lang w:val="en-US" w:eastAsia="zh-CN"/>
        </w:rPr>
        <w:t>偏离表；</w:t>
      </w:r>
    </w:p>
    <w:p>
      <w:pPr>
        <w:snapToGrid w:val="0"/>
        <w:spacing w:line="360" w:lineRule="auto"/>
        <w:rPr>
          <w:rFonts w:hint="eastAsia" w:ascii="宋体" w:hAnsi="宋体" w:cs="宋体"/>
          <w:sz w:val="24"/>
        </w:rPr>
      </w:pPr>
      <w:r>
        <w:rPr>
          <w:rFonts w:hint="eastAsia" w:ascii="宋体" w:hAnsi="宋体" w:cs="宋体"/>
          <w:sz w:val="24"/>
          <w:lang w:val="en-US" w:eastAsia="zh-CN"/>
        </w:rPr>
        <w:t>11.2.7</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pPr>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8</w:t>
      </w:r>
      <w:r>
        <w:rPr>
          <w:rFonts w:hint="eastAsia" w:ascii="宋体" w:hAnsi="宋体" w:eastAsia="宋体" w:cs="宋体"/>
          <w:sz w:val="24"/>
          <w:lang w:val="zh-CN"/>
        </w:rPr>
        <w:t>政府采购供应商廉洁自律承诺书；</w:t>
      </w:r>
    </w:p>
    <w:p>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11.2.</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采购</w:t>
      </w:r>
      <w:r>
        <w:rPr>
          <w:rFonts w:hint="eastAsia" w:ascii="宋体" w:hAnsi="宋体" w:eastAsia="宋体" w:cs="宋体"/>
          <w:color w:val="auto"/>
          <w:sz w:val="24"/>
          <w:lang w:val="zh-CN" w:eastAsia="zh-CN"/>
        </w:rPr>
        <w:t>代理服务费支付承诺书。（本项不作为无效标评审内容）</w:t>
      </w:r>
    </w:p>
    <w:p>
      <w:pPr>
        <w:pStyle w:val="5"/>
        <w:bidi w:val="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r>
        <w:rPr>
          <w:rFonts w:hint="eastAsia" w:ascii="宋体" w:hAnsi="宋体" w:cs="宋体"/>
          <w:color w:val="auto"/>
          <w:sz w:val="24"/>
        </w:rPr>
        <w:t xml:space="preserve"> </w:t>
      </w:r>
    </w:p>
    <w:p>
      <w:pPr>
        <w:snapToGrid w:val="0"/>
        <w:spacing w:line="360" w:lineRule="auto"/>
        <w:rPr>
          <w:rFonts w:hint="eastAsia" w:ascii="宋体" w:hAnsi="宋体" w:cs="宋体"/>
          <w:color w:val="auto"/>
          <w:sz w:val="24"/>
        </w:rPr>
      </w:pPr>
      <w:r>
        <w:rPr>
          <w:rFonts w:hint="eastAsia" w:ascii="宋体" w:hAnsi="宋体" w:cs="宋体"/>
          <w:color w:val="auto"/>
          <w:sz w:val="24"/>
        </w:rPr>
        <w:t>11.3.1开标一览表（报价表）；</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p>
    <w:p>
      <w:pPr>
        <w:snapToGrid w:val="0"/>
        <w:spacing w:line="360" w:lineRule="auto"/>
        <w:rPr>
          <w:rFonts w:hint="eastAsia" w:ascii="宋体" w:hAnsi="宋体" w:eastAsia="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r>
        <w:rPr>
          <w:rFonts w:hint="eastAsia" w:ascii="宋体" w:hAnsi="宋体" w:cs="宋体"/>
          <w:color w:val="auto"/>
          <w:sz w:val="24"/>
        </w:rPr>
        <w:t>。</w:t>
      </w:r>
      <w:r>
        <w:rPr>
          <w:rFonts w:hint="eastAsia" w:ascii="宋体" w:hAnsi="宋体" w:eastAsia="宋体" w:cs="宋体"/>
          <w:color w:val="auto"/>
          <w:sz w:val="24"/>
        </w:rPr>
        <w:t>（</w:t>
      </w:r>
      <w:r>
        <w:rPr>
          <w:rFonts w:hint="eastAsia"/>
          <w:color w:val="auto"/>
          <w:sz w:val="24"/>
        </w:rPr>
        <w:t>如适用</w:t>
      </w:r>
      <w:r>
        <w:rPr>
          <w:rFonts w:hint="eastAsia" w:ascii="宋体" w:hAnsi="宋体" w:eastAsia="宋体" w:cs="宋体"/>
          <w:color w:val="auto"/>
          <w:sz w:val="24"/>
        </w:rPr>
        <w:t>）</w:t>
      </w:r>
    </w:p>
    <w:p>
      <w:pPr>
        <w:spacing w:line="360" w:lineRule="auto"/>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rPr>
          <w:rFonts w:ascii="宋体" w:hAnsi="宋体" w:cs="宋体"/>
          <w:b/>
          <w:sz w:val="24"/>
          <w:szCs w:val="21"/>
        </w:rPr>
      </w:pPr>
      <w:r>
        <w:rPr>
          <w:rFonts w:hint="eastAsia" w:ascii="宋体" w:hAnsi="宋体" w:cs="宋体"/>
          <w:b/>
          <w:sz w:val="24"/>
        </w:rPr>
        <w:t>投标人提供虚假材料投标的，投标无效。</w:t>
      </w:r>
    </w:p>
    <w:p>
      <w:pPr>
        <w:pStyle w:val="4"/>
        <w:bidi w:val="0"/>
      </w:pPr>
      <w:r>
        <w:rPr>
          <w:rFonts w:hint="eastAsia"/>
        </w:rPr>
        <w:t>12</w:t>
      </w:r>
      <w:r>
        <w:rPr>
          <w:rFonts w:hint="eastAsia"/>
          <w:lang w:val="zh-CN"/>
        </w:rPr>
        <w:t xml:space="preserve">. </w:t>
      </w:r>
      <w:r>
        <w:rPr>
          <w:rFonts w:hint="eastAsia"/>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pStyle w:val="4"/>
        <w:bidi w:val="0"/>
      </w:pPr>
      <w:r>
        <w:rPr>
          <w:rFonts w:hint="eastAsia"/>
        </w:rPr>
        <w:t>13.投标文件的签署、盖章</w:t>
      </w:r>
    </w:p>
    <w:p>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4"/>
        <w:bidi w:val="0"/>
      </w:pPr>
      <w:r>
        <w:rPr>
          <w:rFonts w:hint="eastAsia"/>
        </w:rPr>
        <w:t>14. 投标文件的提交、补充、修改、撤回</w:t>
      </w:r>
    </w:p>
    <w:p>
      <w:pPr>
        <w:pStyle w:val="134"/>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4"/>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pPr>
        <w:pStyle w:val="4"/>
        <w:bidi w:val="0"/>
      </w:pPr>
      <w:r>
        <w:rPr>
          <w:rFonts w:hint="eastAsia"/>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4"/>
        <w:bidi w:val="0"/>
      </w:pPr>
      <w:r>
        <w:rPr>
          <w:rFonts w:hint="eastAsia"/>
        </w:rPr>
        <w:t>16.投标文件的无效处理</w:t>
      </w:r>
    </w:p>
    <w:p>
      <w:pPr>
        <w:pStyle w:val="25"/>
        <w:spacing w:line="360" w:lineRule="auto"/>
        <w:ind w:firstLine="360" w:firstLineChars="150"/>
        <w:rPr>
          <w:rFonts w:hint="eastAsia" w:eastAsia="宋体" w:cs="宋体"/>
          <w:szCs w:val="21"/>
          <w:lang w:eastAsia="zh-CN"/>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pPr>
        <w:pStyle w:val="4"/>
        <w:bidi w:val="0"/>
      </w:pPr>
      <w:r>
        <w:rPr>
          <w:rFonts w:hint="eastAsia"/>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4"/>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sz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2" w:name="_Toc21464"/>
      <w:bookmarkStart w:id="33" w:name="_Toc2842"/>
      <w:r>
        <w:rPr>
          <w:rFonts w:hint="eastAsia"/>
        </w:rPr>
        <w:t>四、开标、资格审查与信用信息查询</w:t>
      </w:r>
      <w:bookmarkEnd w:id="32"/>
      <w:bookmarkEnd w:id="33"/>
    </w:p>
    <w:p>
      <w:pPr>
        <w:pStyle w:val="4"/>
        <w:bidi w:val="0"/>
      </w:pPr>
      <w:r>
        <w:rPr>
          <w:rFonts w:hint="eastAsia"/>
        </w:rPr>
        <w:t xml:space="preserve">18.开标 </w:t>
      </w:r>
    </w:p>
    <w:p>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4"/>
        <w:bidi w:val="0"/>
      </w:pPr>
      <w:r>
        <w:rPr>
          <w:rFonts w:hint="eastAsia"/>
        </w:rPr>
        <w:t>19</w:t>
      </w:r>
      <w:r>
        <w:rPr>
          <w:rFonts w:hint="eastAsia"/>
          <w:lang w:val="en-US" w:eastAsia="zh-CN"/>
        </w:rPr>
        <w:t>.</w:t>
      </w:r>
      <w:r>
        <w:rPr>
          <w:rFonts w:hint="eastAsia"/>
        </w:rPr>
        <w:t>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4"/>
        <w:bidi w:val="0"/>
        <w:rPr>
          <w:color w:val="auto"/>
        </w:rPr>
      </w:pPr>
      <w:r>
        <w:rPr>
          <w:rFonts w:hint="eastAsia"/>
        </w:rPr>
        <w:t>20</w:t>
      </w:r>
      <w:r>
        <w:rPr>
          <w:rFonts w:hint="eastAsia"/>
          <w:color w:val="auto"/>
          <w:lang w:val="en-US" w:eastAsia="zh-CN"/>
        </w:rPr>
        <w:t>.</w:t>
      </w:r>
      <w:r>
        <w:rPr>
          <w:rFonts w:hint="eastAsia"/>
          <w:color w:val="auto"/>
        </w:rPr>
        <w:t>信用信息查询</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5"/>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725"/>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4"/>
        <w:spacing w:before="0"/>
        <w:ind w:firstLine="480"/>
        <w:rPr>
          <w:rFonts w:ascii="宋体" w:hAnsi="宋体" w:cs="宋体"/>
          <w:highlight w:val="none"/>
        </w:rPr>
      </w:pPr>
    </w:p>
    <w:p>
      <w:pPr>
        <w:pStyle w:val="134"/>
        <w:spacing w:before="0"/>
        <w:ind w:firstLine="0" w:firstLineChars="0"/>
        <w:rPr>
          <w:rFonts w:ascii="宋体" w:hAnsi="宋体" w:cs="宋体"/>
          <w:kern w:val="0"/>
          <w:szCs w:val="24"/>
          <w:highlight w:val="none"/>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4" w:name="_Toc5142"/>
      <w:bookmarkStart w:id="35" w:name="_Toc313"/>
      <w:r>
        <w:rPr>
          <w:rFonts w:hint="eastAsia"/>
        </w:rPr>
        <w:t>五、评标</w:t>
      </w:r>
      <w:bookmarkEnd w:id="34"/>
      <w:bookmarkEnd w:id="35"/>
    </w:p>
    <w:p>
      <w:pPr>
        <w:spacing w:line="360" w:lineRule="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7" w:name="_Toc30166"/>
      <w:bookmarkStart w:id="38" w:name="_Toc15047"/>
      <w:r>
        <w:rPr>
          <w:rFonts w:hint="eastAsia"/>
        </w:rPr>
        <w:t>六、定 标</w:t>
      </w:r>
      <w:bookmarkEnd w:id="37"/>
      <w:bookmarkEnd w:id="38"/>
    </w:p>
    <w:p>
      <w:pPr>
        <w:pStyle w:val="4"/>
        <w:bidi w:val="0"/>
      </w:pPr>
      <w:r>
        <w:rPr>
          <w:rFonts w:hint="eastAsia"/>
        </w:rPr>
        <w:t>22. 确定中标供应商</w:t>
      </w:r>
    </w:p>
    <w:p>
      <w:pPr>
        <w:pStyle w:val="134"/>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pPr>
        <w:pStyle w:val="4"/>
        <w:bidi w:val="0"/>
      </w:pPr>
      <w:r>
        <w:rPr>
          <w:rFonts w:hint="eastAsia"/>
        </w:rPr>
        <w:t>23. 中标通知与中标结果公告</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pPr>
        <w:snapToGrid w:val="0"/>
        <w:spacing w:line="360" w:lineRule="auto"/>
        <w:ind w:left="137" w:leftChars="57" w:firstLine="482" w:firstLineChars="150"/>
        <w:jc w:val="center"/>
        <w:rPr>
          <w:rFonts w:ascii="宋体" w:hAnsi="宋体" w:cs="宋体"/>
          <w:b/>
          <w:sz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9" w:name="_Toc19257"/>
      <w:bookmarkStart w:id="40" w:name="_Toc18672"/>
      <w:r>
        <w:rPr>
          <w:rFonts w:hint="eastAsia"/>
        </w:rPr>
        <w:t>七、合同授予</w:t>
      </w:r>
      <w:bookmarkEnd w:id="39"/>
      <w:bookmarkEnd w:id="40"/>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4"/>
        <w:bidi w:val="0"/>
      </w:pPr>
      <w:r>
        <w:rPr>
          <w:rFonts w:hint="eastAsia"/>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4"/>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pPr>
        <w:pStyle w:val="4"/>
        <w:bidi w:val="0"/>
      </w:pPr>
      <w:r>
        <w:rPr>
          <w:rFonts w:hint="eastAsia"/>
        </w:rPr>
        <w:t>26. 履约保证金</w:t>
      </w:r>
    </w:p>
    <w:p>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bidi w:val="0"/>
      </w:pPr>
      <w:bookmarkStart w:id="41" w:name="_Toc1857"/>
      <w:bookmarkStart w:id="42" w:name="_Toc28676"/>
      <w:r>
        <w:rPr>
          <w:rFonts w:hint="eastAsia"/>
        </w:rPr>
        <w:t>八、电子交易活动的中止</w:t>
      </w:r>
      <w:bookmarkEnd w:id="41"/>
      <w:bookmarkEnd w:id="42"/>
    </w:p>
    <w:p>
      <w:pPr>
        <w:pStyle w:val="134"/>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4"/>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4"/>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4"/>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4"/>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4"/>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4"/>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3" w:name="_Toc5169"/>
      <w:bookmarkStart w:id="44" w:name="_Toc1567"/>
      <w:r>
        <w:rPr>
          <w:rFonts w:hint="eastAsia"/>
        </w:rPr>
        <w:t>九、验收</w:t>
      </w:r>
      <w:bookmarkEnd w:id="43"/>
      <w:bookmarkEnd w:id="44"/>
    </w:p>
    <w:p>
      <w:pPr>
        <w:pStyle w:val="4"/>
        <w:bidi w:val="0"/>
      </w:pPr>
      <w:r>
        <w:rPr>
          <w:rFonts w:hint="eastAsia"/>
        </w:rPr>
        <w:t>29.验收</w:t>
      </w:r>
    </w:p>
    <w:bookmarkEnd w:id="20"/>
    <w:bookmarkEnd w:id="21"/>
    <w:bookmarkEnd w:id="36"/>
    <w:p>
      <w:pPr>
        <w:tabs>
          <w:tab w:val="left" w:pos="0"/>
        </w:tabs>
        <w:spacing w:line="360" w:lineRule="auto"/>
        <w:ind w:firstLine="480"/>
        <w:rPr>
          <w:rFonts w:hint="eastAsia" w:ascii="宋体" w:hAnsi="宋体" w:eastAsia="宋体" w:cs="Helvetica"/>
          <w:kern w:val="0"/>
          <w:sz w:val="24"/>
        </w:rPr>
      </w:pPr>
      <w:bookmarkStart w:id="45"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p>
    <w:p>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pPr>
        <w:pStyle w:val="2"/>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2"/>
        <w:bidi w:val="0"/>
      </w:pPr>
      <w:bookmarkStart w:id="46" w:name="_Toc28975"/>
      <w:bookmarkStart w:id="47" w:name="_Toc919"/>
      <w:bookmarkStart w:id="48" w:name="_Toc31241"/>
      <w:r>
        <w:rPr>
          <w:rFonts w:hint="eastAsia"/>
        </w:rPr>
        <w:t>第三部分 采购需求</w:t>
      </w:r>
      <w:bookmarkEnd w:id="46"/>
      <w:bookmarkEnd w:id="47"/>
      <w:bookmarkEnd w:id="48"/>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为进一步提升浙江福彩公益品牌影响力，更好地履行福利彩票的社会责任，践行浙江福彩为民爱民使命及公益慈善初心，促进我省福利彩票安全健康发展，建设好、宣传好福彩公益品牌，拟在全省各市（含义乌）开展浙江福彩“走进福彩公益金资助项目”活动，开展此次招标工作，具体涉及但不仅限于以下内容：</w:t>
      </w:r>
    </w:p>
    <w:p>
      <w:pPr>
        <w:pStyle w:val="4"/>
        <w:bidi w:val="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一、组织线下活动</w:t>
      </w:r>
    </w:p>
    <w:p>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配合全省12市（含义乌）福彩中心开展“走进福彩公益金资助项目”活动，全省各市福彩中心根据实际情况策划相应活动方案，方案经采购方同意后执行。中标人根据活动方案，配套相应的服务，包含提供每场活动专业主持人1名、优质文艺表演节目3个（含演出人员相关费用）、儿童或老年人慰问品、活动现场系列宣传物料等，做好活动前、中、后期宣传工作；配合各地市福彩中心组织参加“走进福彩公益金资助项目”人员，包括媒体记者代表、购彩者代表、志愿者代表、热心公益事业的社会公众代表、“爱心驿站”代表等，每场活动总人数不少于60人。全省各市（含义乌）1场活动，其中示范型较大型活动1场，整场活动均由中标人负责执行，含大型舞台搭建（含LED大屏、场地、灯光、舞美）、主持人、表演节目、场地布设（内场及外场、道旗、引导牌等）、喷绘展板等宣传品制作展示（内容由采购人确定）。</w:t>
      </w:r>
    </w:p>
    <w:p>
      <w:pPr>
        <w:pStyle w:val="4"/>
        <w:bidi w:val="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二、线下活动慰问品，组织参加活动代表费用及宣传品采购</w:t>
      </w:r>
    </w:p>
    <w:p>
      <w:pPr>
        <w:tabs>
          <w:tab w:val="left" w:pos="0"/>
        </w:tabs>
        <w:spacing w:line="360" w:lineRule="auto"/>
        <w:ind w:firstLine="480"/>
        <w:rPr>
          <w:rFonts w:hint="eastAsia" w:ascii="宋体" w:hAnsi="宋体" w:eastAsia="宋体" w:cs="Helvetica"/>
          <w:kern w:val="0"/>
          <w:sz w:val="24"/>
          <w:highlight w:val="none"/>
        </w:rPr>
      </w:pPr>
      <w:r>
        <w:rPr>
          <w:rFonts w:hint="eastAsia" w:ascii="宋体" w:hAnsi="宋体" w:eastAsia="宋体" w:cs="Helvetica"/>
          <w:kern w:val="0"/>
          <w:sz w:val="24"/>
          <w:highlight w:val="none"/>
        </w:rPr>
        <w:t>项目执行期间，根据活动情况，采购一批针对慰问对象（儿童、青少年、老人等）的优质物品（例如书包、被子、水杯、伞等慰问对象所需要的物品），物品采购费用每市</w:t>
      </w:r>
      <w:r>
        <w:rPr>
          <w:rFonts w:hint="eastAsia" w:ascii="宋体" w:hAnsi="宋体" w:cs="Helvetica"/>
          <w:kern w:val="0"/>
          <w:sz w:val="24"/>
          <w:highlight w:val="none"/>
          <w:lang w:val="en-US" w:eastAsia="zh-CN"/>
        </w:rPr>
        <w:t>6</w:t>
      </w:r>
      <w:r>
        <w:rPr>
          <w:rFonts w:hint="eastAsia" w:ascii="宋体" w:hAnsi="宋体" w:eastAsia="宋体" w:cs="Helvetica"/>
          <w:kern w:val="0"/>
          <w:sz w:val="24"/>
          <w:highlight w:val="none"/>
        </w:rPr>
        <w:t>0000元</w:t>
      </w:r>
      <w:r>
        <w:rPr>
          <w:rFonts w:hint="eastAsia" w:ascii="宋体" w:hAnsi="宋体" w:cs="Helvetica"/>
          <w:kern w:val="0"/>
          <w:sz w:val="24"/>
          <w:highlight w:val="none"/>
          <w:lang w:eastAsia="zh-CN"/>
        </w:rPr>
        <w:t>（物资采购明细及单价需经采购人同意并确认）</w:t>
      </w:r>
      <w:r>
        <w:rPr>
          <w:rFonts w:hint="eastAsia" w:ascii="宋体" w:hAnsi="宋体" w:eastAsia="宋体" w:cs="Helvetica"/>
          <w:kern w:val="0"/>
          <w:sz w:val="24"/>
          <w:highlight w:val="none"/>
        </w:rPr>
        <w:t>，物品清单由中标人提供，经各市福彩中心选定后，由中标人统一、成套配送至各市（含义乌）福彩中心指定地点，所有慰问品统一标识福彩logo，外包装由中标人设计制作，经采购人审核通过后使用；中标人面向社会公开招募（中标人开发小程序或其他公开渠道收集报名信息）并组织“走进福彩公益金资助项目”代表，每场</w:t>
      </w:r>
      <w:r>
        <w:rPr>
          <w:rFonts w:hint="eastAsia" w:ascii="宋体" w:hAnsi="宋体" w:cs="Helvetica"/>
          <w:kern w:val="0"/>
          <w:sz w:val="24"/>
          <w:highlight w:val="none"/>
          <w:lang w:val="en-US" w:eastAsia="zh-CN"/>
        </w:rPr>
        <w:t>60</w:t>
      </w:r>
      <w:r>
        <w:rPr>
          <w:rFonts w:hint="eastAsia" w:ascii="宋体" w:hAnsi="宋体" w:eastAsia="宋体" w:cs="Helvetica"/>
          <w:kern w:val="0"/>
          <w:sz w:val="24"/>
          <w:highlight w:val="none"/>
        </w:rPr>
        <w:t>人，每人预算200元（餐饮、宣传品等），活动所涉及费用（交通费，大巴租赁）均由中标人负责，宣传品包括但不限于外装纸袋或帆布袋1只（视觉设计由中标人负责，经采购人审核通过后印制），</w:t>
      </w:r>
      <w:r>
        <w:rPr>
          <w:rFonts w:hint="eastAsia" w:ascii="宋体" w:hAnsi="宋体" w:eastAsia="宋体" w:cs="Helvetica"/>
          <w:kern w:val="0"/>
          <w:sz w:val="24"/>
          <w:highlight w:val="none"/>
          <w:lang w:val="en-US" w:eastAsia="zh-CN"/>
        </w:rPr>
        <w:t>陶瓷</w:t>
      </w:r>
      <w:r>
        <w:rPr>
          <w:rFonts w:hint="eastAsia" w:ascii="宋体" w:hAnsi="宋体" w:eastAsia="宋体" w:cs="Helvetica"/>
          <w:kern w:val="0"/>
          <w:sz w:val="24"/>
          <w:highlight w:val="none"/>
        </w:rPr>
        <w:t>杯1个，</w:t>
      </w:r>
      <w:r>
        <w:rPr>
          <w:rFonts w:hint="eastAsia" w:ascii="宋体" w:hAnsi="宋体" w:eastAsia="宋体" w:cs="Helvetica"/>
          <w:kern w:val="0"/>
          <w:sz w:val="24"/>
          <w:highlight w:val="none"/>
          <w:lang w:val="en-US" w:eastAsia="zh-CN"/>
        </w:rPr>
        <w:t>伞1把，</w:t>
      </w:r>
      <w:r>
        <w:rPr>
          <w:rFonts w:hint="eastAsia" w:ascii="宋体" w:hAnsi="宋体" w:eastAsia="宋体" w:cs="Helvetica"/>
          <w:kern w:val="0"/>
          <w:sz w:val="24"/>
          <w:highlight w:val="none"/>
        </w:rPr>
        <w:t>活动介绍手册1本等，所有物品统一印制福彩logo及</w:t>
      </w:r>
      <w:r>
        <w:rPr>
          <w:rFonts w:hint="eastAsia" w:ascii="宋体" w:hAnsi="宋体" w:eastAsia="宋体" w:cs="Helvetica"/>
          <w:kern w:val="0"/>
          <w:sz w:val="24"/>
          <w:highlight w:val="none"/>
          <w:lang w:val="en-US" w:eastAsia="zh-CN"/>
        </w:rPr>
        <w:t>IP形象</w:t>
      </w:r>
      <w:r>
        <w:rPr>
          <w:rFonts w:hint="eastAsia" w:ascii="宋体" w:hAnsi="宋体" w:eastAsia="宋体" w:cs="Helvetica"/>
          <w:kern w:val="0"/>
          <w:sz w:val="24"/>
          <w:highlight w:val="none"/>
        </w:rPr>
        <w:t>（logo由中标人设计，经采购人审核通过后使用）。数量视情况在各市之间调剂配发（统一配发到各市福彩中心，物流费用由中标人承担）。</w:t>
      </w:r>
    </w:p>
    <w:p>
      <w:pPr>
        <w:pStyle w:val="4"/>
        <w:bidi w:val="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三、宣传</w:t>
      </w:r>
    </w:p>
    <w:p>
      <w:pPr>
        <w:rPr>
          <w:rFonts w:hint="eastAsia" w:ascii="Times New Roman" w:hAnsi="Times New Roman" w:eastAsia="宋体" w:cs="Times New Roman"/>
          <w:color w:val="0000FF"/>
          <w:highlight w:val="none"/>
          <w:lang w:val="en-US" w:eastAsia="zh-CN"/>
        </w:rPr>
      </w:pPr>
      <w:r>
        <w:rPr>
          <w:rFonts w:hint="eastAsia" w:ascii="Times New Roman" w:hAnsi="Times New Roman" w:eastAsia="宋体" w:cs="Times New Roman"/>
          <w:color w:val="auto"/>
          <w:highlight w:val="none"/>
          <w:lang w:val="en-US" w:eastAsia="zh-CN"/>
        </w:rPr>
        <w:t>每场活动H5 1个，短视频1个，系列创意海报2张，活动宣传软文2篇，视频和图片直播各1场（直播平台观看人次不少于100万），做好每场活动前、中、后期宣传，全省12场活动结束后，做好总结性宣传报道视频不少于1个、图文报道不少于1篇。在不少于2家中央媒体刊登报道（图文影音不限）不少于5次，在不少于2家本省省级媒体刊登报道（图文影音不限）不少于12次。项目执行期间，新媒体平台（微信朋友圈、抖音、快手及其他视频平台）广告省内曝光量不少于3000万。</w:t>
      </w:r>
      <w:r>
        <w:rPr>
          <w:rFonts w:hint="eastAsia" w:ascii="Times New Roman" w:hAnsi="Times New Roman" w:eastAsia="宋体" w:cs="Times New Roman"/>
          <w:color w:val="0000FF"/>
          <w:highlight w:val="none"/>
          <w:lang w:val="en-US" w:eastAsia="zh-CN"/>
        </w:rPr>
        <w:t xml:space="preserve"> </w:t>
      </w:r>
    </w:p>
    <w:p>
      <w:pPr>
        <w:pStyle w:val="4"/>
        <w:bidi w:val="0"/>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四</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宣传成果提交</w:t>
      </w:r>
      <w:r>
        <w:rPr>
          <w:rFonts w:hint="eastAsia" w:ascii="Times New Roman" w:hAnsi="Times New Roman" w:eastAsia="宋体" w:cs="Times New Roman"/>
          <w:color w:val="auto"/>
          <w:highlight w:val="none"/>
          <w:lang w:val="en-US" w:eastAsia="zh-CN"/>
        </w:rPr>
        <w:t>要求</w:t>
      </w:r>
    </w:p>
    <w:p>
      <w:pPr>
        <w:rPr>
          <w:rFonts w:hint="eastAsia"/>
          <w:color w:val="auto"/>
          <w:highlight w:val="none"/>
          <w:lang w:val="en-US" w:eastAsia="zh-CN"/>
        </w:rPr>
      </w:pPr>
      <w:r>
        <w:rPr>
          <w:rFonts w:hint="eastAsia"/>
          <w:color w:val="auto"/>
          <w:highlight w:val="none"/>
          <w:lang w:val="en-US" w:eastAsia="zh-CN"/>
        </w:rPr>
        <w:t>在项目全部实施完成后</w:t>
      </w:r>
      <w:r>
        <w:rPr>
          <w:rFonts w:hint="default"/>
          <w:color w:val="auto"/>
          <w:highlight w:val="none"/>
          <w:lang w:val="en-US" w:eastAsia="zh-CN"/>
        </w:rPr>
        <w:t>7</w:t>
      </w:r>
      <w:r>
        <w:rPr>
          <w:rFonts w:hint="eastAsia"/>
          <w:color w:val="auto"/>
          <w:highlight w:val="none"/>
          <w:lang w:val="en-US" w:eastAsia="zh-CN"/>
        </w:rPr>
        <w:t>个工作日内向采购人提交书面结案报告。</w:t>
      </w:r>
    </w:p>
    <w:p>
      <w:pPr>
        <w:pStyle w:val="4"/>
        <w:bidi w:val="0"/>
        <w:rPr>
          <w:rFonts w:hint="eastAsia"/>
          <w:color w:val="auto"/>
          <w:lang w:val="en-US" w:eastAsia="zh-CN"/>
        </w:rPr>
      </w:pPr>
      <w:r>
        <w:rPr>
          <w:rFonts w:hint="eastAsia"/>
          <w:color w:val="auto"/>
          <w:lang w:val="en-US" w:eastAsia="zh-CN"/>
        </w:rPr>
        <w:t>五、商务要求</w:t>
      </w:r>
    </w:p>
    <w:p>
      <w:pPr>
        <w:pStyle w:val="5"/>
        <w:numPr>
          <w:ilvl w:val="0"/>
          <w:numId w:val="1"/>
        </w:numPr>
        <w:bidi w:val="0"/>
        <w:rPr>
          <w:rFonts w:hint="eastAsia"/>
          <w:color w:val="auto"/>
          <w:lang w:val="en-US" w:eastAsia="zh-CN"/>
        </w:rPr>
      </w:pPr>
      <w:r>
        <w:rPr>
          <w:rFonts w:hint="eastAsia"/>
          <w:color w:val="auto"/>
          <w:lang w:val="en-US" w:eastAsia="zh-CN"/>
        </w:rPr>
        <w:t>服务期</w:t>
      </w:r>
    </w:p>
    <w:p>
      <w:pPr>
        <w:bidi w:val="0"/>
        <w:rPr>
          <w:rFonts w:hint="eastAsia"/>
          <w:color w:val="auto"/>
        </w:rPr>
      </w:pP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本合同项下全部服务</w:t>
      </w:r>
      <w:r>
        <w:rPr>
          <w:rFonts w:hint="eastAsia"/>
          <w:color w:val="auto"/>
        </w:rPr>
        <w:t>项目。</w:t>
      </w:r>
    </w:p>
    <w:p>
      <w:pPr>
        <w:pStyle w:val="5"/>
        <w:numPr>
          <w:ilvl w:val="0"/>
          <w:numId w:val="1"/>
        </w:numPr>
        <w:bidi w:val="0"/>
        <w:ind w:left="0" w:leftChars="0" w:firstLine="241" w:firstLineChars="100"/>
        <w:rPr>
          <w:rFonts w:hint="eastAsia"/>
          <w:color w:val="auto"/>
          <w:lang w:val="en-US" w:eastAsia="zh-CN"/>
        </w:rPr>
      </w:pPr>
      <w:r>
        <w:rPr>
          <w:rFonts w:hint="eastAsia"/>
          <w:color w:val="auto"/>
          <w:lang w:val="en-US" w:eastAsia="zh-CN"/>
        </w:rPr>
        <w:t>服务地点</w:t>
      </w:r>
    </w:p>
    <w:p>
      <w:pPr>
        <w:bidi w:val="0"/>
        <w:rPr>
          <w:rFonts w:hint="default"/>
          <w:color w:val="auto"/>
          <w:lang w:val="en-US" w:eastAsia="zh-CN"/>
        </w:rPr>
      </w:pPr>
      <w:r>
        <w:rPr>
          <w:rFonts w:hint="default"/>
          <w:color w:val="auto"/>
          <w:lang w:val="en-US" w:eastAsia="zh-CN"/>
        </w:rPr>
        <w:t>采购人指定地点</w:t>
      </w:r>
    </w:p>
    <w:p>
      <w:pPr>
        <w:pStyle w:val="5"/>
        <w:numPr>
          <w:ilvl w:val="0"/>
          <w:numId w:val="1"/>
        </w:numPr>
        <w:bidi w:val="0"/>
        <w:ind w:left="0" w:leftChars="0" w:firstLine="241" w:firstLineChars="100"/>
        <w:rPr>
          <w:rFonts w:hint="eastAsia"/>
          <w:color w:val="auto"/>
          <w:lang w:val="en-US" w:eastAsia="zh-CN"/>
        </w:rPr>
      </w:pPr>
      <w:r>
        <w:rPr>
          <w:rFonts w:hint="eastAsia"/>
          <w:color w:val="auto"/>
          <w:lang w:val="en-US" w:eastAsia="zh-CN"/>
        </w:rPr>
        <w:t xml:space="preserve">付款方式 </w:t>
      </w:r>
    </w:p>
    <w:p>
      <w:pPr>
        <w:bidi w:val="0"/>
        <w:rPr>
          <w:rFonts w:hint="eastAsia"/>
          <w:color w:val="auto"/>
        </w:rPr>
      </w:pPr>
      <w:r>
        <w:rPr>
          <w:rFonts w:hint="eastAsia" w:ascii="宋体" w:hAnsi="宋体" w:eastAsia="宋体" w:cs="Times New Roman"/>
          <w:color w:val="auto"/>
          <w:szCs w:val="21"/>
        </w:rPr>
        <w:t>合同生效以及具备实施条件后</w:t>
      </w:r>
      <w:r>
        <w:rPr>
          <w:rFonts w:hint="eastAsia" w:ascii="宋体" w:hAnsi="宋体" w:cs="Times New Roman"/>
          <w:color w:val="auto"/>
          <w:szCs w:val="21"/>
          <w:lang w:eastAsia="zh-CN"/>
        </w:rPr>
        <w:t>，</w:t>
      </w:r>
      <w:r>
        <w:rPr>
          <w:rFonts w:hint="eastAsia"/>
          <w:color w:val="auto"/>
          <w:lang w:eastAsia="zh-CN"/>
        </w:rPr>
        <w:t>中标方</w:t>
      </w:r>
      <w:r>
        <w:rPr>
          <w:rFonts w:hint="eastAsia" w:ascii="宋体" w:hAnsi="宋体" w:cs="Times New Roman"/>
          <w:color w:val="auto"/>
          <w:szCs w:val="21"/>
          <w:lang w:val="en-US" w:eastAsia="zh-CN"/>
        </w:rPr>
        <w:t>向</w:t>
      </w:r>
      <w:r>
        <w:rPr>
          <w:rFonts w:hint="eastAsia"/>
          <w:color w:val="auto"/>
        </w:rPr>
        <w:t>采购人</w:t>
      </w:r>
      <w:r>
        <w:rPr>
          <w:rFonts w:hint="eastAsia" w:ascii="宋体" w:hAnsi="宋体" w:cs="Times New Roman"/>
          <w:color w:val="auto"/>
          <w:szCs w:val="21"/>
          <w:lang w:val="en-US" w:eastAsia="zh-CN"/>
        </w:rPr>
        <w:t>开具发票，</w:t>
      </w:r>
      <w:r>
        <w:rPr>
          <w:rFonts w:hint="eastAsia"/>
          <w:color w:val="auto"/>
        </w:rPr>
        <w:t>采购人</w:t>
      </w:r>
      <w:r>
        <w:rPr>
          <w:rFonts w:hint="eastAsia" w:ascii="宋体" w:hAnsi="宋体" w:cs="Times New Roman"/>
          <w:color w:val="auto"/>
          <w:szCs w:val="21"/>
          <w:lang w:val="en-US" w:eastAsia="zh-CN"/>
        </w:rPr>
        <w:t>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，向</w:t>
      </w:r>
      <w:r>
        <w:rPr>
          <w:rFonts w:hint="eastAsia"/>
          <w:color w:val="auto"/>
          <w:lang w:eastAsia="zh-CN"/>
        </w:rPr>
        <w:t>中标方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ascii="宋体" w:hAnsi="宋体" w:eastAsia="宋体" w:cs="Times New Roman"/>
          <w:color w:val="auto"/>
          <w:szCs w:val="21"/>
        </w:rPr>
        <w:t>0</w:t>
      </w:r>
      <w:r>
        <w:rPr>
          <w:rFonts w:hint="eastAsia" w:ascii="宋体" w:hAnsi="宋体" w:eastAsia="宋体" w:cs="Times New Roman"/>
          <w:color w:val="auto"/>
          <w:szCs w:val="21"/>
        </w:rPr>
        <w:t>%；项目履约完成，经</w:t>
      </w:r>
      <w:r>
        <w:rPr>
          <w:rFonts w:hint="eastAsia"/>
          <w:color w:val="auto"/>
        </w:rPr>
        <w:t>采购人</w:t>
      </w:r>
      <w:r>
        <w:rPr>
          <w:rFonts w:hint="eastAsia" w:ascii="宋体" w:hAnsi="宋体" w:eastAsia="宋体" w:cs="Times New Roman"/>
          <w:color w:val="auto"/>
          <w:szCs w:val="21"/>
        </w:rPr>
        <w:t>验收合格后，收到发票后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w:t>
      </w:r>
      <w:r>
        <w:rPr>
          <w:rFonts w:hint="eastAsia"/>
          <w:color w:val="auto"/>
        </w:rPr>
        <w:t>采购人</w:t>
      </w:r>
      <w:r>
        <w:rPr>
          <w:rFonts w:hint="eastAsia" w:ascii="宋体" w:hAnsi="宋体" w:eastAsia="宋体" w:cs="Times New Roman"/>
          <w:color w:val="auto"/>
          <w:szCs w:val="21"/>
        </w:rPr>
        <w:t>向</w:t>
      </w:r>
      <w:r>
        <w:rPr>
          <w:rFonts w:hint="eastAsia"/>
          <w:color w:val="auto"/>
          <w:lang w:eastAsia="zh-CN"/>
        </w:rPr>
        <w:t>中标方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0%。</w:t>
      </w:r>
    </w:p>
    <w:p>
      <w:pPr>
        <w:bidi w:val="0"/>
        <w:rPr>
          <w:rFonts w:hint="default"/>
          <w:color w:val="auto"/>
          <w:lang w:val="en-US" w:eastAsia="zh-CN"/>
        </w:rPr>
      </w:pPr>
      <w:r>
        <w:rPr>
          <w:rFonts w:hint="eastAsia"/>
          <w:color w:val="auto"/>
        </w:rPr>
        <w:t>在签订合同时，</w:t>
      </w:r>
      <w:r>
        <w:rPr>
          <w:rFonts w:hint="eastAsia"/>
          <w:color w:val="auto"/>
          <w:lang w:eastAsia="zh-CN"/>
        </w:rPr>
        <w:t>中标方</w:t>
      </w:r>
      <w:r>
        <w:rPr>
          <w:rFonts w:hint="eastAsia"/>
          <w:color w:val="auto"/>
        </w:rPr>
        <w:t>明确表示无需预付款或者主动要求降低预付款比例的，可降低预付款比例。</w:t>
      </w:r>
    </w:p>
    <w:p>
      <w:pPr>
        <w:pStyle w:val="5"/>
        <w:bidi w:val="0"/>
        <w:rPr>
          <w:rFonts w:hint="eastAsia"/>
          <w:color w:val="auto"/>
          <w:lang w:val="en-US" w:eastAsia="zh-CN"/>
        </w:rPr>
      </w:pPr>
      <w:r>
        <w:rPr>
          <w:rFonts w:hint="eastAsia"/>
          <w:color w:val="auto"/>
          <w:lang w:val="en-US" w:eastAsia="zh-CN"/>
        </w:rPr>
        <w:t>4、履约保证金</w:t>
      </w:r>
    </w:p>
    <w:p>
      <w:pPr>
        <w:bidi w:val="0"/>
        <w:rPr>
          <w:rFonts w:hint="eastAsia"/>
          <w:color w:val="auto"/>
          <w:lang w:val="en-US" w:eastAsia="zh-CN"/>
        </w:rPr>
      </w:pPr>
      <w:r>
        <w:rPr>
          <w:rFonts w:hint="eastAsia"/>
          <w:color w:val="auto"/>
          <w:lang w:val="en-US" w:eastAsia="zh-CN"/>
        </w:rPr>
        <w:t>无</w:t>
      </w:r>
    </w:p>
    <w:p>
      <w:pPr>
        <w:pStyle w:val="5"/>
        <w:bidi w:val="0"/>
        <w:rPr>
          <w:rFonts w:hint="eastAsia"/>
          <w:color w:val="auto"/>
          <w:lang w:val="en-US" w:eastAsia="zh-CN"/>
        </w:rPr>
      </w:pPr>
      <w:r>
        <w:rPr>
          <w:rFonts w:hint="eastAsia"/>
          <w:color w:val="auto"/>
          <w:lang w:val="en-US" w:eastAsia="zh-CN"/>
        </w:rPr>
        <w:t>5、报价要求</w:t>
      </w:r>
    </w:p>
    <w:p>
      <w:pPr>
        <w:bidi w:val="0"/>
        <w:rPr>
          <w:rFonts w:hint="eastAsia"/>
          <w:color w:val="auto"/>
          <w:highlight w:val="none"/>
          <w:lang w:eastAsia="zh-CN"/>
        </w:rPr>
      </w:pPr>
      <w:r>
        <w:rPr>
          <w:rFonts w:hint="eastAsia"/>
          <w:color w:val="auto"/>
          <w:highlight w:val="none"/>
          <w:lang w:eastAsia="zh-CN"/>
        </w:rPr>
        <w:t>报价需报每场活动分项报价，需列出价格明细。活动所涉及的场地、现场布设、主持人、节目编排、各类物料、宣传品、广告费、资助费等都含在采购费用中。参与活动的供应商工作人员食宿由供应商解决。</w:t>
      </w:r>
    </w:p>
    <w:p>
      <w:pPr>
        <w:pStyle w:val="5"/>
        <w:bidi w:val="0"/>
        <w:rPr>
          <w:rFonts w:hint="eastAsia"/>
          <w:color w:val="auto"/>
          <w:lang w:val="en-US" w:eastAsia="zh-CN"/>
        </w:rPr>
      </w:pPr>
      <w:r>
        <w:rPr>
          <w:rFonts w:hint="eastAsia"/>
          <w:color w:val="auto"/>
          <w:lang w:val="en-US" w:eastAsia="zh-CN"/>
        </w:rPr>
        <w:t>6、验收要求</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6.1</w:t>
      </w:r>
      <w:r>
        <w:rPr>
          <w:rFonts w:hint="eastAsia" w:ascii="宋体" w:hAnsi="宋体" w:cs="宋体"/>
          <w:color w:val="auto"/>
          <w:spacing w:val="-6"/>
        </w:rPr>
        <w:t>验收由</w:t>
      </w:r>
      <w:r>
        <w:rPr>
          <w:rFonts w:hint="eastAsia" w:ascii="宋体" w:hAnsi="宋体" w:cs="宋体"/>
          <w:color w:val="auto"/>
          <w:spacing w:val="-6"/>
          <w:lang w:eastAsia="zh-CN"/>
        </w:rPr>
        <w:t>采购人</w:t>
      </w:r>
      <w:r>
        <w:rPr>
          <w:rFonts w:hint="eastAsia" w:ascii="宋体" w:hAnsi="宋体" w:cs="宋体"/>
          <w:color w:val="auto"/>
          <w:spacing w:val="-6"/>
        </w:rPr>
        <w:t>负责实施</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6.2</w:t>
      </w:r>
      <w:r>
        <w:rPr>
          <w:rFonts w:hint="eastAsia" w:ascii="宋体" w:hAnsi="宋体" w:cs="宋体"/>
          <w:color w:val="auto"/>
          <w:spacing w:val="-6"/>
        </w:rPr>
        <w:t>验收依据：</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2.1合同、采购文件、</w:t>
      </w:r>
      <w:r>
        <w:rPr>
          <w:rFonts w:hint="eastAsia" w:ascii="宋体" w:hAnsi="宋体" w:cs="宋体"/>
          <w:color w:val="auto"/>
          <w:spacing w:val="-6"/>
          <w:lang w:eastAsia="zh-CN"/>
        </w:rPr>
        <w:t>投标</w:t>
      </w:r>
      <w:r>
        <w:rPr>
          <w:rFonts w:hint="eastAsia" w:ascii="宋体" w:hAnsi="宋体" w:cs="宋体"/>
          <w:color w:val="auto"/>
          <w:spacing w:val="-6"/>
        </w:rPr>
        <w:t>文件；</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2.2</w:t>
      </w:r>
      <w:r>
        <w:rPr>
          <w:rFonts w:hint="eastAsia" w:ascii="宋体" w:hAnsi="宋体" w:cs="宋体"/>
          <w:color w:val="auto"/>
          <w:spacing w:val="-6"/>
          <w:highlight w:val="none"/>
        </w:rPr>
        <w:t>于</w:t>
      </w:r>
      <w:r>
        <w:rPr>
          <w:rFonts w:hint="eastAsia" w:ascii="宋体" w:hAnsi="宋体" w:cs="宋体"/>
          <w:color w:val="auto"/>
          <w:spacing w:val="-6"/>
          <w:highlight w:val="none"/>
          <w:lang w:val="en-US" w:eastAsia="zh-CN"/>
        </w:rPr>
        <w:t>2024</w:t>
      </w:r>
      <w:r>
        <w:rPr>
          <w:rFonts w:hint="eastAsia" w:ascii="宋体" w:hAnsi="宋体" w:cs="宋体"/>
          <w:color w:val="auto"/>
          <w:spacing w:val="-6"/>
          <w:highlight w:val="none"/>
        </w:rPr>
        <w:t>年</w:t>
      </w:r>
      <w:r>
        <w:rPr>
          <w:rFonts w:hint="eastAsia" w:ascii="宋体" w:hAnsi="宋体" w:cs="宋体"/>
          <w:color w:val="auto"/>
          <w:spacing w:val="-6"/>
          <w:highlight w:val="none"/>
          <w:lang w:val="en-US" w:eastAsia="zh-CN"/>
        </w:rPr>
        <w:t>11</w:t>
      </w:r>
      <w:r>
        <w:rPr>
          <w:rFonts w:hint="eastAsia" w:ascii="宋体" w:hAnsi="宋体" w:cs="宋体"/>
          <w:color w:val="auto"/>
          <w:spacing w:val="-6"/>
          <w:highlight w:val="none"/>
        </w:rPr>
        <w:t>月</w:t>
      </w:r>
      <w:r>
        <w:rPr>
          <w:rFonts w:hint="eastAsia" w:ascii="宋体" w:hAnsi="宋体" w:cs="宋体"/>
          <w:color w:val="auto"/>
          <w:spacing w:val="-6"/>
          <w:highlight w:val="none"/>
          <w:lang w:val="en-US" w:eastAsia="zh-CN"/>
        </w:rPr>
        <w:t>25</w:t>
      </w:r>
      <w:r>
        <w:rPr>
          <w:rFonts w:hint="eastAsia" w:ascii="宋体" w:hAnsi="宋体" w:cs="宋体"/>
          <w:color w:val="auto"/>
          <w:spacing w:val="-6"/>
          <w:highlight w:val="none"/>
        </w:rPr>
        <w:t>日前</w:t>
      </w:r>
      <w:r>
        <w:rPr>
          <w:rFonts w:hint="eastAsia" w:ascii="宋体" w:hAnsi="宋体" w:cs="宋体"/>
          <w:color w:val="auto"/>
          <w:spacing w:val="-6"/>
        </w:rPr>
        <w:t>，</w:t>
      </w:r>
      <w:r>
        <w:rPr>
          <w:rFonts w:hint="eastAsia"/>
          <w:color w:val="auto"/>
          <w:lang w:eastAsia="zh-CN"/>
        </w:rPr>
        <w:t>中标方</w:t>
      </w:r>
      <w:r>
        <w:rPr>
          <w:rFonts w:hint="eastAsia" w:ascii="宋体" w:hAnsi="宋体" w:cs="宋体"/>
          <w:color w:val="auto"/>
          <w:spacing w:val="-6"/>
        </w:rPr>
        <w:t>向</w:t>
      </w:r>
      <w:r>
        <w:rPr>
          <w:rFonts w:hint="eastAsia" w:ascii="宋体" w:hAnsi="宋体" w:cs="宋体"/>
          <w:color w:val="auto"/>
          <w:spacing w:val="-6"/>
          <w:lang w:eastAsia="zh-CN"/>
        </w:rPr>
        <w:t>采购人</w:t>
      </w:r>
      <w:r>
        <w:rPr>
          <w:rFonts w:hint="eastAsia" w:ascii="宋体" w:hAnsi="宋体" w:cs="宋体"/>
          <w:color w:val="auto"/>
          <w:spacing w:val="-6"/>
        </w:rPr>
        <w:t>提供与采购文件相符的结案报告供</w:t>
      </w:r>
      <w:r>
        <w:rPr>
          <w:rFonts w:hint="eastAsia" w:ascii="宋体" w:hAnsi="宋体" w:cs="宋体"/>
          <w:color w:val="auto"/>
          <w:spacing w:val="-6"/>
          <w:lang w:eastAsia="zh-CN"/>
        </w:rPr>
        <w:t>采购人</w:t>
      </w:r>
      <w:r>
        <w:rPr>
          <w:rFonts w:hint="eastAsia" w:ascii="宋体" w:hAnsi="宋体" w:cs="宋体"/>
          <w:color w:val="auto"/>
          <w:spacing w:val="-6"/>
        </w:rPr>
        <w:t>验收，以合作内容的落实情况报告为主。</w:t>
      </w:r>
    </w:p>
    <w:p>
      <w:pPr>
        <w:snapToGrid w:val="0"/>
        <w:spacing w:line="360" w:lineRule="auto"/>
        <w:ind w:right="26" w:rightChars="11"/>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3.</w:t>
      </w:r>
      <w:r>
        <w:rPr>
          <w:rFonts w:hint="eastAsia" w:ascii="宋体" w:hAnsi="宋体" w:cs="宋体"/>
          <w:color w:val="auto"/>
          <w:spacing w:val="-6"/>
          <w:lang w:eastAsia="zh-CN"/>
        </w:rPr>
        <w:t>采购人</w:t>
      </w:r>
      <w:r>
        <w:rPr>
          <w:rFonts w:hint="eastAsia" w:ascii="宋体" w:hAnsi="宋体" w:cs="宋体"/>
          <w:color w:val="auto"/>
          <w:spacing w:val="-6"/>
        </w:rPr>
        <w:t>于收到结案报告之日起7日内对</w:t>
      </w:r>
      <w:r>
        <w:rPr>
          <w:rFonts w:hint="eastAsia"/>
          <w:color w:val="auto"/>
          <w:lang w:eastAsia="zh-CN"/>
        </w:rPr>
        <w:t>中标方</w:t>
      </w:r>
      <w:r>
        <w:rPr>
          <w:rFonts w:hint="eastAsia" w:ascii="宋体" w:hAnsi="宋体" w:cs="宋体"/>
          <w:color w:val="auto"/>
          <w:spacing w:val="-6"/>
        </w:rPr>
        <w:t>服务进行验收，针对</w:t>
      </w:r>
      <w:r>
        <w:rPr>
          <w:rFonts w:hint="eastAsia"/>
          <w:color w:val="auto"/>
          <w:lang w:eastAsia="zh-CN"/>
        </w:rPr>
        <w:t>中标方</w:t>
      </w:r>
      <w:r>
        <w:rPr>
          <w:rFonts w:hint="eastAsia" w:ascii="宋体" w:hAnsi="宋体" w:cs="宋体"/>
          <w:color w:val="auto"/>
          <w:spacing w:val="-6"/>
        </w:rPr>
        <w:t>服务不符合合同、采购文件、投标承诺要求的，每一项</w:t>
      </w:r>
      <w:r>
        <w:rPr>
          <w:rFonts w:hint="eastAsia" w:ascii="宋体" w:hAnsi="宋体" w:cs="宋体"/>
          <w:color w:val="auto"/>
          <w:spacing w:val="-6"/>
          <w:lang w:eastAsia="zh-CN"/>
        </w:rPr>
        <w:t>采购人</w:t>
      </w:r>
      <w:r>
        <w:rPr>
          <w:rFonts w:hint="eastAsia" w:ascii="宋体" w:hAnsi="宋体" w:cs="宋体"/>
          <w:color w:val="auto"/>
          <w:spacing w:val="-6"/>
        </w:rPr>
        <w:t>有权从合同尾款中扣除</w:t>
      </w:r>
      <w:r>
        <w:rPr>
          <w:rFonts w:hint="eastAsia" w:ascii="宋体" w:hAnsi="宋体" w:cs="宋体"/>
          <w:color w:val="auto"/>
          <w:spacing w:val="-6"/>
          <w:lang w:eastAsia="zh-Hans"/>
        </w:rPr>
        <w:t>单项金额并按</w:t>
      </w:r>
      <w:r>
        <w:rPr>
          <w:rFonts w:hint="eastAsia" w:ascii="宋体" w:hAnsi="宋体" w:cs="宋体"/>
          <w:color w:val="auto"/>
          <w:spacing w:val="-6"/>
          <w:lang w:eastAsia="zh-CN"/>
        </w:rPr>
        <w:t>合同</w:t>
      </w:r>
      <w:r>
        <w:rPr>
          <w:rFonts w:hint="eastAsia" w:ascii="宋体" w:hAnsi="宋体" w:cs="宋体"/>
          <w:color w:val="auto"/>
          <w:spacing w:val="-6"/>
          <w:lang w:eastAsia="zh-Hans"/>
        </w:rPr>
        <w:t>追究</w:t>
      </w:r>
      <w:r>
        <w:rPr>
          <w:rFonts w:hint="eastAsia"/>
          <w:color w:val="auto"/>
          <w:lang w:eastAsia="zh-CN"/>
        </w:rPr>
        <w:t>中标方</w:t>
      </w:r>
      <w:r>
        <w:rPr>
          <w:rFonts w:hint="eastAsia" w:ascii="宋体" w:hAnsi="宋体" w:cs="宋体"/>
          <w:color w:val="auto"/>
          <w:spacing w:val="-6"/>
          <w:lang w:eastAsia="zh-Hans"/>
        </w:rPr>
        <w:t>违约责任</w:t>
      </w:r>
      <w:r>
        <w:rPr>
          <w:rFonts w:hint="eastAsia" w:ascii="宋体" w:hAnsi="宋体" w:cs="宋体"/>
          <w:color w:val="auto"/>
          <w:spacing w:val="-6"/>
        </w:rPr>
        <w:t>。</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6.4</w:t>
      </w:r>
      <w:r>
        <w:rPr>
          <w:rFonts w:hint="eastAsia" w:ascii="宋体" w:hAnsi="宋体" w:cs="宋体"/>
          <w:color w:val="auto"/>
          <w:spacing w:val="-6"/>
        </w:rPr>
        <w:t>验收合格的条件：</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4.1所供服务符合标准和合同的要求；</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4.2在进行验收过程中发现的问题已被解决并得到</w:t>
      </w:r>
      <w:r>
        <w:rPr>
          <w:rFonts w:hint="eastAsia" w:ascii="宋体" w:hAnsi="宋体" w:cs="宋体"/>
          <w:color w:val="auto"/>
          <w:spacing w:val="-6"/>
          <w:lang w:eastAsia="zh-CN"/>
        </w:rPr>
        <w:t>采购人</w:t>
      </w:r>
      <w:r>
        <w:rPr>
          <w:rFonts w:hint="eastAsia" w:ascii="宋体" w:hAnsi="宋体" w:cs="宋体"/>
          <w:color w:val="auto"/>
          <w:spacing w:val="-6"/>
        </w:rPr>
        <w:t>的</w:t>
      </w:r>
      <w:r>
        <w:rPr>
          <w:rFonts w:hint="eastAsia" w:ascii="宋体" w:hAnsi="宋体" w:cs="宋体"/>
          <w:color w:val="auto"/>
          <w:spacing w:val="-6"/>
          <w:lang w:eastAsia="zh-Hans"/>
        </w:rPr>
        <w:t>书面</w:t>
      </w:r>
      <w:r>
        <w:rPr>
          <w:rFonts w:hint="eastAsia" w:ascii="宋体" w:hAnsi="宋体" w:cs="宋体"/>
          <w:color w:val="auto"/>
          <w:spacing w:val="-6"/>
        </w:rPr>
        <w:t>认可；</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4.3合同中规定的所有服务和材料均已交付；</w:t>
      </w:r>
    </w:p>
    <w:p>
      <w:pPr>
        <w:rPr>
          <w:rFonts w:hint="eastAsia" w:ascii="宋体" w:hAnsi="宋体" w:cs="宋体"/>
          <w:color w:val="auto"/>
          <w:spacing w:val="-6"/>
        </w:rPr>
        <w:sectPr>
          <w:pgSz w:w="11906" w:h="16838"/>
          <w:pgMar w:top="1440" w:right="1800" w:bottom="1440" w:left="1800" w:header="851" w:footer="992" w:gutter="0"/>
          <w:cols w:space="720" w:num="1"/>
          <w:docGrid w:type="lines" w:linePitch="312" w:charSpace="0"/>
        </w:sectPr>
      </w:pPr>
      <w:r>
        <w:rPr>
          <w:rFonts w:hint="eastAsia" w:ascii="宋体" w:hAnsi="宋体" w:cs="宋体"/>
          <w:color w:val="auto"/>
          <w:spacing w:val="-6"/>
          <w:lang w:val="en-US" w:eastAsia="zh-CN"/>
        </w:rPr>
        <w:t>6.</w:t>
      </w:r>
      <w:r>
        <w:rPr>
          <w:rFonts w:hint="eastAsia" w:ascii="宋体" w:hAnsi="宋体" w:cs="宋体"/>
          <w:color w:val="auto"/>
          <w:spacing w:val="-6"/>
        </w:rPr>
        <w:t>4.4所有相关的技术文件及资料均已提交并得到接受。</w:t>
      </w:r>
    </w:p>
    <w:p>
      <w:pPr>
        <w:pStyle w:val="2"/>
        <w:bidi w:val="0"/>
        <w:rPr>
          <w:rFonts w:ascii="宋体" w:hAnsi="宋体" w:cs="宋体"/>
          <w:b/>
          <w:sz w:val="36"/>
          <w:szCs w:val="36"/>
        </w:rPr>
      </w:pPr>
      <w:bookmarkStart w:id="49" w:name="_Toc13039"/>
      <w:bookmarkStart w:id="50" w:name="_Toc14870"/>
      <w:bookmarkStart w:id="51" w:name="_Toc1733"/>
      <w:r>
        <w:rPr>
          <w:rFonts w:hint="eastAsia" w:ascii="宋体" w:hAnsi="宋体" w:cs="宋体"/>
          <w:b/>
          <w:sz w:val="36"/>
          <w:szCs w:val="36"/>
        </w:rPr>
        <w:t xml:space="preserve">第四部分 </w:t>
      </w:r>
      <w:bookmarkStart w:id="52" w:name="_Toc184313283"/>
      <w:bookmarkEnd w:id="52"/>
      <w:bookmarkStart w:id="53" w:name="_Toc184313259"/>
      <w:bookmarkEnd w:id="53"/>
      <w:bookmarkStart w:id="54" w:name="_Toc184313289"/>
      <w:bookmarkEnd w:id="54"/>
      <w:bookmarkStart w:id="55" w:name="_Toc184310276"/>
      <w:bookmarkEnd w:id="55"/>
      <w:bookmarkStart w:id="56" w:name="_Toc184314454"/>
      <w:bookmarkEnd w:id="56"/>
      <w:bookmarkStart w:id="57" w:name="_Toc184313306"/>
      <w:bookmarkEnd w:id="57"/>
      <w:bookmarkStart w:id="58" w:name="_Toc184312119"/>
      <w:bookmarkEnd w:id="58"/>
      <w:bookmarkStart w:id="59" w:name="_Toc184310304"/>
      <w:bookmarkEnd w:id="59"/>
      <w:bookmarkStart w:id="60" w:name="_Toc184313293"/>
      <w:bookmarkEnd w:id="60"/>
      <w:bookmarkStart w:id="61" w:name="_Toc184308066"/>
      <w:bookmarkEnd w:id="61"/>
      <w:bookmarkStart w:id="62" w:name="_Toc184314471"/>
      <w:bookmarkEnd w:id="62"/>
      <w:bookmarkStart w:id="63" w:name="_Toc184313246"/>
      <w:bookmarkEnd w:id="63"/>
      <w:bookmarkStart w:id="64" w:name="_Toc184308055"/>
      <w:bookmarkEnd w:id="64"/>
      <w:bookmarkStart w:id="65" w:name="_Toc184313251"/>
      <w:bookmarkEnd w:id="65"/>
      <w:bookmarkStart w:id="66" w:name="_Toc184314411"/>
      <w:bookmarkEnd w:id="66"/>
      <w:bookmarkStart w:id="67" w:name="_Toc184312082"/>
      <w:bookmarkEnd w:id="67"/>
      <w:bookmarkStart w:id="68" w:name="_Toc184314417"/>
      <w:bookmarkEnd w:id="68"/>
      <w:bookmarkStart w:id="69" w:name="_Toc184310291"/>
      <w:bookmarkEnd w:id="69"/>
      <w:bookmarkStart w:id="70" w:name="_Toc184310285"/>
      <w:bookmarkEnd w:id="70"/>
      <w:bookmarkStart w:id="71" w:name="_Toc184310310"/>
      <w:bookmarkEnd w:id="71"/>
      <w:bookmarkStart w:id="72" w:name="_Toc184314476"/>
      <w:bookmarkEnd w:id="72"/>
      <w:bookmarkStart w:id="73" w:name="_Toc184312086"/>
      <w:bookmarkEnd w:id="73"/>
      <w:bookmarkStart w:id="74" w:name="_Toc184310283"/>
      <w:bookmarkEnd w:id="74"/>
      <w:bookmarkStart w:id="75" w:name="_Toc184314473"/>
      <w:bookmarkEnd w:id="75"/>
      <w:bookmarkStart w:id="76" w:name="_Toc184310336"/>
      <w:bookmarkEnd w:id="76"/>
      <w:bookmarkStart w:id="77" w:name="_Toc184312114"/>
      <w:bookmarkEnd w:id="77"/>
      <w:bookmarkStart w:id="78" w:name="_Toc184312115"/>
      <w:bookmarkEnd w:id="78"/>
      <w:bookmarkStart w:id="79" w:name="_Toc184310290"/>
      <w:bookmarkEnd w:id="79"/>
      <w:bookmarkStart w:id="80" w:name="_Toc184312136"/>
      <w:bookmarkEnd w:id="80"/>
      <w:bookmarkStart w:id="81" w:name="_Toc184313286"/>
      <w:bookmarkEnd w:id="81"/>
      <w:bookmarkStart w:id="82" w:name="_Toc184308064"/>
      <w:bookmarkEnd w:id="82"/>
      <w:bookmarkStart w:id="83" w:name="_Toc184310294"/>
      <w:bookmarkEnd w:id="83"/>
      <w:bookmarkStart w:id="84" w:name="_Toc184310330"/>
      <w:bookmarkEnd w:id="84"/>
      <w:bookmarkStart w:id="85" w:name="_Toc184314466"/>
      <w:bookmarkEnd w:id="85"/>
      <w:bookmarkStart w:id="86" w:name="_Toc184310316"/>
      <w:bookmarkEnd w:id="86"/>
      <w:bookmarkStart w:id="87" w:name="_Toc184314481"/>
      <w:bookmarkEnd w:id="87"/>
      <w:bookmarkStart w:id="88" w:name="_Toc184310287"/>
      <w:bookmarkEnd w:id="88"/>
      <w:bookmarkStart w:id="89" w:name="_Toc184312121"/>
      <w:bookmarkEnd w:id="89"/>
      <w:bookmarkStart w:id="90" w:name="_Toc184310319"/>
      <w:bookmarkEnd w:id="90"/>
      <w:bookmarkStart w:id="91" w:name="_Toc184314480"/>
      <w:bookmarkEnd w:id="91"/>
      <w:bookmarkStart w:id="92" w:name="_Toc184312084"/>
      <w:bookmarkEnd w:id="92"/>
      <w:bookmarkStart w:id="93" w:name="_Toc184313255"/>
      <w:bookmarkEnd w:id="93"/>
      <w:bookmarkStart w:id="94" w:name="_Toc184310282"/>
      <w:bookmarkEnd w:id="94"/>
      <w:bookmarkStart w:id="95" w:name="_Toc184312067"/>
      <w:bookmarkEnd w:id="95"/>
      <w:bookmarkStart w:id="96" w:name="_Toc184313266"/>
      <w:bookmarkEnd w:id="96"/>
      <w:bookmarkStart w:id="97" w:name="_Toc184310275"/>
      <w:bookmarkEnd w:id="97"/>
      <w:bookmarkStart w:id="98" w:name="_Toc184313247"/>
      <w:bookmarkEnd w:id="98"/>
      <w:bookmarkStart w:id="99" w:name="_Toc184312116"/>
      <w:bookmarkEnd w:id="99"/>
      <w:bookmarkStart w:id="100" w:name="_Toc184308076"/>
      <w:bookmarkEnd w:id="100"/>
      <w:bookmarkStart w:id="101" w:name="_Toc184308106"/>
      <w:bookmarkEnd w:id="101"/>
      <w:bookmarkStart w:id="102" w:name="_Toc184312103"/>
      <w:bookmarkEnd w:id="102"/>
      <w:bookmarkStart w:id="103" w:name="_Toc184314444"/>
      <w:bookmarkEnd w:id="103"/>
      <w:bookmarkStart w:id="104" w:name="_Toc184312133"/>
      <w:bookmarkEnd w:id="104"/>
      <w:bookmarkStart w:id="105" w:name="_Toc184313287"/>
      <w:bookmarkEnd w:id="105"/>
      <w:bookmarkStart w:id="106" w:name="_Toc184310284"/>
      <w:bookmarkEnd w:id="106"/>
      <w:bookmarkStart w:id="107" w:name="_Toc184314431"/>
      <w:bookmarkEnd w:id="107"/>
      <w:bookmarkStart w:id="108" w:name="_Toc184312088"/>
      <w:bookmarkEnd w:id="108"/>
      <w:bookmarkStart w:id="109" w:name="_Toc184312118"/>
      <w:bookmarkEnd w:id="109"/>
      <w:bookmarkStart w:id="110" w:name="_Toc184314414"/>
      <w:bookmarkEnd w:id="110"/>
      <w:bookmarkStart w:id="111" w:name="_Toc184314426"/>
      <w:bookmarkEnd w:id="111"/>
      <w:bookmarkStart w:id="112" w:name="_Toc184312134"/>
      <w:bookmarkEnd w:id="112"/>
      <w:bookmarkStart w:id="113" w:name="_Toc184312092"/>
      <w:bookmarkEnd w:id="113"/>
      <w:bookmarkStart w:id="114" w:name="_Toc184314423"/>
      <w:bookmarkEnd w:id="114"/>
      <w:bookmarkStart w:id="115" w:name="_Toc184314424"/>
      <w:bookmarkEnd w:id="115"/>
      <w:bookmarkStart w:id="116" w:name="_Toc184314456"/>
      <w:bookmarkEnd w:id="116"/>
      <w:bookmarkStart w:id="117" w:name="_Toc184308051"/>
      <w:bookmarkEnd w:id="117"/>
      <w:bookmarkStart w:id="118" w:name="_Toc184312081"/>
      <w:bookmarkEnd w:id="118"/>
      <w:bookmarkStart w:id="119" w:name="_Toc184308086"/>
      <w:bookmarkEnd w:id="119"/>
      <w:bookmarkStart w:id="120" w:name="_Toc184312074"/>
      <w:bookmarkEnd w:id="120"/>
      <w:bookmarkStart w:id="121" w:name="_Toc184310344"/>
      <w:bookmarkEnd w:id="121"/>
      <w:bookmarkStart w:id="122" w:name="_Toc184313260"/>
      <w:bookmarkEnd w:id="122"/>
      <w:bookmarkStart w:id="123" w:name="_Toc184313310"/>
      <w:bookmarkEnd w:id="123"/>
      <w:bookmarkStart w:id="124" w:name="_Toc184314469"/>
      <w:bookmarkEnd w:id="124"/>
      <w:bookmarkStart w:id="125" w:name="_Toc184310308"/>
      <w:bookmarkEnd w:id="125"/>
      <w:bookmarkStart w:id="126" w:name="_Toc184310314"/>
      <w:bookmarkEnd w:id="126"/>
      <w:bookmarkStart w:id="127" w:name="_Toc184308052"/>
      <w:bookmarkEnd w:id="127"/>
      <w:bookmarkStart w:id="128" w:name="_Toc184310334"/>
      <w:bookmarkEnd w:id="128"/>
      <w:bookmarkStart w:id="129" w:name="_Toc184312079"/>
      <w:bookmarkEnd w:id="129"/>
      <w:bookmarkStart w:id="130" w:name="_Toc184308077"/>
      <w:bookmarkEnd w:id="130"/>
      <w:bookmarkStart w:id="131" w:name="_Toc184308093"/>
      <w:bookmarkEnd w:id="131"/>
      <w:bookmarkStart w:id="132" w:name="_Toc184313270"/>
      <w:bookmarkEnd w:id="132"/>
      <w:bookmarkStart w:id="133" w:name="_Toc184314459"/>
      <w:bookmarkEnd w:id="133"/>
      <w:bookmarkStart w:id="134" w:name="_Toc184312085"/>
      <w:bookmarkEnd w:id="134"/>
      <w:bookmarkStart w:id="135" w:name="_Toc184308091"/>
      <w:bookmarkEnd w:id="135"/>
      <w:bookmarkStart w:id="136" w:name="_Toc184313282"/>
      <w:bookmarkEnd w:id="136"/>
      <w:bookmarkStart w:id="137" w:name="_Toc184308084"/>
      <w:bookmarkEnd w:id="137"/>
      <w:bookmarkStart w:id="138" w:name="_Toc184308081"/>
      <w:bookmarkEnd w:id="138"/>
      <w:bookmarkStart w:id="139" w:name="_Toc184313307"/>
      <w:bookmarkEnd w:id="139"/>
      <w:bookmarkStart w:id="140" w:name="_Toc184310306"/>
      <w:bookmarkEnd w:id="140"/>
      <w:bookmarkStart w:id="141" w:name="_Toc184312138"/>
      <w:bookmarkEnd w:id="141"/>
      <w:bookmarkStart w:id="142" w:name="_Toc184314437"/>
      <w:bookmarkEnd w:id="142"/>
      <w:bookmarkStart w:id="143" w:name="_Toc184312108"/>
      <w:bookmarkEnd w:id="143"/>
      <w:bookmarkStart w:id="144" w:name="_Toc184310293"/>
      <w:bookmarkEnd w:id="144"/>
      <w:bookmarkStart w:id="145" w:name="_Toc184310289"/>
      <w:bookmarkEnd w:id="145"/>
      <w:bookmarkStart w:id="146" w:name="_Toc184312128"/>
      <w:bookmarkEnd w:id="146"/>
      <w:bookmarkStart w:id="147" w:name="_Toc184314448"/>
      <w:bookmarkEnd w:id="147"/>
      <w:bookmarkStart w:id="148" w:name="_Toc184314478"/>
      <w:bookmarkEnd w:id="148"/>
      <w:bookmarkStart w:id="149" w:name="_Toc184310295"/>
      <w:bookmarkEnd w:id="149"/>
      <w:bookmarkStart w:id="150" w:name="_Toc184312098"/>
      <w:bookmarkEnd w:id="150"/>
      <w:bookmarkStart w:id="151" w:name="_Toc184312097"/>
      <w:bookmarkEnd w:id="151"/>
      <w:bookmarkStart w:id="152" w:name="_Toc184308100"/>
      <w:bookmarkEnd w:id="152"/>
      <w:bookmarkStart w:id="153" w:name="_Toc184312125"/>
      <w:bookmarkEnd w:id="153"/>
      <w:bookmarkStart w:id="154" w:name="_Toc184310328"/>
      <w:bookmarkEnd w:id="154"/>
      <w:bookmarkStart w:id="155" w:name="_Toc184313267"/>
      <w:bookmarkEnd w:id="155"/>
      <w:bookmarkStart w:id="156" w:name="_Toc184312105"/>
      <w:bookmarkEnd w:id="156"/>
      <w:bookmarkStart w:id="157" w:name="_Toc184310329"/>
      <w:bookmarkEnd w:id="157"/>
      <w:bookmarkStart w:id="158" w:name="_Toc184314410"/>
      <w:bookmarkEnd w:id="158"/>
      <w:bookmarkStart w:id="159" w:name="_Toc184314474"/>
      <w:bookmarkEnd w:id="159"/>
      <w:bookmarkStart w:id="160" w:name="_Toc184314434"/>
      <w:bookmarkEnd w:id="160"/>
      <w:bookmarkStart w:id="161" w:name="_Toc184310288"/>
      <w:bookmarkEnd w:id="161"/>
      <w:bookmarkStart w:id="162" w:name="_Toc184312110"/>
      <w:bookmarkEnd w:id="162"/>
      <w:bookmarkStart w:id="163" w:name="_Toc184314420"/>
      <w:bookmarkEnd w:id="163"/>
      <w:bookmarkStart w:id="164" w:name="_Toc184313268"/>
      <w:bookmarkEnd w:id="164"/>
      <w:bookmarkStart w:id="165" w:name="_Toc184312102"/>
      <w:bookmarkEnd w:id="165"/>
      <w:bookmarkStart w:id="166" w:name="_Toc184312096"/>
      <w:bookmarkEnd w:id="166"/>
      <w:bookmarkStart w:id="167" w:name="_Toc184313292"/>
      <w:bookmarkEnd w:id="167"/>
      <w:bookmarkStart w:id="168" w:name="_Toc184308089"/>
      <w:bookmarkEnd w:id="168"/>
      <w:bookmarkStart w:id="169" w:name="_Toc184312109"/>
      <w:bookmarkEnd w:id="169"/>
      <w:bookmarkStart w:id="170" w:name="_Toc184312122"/>
      <w:bookmarkEnd w:id="170"/>
      <w:bookmarkStart w:id="171" w:name="_Toc184308068"/>
      <w:bookmarkEnd w:id="171"/>
      <w:bookmarkStart w:id="172" w:name="_Toc184310342"/>
      <w:bookmarkEnd w:id="172"/>
      <w:bookmarkStart w:id="173" w:name="_Toc184314433"/>
      <w:bookmarkEnd w:id="173"/>
      <w:bookmarkStart w:id="174" w:name="_Toc184313296"/>
      <w:bookmarkEnd w:id="174"/>
      <w:bookmarkStart w:id="175" w:name="_Toc184312071"/>
      <w:bookmarkEnd w:id="175"/>
      <w:bookmarkStart w:id="176" w:name="_Toc184314468"/>
      <w:bookmarkEnd w:id="176"/>
      <w:bookmarkStart w:id="177" w:name="_Toc184308098"/>
      <w:bookmarkEnd w:id="177"/>
      <w:bookmarkStart w:id="178" w:name="_Toc184313305"/>
      <w:bookmarkEnd w:id="178"/>
      <w:bookmarkStart w:id="179" w:name="_Toc184312117"/>
      <w:bookmarkEnd w:id="179"/>
      <w:bookmarkStart w:id="180" w:name="_Toc184308080"/>
      <w:bookmarkEnd w:id="180"/>
      <w:bookmarkStart w:id="181" w:name="_Toc184308082"/>
      <w:bookmarkEnd w:id="181"/>
      <w:bookmarkStart w:id="182" w:name="_Toc184308073"/>
      <w:bookmarkEnd w:id="182"/>
      <w:bookmarkStart w:id="183" w:name="_Toc184310315"/>
      <w:bookmarkEnd w:id="183"/>
      <w:bookmarkStart w:id="184" w:name="_Toc184310299"/>
      <w:bookmarkEnd w:id="184"/>
      <w:bookmarkStart w:id="185" w:name="_Toc184308071"/>
      <w:bookmarkEnd w:id="185"/>
      <w:bookmarkStart w:id="186" w:name="_Toc184308105"/>
      <w:bookmarkEnd w:id="186"/>
      <w:bookmarkStart w:id="187" w:name="_Toc184310277"/>
      <w:bookmarkEnd w:id="187"/>
      <w:bookmarkStart w:id="188" w:name="_Toc184313243"/>
      <w:bookmarkEnd w:id="188"/>
      <w:bookmarkStart w:id="189" w:name="_Toc184310321"/>
      <w:bookmarkEnd w:id="189"/>
      <w:bookmarkStart w:id="190" w:name="_Toc184312089"/>
      <w:bookmarkEnd w:id="190"/>
      <w:bookmarkStart w:id="191" w:name="_Toc184313297"/>
      <w:bookmarkEnd w:id="191"/>
      <w:bookmarkStart w:id="192" w:name="_Toc184312099"/>
      <w:bookmarkEnd w:id="192"/>
      <w:bookmarkStart w:id="193" w:name="_Toc184312091"/>
      <w:bookmarkEnd w:id="193"/>
      <w:bookmarkStart w:id="194" w:name="_Toc184310343"/>
      <w:bookmarkEnd w:id="194"/>
      <w:bookmarkStart w:id="195" w:name="_Toc184308096"/>
      <w:bookmarkEnd w:id="195"/>
      <w:bookmarkStart w:id="196" w:name="_Toc184308099"/>
      <w:bookmarkEnd w:id="196"/>
      <w:bookmarkStart w:id="197" w:name="_Toc184313300"/>
      <w:bookmarkEnd w:id="197"/>
      <w:bookmarkStart w:id="198" w:name="_Toc184314418"/>
      <w:bookmarkEnd w:id="198"/>
      <w:bookmarkStart w:id="199" w:name="_Toc184313288"/>
      <w:bookmarkEnd w:id="199"/>
      <w:bookmarkStart w:id="200" w:name="_Toc184308079"/>
      <w:bookmarkEnd w:id="200"/>
      <w:bookmarkStart w:id="201" w:name="_Toc184312124"/>
      <w:bookmarkEnd w:id="201"/>
      <w:bookmarkStart w:id="202" w:name="_Toc184312123"/>
      <w:bookmarkEnd w:id="202"/>
      <w:bookmarkStart w:id="203" w:name="_Toc184313250"/>
      <w:bookmarkEnd w:id="203"/>
      <w:bookmarkStart w:id="204" w:name="_Toc184308050"/>
      <w:bookmarkEnd w:id="204"/>
      <w:bookmarkStart w:id="205" w:name="_Toc184313249"/>
      <w:bookmarkEnd w:id="205"/>
      <w:bookmarkStart w:id="206" w:name="_Toc184313295"/>
      <w:bookmarkEnd w:id="206"/>
      <w:bookmarkStart w:id="207" w:name="_Toc184314447"/>
      <w:bookmarkEnd w:id="207"/>
      <w:bookmarkStart w:id="208" w:name="_Toc184312111"/>
      <w:bookmarkEnd w:id="208"/>
      <w:bookmarkStart w:id="209" w:name="_Toc184308103"/>
      <w:bookmarkEnd w:id="209"/>
      <w:bookmarkStart w:id="210" w:name="_Toc184313265"/>
      <w:bookmarkEnd w:id="210"/>
      <w:bookmarkStart w:id="211" w:name="_Toc184310340"/>
      <w:bookmarkEnd w:id="211"/>
      <w:bookmarkStart w:id="212" w:name="_Toc184314422"/>
      <w:bookmarkEnd w:id="212"/>
      <w:bookmarkStart w:id="213" w:name="_Toc184314458"/>
      <w:bookmarkEnd w:id="213"/>
      <w:bookmarkStart w:id="214" w:name="_Toc184313273"/>
      <w:bookmarkEnd w:id="214"/>
      <w:bookmarkStart w:id="215" w:name="_Toc184312078"/>
      <w:bookmarkEnd w:id="215"/>
      <w:bookmarkStart w:id="216" w:name="_Toc184308075"/>
      <w:bookmarkEnd w:id="216"/>
      <w:bookmarkStart w:id="217" w:name="_Toc184308090"/>
      <w:bookmarkEnd w:id="217"/>
      <w:bookmarkStart w:id="218" w:name="_Toc184312106"/>
      <w:bookmarkEnd w:id="218"/>
      <w:bookmarkStart w:id="219" w:name="_Toc184312094"/>
      <w:bookmarkEnd w:id="219"/>
      <w:bookmarkStart w:id="220" w:name="_Toc184312135"/>
      <w:bookmarkEnd w:id="220"/>
      <w:bookmarkStart w:id="221" w:name="_Toc184313274"/>
      <w:bookmarkEnd w:id="221"/>
      <w:bookmarkStart w:id="222" w:name="_Toc184314438"/>
      <w:bookmarkEnd w:id="222"/>
      <w:bookmarkStart w:id="223" w:name="_Toc184314446"/>
      <w:bookmarkEnd w:id="223"/>
      <w:bookmarkStart w:id="224" w:name="_Toc184308059"/>
      <w:bookmarkEnd w:id="224"/>
      <w:bookmarkStart w:id="225" w:name="_Toc184310292"/>
      <w:bookmarkEnd w:id="225"/>
      <w:bookmarkStart w:id="226" w:name="_Toc184313248"/>
      <w:bookmarkEnd w:id="226"/>
      <w:bookmarkStart w:id="227" w:name="_Toc184314415"/>
      <w:bookmarkEnd w:id="227"/>
      <w:bookmarkStart w:id="228" w:name="_Toc184308092"/>
      <w:bookmarkEnd w:id="228"/>
      <w:bookmarkStart w:id="229" w:name="_Toc184314427"/>
      <w:bookmarkEnd w:id="229"/>
      <w:bookmarkStart w:id="230" w:name="_Toc184313304"/>
      <w:bookmarkEnd w:id="230"/>
      <w:bookmarkStart w:id="231" w:name="_Toc184308044"/>
      <w:bookmarkEnd w:id="231"/>
      <w:bookmarkStart w:id="232" w:name="_Toc184308101"/>
      <w:bookmarkEnd w:id="232"/>
      <w:bookmarkStart w:id="233" w:name="_Toc184313303"/>
      <w:bookmarkEnd w:id="233"/>
      <w:bookmarkStart w:id="234" w:name="_Toc184308057"/>
      <w:bookmarkEnd w:id="234"/>
      <w:bookmarkStart w:id="235" w:name="_Toc184313271"/>
      <w:bookmarkEnd w:id="235"/>
      <w:bookmarkStart w:id="236" w:name="_Toc184314442"/>
      <w:bookmarkEnd w:id="236"/>
      <w:bookmarkStart w:id="237" w:name="_Toc184308108"/>
      <w:bookmarkEnd w:id="237"/>
      <w:bookmarkStart w:id="238" w:name="_Toc184314421"/>
      <w:bookmarkEnd w:id="238"/>
      <w:bookmarkStart w:id="239" w:name="_Toc184310303"/>
      <w:bookmarkEnd w:id="239"/>
      <w:bookmarkStart w:id="240" w:name="_Toc184312090"/>
      <w:bookmarkEnd w:id="240"/>
      <w:bookmarkStart w:id="241" w:name="_Toc184312113"/>
      <w:bookmarkEnd w:id="241"/>
      <w:bookmarkStart w:id="242" w:name="_Toc184314440"/>
      <w:bookmarkEnd w:id="242"/>
      <w:bookmarkStart w:id="243" w:name="_Toc184313291"/>
      <w:bookmarkEnd w:id="243"/>
      <w:bookmarkStart w:id="244" w:name="_Toc184308042"/>
      <w:bookmarkEnd w:id="244"/>
      <w:bookmarkStart w:id="245" w:name="_Toc184312126"/>
      <w:bookmarkEnd w:id="245"/>
      <w:bookmarkStart w:id="246" w:name="_Toc184314472"/>
      <w:bookmarkEnd w:id="246"/>
      <w:bookmarkStart w:id="247" w:name="_Toc184313253"/>
      <w:bookmarkEnd w:id="247"/>
      <w:bookmarkStart w:id="248" w:name="_Toc184308097"/>
      <w:bookmarkEnd w:id="248"/>
      <w:bookmarkStart w:id="249" w:name="_Toc184313262"/>
      <w:bookmarkEnd w:id="249"/>
      <w:bookmarkStart w:id="250" w:name="_Toc184308048"/>
      <w:bookmarkEnd w:id="250"/>
      <w:bookmarkStart w:id="251" w:name="_Toc184314475"/>
      <w:bookmarkEnd w:id="251"/>
      <w:bookmarkStart w:id="252" w:name="_Toc184312127"/>
      <w:bookmarkEnd w:id="252"/>
      <w:bookmarkStart w:id="253" w:name="_Toc184312112"/>
      <w:bookmarkEnd w:id="253"/>
      <w:bookmarkStart w:id="254" w:name="_Toc184310312"/>
      <w:bookmarkEnd w:id="254"/>
      <w:bookmarkStart w:id="255" w:name="_Toc184314436"/>
      <w:bookmarkEnd w:id="255"/>
      <w:bookmarkStart w:id="256" w:name="_Toc184310326"/>
      <w:bookmarkEnd w:id="256"/>
      <w:bookmarkStart w:id="257" w:name="_Toc184313245"/>
      <w:bookmarkEnd w:id="257"/>
      <w:bookmarkStart w:id="258" w:name="_Toc184314457"/>
      <w:bookmarkEnd w:id="258"/>
      <w:bookmarkStart w:id="259" w:name="_Toc184313242"/>
      <w:bookmarkEnd w:id="259"/>
      <w:bookmarkStart w:id="260" w:name="_Toc184313284"/>
      <w:bookmarkEnd w:id="260"/>
      <w:bookmarkStart w:id="261" w:name="_Toc184313302"/>
      <w:bookmarkEnd w:id="261"/>
      <w:bookmarkStart w:id="262" w:name="_Toc184310305"/>
      <w:bookmarkEnd w:id="262"/>
      <w:bookmarkStart w:id="263" w:name="_Toc184308069"/>
      <w:bookmarkEnd w:id="263"/>
      <w:bookmarkStart w:id="264" w:name="_Toc184314430"/>
      <w:bookmarkEnd w:id="264"/>
      <w:bookmarkStart w:id="265" w:name="_Toc184314479"/>
      <w:bookmarkEnd w:id="265"/>
      <w:bookmarkStart w:id="266" w:name="_Toc184308045"/>
      <w:bookmarkEnd w:id="266"/>
      <w:bookmarkStart w:id="267" w:name="_Toc184308047"/>
      <w:bookmarkEnd w:id="267"/>
      <w:bookmarkStart w:id="268" w:name="_Toc184314432"/>
      <w:bookmarkEnd w:id="268"/>
      <w:bookmarkStart w:id="269" w:name="_Toc184310286"/>
      <w:bookmarkEnd w:id="269"/>
      <w:bookmarkStart w:id="270" w:name="_Toc184308078"/>
      <w:bookmarkEnd w:id="270"/>
      <w:bookmarkStart w:id="271" w:name="_Toc184310317"/>
      <w:bookmarkEnd w:id="271"/>
      <w:bookmarkStart w:id="272" w:name="_Toc184314477"/>
      <w:bookmarkEnd w:id="272"/>
      <w:bookmarkStart w:id="273" w:name="_Toc184313278"/>
      <w:bookmarkEnd w:id="273"/>
      <w:bookmarkStart w:id="274" w:name="_Toc184312100"/>
      <w:bookmarkEnd w:id="274"/>
      <w:bookmarkStart w:id="275" w:name="_Toc184312104"/>
      <w:bookmarkEnd w:id="275"/>
      <w:bookmarkStart w:id="276" w:name="_Toc184308072"/>
      <w:bookmarkEnd w:id="276"/>
      <w:bookmarkStart w:id="277" w:name="_Toc184314412"/>
      <w:bookmarkEnd w:id="277"/>
      <w:bookmarkStart w:id="278" w:name="_Toc184312083"/>
      <w:bookmarkEnd w:id="278"/>
      <w:bookmarkStart w:id="279" w:name="_Toc184310332"/>
      <w:bookmarkEnd w:id="279"/>
      <w:bookmarkStart w:id="280" w:name="_Toc184310323"/>
      <w:bookmarkEnd w:id="280"/>
      <w:bookmarkStart w:id="281" w:name="_Toc184308083"/>
      <w:bookmarkEnd w:id="281"/>
      <w:bookmarkStart w:id="282" w:name="_Toc184314465"/>
      <w:bookmarkEnd w:id="282"/>
      <w:bookmarkStart w:id="283" w:name="_Toc184310300"/>
      <w:bookmarkEnd w:id="283"/>
      <w:bookmarkStart w:id="284" w:name="_Toc184308088"/>
      <w:bookmarkEnd w:id="284"/>
      <w:bookmarkStart w:id="285" w:name="_Toc184314460"/>
      <w:bookmarkEnd w:id="285"/>
      <w:bookmarkStart w:id="286" w:name="_Toc184312130"/>
      <w:bookmarkEnd w:id="286"/>
      <w:bookmarkStart w:id="287" w:name="_Toc184308094"/>
      <w:bookmarkEnd w:id="287"/>
      <w:bookmarkStart w:id="288" w:name="_Toc184312076"/>
      <w:bookmarkEnd w:id="288"/>
      <w:bookmarkStart w:id="289" w:name="_Toc184308041"/>
      <w:bookmarkEnd w:id="289"/>
      <w:bookmarkStart w:id="290" w:name="_Toc184312137"/>
      <w:bookmarkEnd w:id="290"/>
      <w:bookmarkStart w:id="291" w:name="_Toc184308061"/>
      <w:bookmarkEnd w:id="291"/>
      <w:bookmarkStart w:id="292" w:name="_Toc184313263"/>
      <w:bookmarkEnd w:id="292"/>
      <w:bookmarkStart w:id="293" w:name="_Toc184310338"/>
      <w:bookmarkEnd w:id="293"/>
      <w:bookmarkStart w:id="294" w:name="_Toc184310339"/>
      <w:bookmarkEnd w:id="294"/>
      <w:bookmarkStart w:id="295" w:name="_Toc184313276"/>
      <w:bookmarkEnd w:id="295"/>
      <w:bookmarkStart w:id="296" w:name="_Toc184313294"/>
      <w:bookmarkEnd w:id="296"/>
      <w:bookmarkStart w:id="297" w:name="_Toc184313238"/>
      <w:bookmarkEnd w:id="297"/>
      <w:bookmarkStart w:id="298" w:name="_Toc184313290"/>
      <w:bookmarkEnd w:id="298"/>
      <w:bookmarkStart w:id="299" w:name="_Toc184310274"/>
      <w:bookmarkEnd w:id="299"/>
      <w:bookmarkStart w:id="300" w:name="_Toc184312068"/>
      <w:bookmarkEnd w:id="300"/>
      <w:bookmarkStart w:id="301" w:name="_Toc184314452"/>
      <w:bookmarkEnd w:id="301"/>
      <w:bookmarkStart w:id="302" w:name="_Toc184310281"/>
      <w:bookmarkEnd w:id="302"/>
      <w:bookmarkStart w:id="303" w:name="_Toc184310313"/>
      <w:bookmarkEnd w:id="303"/>
      <w:bookmarkStart w:id="304" w:name="_Toc184308067"/>
      <w:bookmarkEnd w:id="304"/>
      <w:bookmarkStart w:id="305" w:name="_Toc184312101"/>
      <w:bookmarkEnd w:id="305"/>
      <w:bookmarkStart w:id="306" w:name="_Toc184313301"/>
      <w:bookmarkEnd w:id="306"/>
      <w:bookmarkStart w:id="307" w:name="_Toc184314428"/>
      <w:bookmarkEnd w:id="307"/>
      <w:bookmarkStart w:id="308" w:name="_Toc184312131"/>
      <w:bookmarkEnd w:id="308"/>
      <w:bookmarkStart w:id="309" w:name="_Toc184310280"/>
      <w:bookmarkEnd w:id="309"/>
      <w:bookmarkStart w:id="310" w:name="_Toc184310318"/>
      <w:bookmarkEnd w:id="310"/>
      <w:bookmarkStart w:id="311" w:name="_Toc184310309"/>
      <w:bookmarkEnd w:id="311"/>
      <w:bookmarkStart w:id="312" w:name="_Toc184313272"/>
      <w:bookmarkEnd w:id="312"/>
      <w:bookmarkStart w:id="313" w:name="_Toc184314482"/>
      <w:bookmarkEnd w:id="313"/>
      <w:bookmarkStart w:id="314" w:name="_Toc184308046"/>
      <w:bookmarkEnd w:id="314"/>
      <w:bookmarkStart w:id="315" w:name="_Toc184312069"/>
      <w:bookmarkEnd w:id="315"/>
      <w:bookmarkStart w:id="316" w:name="_Toc184314425"/>
      <w:bookmarkEnd w:id="316"/>
      <w:bookmarkStart w:id="317" w:name="_Toc184310279"/>
      <w:bookmarkEnd w:id="317"/>
      <w:bookmarkStart w:id="318" w:name="_Toc184308058"/>
      <w:bookmarkEnd w:id="318"/>
      <w:bookmarkStart w:id="319" w:name="_Toc184314439"/>
      <w:bookmarkEnd w:id="319"/>
      <w:bookmarkStart w:id="320" w:name="_Toc184310302"/>
      <w:bookmarkEnd w:id="320"/>
      <w:bookmarkStart w:id="321" w:name="_Toc184312095"/>
      <w:bookmarkEnd w:id="321"/>
      <w:bookmarkStart w:id="322" w:name="_Toc184314449"/>
      <w:bookmarkEnd w:id="322"/>
      <w:bookmarkStart w:id="323" w:name="_Toc184310298"/>
      <w:bookmarkEnd w:id="323"/>
      <w:bookmarkStart w:id="324" w:name="_Toc184308036"/>
      <w:bookmarkEnd w:id="324"/>
      <w:bookmarkStart w:id="325" w:name="_Toc184314416"/>
      <w:bookmarkEnd w:id="325"/>
      <w:bookmarkStart w:id="326" w:name="_Toc184314445"/>
      <w:bookmarkEnd w:id="326"/>
      <w:bookmarkStart w:id="327" w:name="_Toc184313277"/>
      <w:bookmarkEnd w:id="327"/>
      <w:bookmarkStart w:id="328" w:name="_Toc184313309"/>
      <w:bookmarkEnd w:id="328"/>
      <w:bookmarkStart w:id="329" w:name="_Toc184308095"/>
      <w:bookmarkEnd w:id="329"/>
      <w:bookmarkStart w:id="330" w:name="_Toc184312120"/>
      <w:bookmarkEnd w:id="330"/>
      <w:bookmarkStart w:id="331" w:name="_Toc184314443"/>
      <w:bookmarkEnd w:id="331"/>
      <w:bookmarkStart w:id="332" w:name="_Toc184312070"/>
      <w:bookmarkEnd w:id="332"/>
      <w:bookmarkStart w:id="333" w:name="_Toc184312073"/>
      <w:bookmarkEnd w:id="333"/>
      <w:bookmarkStart w:id="334" w:name="_Toc184310337"/>
      <w:bookmarkEnd w:id="334"/>
      <w:bookmarkStart w:id="335" w:name="_Toc184308049"/>
      <w:bookmarkEnd w:id="335"/>
      <w:bookmarkStart w:id="336" w:name="_Toc184308062"/>
      <w:bookmarkEnd w:id="336"/>
      <w:bookmarkStart w:id="337" w:name="_Toc184313275"/>
      <w:bookmarkEnd w:id="337"/>
      <w:bookmarkStart w:id="338" w:name="_Toc184312139"/>
      <w:bookmarkEnd w:id="338"/>
      <w:bookmarkStart w:id="339" w:name="_Toc184310327"/>
      <w:bookmarkEnd w:id="339"/>
      <w:bookmarkStart w:id="340" w:name="_Toc184308102"/>
      <w:bookmarkEnd w:id="340"/>
      <w:bookmarkStart w:id="341" w:name="_Toc184314419"/>
      <w:bookmarkEnd w:id="341"/>
      <w:bookmarkStart w:id="342" w:name="_Toc184308040"/>
      <w:bookmarkEnd w:id="342"/>
      <w:bookmarkStart w:id="343" w:name="_Toc184313308"/>
      <w:bookmarkEnd w:id="343"/>
      <w:bookmarkStart w:id="344" w:name="_Toc184308043"/>
      <w:bookmarkEnd w:id="344"/>
      <w:bookmarkStart w:id="345" w:name="_Toc184314413"/>
      <w:bookmarkEnd w:id="345"/>
      <w:bookmarkStart w:id="346" w:name="_Toc184314461"/>
      <w:bookmarkEnd w:id="346"/>
      <w:bookmarkStart w:id="347" w:name="_Toc184310278"/>
      <w:bookmarkEnd w:id="347"/>
      <w:bookmarkStart w:id="348" w:name="_Toc184313257"/>
      <w:bookmarkEnd w:id="348"/>
      <w:bookmarkStart w:id="349" w:name="_Toc184308085"/>
      <w:bookmarkEnd w:id="349"/>
      <w:bookmarkStart w:id="350" w:name="_Toc184314455"/>
      <w:bookmarkEnd w:id="350"/>
      <w:bookmarkStart w:id="351" w:name="_Toc184310324"/>
      <w:bookmarkEnd w:id="351"/>
      <w:bookmarkStart w:id="352" w:name="_Toc184313261"/>
      <w:bookmarkEnd w:id="352"/>
      <w:bookmarkStart w:id="353" w:name="_Toc184308087"/>
      <w:bookmarkEnd w:id="353"/>
      <w:bookmarkStart w:id="354" w:name="_Toc184313254"/>
      <w:bookmarkEnd w:id="354"/>
      <w:bookmarkStart w:id="355" w:name="_Toc184313280"/>
      <w:bookmarkEnd w:id="355"/>
      <w:bookmarkStart w:id="356" w:name="_Toc184313241"/>
      <w:bookmarkEnd w:id="356"/>
      <w:bookmarkStart w:id="357" w:name="_Toc184313244"/>
      <w:bookmarkEnd w:id="357"/>
      <w:bookmarkStart w:id="358" w:name="_Toc184312132"/>
      <w:bookmarkEnd w:id="358"/>
      <w:bookmarkStart w:id="359" w:name="_Toc184308107"/>
      <w:bookmarkEnd w:id="359"/>
      <w:bookmarkStart w:id="360" w:name="_Toc184310301"/>
      <w:bookmarkEnd w:id="360"/>
      <w:bookmarkStart w:id="361" w:name="_Toc184310322"/>
      <w:bookmarkEnd w:id="361"/>
      <w:bookmarkStart w:id="362" w:name="_Toc184312075"/>
      <w:bookmarkEnd w:id="362"/>
      <w:bookmarkStart w:id="363" w:name="_Toc184313298"/>
      <w:bookmarkEnd w:id="363"/>
      <w:bookmarkStart w:id="364" w:name="_Toc184313258"/>
      <w:bookmarkEnd w:id="364"/>
      <w:bookmarkStart w:id="365" w:name="_Toc184310333"/>
      <w:bookmarkEnd w:id="365"/>
      <w:bookmarkStart w:id="366" w:name="_Toc184310297"/>
      <w:bookmarkEnd w:id="366"/>
      <w:bookmarkStart w:id="367" w:name="_Toc184312087"/>
      <w:bookmarkEnd w:id="367"/>
      <w:bookmarkStart w:id="368" w:name="_Toc184310311"/>
      <w:bookmarkEnd w:id="368"/>
      <w:bookmarkStart w:id="369" w:name="_Toc184313299"/>
      <w:bookmarkEnd w:id="369"/>
      <w:bookmarkStart w:id="370" w:name="_Toc184313239"/>
      <w:bookmarkEnd w:id="370"/>
      <w:bookmarkStart w:id="371" w:name="_Toc184314470"/>
      <w:bookmarkEnd w:id="371"/>
      <w:bookmarkStart w:id="372" w:name="_Toc184308060"/>
      <w:bookmarkEnd w:id="372"/>
      <w:bookmarkStart w:id="373" w:name="_Toc184314464"/>
      <w:bookmarkEnd w:id="373"/>
      <w:bookmarkStart w:id="374" w:name="_Toc184313279"/>
      <w:bookmarkEnd w:id="374"/>
      <w:bookmarkStart w:id="375" w:name="_Toc184308063"/>
      <w:bookmarkEnd w:id="375"/>
      <w:bookmarkStart w:id="376" w:name="_Toc184314453"/>
      <w:bookmarkEnd w:id="376"/>
      <w:bookmarkStart w:id="377" w:name="_Toc184312072"/>
      <w:bookmarkEnd w:id="377"/>
      <w:bookmarkStart w:id="378" w:name="_Toc184312107"/>
      <w:bookmarkEnd w:id="378"/>
      <w:bookmarkStart w:id="379" w:name="_Toc184314467"/>
      <w:bookmarkEnd w:id="379"/>
      <w:bookmarkStart w:id="380" w:name="_Toc184313264"/>
      <w:bookmarkEnd w:id="380"/>
      <w:bookmarkStart w:id="381" w:name="_Toc184313256"/>
      <w:bookmarkEnd w:id="381"/>
      <w:bookmarkStart w:id="382" w:name="_Toc184310325"/>
      <w:bookmarkEnd w:id="382"/>
      <w:bookmarkStart w:id="383" w:name="_Toc184310296"/>
      <w:bookmarkEnd w:id="383"/>
      <w:bookmarkStart w:id="384" w:name="_Toc184310307"/>
      <w:bookmarkEnd w:id="384"/>
      <w:bookmarkStart w:id="385" w:name="_Toc184310272"/>
      <w:bookmarkEnd w:id="385"/>
      <w:bookmarkStart w:id="386" w:name="_Toc184308070"/>
      <w:bookmarkEnd w:id="386"/>
      <w:bookmarkStart w:id="387" w:name="_Toc184312093"/>
      <w:bookmarkEnd w:id="387"/>
      <w:bookmarkStart w:id="388" w:name="_Toc184308037"/>
      <w:bookmarkEnd w:id="388"/>
      <w:bookmarkStart w:id="389" w:name="_Toc184314441"/>
      <w:bookmarkEnd w:id="389"/>
      <w:bookmarkStart w:id="390" w:name="_Toc184314435"/>
      <w:bookmarkEnd w:id="390"/>
      <w:bookmarkStart w:id="391" w:name="_Toc184310335"/>
      <w:bookmarkEnd w:id="391"/>
      <w:bookmarkStart w:id="392" w:name="_Toc184308039"/>
      <w:bookmarkEnd w:id="392"/>
      <w:bookmarkStart w:id="393" w:name="_Toc184308104"/>
      <w:bookmarkEnd w:id="393"/>
      <w:bookmarkStart w:id="394" w:name="_Toc184312129"/>
      <w:bookmarkEnd w:id="394"/>
      <w:bookmarkStart w:id="395" w:name="_Toc184308054"/>
      <w:bookmarkEnd w:id="395"/>
      <w:bookmarkStart w:id="396" w:name="_Toc184312080"/>
      <w:bookmarkEnd w:id="396"/>
      <w:bookmarkStart w:id="397" w:name="_Toc184314429"/>
      <w:bookmarkEnd w:id="397"/>
      <w:bookmarkStart w:id="398" w:name="_Toc184308056"/>
      <w:bookmarkEnd w:id="398"/>
      <w:bookmarkStart w:id="399" w:name="_Toc184314463"/>
      <w:bookmarkEnd w:id="399"/>
      <w:bookmarkStart w:id="400" w:name="_Toc184308065"/>
      <w:bookmarkEnd w:id="400"/>
      <w:bookmarkStart w:id="401" w:name="_Toc184313285"/>
      <w:bookmarkEnd w:id="401"/>
      <w:bookmarkStart w:id="402" w:name="_Toc184313269"/>
      <w:bookmarkEnd w:id="402"/>
      <w:bookmarkStart w:id="403" w:name="_Toc184314450"/>
      <w:bookmarkEnd w:id="403"/>
      <w:bookmarkStart w:id="404" w:name="_Toc184308074"/>
      <w:bookmarkEnd w:id="404"/>
      <w:bookmarkStart w:id="405" w:name="_Toc184313281"/>
      <w:bookmarkEnd w:id="405"/>
      <w:bookmarkStart w:id="406" w:name="_Toc184310320"/>
      <w:bookmarkEnd w:id="406"/>
      <w:bookmarkStart w:id="407" w:name="_Toc184310331"/>
      <w:bookmarkEnd w:id="407"/>
      <w:bookmarkStart w:id="408" w:name="_Toc184314451"/>
      <w:bookmarkEnd w:id="408"/>
      <w:bookmarkStart w:id="409" w:name="_Toc184312077"/>
      <w:bookmarkEnd w:id="409"/>
      <w:bookmarkStart w:id="410" w:name="_Toc184310341"/>
      <w:bookmarkEnd w:id="410"/>
      <w:bookmarkStart w:id="411" w:name="_Toc184314462"/>
      <w:bookmarkEnd w:id="411"/>
      <w:bookmarkStart w:id="412" w:name="_Toc184308053"/>
      <w:bookmarkEnd w:id="412"/>
      <w:bookmarkStart w:id="413" w:name="_Toc184313252"/>
      <w:bookmarkEnd w:id="413"/>
      <w:bookmarkStart w:id="414" w:name="_Toc184308038"/>
      <w:bookmarkEnd w:id="414"/>
      <w:bookmarkStart w:id="415" w:name="_Toc184313240"/>
      <w:bookmarkEnd w:id="415"/>
      <w:bookmarkStart w:id="416" w:name="_Toc184310273"/>
      <w:bookmarkEnd w:id="416"/>
      <w:r>
        <w:rPr>
          <w:rFonts w:hint="eastAsia" w:ascii="宋体" w:hAnsi="宋体" w:cs="宋体"/>
          <w:b/>
          <w:sz w:val="36"/>
          <w:szCs w:val="36"/>
        </w:rPr>
        <w:t>评标办法</w:t>
      </w:r>
      <w:bookmarkEnd w:id="49"/>
      <w:bookmarkEnd w:id="50"/>
      <w:bookmarkEnd w:id="51"/>
    </w:p>
    <w:p>
      <w:pPr>
        <w:pStyle w:val="4"/>
        <w:bidi w:val="0"/>
      </w:pPr>
      <w:bookmarkStart w:id="417" w:name="_Toc19050"/>
      <w:bookmarkStart w:id="418" w:name="_Toc22464"/>
      <w:r>
        <w:rPr>
          <w:rFonts w:hint="eastAsia"/>
        </w:rPr>
        <w:t>一、评标方法</w:t>
      </w:r>
      <w:bookmarkEnd w:id="417"/>
      <w:bookmarkEnd w:id="418"/>
    </w:p>
    <w:p>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pPr>
        <w:pStyle w:val="4"/>
        <w:numPr>
          <w:ilvl w:val="0"/>
          <w:numId w:val="2"/>
        </w:numPr>
        <w:bidi w:val="0"/>
        <w:rPr>
          <w:rFonts w:hint="eastAsia"/>
        </w:rPr>
      </w:pPr>
      <w:bookmarkStart w:id="419" w:name="_Toc30791"/>
      <w:bookmarkStart w:id="420" w:name="_Toc4726"/>
      <w:r>
        <w:rPr>
          <w:rFonts w:hint="eastAsia"/>
        </w:rPr>
        <w:t>评标标准</w:t>
      </w:r>
      <w:bookmarkEnd w:id="419"/>
      <w:bookmarkEnd w:id="420"/>
    </w:p>
    <w:tbl>
      <w:tblPr>
        <w:tblStyle w:val="63"/>
        <w:tblW w:w="5891"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190"/>
        <w:gridCol w:w="5468"/>
        <w:gridCol w:w="1256"/>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eastAsia"/>
                <w:b/>
                <w:bCs/>
                <w:lang w:eastAsia="zh-CN"/>
              </w:rPr>
            </w:pPr>
            <w:r>
              <w:rPr>
                <w:rFonts w:hint="eastAsia"/>
                <w:b/>
                <w:bCs/>
                <w:lang w:eastAsia="zh-CN"/>
              </w:rPr>
              <w:t>序号</w:t>
            </w:r>
          </w:p>
        </w:tc>
        <w:tc>
          <w:tcPr>
            <w:tcW w:w="592" w:type="pct"/>
            <w:noWrap w:val="0"/>
            <w:vAlign w:val="center"/>
          </w:tcPr>
          <w:p>
            <w:pPr>
              <w:bidi w:val="0"/>
              <w:ind w:left="0" w:leftChars="0" w:firstLine="0" w:firstLineChars="0"/>
              <w:jc w:val="center"/>
              <w:rPr>
                <w:rFonts w:hint="eastAsia"/>
                <w:b/>
                <w:bCs/>
                <w:lang w:eastAsia="zh-CN"/>
              </w:rPr>
            </w:pPr>
            <w:r>
              <w:rPr>
                <w:rFonts w:hint="eastAsia"/>
                <w:b/>
                <w:bCs/>
                <w:lang w:eastAsia="zh-CN"/>
              </w:rPr>
              <w:t>评分类型</w:t>
            </w:r>
          </w:p>
        </w:tc>
        <w:tc>
          <w:tcPr>
            <w:tcW w:w="2720" w:type="pct"/>
            <w:noWrap w:val="0"/>
            <w:vAlign w:val="center"/>
          </w:tcPr>
          <w:p>
            <w:pPr>
              <w:bidi w:val="0"/>
              <w:ind w:left="0" w:leftChars="0" w:firstLine="0" w:firstLineChars="0"/>
              <w:jc w:val="center"/>
              <w:rPr>
                <w:rFonts w:hint="eastAsia"/>
                <w:b/>
                <w:bCs/>
                <w:lang w:eastAsia="zh-CN"/>
              </w:rPr>
            </w:pPr>
            <w:r>
              <w:rPr>
                <w:rFonts w:hint="eastAsia"/>
                <w:b/>
                <w:bCs/>
                <w:lang w:eastAsia="zh-CN"/>
              </w:rPr>
              <w:t>评分标准</w:t>
            </w:r>
          </w:p>
        </w:tc>
        <w:tc>
          <w:tcPr>
            <w:tcW w:w="625" w:type="pct"/>
            <w:noWrap w:val="0"/>
            <w:vAlign w:val="center"/>
          </w:tcPr>
          <w:p>
            <w:pPr>
              <w:bidi w:val="0"/>
              <w:ind w:left="0" w:leftChars="0" w:firstLine="0" w:firstLineChars="0"/>
              <w:jc w:val="center"/>
              <w:rPr>
                <w:rFonts w:hint="eastAsia"/>
                <w:b/>
                <w:bCs/>
                <w:lang w:eastAsia="zh-CN"/>
              </w:rPr>
            </w:pPr>
            <w:r>
              <w:rPr>
                <w:rFonts w:hint="eastAsia"/>
                <w:b/>
                <w:bCs/>
                <w:lang w:val="en-US" w:eastAsia="zh-CN"/>
              </w:rPr>
              <w:t>分值范围</w:t>
            </w:r>
          </w:p>
        </w:tc>
        <w:tc>
          <w:tcPr>
            <w:tcW w:w="641" w:type="pct"/>
            <w:noWrap w:val="0"/>
            <w:vAlign w:val="center"/>
          </w:tcPr>
          <w:p>
            <w:pPr>
              <w:bidi w:val="0"/>
              <w:ind w:left="0" w:leftChars="0" w:firstLine="0" w:firstLineChars="0"/>
              <w:jc w:val="center"/>
              <w:rPr>
                <w:rFonts w:hint="eastAsia"/>
                <w:b/>
                <w:bCs/>
                <w:lang w:eastAsia="zh-CN"/>
              </w:rPr>
            </w:pPr>
            <w:r>
              <w:rPr>
                <w:rFonts w:hint="eastAsia" w:ascii="宋体" w:hAnsi="宋体" w:eastAsia="宋体" w:cs="宋体"/>
                <w:b/>
                <w:bCs/>
                <w:lang w:eastAsia="zh-CN"/>
              </w:rPr>
              <w:t>评分</w:t>
            </w:r>
            <w:r>
              <w:rPr>
                <w:rFonts w:hint="eastAsia" w:ascii="宋体" w:hAnsi="宋体" w:eastAsia="宋体" w:cs="宋体"/>
                <w:b/>
                <w:bC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eastAsia"/>
                <w:lang w:eastAsia="zh-CN"/>
              </w:rPr>
            </w:pPr>
            <w:r>
              <w:rPr>
                <w:rFonts w:hint="eastAsia"/>
                <w:lang w:eastAsia="zh-CN"/>
              </w:rPr>
              <w:t>1</w:t>
            </w:r>
          </w:p>
        </w:tc>
        <w:tc>
          <w:tcPr>
            <w:tcW w:w="592" w:type="pct"/>
            <w:noWrap w:val="0"/>
            <w:vAlign w:val="center"/>
          </w:tcPr>
          <w:p>
            <w:pPr>
              <w:bidi w:val="0"/>
              <w:ind w:left="0" w:leftChars="0" w:firstLine="0" w:firstLineChars="0"/>
              <w:jc w:val="center"/>
              <w:rPr>
                <w:rFonts w:hint="eastAsia"/>
                <w:color w:val="auto"/>
                <w:lang w:eastAsia="zh-CN"/>
              </w:rPr>
            </w:pPr>
            <w:r>
              <w:rPr>
                <w:rFonts w:hint="eastAsia"/>
                <w:color w:val="auto"/>
                <w:lang w:eastAsia="zh-CN"/>
              </w:rPr>
              <w:t>报价</w:t>
            </w:r>
          </w:p>
        </w:tc>
        <w:tc>
          <w:tcPr>
            <w:tcW w:w="2720" w:type="pct"/>
            <w:noWrap w:val="0"/>
            <w:vAlign w:val="center"/>
          </w:tcPr>
          <w:p>
            <w:pPr>
              <w:bidi w:val="0"/>
              <w:ind w:left="0" w:leftChars="0" w:firstLine="0" w:firstLineChars="0"/>
              <w:jc w:val="left"/>
              <w:rPr>
                <w:rFonts w:hint="eastAsia"/>
                <w:color w:val="auto"/>
                <w:lang w:eastAsia="zh-CN"/>
              </w:rPr>
            </w:pPr>
            <w:r>
              <w:rPr>
                <w:rFonts w:hint="eastAsia"/>
                <w:color w:val="auto"/>
                <w:lang w:eastAsia="zh-CN"/>
              </w:rPr>
              <w:t>价格分采用低价优先法计算，即</w:t>
            </w:r>
            <w:r>
              <w:rPr>
                <w:rFonts w:hint="eastAsia"/>
                <w:color w:val="auto"/>
              </w:rPr>
              <w:t>有效</w:t>
            </w:r>
            <w:r>
              <w:rPr>
                <w:rFonts w:hint="eastAsia"/>
                <w:color w:val="auto"/>
                <w:lang w:val="en-US" w:eastAsia="zh-CN"/>
              </w:rPr>
              <w:t>投标</w:t>
            </w:r>
            <w:r>
              <w:rPr>
                <w:rFonts w:hint="eastAsia"/>
                <w:color w:val="auto"/>
              </w:rPr>
              <w:t>报价的最低价</w:t>
            </w:r>
            <w:r>
              <w:rPr>
                <w:rFonts w:hint="eastAsia"/>
                <w:color w:val="auto"/>
                <w:lang w:eastAsia="zh-CN"/>
              </w:rPr>
              <w:t>为</w:t>
            </w:r>
            <w:r>
              <w:rPr>
                <w:rFonts w:hint="eastAsia"/>
                <w:color w:val="auto"/>
                <w:lang w:val="en-US" w:eastAsia="zh-CN"/>
              </w:rPr>
              <w:t>评审</w:t>
            </w:r>
            <w:r>
              <w:rPr>
                <w:rFonts w:hint="eastAsia"/>
                <w:color w:val="auto"/>
                <w:lang w:eastAsia="zh-CN"/>
              </w:rPr>
              <w:t>基准价，</w:t>
            </w:r>
            <w:r>
              <w:rPr>
                <w:rFonts w:hint="eastAsia"/>
                <w:color w:val="auto"/>
              </w:rPr>
              <w:t>其最低报价为满分</w:t>
            </w:r>
            <w:r>
              <w:rPr>
                <w:rFonts w:hint="eastAsia"/>
                <w:color w:val="auto"/>
                <w:lang w:eastAsia="zh-CN"/>
              </w:rPr>
              <w:t>。其他</w:t>
            </w:r>
            <w:r>
              <w:rPr>
                <w:rFonts w:hint="eastAsia"/>
                <w:color w:val="auto"/>
                <w:lang w:val="en-US" w:eastAsia="zh-CN"/>
              </w:rPr>
              <w:t>投标人</w:t>
            </w:r>
            <w:r>
              <w:rPr>
                <w:rFonts w:hint="eastAsia"/>
                <w:color w:val="auto"/>
                <w:lang w:eastAsia="zh-CN"/>
              </w:rPr>
              <w:t>的</w:t>
            </w:r>
            <w:r>
              <w:rPr>
                <w:rFonts w:hint="eastAsia"/>
                <w:color w:val="auto"/>
                <w:lang w:val="en-US" w:eastAsia="zh-CN"/>
              </w:rPr>
              <w:t>报价</w:t>
            </w:r>
            <w:r>
              <w:rPr>
                <w:rFonts w:hint="eastAsia"/>
                <w:color w:val="auto"/>
                <w:lang w:eastAsia="zh-CN"/>
              </w:rPr>
              <w:t>分统一按照下列公式计算：</w:t>
            </w:r>
          </w:p>
          <w:p>
            <w:pPr>
              <w:bidi w:val="0"/>
              <w:ind w:left="0" w:leftChars="0" w:firstLine="0" w:firstLineChars="0"/>
              <w:jc w:val="left"/>
              <w:rPr>
                <w:rFonts w:hint="eastAsia"/>
                <w:color w:val="auto"/>
                <w:lang w:eastAsia="zh-CN"/>
              </w:rPr>
            </w:pPr>
            <w:r>
              <w:rPr>
                <w:rFonts w:hint="eastAsia"/>
                <w:color w:val="auto"/>
                <w:lang w:eastAsia="zh-CN"/>
              </w:rPr>
              <w:t>报价得分=（</w:t>
            </w:r>
            <w:r>
              <w:rPr>
                <w:rFonts w:hint="eastAsia"/>
                <w:color w:val="auto"/>
                <w:lang w:val="en-US" w:eastAsia="zh-CN"/>
              </w:rPr>
              <w:t>评审</w:t>
            </w:r>
            <w:r>
              <w:rPr>
                <w:rFonts w:hint="eastAsia"/>
                <w:color w:val="auto"/>
                <w:lang w:eastAsia="zh-CN"/>
              </w:rPr>
              <w:t>基准价/投标报价）</w:t>
            </w:r>
            <w:r>
              <w:rPr>
                <w:rFonts w:hint="eastAsia"/>
                <w:color w:val="auto"/>
                <w:lang w:val="en-US" w:eastAsia="zh-CN"/>
              </w:rPr>
              <w:t>*10</w:t>
            </w:r>
          </w:p>
          <w:p>
            <w:pPr>
              <w:ind w:left="0" w:leftChars="0" w:firstLine="0" w:firstLineChars="0"/>
              <w:rPr>
                <w:rFonts w:hint="eastAsia"/>
                <w:color w:val="auto"/>
                <w:lang w:eastAsia="zh-CN"/>
              </w:rPr>
            </w:pPr>
            <w:r>
              <w:rPr>
                <w:rFonts w:hint="eastAsia" w:ascii="宋体" w:hAnsi="宋体" w:eastAsia="宋体" w:cs="仿宋_GB2312"/>
                <w:b/>
                <w:bCs/>
                <w:color w:val="auto"/>
                <w:sz w:val="24"/>
              </w:rPr>
              <w:t>对于未预留份额专门面向中小企业的政府采购项目，以及预留份额政府采购项目中的非预留部分标项，对</w:t>
            </w:r>
            <w:r>
              <w:rPr>
                <w:rFonts w:hint="eastAsia" w:ascii="宋体" w:hAnsi="宋体" w:eastAsia="宋体" w:cs="仿宋_GB2312"/>
                <w:b/>
                <w:bCs/>
                <w:color w:val="auto"/>
                <w:sz w:val="24"/>
                <w:lang w:val="en-US" w:eastAsia="zh-CN"/>
              </w:rPr>
              <w:t>符合《政府采购促进中小企业发展管理办法》的规定给予价格扣除优惠政策的供应商</w:t>
            </w:r>
            <w:r>
              <w:rPr>
                <w:rFonts w:hint="eastAsia" w:ascii="宋体" w:hAnsi="宋体" w:eastAsia="宋体" w:cs="仿宋_GB2312"/>
                <w:b/>
                <w:bCs/>
                <w:color w:val="auto"/>
                <w:sz w:val="24"/>
              </w:rPr>
              <w:t>，用扣除后的价格参与评审。</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w:t>
            </w:r>
            <w:r>
              <w:rPr>
                <w:rFonts w:hint="eastAsia" w:ascii="宋体" w:hAnsi="宋体" w:cs="宋体"/>
                <w:b/>
                <w:bCs/>
                <w:color w:val="auto"/>
                <w:szCs w:val="21"/>
                <w:highlight w:val="none"/>
              </w:rPr>
              <w:t>专门面向中小微企业采购的项目，不再执行价格评审优惠的扶持政策。</w:t>
            </w:r>
          </w:p>
        </w:tc>
        <w:tc>
          <w:tcPr>
            <w:tcW w:w="625" w:type="pct"/>
            <w:noWrap w:val="0"/>
            <w:vAlign w:val="center"/>
          </w:tcPr>
          <w:p>
            <w:pPr>
              <w:bidi w:val="0"/>
              <w:ind w:left="0" w:leftChars="0" w:firstLine="0" w:firstLineChars="0"/>
              <w:jc w:val="center"/>
              <w:rPr>
                <w:rFonts w:hint="eastAsia"/>
                <w:lang w:eastAsia="zh-CN"/>
              </w:rPr>
            </w:pPr>
            <w:r>
              <w:rPr>
                <w:rFonts w:hint="eastAsia"/>
                <w:lang w:val="en-US" w:eastAsia="zh-CN"/>
              </w:rPr>
              <w:t>0-1</w:t>
            </w:r>
            <w:r>
              <w:rPr>
                <w:rFonts w:hint="eastAsia"/>
                <w:lang w:eastAsia="zh-CN"/>
              </w:rPr>
              <w:t>0</w:t>
            </w:r>
          </w:p>
        </w:tc>
        <w:tc>
          <w:tcPr>
            <w:tcW w:w="641" w:type="pct"/>
            <w:noWrap w:val="0"/>
            <w:vAlign w:val="center"/>
          </w:tcPr>
          <w:p>
            <w:pPr>
              <w:bidi w:val="0"/>
              <w:ind w:left="0" w:leftChars="0" w:firstLine="0" w:firstLineChars="0"/>
              <w:jc w:val="center"/>
              <w:rPr>
                <w:rFonts w:hint="default"/>
                <w:lang w:val="en-US" w:eastAsia="zh-CN"/>
              </w:rPr>
            </w:pPr>
            <w:r>
              <w:rPr>
                <w:rFonts w:hint="eastAsia"/>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2</w:t>
            </w:r>
          </w:p>
        </w:tc>
        <w:tc>
          <w:tcPr>
            <w:tcW w:w="592" w:type="pct"/>
            <w:noWrap w:val="0"/>
            <w:vAlign w:val="center"/>
          </w:tcPr>
          <w:p>
            <w:pPr>
              <w:bidi w:val="0"/>
              <w:ind w:left="0" w:leftChars="0" w:firstLine="0" w:firstLineChars="0"/>
              <w:jc w:val="center"/>
              <w:rPr>
                <w:rFonts w:hint="default"/>
                <w:lang w:val="en-US" w:eastAsia="zh-CN"/>
              </w:rPr>
            </w:pPr>
            <w:r>
              <w:rPr>
                <w:rFonts w:hint="eastAsia"/>
                <w:lang w:val="en-US" w:eastAsia="zh-CN"/>
              </w:rPr>
              <w:t>商务</w:t>
            </w:r>
          </w:p>
        </w:tc>
        <w:tc>
          <w:tcPr>
            <w:tcW w:w="2720" w:type="pct"/>
            <w:noWrap w:val="0"/>
            <w:vAlign w:val="center"/>
          </w:tcPr>
          <w:p>
            <w:pPr>
              <w:ind w:left="0" w:leftChars="0" w:firstLine="0" w:firstLineChars="0"/>
              <w:rPr>
                <w:rFonts w:hint="eastAsia" w:ascii="宋体" w:hAnsi="宋体" w:cs="宋体"/>
                <w:b/>
                <w:bCs/>
                <w:sz w:val="24"/>
              </w:rPr>
            </w:pPr>
            <w:r>
              <w:rPr>
                <w:rFonts w:hint="eastAsia" w:ascii="宋体" w:hAnsi="宋体" w:cs="宋体"/>
                <w:sz w:val="24"/>
              </w:rPr>
              <w:t>投标人自202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月份以来承接过同类项目业绩，每个得</w:t>
            </w:r>
            <w:r>
              <w:rPr>
                <w:rFonts w:hint="eastAsia" w:ascii="宋体" w:hAnsi="宋体" w:cs="宋体"/>
                <w:sz w:val="24"/>
                <w:lang w:val="en-US" w:eastAsia="zh-CN"/>
              </w:rPr>
              <w:t>0.5</w:t>
            </w:r>
            <w:r>
              <w:rPr>
                <w:rFonts w:hint="eastAsia" w:ascii="宋体" w:hAnsi="宋体" w:cs="宋体"/>
                <w:sz w:val="24"/>
              </w:rPr>
              <w:t>分，最高得</w:t>
            </w:r>
            <w:r>
              <w:rPr>
                <w:rFonts w:hint="eastAsia" w:ascii="宋体" w:hAnsi="宋体" w:cs="宋体"/>
                <w:sz w:val="24"/>
                <w:lang w:val="en-US" w:eastAsia="zh-CN"/>
              </w:rPr>
              <w:t>1</w:t>
            </w:r>
            <w:r>
              <w:rPr>
                <w:rFonts w:hint="eastAsia" w:ascii="宋体" w:hAnsi="宋体" w:cs="宋体"/>
                <w:sz w:val="24"/>
              </w:rPr>
              <w:t>分；（业绩必须提供相应的证明文件（合同复印件），时间以合同签订时间为准。）</w:t>
            </w:r>
          </w:p>
        </w:tc>
        <w:tc>
          <w:tcPr>
            <w:tcW w:w="625" w:type="pct"/>
            <w:noWrap w:val="0"/>
            <w:vAlign w:val="center"/>
          </w:tcPr>
          <w:p>
            <w:pPr>
              <w:bidi w:val="0"/>
              <w:ind w:left="0" w:leftChars="0" w:firstLine="0" w:firstLineChars="0"/>
              <w:jc w:val="center"/>
              <w:rPr>
                <w:rFonts w:hint="default"/>
                <w:lang w:val="en-US" w:eastAsia="zh-CN"/>
              </w:rPr>
            </w:pPr>
            <w:r>
              <w:rPr>
                <w:rFonts w:hint="eastAsia"/>
                <w:lang w:val="en-US" w:eastAsia="zh-CN"/>
              </w:rPr>
              <w:t>0-1</w:t>
            </w:r>
          </w:p>
        </w:tc>
        <w:tc>
          <w:tcPr>
            <w:tcW w:w="641" w:type="pct"/>
            <w:noWrap w:val="0"/>
            <w:vAlign w:val="center"/>
          </w:tcPr>
          <w:p>
            <w:pPr>
              <w:bidi w:val="0"/>
              <w:ind w:left="0" w:leftChars="0" w:firstLine="0" w:firstLineChars="0"/>
              <w:jc w:val="center"/>
              <w:rPr>
                <w:rFonts w:hint="eastAsia"/>
                <w:lang w:val="en-US" w:eastAsia="zh-CN"/>
              </w:rPr>
            </w:pPr>
            <w:r>
              <w:rPr>
                <w:rFonts w:hint="eastAsia"/>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3</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0" w:type="pct"/>
            <w:noWrap w:val="0"/>
            <w:vAlign w:val="center"/>
          </w:tcPr>
          <w:p>
            <w:pPr>
              <w:pStyle w:val="485"/>
              <w:ind w:left="0" w:leftChars="0" w:firstLine="0" w:firstLineChars="0"/>
              <w:jc w:val="left"/>
              <w:rPr>
                <w:rFonts w:hint="eastAsia" w:ascii="宋体" w:hAnsi="宋体" w:eastAsia="宋体" w:cs="宋体"/>
                <w:b/>
                <w:bCs/>
                <w:szCs w:val="21"/>
              </w:rPr>
            </w:pPr>
            <w:r>
              <w:rPr>
                <w:rFonts w:hint="eastAsia" w:ascii="宋体" w:hAnsi="宋体" w:eastAsia="宋体" w:cs="宋体"/>
                <w:b/>
                <w:bCs/>
                <w:szCs w:val="21"/>
              </w:rPr>
              <w:t>投标人提供的项目总体实施方案</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项目总体实施方案能完全满足采购人的专业需求，内容详细完整，具有可行性的，有利于采购标的实现、实施风险保障充足的得5分；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项目总体实施方案略有欠缺，不能完全满足采购人的专业需求，内容细节不完整，可行性略有欠缺，能实现采购标的实现、实施风险保障略有欠缺的得3分；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项目总体实施方案一般，不能满足采购人的专业需求，内容细节不完整或不到位，实施风险保障可行的得1分；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4</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0" w:type="pct"/>
            <w:noWrap w:val="0"/>
            <w:vAlign w:val="center"/>
          </w:tcPr>
          <w:p>
            <w:pPr>
              <w:ind w:left="0" w:leftChars="0" w:firstLine="0" w:firstLineChars="0"/>
              <w:jc w:val="left"/>
              <w:rPr>
                <w:b/>
                <w:bCs/>
                <w:color w:val="auto"/>
                <w:kern w:val="0"/>
                <w:highlight w:val="none"/>
              </w:rPr>
            </w:pPr>
            <w:r>
              <w:rPr>
                <w:b/>
                <w:bCs/>
                <w:color w:val="auto"/>
                <w:kern w:val="0"/>
                <w:highlight w:val="none"/>
              </w:rPr>
              <w:t>针对</w:t>
            </w:r>
            <w:r>
              <w:rPr>
                <w:rFonts w:hint="eastAsia"/>
                <w:b/>
                <w:bCs/>
                <w:color w:val="auto"/>
                <w:kern w:val="0"/>
                <w:highlight w:val="none"/>
              </w:rPr>
              <w:t>本项目</w:t>
            </w:r>
            <w:r>
              <w:rPr>
                <w:b/>
                <w:bCs/>
                <w:color w:val="auto"/>
                <w:kern w:val="0"/>
                <w:highlight w:val="none"/>
              </w:rPr>
              <w:t>的工作重点、难点分析</w:t>
            </w:r>
            <w:r>
              <w:rPr>
                <w:rFonts w:hint="eastAsia"/>
                <w:b/>
                <w:bCs/>
                <w:color w:val="auto"/>
                <w:kern w:val="0"/>
                <w:highlight w:val="none"/>
              </w:rPr>
              <w:t>及</w:t>
            </w:r>
            <w:r>
              <w:rPr>
                <w:b/>
                <w:bCs/>
                <w:color w:val="auto"/>
                <w:kern w:val="0"/>
                <w:highlight w:val="none"/>
              </w:rPr>
              <w:t>相对应的解决方案</w:t>
            </w:r>
            <w:r>
              <w:rPr>
                <w:rFonts w:hint="eastAsia"/>
                <w:b/>
                <w:bCs/>
                <w:color w:val="auto"/>
                <w:kern w:val="0"/>
                <w:highlight w:val="none"/>
              </w:rPr>
              <w:t>：</w:t>
            </w:r>
          </w:p>
          <w:p>
            <w:pPr>
              <w:ind w:left="0" w:leftChars="0" w:firstLine="0" w:firstLineChars="0"/>
              <w:jc w:val="left"/>
              <w:rPr>
                <w:rFonts w:hint="eastAsia" w:eastAsia="宋体"/>
                <w:color w:val="auto"/>
                <w:kern w:val="0"/>
                <w:highlight w:val="none"/>
                <w:lang w:eastAsia="zh-CN"/>
              </w:rPr>
            </w:pPr>
            <w:r>
              <w:rPr>
                <w:color w:val="auto"/>
                <w:kern w:val="0"/>
                <w:highlight w:val="none"/>
              </w:rPr>
              <w:t>投标人针对</w:t>
            </w:r>
            <w:r>
              <w:rPr>
                <w:rFonts w:hint="eastAsia"/>
                <w:color w:val="auto"/>
                <w:kern w:val="0"/>
                <w:highlight w:val="none"/>
              </w:rPr>
              <w:t>本项目</w:t>
            </w:r>
            <w:r>
              <w:rPr>
                <w:color w:val="auto"/>
                <w:kern w:val="0"/>
                <w:highlight w:val="none"/>
              </w:rPr>
              <w:t>提出的工作重点、难点分析合理，</w:t>
            </w:r>
            <w:r>
              <w:rPr>
                <w:rFonts w:hint="eastAsia"/>
                <w:color w:val="auto"/>
                <w:kern w:val="0"/>
                <w:highlight w:val="none"/>
              </w:rPr>
              <w:t>解决方案</w:t>
            </w:r>
            <w:r>
              <w:rPr>
                <w:color w:val="auto"/>
                <w:kern w:val="0"/>
                <w:highlight w:val="none"/>
              </w:rPr>
              <w:t>有针对性</w:t>
            </w:r>
            <w:r>
              <w:rPr>
                <w:rFonts w:hint="eastAsia"/>
                <w:color w:val="auto"/>
                <w:kern w:val="0"/>
                <w:highlight w:val="none"/>
              </w:rPr>
              <w:t>、可实施性强</w:t>
            </w:r>
            <w:r>
              <w:rPr>
                <w:color w:val="auto"/>
                <w:kern w:val="0"/>
                <w:highlight w:val="none"/>
              </w:rPr>
              <w:t>得</w:t>
            </w:r>
            <w:r>
              <w:rPr>
                <w:rFonts w:hint="eastAsia"/>
                <w:color w:val="auto"/>
                <w:kern w:val="0"/>
                <w:highlight w:val="none"/>
                <w:lang w:val="en-US" w:eastAsia="zh-CN"/>
              </w:rPr>
              <w:t>4</w:t>
            </w:r>
            <w:r>
              <w:rPr>
                <w:color w:val="auto"/>
                <w:kern w:val="0"/>
                <w:highlight w:val="none"/>
              </w:rPr>
              <w:t>分</w:t>
            </w:r>
            <w:r>
              <w:rPr>
                <w:rFonts w:hint="eastAsia"/>
                <w:color w:val="auto"/>
                <w:kern w:val="0"/>
                <w:highlight w:val="none"/>
                <w:lang w:eastAsia="zh-CN"/>
              </w:rPr>
              <w:t>；</w:t>
            </w:r>
          </w:p>
          <w:p>
            <w:pPr>
              <w:ind w:left="0" w:leftChars="0" w:firstLine="0" w:firstLineChars="0"/>
              <w:jc w:val="left"/>
              <w:rPr>
                <w:rFonts w:hint="eastAsia" w:eastAsia="宋体"/>
                <w:color w:val="auto"/>
                <w:kern w:val="0"/>
                <w:highlight w:val="none"/>
                <w:lang w:eastAsia="zh-CN"/>
              </w:rPr>
            </w:pPr>
            <w:r>
              <w:rPr>
                <w:color w:val="auto"/>
                <w:kern w:val="0"/>
                <w:highlight w:val="none"/>
              </w:rPr>
              <w:t>投标人针对</w:t>
            </w:r>
            <w:r>
              <w:rPr>
                <w:rFonts w:hint="eastAsia"/>
                <w:color w:val="auto"/>
                <w:kern w:val="0"/>
                <w:highlight w:val="none"/>
              </w:rPr>
              <w:t>本项目</w:t>
            </w:r>
            <w:r>
              <w:rPr>
                <w:color w:val="auto"/>
                <w:kern w:val="0"/>
                <w:highlight w:val="none"/>
              </w:rPr>
              <w:t>提出的工作重点、难点分析</w:t>
            </w:r>
            <w:r>
              <w:rPr>
                <w:rFonts w:hint="eastAsia"/>
                <w:color w:val="auto"/>
                <w:kern w:val="0"/>
                <w:highlight w:val="none"/>
              </w:rPr>
              <w:t>基本</w:t>
            </w:r>
            <w:r>
              <w:rPr>
                <w:color w:val="auto"/>
                <w:kern w:val="0"/>
                <w:highlight w:val="none"/>
              </w:rPr>
              <w:t>合理，</w:t>
            </w:r>
            <w:r>
              <w:rPr>
                <w:rFonts w:hint="eastAsia"/>
                <w:color w:val="auto"/>
                <w:kern w:val="0"/>
                <w:highlight w:val="none"/>
              </w:rPr>
              <w:t>解决方案具有一定的</w:t>
            </w:r>
            <w:r>
              <w:rPr>
                <w:color w:val="auto"/>
                <w:kern w:val="0"/>
                <w:highlight w:val="none"/>
              </w:rPr>
              <w:t>针对性</w:t>
            </w:r>
            <w:r>
              <w:rPr>
                <w:rFonts w:hint="eastAsia"/>
                <w:color w:val="auto"/>
                <w:kern w:val="0"/>
                <w:highlight w:val="none"/>
              </w:rPr>
              <w:t>、可实施性</w:t>
            </w:r>
            <w:r>
              <w:rPr>
                <w:color w:val="auto"/>
                <w:kern w:val="0"/>
                <w:highlight w:val="none"/>
              </w:rPr>
              <w:t>得</w:t>
            </w:r>
            <w:r>
              <w:rPr>
                <w:rFonts w:hint="eastAsia"/>
                <w:color w:val="auto"/>
                <w:kern w:val="0"/>
                <w:highlight w:val="none"/>
                <w:lang w:val="en-US" w:eastAsia="zh-CN"/>
              </w:rPr>
              <w:t>2</w:t>
            </w:r>
            <w:r>
              <w:rPr>
                <w:color w:val="auto"/>
                <w:kern w:val="0"/>
                <w:highlight w:val="none"/>
              </w:rPr>
              <w:t>分</w:t>
            </w:r>
            <w:r>
              <w:rPr>
                <w:rFonts w:hint="eastAsia"/>
                <w:color w:val="auto"/>
                <w:kern w:val="0"/>
                <w:highlight w:val="none"/>
                <w:lang w:eastAsia="zh-CN"/>
              </w:rPr>
              <w:t>；</w:t>
            </w:r>
          </w:p>
          <w:p>
            <w:pPr>
              <w:ind w:left="0" w:leftChars="0" w:firstLine="0" w:firstLineChars="0"/>
              <w:jc w:val="left"/>
              <w:rPr>
                <w:rFonts w:hint="eastAsia" w:eastAsia="宋体"/>
                <w:color w:val="auto"/>
                <w:kern w:val="0"/>
                <w:highlight w:val="none"/>
                <w:lang w:eastAsia="zh-CN"/>
              </w:rPr>
            </w:pPr>
            <w:r>
              <w:rPr>
                <w:color w:val="auto"/>
                <w:kern w:val="0"/>
                <w:highlight w:val="none"/>
              </w:rPr>
              <w:t>投标人针对</w:t>
            </w:r>
            <w:r>
              <w:rPr>
                <w:rFonts w:hint="eastAsia"/>
                <w:color w:val="auto"/>
                <w:kern w:val="0"/>
                <w:highlight w:val="none"/>
              </w:rPr>
              <w:t>本项目</w:t>
            </w:r>
            <w:r>
              <w:rPr>
                <w:color w:val="auto"/>
                <w:kern w:val="0"/>
                <w:highlight w:val="none"/>
              </w:rPr>
              <w:t>提出的工作的重点、难点分析</w:t>
            </w:r>
            <w:r>
              <w:rPr>
                <w:rFonts w:hint="eastAsia"/>
                <w:color w:val="auto"/>
                <w:kern w:val="0"/>
                <w:highlight w:val="none"/>
              </w:rPr>
              <w:t>不够合理</w:t>
            </w:r>
            <w:r>
              <w:rPr>
                <w:color w:val="auto"/>
                <w:kern w:val="0"/>
                <w:highlight w:val="none"/>
              </w:rPr>
              <w:t>，</w:t>
            </w:r>
            <w:r>
              <w:rPr>
                <w:rFonts w:hint="eastAsia"/>
                <w:color w:val="auto"/>
                <w:kern w:val="0"/>
                <w:highlight w:val="none"/>
              </w:rPr>
              <w:t>解决方案存在不足</w:t>
            </w:r>
            <w:r>
              <w:rPr>
                <w:color w:val="auto"/>
                <w:kern w:val="0"/>
                <w:highlight w:val="none"/>
              </w:rPr>
              <w:t>得1分</w:t>
            </w:r>
            <w:r>
              <w:rPr>
                <w:rFonts w:hint="eastAsia"/>
                <w:color w:val="auto"/>
                <w:kern w:val="0"/>
                <w:highlight w:val="none"/>
                <w:lang w:eastAsia="zh-CN"/>
              </w:rPr>
              <w:t>；</w:t>
            </w:r>
          </w:p>
          <w:p>
            <w:pPr>
              <w:ind w:left="0" w:leftChars="0" w:firstLine="0" w:firstLineChars="0"/>
              <w:jc w:val="left"/>
              <w:rPr>
                <w:rFonts w:hint="eastAsia"/>
                <w:szCs w:val="24"/>
              </w:rPr>
            </w:pPr>
            <w:r>
              <w:rPr>
                <w:color w:val="auto"/>
                <w:kern w:val="0"/>
                <w:highlight w:val="none"/>
              </w:rPr>
              <w:t>未提供方案不得分。</w:t>
            </w:r>
          </w:p>
        </w:tc>
        <w:tc>
          <w:tcPr>
            <w:tcW w:w="625" w:type="pct"/>
            <w:noWrap w:val="0"/>
            <w:vAlign w:val="center"/>
          </w:tcPr>
          <w:p>
            <w:pPr>
              <w:ind w:left="0" w:leftChars="0" w:firstLine="0" w:firstLineChars="0"/>
              <w:jc w:val="center"/>
              <w:rPr>
                <w:rFonts w:hint="eastAsia" w:ascii="Times New Roman" w:hAnsi="Times New Roman" w:eastAsia="宋体" w:cs="Times New Roman"/>
                <w:lang w:val="en-US" w:eastAsia="zh-CN"/>
              </w:rPr>
            </w:pPr>
            <w:r>
              <w:rPr>
                <w:color w:val="auto"/>
                <w:kern w:val="0"/>
                <w:highlight w:val="none"/>
              </w:rPr>
              <w:t>0-</w:t>
            </w:r>
            <w:r>
              <w:rPr>
                <w:rFonts w:hint="eastAsia"/>
                <w:color w:val="auto"/>
                <w:kern w:val="0"/>
                <w:highlight w:val="none"/>
                <w:lang w:val="en-US" w:eastAsia="zh-CN"/>
              </w:rPr>
              <w:t>4</w:t>
            </w:r>
          </w:p>
        </w:tc>
        <w:tc>
          <w:tcPr>
            <w:tcW w:w="641" w:type="pct"/>
            <w:noWrap w:val="0"/>
            <w:vAlign w:val="center"/>
          </w:tcPr>
          <w:p>
            <w:pPr>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eastAsia"/>
                <w:lang w:val="en-US" w:eastAsia="zh-CN"/>
              </w:rPr>
            </w:pPr>
            <w:r>
              <w:rPr>
                <w:rFonts w:hint="eastAsia"/>
                <w:lang w:val="en-US" w:eastAsia="zh-CN"/>
              </w:rPr>
              <w:t>5</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0" w:type="pct"/>
            <w:noWrap w:val="0"/>
            <w:vAlign w:val="center"/>
          </w:tcPr>
          <w:p>
            <w:pPr>
              <w:ind w:left="0" w:leftChars="0" w:firstLine="0" w:firstLineChars="0"/>
              <w:jc w:val="left"/>
              <w:rPr>
                <w:rFonts w:hint="eastAsia" w:ascii="宋体" w:hAnsi="宋体" w:eastAsia="宋体" w:cs="宋体"/>
                <w:color w:val="auto"/>
                <w:szCs w:val="21"/>
              </w:rPr>
            </w:pPr>
            <w:r>
              <w:rPr>
                <w:rFonts w:hint="eastAsia" w:ascii="宋体" w:hAnsi="宋体" w:eastAsia="宋体" w:cs="宋体"/>
                <w:b/>
                <w:bCs/>
                <w:color w:val="auto"/>
                <w:szCs w:val="21"/>
              </w:rPr>
              <w:t>投标人针对全省各市（含义乌）12市线下活动项目</w:t>
            </w:r>
            <w:r>
              <w:rPr>
                <w:rFonts w:hint="eastAsia" w:ascii="宋体" w:hAnsi="宋体" w:eastAsia="宋体" w:cs="宋体"/>
                <w:b/>
                <w:bCs/>
                <w:color w:val="auto"/>
                <w:szCs w:val="21"/>
                <w:lang w:eastAsia="zh-CN"/>
              </w:rPr>
              <w:t>实施计划及</w:t>
            </w:r>
            <w:r>
              <w:rPr>
                <w:rFonts w:hint="eastAsia" w:ascii="宋体" w:hAnsi="宋体" w:eastAsia="宋体" w:cs="宋体"/>
                <w:b/>
                <w:bCs/>
                <w:color w:val="auto"/>
                <w:szCs w:val="21"/>
              </w:rPr>
              <w:t>响应时间</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全省各市（含义乌）12市线下活动项目实施计划合理、准备充足、响应时间合理高效的得5分</w:t>
            </w:r>
            <w:r>
              <w:rPr>
                <w:rFonts w:hint="eastAsia" w:ascii="Times New Roman" w:hAnsi="Times New Roman" w:cs="Times New Roman"/>
                <w:color w:val="auto"/>
                <w:kern w:val="0"/>
                <w:highlight w:val="none"/>
                <w:lang w:eastAsia="zh-CN"/>
              </w:rPr>
              <w:t>；</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全省各市（含义乌）12市线下活动项目实施计划一般、基本满足采购要求、响应时间较为合理得3分</w:t>
            </w:r>
            <w:r>
              <w:rPr>
                <w:rFonts w:hint="eastAsia" w:ascii="Times New Roman" w:hAnsi="Times New Roman" w:cs="Times New Roman"/>
                <w:color w:val="auto"/>
                <w:kern w:val="0"/>
                <w:highlight w:val="none"/>
                <w:lang w:eastAsia="zh-CN"/>
              </w:rPr>
              <w:t>；</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全省各市（含义乌）12市线下活动项目实施计划存在欠缺或不到位，实施风险保障措施可行性差或适用性差，得1分</w:t>
            </w:r>
            <w:r>
              <w:rPr>
                <w:rFonts w:hint="eastAsia" w:ascii="Times New Roman" w:hAnsi="Times New Roman" w:cs="Times New Roman"/>
                <w:color w:val="auto"/>
                <w:kern w:val="0"/>
                <w:highlight w:val="none"/>
                <w:lang w:eastAsia="zh-CN"/>
              </w:rPr>
              <w:t>；</w:t>
            </w:r>
          </w:p>
          <w:p>
            <w:pPr>
              <w:ind w:left="0" w:leftChars="0" w:firstLine="0" w:firstLineChars="0"/>
              <w:jc w:val="left"/>
              <w:rPr>
                <w:rFonts w:hint="default" w:ascii="宋体" w:hAnsi="宋体" w:eastAsia="宋体" w:cs="宋体"/>
                <w:color w:val="auto"/>
                <w:lang w:val="en-US"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p>
            <w:pPr>
              <w:pStyle w:val="54"/>
              <w:ind w:left="0" w:leftChars="0" w:firstLine="0" w:firstLineChars="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6</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0" w:type="pct"/>
            <w:noWrap w:val="0"/>
            <w:vAlign w:val="center"/>
          </w:tcPr>
          <w:p>
            <w:pPr>
              <w:ind w:firstLine="0" w:firstLineChars="0"/>
              <w:rPr>
                <w:rFonts w:hint="eastAsia"/>
                <w:b/>
                <w:bCs/>
                <w:color w:val="auto"/>
                <w:szCs w:val="24"/>
              </w:rPr>
            </w:pPr>
            <w:r>
              <w:rPr>
                <w:rFonts w:hint="eastAsia"/>
                <w:b/>
                <w:bCs/>
                <w:color w:val="auto"/>
                <w:szCs w:val="24"/>
              </w:rPr>
              <w:t>投标人针对全省各市（含义乌）12市线下活动项目组织实施方案(包含但不限于工作时间进度表、具体工作程序和步骤、管理和协调方法、关键步骤的思路和要点等。）</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方案全面、内容详尽，可实施性强</w:t>
            </w:r>
            <w:r>
              <w:rPr>
                <w:rFonts w:hint="eastAsia" w:ascii="Times New Roman" w:hAnsi="Times New Roman" w:cs="Times New Roman"/>
                <w:color w:val="auto"/>
                <w:kern w:val="0"/>
                <w:highlight w:val="none"/>
                <w:lang w:eastAsia="zh-CN"/>
              </w:rPr>
              <w:t>，</w:t>
            </w:r>
            <w:r>
              <w:rPr>
                <w:rFonts w:hint="eastAsia" w:ascii="Times New Roman" w:hAnsi="Times New Roman" w:cs="Times New Roman"/>
                <w:color w:val="auto"/>
                <w:kern w:val="0"/>
                <w:highlight w:val="none"/>
              </w:rPr>
              <w:t>流程明确有利于采购标的实现及合同履约的得5分；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方案内容简略，可实施性一般的得3分；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方案内容空泛的得1分。</w:t>
            </w:r>
          </w:p>
          <w:p>
            <w:pPr>
              <w:ind w:left="0" w:leftChars="0" w:firstLine="0" w:firstLineChars="0"/>
              <w:jc w:val="left"/>
              <w:rPr>
                <w:rFonts w:hint="default" w:ascii="宋体" w:hAnsi="宋体" w:cs="宋体"/>
                <w:color w:val="auto"/>
                <w:lang w:val="en-US" w:eastAsia="zh-CN"/>
              </w:rPr>
            </w:pPr>
            <w:r>
              <w:rPr>
                <w:rFonts w:hint="eastAsia" w:ascii="Times New Roman" w:hAnsi="Times New Roman" w:cs="Times New Roman"/>
                <w:color w:val="auto"/>
                <w:kern w:val="0"/>
                <w:highlight w:val="none"/>
              </w:rPr>
              <w:t>提供相关内容或不满足采购需求要求的不得分。</w:t>
            </w:r>
          </w:p>
        </w:tc>
        <w:tc>
          <w:tcPr>
            <w:tcW w:w="625"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5</w:t>
            </w:r>
          </w:p>
        </w:tc>
        <w:tc>
          <w:tcPr>
            <w:tcW w:w="641" w:type="pct"/>
            <w:noWrap w:val="0"/>
            <w:vAlign w:val="center"/>
          </w:tcPr>
          <w:p>
            <w:pPr>
              <w:bidi w:val="0"/>
              <w:ind w:left="0" w:leftChars="0" w:firstLine="0" w:firstLineChars="0"/>
              <w:jc w:val="center"/>
              <w:rPr>
                <w:rFonts w:hint="default"/>
                <w:color w:val="auto"/>
                <w:lang w:val="en-US" w:eastAsia="zh-CN"/>
              </w:rPr>
            </w:pPr>
            <w:r>
              <w:rPr>
                <w:rFonts w:hint="eastAsia" w:ascii="Times New Roman" w:hAnsi="Times New Roman" w:eastAsia="宋体" w:cs="Times New Roman"/>
                <w:color w:va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7</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0" w:type="pct"/>
            <w:noWrap w:val="0"/>
            <w:vAlign w:val="center"/>
          </w:tcPr>
          <w:p>
            <w:pPr>
              <w:ind w:firstLine="0" w:firstLineChars="0"/>
              <w:rPr>
                <w:rFonts w:hint="eastAsia" w:ascii="宋体" w:hAnsi="宋体" w:eastAsia="宋体" w:cs="宋体"/>
                <w:b/>
                <w:bCs/>
                <w:color w:val="auto"/>
                <w:szCs w:val="21"/>
              </w:rPr>
            </w:pPr>
            <w:r>
              <w:rPr>
                <w:rFonts w:hint="eastAsia" w:ascii="宋体" w:hAnsi="宋体" w:eastAsia="宋体" w:cs="宋体"/>
                <w:b/>
                <w:bCs/>
                <w:color w:val="auto"/>
                <w:szCs w:val="21"/>
              </w:rPr>
              <w:t>投标人针对1场示范型大型活动实施过程中舞台搭建（含LED大屏、场地、灯光、舞美）场地布设方案</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对舞台搭建（含LED大屏、场地、灯光、舞美）场地布设方案与本项目的匹配程度及可执行性高、有利于采购标的实现、实施风险保障充足的得5分。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对舞台搭建（含LED大屏、场地、灯光、舞美）场地布设方案一般，基本满足采购需求，实施风险保障措施一般的得3分；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对舞台搭建（含LED大屏、场地、灯光、舞美）场地布设方案略有欠缺或不到位、实施风险保障措施可行较差或适用性较差得1分；</w:t>
            </w:r>
          </w:p>
          <w:p>
            <w:pPr>
              <w:ind w:left="0" w:leftChars="0" w:firstLine="0" w:firstLineChars="0"/>
              <w:jc w:val="left"/>
              <w:rPr>
                <w:rFonts w:hint="default"/>
                <w:lang w:val="en-US"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5</w:t>
            </w:r>
          </w:p>
        </w:tc>
        <w:tc>
          <w:tcPr>
            <w:tcW w:w="641" w:type="pct"/>
            <w:noWrap w:val="0"/>
            <w:vAlign w:val="center"/>
          </w:tcPr>
          <w:p>
            <w:pPr>
              <w:bidi w:val="0"/>
              <w:ind w:left="0" w:leftChars="0" w:firstLine="0" w:firstLineChars="0"/>
              <w:jc w:val="center"/>
              <w:rPr>
                <w:rFonts w:hint="default"/>
                <w:color w:val="auto"/>
                <w:lang w:val="en-US" w:eastAsia="zh-CN"/>
              </w:rPr>
            </w:pPr>
            <w:r>
              <w:rPr>
                <w:rFonts w:hint="eastAsia" w:ascii="Times New Roman" w:hAnsi="Times New Roman" w:eastAsia="宋体" w:cs="Times New Roman"/>
                <w:color w:va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8</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0" w:type="pct"/>
            <w:noWrap w:val="0"/>
            <w:vAlign w:val="center"/>
          </w:tcPr>
          <w:p>
            <w:pPr>
              <w:snapToGrid w:val="0"/>
              <w:spacing w:line="288" w:lineRule="auto"/>
              <w:ind w:left="0" w:leftChars="0" w:firstLine="0" w:firstLineChars="0"/>
              <w:textAlignment w:val="baseline"/>
              <w:rPr>
                <w:rFonts w:hint="eastAsia" w:ascii="宋体" w:hAnsi="宋体" w:eastAsia="宋体" w:cs="宋体"/>
                <w:b/>
                <w:bCs/>
                <w:color w:val="auto"/>
                <w:szCs w:val="21"/>
              </w:rPr>
            </w:pPr>
            <w:r>
              <w:rPr>
                <w:rFonts w:hint="eastAsia" w:ascii="宋体" w:hAnsi="宋体" w:cs="宋体"/>
                <w:b/>
                <w:bCs/>
                <w:color w:val="auto"/>
                <w:szCs w:val="21"/>
                <w:lang w:eastAsia="zh-CN"/>
              </w:rPr>
              <w:t>投</w:t>
            </w:r>
            <w:r>
              <w:rPr>
                <w:rFonts w:hint="eastAsia" w:ascii="宋体" w:hAnsi="宋体" w:eastAsia="宋体" w:cs="宋体"/>
                <w:b/>
                <w:bCs/>
                <w:color w:val="auto"/>
                <w:szCs w:val="21"/>
              </w:rPr>
              <w:t>标人遇突发事件时应急响应时效及对突发事件的应急预案</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及时</w:t>
            </w:r>
            <w:r>
              <w:rPr>
                <w:rFonts w:hint="eastAsia" w:ascii="Times New Roman" w:hAnsi="Times New Roman" w:cs="Times New Roman"/>
                <w:color w:val="auto"/>
                <w:kern w:val="0"/>
                <w:highlight w:val="none"/>
              </w:rPr>
              <w:t>且突发事件的应急预案完善，实施风险保障措施充足的得</w:t>
            </w:r>
            <w:r>
              <w:rPr>
                <w:rFonts w:hint="eastAsia" w:ascii="Times New Roman" w:hAnsi="Times New Roman" w:cs="Times New Roman"/>
                <w:color w:val="auto"/>
                <w:kern w:val="0"/>
                <w:highlight w:val="none"/>
                <w:lang w:val="en-US" w:eastAsia="zh-CN"/>
              </w:rPr>
              <w:t>5</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一般</w:t>
            </w:r>
            <w:r>
              <w:rPr>
                <w:rFonts w:hint="eastAsia" w:ascii="Times New Roman" w:hAnsi="Times New Roman" w:cs="Times New Roman"/>
                <w:color w:val="auto"/>
                <w:kern w:val="0"/>
                <w:highlight w:val="none"/>
              </w:rPr>
              <w:t>且突发事件的应急预案、实施风险保障措施一般，基本满足采购需求的得</w:t>
            </w:r>
            <w:r>
              <w:rPr>
                <w:rFonts w:hint="eastAsia" w:ascii="Times New Roman" w:hAnsi="Times New Roman" w:cs="Times New Roman"/>
                <w:color w:val="auto"/>
                <w:kern w:val="0"/>
                <w:highlight w:val="none"/>
                <w:lang w:val="en-US" w:eastAsia="zh-CN"/>
              </w:rPr>
              <w:t>3</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慢</w:t>
            </w:r>
            <w:r>
              <w:rPr>
                <w:rFonts w:hint="eastAsia" w:ascii="Times New Roman" w:hAnsi="Times New Roman" w:cs="Times New Roman"/>
                <w:color w:val="auto"/>
                <w:kern w:val="0"/>
                <w:highlight w:val="none"/>
              </w:rPr>
              <w:t>且突发事件的应急预案、实施风险保障措施略有欠缺或不到位的得1分；</w:t>
            </w:r>
          </w:p>
          <w:p>
            <w:pPr>
              <w:ind w:left="0" w:leftChars="0" w:firstLine="0" w:firstLineChars="0"/>
              <w:jc w:val="left"/>
              <w:rPr>
                <w:rFonts w:hint="eastAsia"/>
                <w:lang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9</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0"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投标人针对慰问对象（儿童、青少年、老人等）的优质物品清单采购</w:t>
            </w:r>
            <w:r>
              <w:rPr>
                <w:rFonts w:hint="eastAsia" w:ascii="Times New Roman" w:hAnsi="Times New Roman" w:cs="Times New Roman"/>
                <w:b/>
                <w:bCs/>
                <w:color w:val="auto"/>
                <w:kern w:val="0"/>
                <w:highlight w:val="none"/>
                <w:lang w:eastAsia="zh-CN"/>
              </w:rPr>
              <w:t>方</w:t>
            </w:r>
            <w:r>
              <w:rPr>
                <w:rFonts w:hint="eastAsia" w:ascii="Times New Roman" w:hAnsi="Times New Roman" w:cs="Times New Roman"/>
                <w:b/>
                <w:bCs/>
                <w:color w:val="auto"/>
                <w:kern w:val="0"/>
                <w:highlight w:val="none"/>
              </w:rPr>
              <w:t>案，与慰问对象的匹配程度、与慰问对象的实际需求符合情况，慰问品清单、产品材质、品牌、规格、样式，宣传性及实用程度。</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优质物品清单采购渠道明确、采购时效符合项目要求、采购时的保障措施完善，与慰问对象的匹配程度高、能与慰问对象的实际需求相符合，有利于采购项目实施，得5分。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优质物品清单采购渠道较明确、采购时效基本满足项目要求、采购时的保障措施一般，与慰问对象的匹配程度一般、基本满足慰问对象的实际需求，采购项目实施情况一般，得3分。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优质物品清单采购渠道较少或者没能明确，采购时效上未能保障、采购时的保障措施可行较差或适用性较差，与慰问对象的匹配程度存在欠缺，部分满足慰问对象的实际需求，采购项目实施可行性较差或适用性较差得1分。</w:t>
            </w:r>
          </w:p>
          <w:p>
            <w:pPr>
              <w:ind w:left="0" w:leftChars="0" w:firstLine="0" w:firstLineChars="0"/>
              <w:jc w:val="left"/>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10</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0"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投标人针对“走进福彩公益金资助项目”拟定的宣传品方案，包括但不限于外装纸袋或帆布袋，优质</w:t>
            </w:r>
            <w:r>
              <w:rPr>
                <w:rFonts w:hint="eastAsia" w:ascii="Times New Roman" w:hAnsi="Times New Roman" w:cs="Times New Roman"/>
                <w:b/>
                <w:bCs/>
                <w:color w:val="auto"/>
                <w:kern w:val="0"/>
                <w:highlight w:val="none"/>
                <w:lang w:val="en-US" w:eastAsia="zh-CN"/>
              </w:rPr>
              <w:t>陶瓷</w:t>
            </w:r>
            <w:r>
              <w:rPr>
                <w:rFonts w:hint="eastAsia" w:ascii="Times New Roman" w:hAnsi="Times New Roman" w:cs="Times New Roman"/>
                <w:b/>
                <w:bCs/>
                <w:color w:val="auto"/>
                <w:kern w:val="0"/>
                <w:highlight w:val="none"/>
              </w:rPr>
              <w:t>杯，活动介绍手册等的具体产品清单、材质、品牌、规格、样式，宣传性及实用程度。</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“走进福彩公益金资助项目”拟定的宣传品方案完整、全面、可执行性强，宣传性强，有利于采购标的实现，得</w:t>
            </w:r>
            <w:r>
              <w:rPr>
                <w:rFonts w:hint="eastAsia" w:ascii="Times New Roman" w:hAnsi="Times New Roman" w:cs="Times New Roman"/>
                <w:color w:val="auto"/>
                <w:kern w:val="0"/>
                <w:highlight w:val="none"/>
                <w:lang w:val="en-US" w:eastAsia="zh-CN"/>
              </w:rPr>
              <w:t>5</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“走进福彩公益金资助项目”拟定的宣传品方案基本满足需求、可执行性一般，宣传性一般，基本实现采购标，得</w:t>
            </w:r>
            <w:r>
              <w:rPr>
                <w:rFonts w:hint="eastAsia" w:ascii="Times New Roman" w:hAnsi="Times New Roman" w:cs="Times New Roman"/>
                <w:color w:val="auto"/>
                <w:kern w:val="0"/>
                <w:highlight w:val="none"/>
                <w:lang w:val="en-US" w:eastAsia="zh-CN"/>
              </w:rPr>
              <w:t>3</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“走进福彩公益金资助项目”拟定的宣传品方案存在欠缺或不到位、可执行性较差，宣传性较差，部分实现采购标，得1分。</w:t>
            </w:r>
          </w:p>
          <w:p>
            <w:pPr>
              <w:ind w:left="0" w:leftChars="0" w:firstLine="0" w:firstLineChars="0"/>
              <w:jc w:val="left"/>
              <w:rPr>
                <w:rFonts w:hint="eastAsia" w:ascii="Times New Roman" w:hAnsi="Times New Roman" w:cs="Times New Roman"/>
                <w:color w:val="auto"/>
                <w:kern w:val="0"/>
                <w:highlight w:val="none"/>
                <w:lang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11</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0"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投标人根据本项目主题拟定的“走进福彩公益金资助项目”主题LOGO、系列创意海报、活动背景、标识设计、喷绘展板及匹配的宣传物料</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设计内容主题突出明确，具有创意性、与活动内容匹配，具有针对性，完全满足需求得5分。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设计内容主题明确，创意性一般、与活动内容较匹配，针对性一般，基本满足需求得3分。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设计内容主题存在欠缺，创意性不足、与活动内容部分匹配，针对不足，部分满足需求得1分。</w:t>
            </w:r>
          </w:p>
          <w:p>
            <w:pPr>
              <w:ind w:left="0" w:leftChars="0" w:firstLine="0" w:firstLineChars="0"/>
              <w:jc w:val="left"/>
              <w:rPr>
                <w:rFonts w:hint="eastAsia" w:ascii="Times New Roman" w:hAnsi="Times New Roman" w:cs="Times New Roman"/>
                <w:color w:val="auto"/>
                <w:kern w:val="0"/>
                <w:highlight w:val="none"/>
                <w:lang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12</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0"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投标人针对本项目在省市及主流媒体和新媒体（包括微信朋友圈、抖音、快手等平台）针对本活动前期的预热报道、活动进行中的动态报道、活动后期报道的宣发方案。</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在新媒体宣发方案完善、报道渠道数量充足的得5分。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在新媒体宣发方案较合理、报道渠道数量基本满足的得3分。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在新媒体宣发方案简略粗糙、报道渠道数量较少的得1分。</w:t>
            </w:r>
          </w:p>
          <w:p>
            <w:pPr>
              <w:ind w:left="0" w:leftChars="0" w:firstLine="0" w:firstLineChars="0"/>
              <w:jc w:val="left"/>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lang w:val="en-US" w:eastAsia="zh-CN"/>
              </w:rPr>
            </w:pPr>
            <w:r>
              <w:rPr>
                <w:rFonts w:hint="eastAsia"/>
                <w:lang w:val="en-US" w:eastAsia="zh-CN"/>
              </w:rPr>
              <w:t>13</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0"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利用自有账号社交、短视频、影视剧平台或其他大众媒体资源对本项目所涉及活动进行广告宣传方案</w:t>
            </w:r>
            <w:r>
              <w:rPr>
                <w:rFonts w:hint="eastAsia" w:ascii="Times New Roman" w:hAnsi="Times New Roman" w:cs="Times New Roman"/>
                <w:b/>
                <w:bCs/>
                <w:color w:val="auto"/>
                <w:kern w:val="0"/>
                <w:highlight w:val="none"/>
                <w:lang w:eastAsia="zh-CN"/>
              </w:rPr>
              <w:t>及</w:t>
            </w:r>
            <w:r>
              <w:rPr>
                <w:rFonts w:hint="eastAsia" w:ascii="Times New Roman" w:hAnsi="Times New Roman" w:cs="Times New Roman"/>
                <w:b/>
                <w:bCs/>
                <w:color w:val="auto"/>
                <w:kern w:val="0"/>
                <w:highlight w:val="none"/>
              </w:rPr>
              <w:t>曝光量承诺函</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方案内容详实，影响力大，宣传效果好（曝光量高），逻辑缜密，具有针对性，可实施性强的得5分；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方案内容较详实，基本能符合采购需要，针对性，可实施性一般的得3分；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方案存在缺陷的得1分；</w:t>
            </w:r>
          </w:p>
          <w:p>
            <w:pPr>
              <w:ind w:left="0" w:leftChars="0" w:firstLine="0" w:firstLineChars="0"/>
              <w:jc w:val="left"/>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rPr>
              <w:t>未提供相关描述不得分。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14</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0"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投标人根据本项目宣传文案和脚本策划，包括拟定视频及图片直播素材选取、剪辑方案及宣传文字方案、脚本文案编写水平。</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视频、图文直播方案内容完整详细、具有针对性、展现项目特点达到宣传作用、完全满足需求的得5分；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视频、图文直播方案内容基本满足需求的得3分；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视频、图文直播方案内容描述简单不能展现项目特点的得1分。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15</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0" w:type="pct"/>
            <w:noWrap w:val="0"/>
            <w:vAlign w:val="center"/>
          </w:tcPr>
          <w:p>
            <w:pPr>
              <w:ind w:left="0" w:leftChars="0" w:firstLine="0" w:firstLineChars="0"/>
              <w:jc w:val="left"/>
              <w:rPr>
                <w:rFonts w:hint="eastAsia" w:ascii="Times New Roman" w:hAnsi="Times New Roman" w:cs="Times New Roman"/>
                <w:b/>
                <w:bCs/>
                <w:color w:val="auto"/>
                <w:kern w:val="0"/>
                <w:highlight w:val="none"/>
                <w:lang w:eastAsia="zh-CN"/>
              </w:rPr>
            </w:pPr>
            <w:r>
              <w:rPr>
                <w:rFonts w:hint="eastAsia" w:ascii="Times New Roman" w:hAnsi="Times New Roman" w:cs="Times New Roman"/>
                <w:b/>
                <w:bCs/>
                <w:color w:val="auto"/>
                <w:kern w:val="0"/>
                <w:highlight w:val="none"/>
              </w:rPr>
              <w:t>投标人根据项目特性，招募合适人群参与“走进福彩公益金资助项目”代表</w:t>
            </w:r>
            <w:r>
              <w:rPr>
                <w:rFonts w:hint="eastAsia" w:ascii="Times New Roman" w:hAnsi="Times New Roman" w:cs="Times New Roman"/>
                <w:b/>
                <w:bCs/>
                <w:color w:val="auto"/>
                <w:kern w:val="0"/>
                <w:highlight w:val="none"/>
                <w:lang w:eastAsia="zh-CN"/>
              </w:rPr>
              <w:t>的招募方案</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招募方式合理、便捷高效，社会化程度高，招募人群与项目特性符合度高得5分；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招募方式一般、相对便捷高效，社会化程度一般，招募人群与项目特性符合度一般得3分；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招募方式差、不便捷高效，社会化程度差，招募人群与项目特性符合度低得1分；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16</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0" w:type="pct"/>
            <w:noWrap w:val="0"/>
            <w:vAlign w:val="center"/>
          </w:tcPr>
          <w:p>
            <w:pPr>
              <w:ind w:left="0" w:leftChars="0" w:firstLine="0" w:firstLineChars="0"/>
              <w:jc w:val="left"/>
              <w:rPr>
                <w:rFonts w:hint="eastAsia" w:ascii="Times New Roman" w:hAnsi="Times New Roman" w:cs="Times New Roman"/>
                <w:b/>
                <w:bCs/>
                <w:color w:val="auto"/>
                <w:kern w:val="0"/>
                <w:highlight w:val="none"/>
                <w:lang w:eastAsia="zh-CN"/>
              </w:rPr>
            </w:pPr>
            <w:r>
              <w:rPr>
                <w:rFonts w:hint="eastAsia" w:ascii="Times New Roman" w:hAnsi="Times New Roman" w:cs="Times New Roman"/>
                <w:b/>
                <w:bCs/>
                <w:color w:val="auto"/>
                <w:kern w:val="0"/>
                <w:highlight w:val="none"/>
              </w:rPr>
              <w:t>投标人针对本项目保障措施</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保障措施完全满足需求且合理性及可行性高得5分</w:t>
            </w:r>
            <w:r>
              <w:rPr>
                <w:rFonts w:hint="eastAsia" w:ascii="Times New Roman" w:hAnsi="Times New Roman" w:cs="Times New Roman"/>
                <w:color w:val="auto"/>
                <w:kern w:val="0"/>
                <w:highlight w:val="none"/>
                <w:lang w:eastAsia="zh-CN"/>
              </w:rPr>
              <w:t>；</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保障措施基本满足需求且合理性及可行性一般得3分</w:t>
            </w:r>
            <w:r>
              <w:rPr>
                <w:rFonts w:hint="eastAsia" w:ascii="Times New Roman" w:hAnsi="Times New Roman" w:cs="Times New Roman"/>
                <w:color w:val="auto"/>
                <w:kern w:val="0"/>
                <w:highlight w:val="none"/>
                <w:lang w:eastAsia="zh-CN"/>
              </w:rPr>
              <w:t>；</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保障措施部分满足需求且可行性存在欠缺及不合理得1分</w:t>
            </w:r>
            <w:r>
              <w:rPr>
                <w:rFonts w:hint="eastAsia" w:ascii="Times New Roman" w:hAnsi="Times New Roman" w:cs="Times New Roman"/>
                <w:color w:val="auto"/>
                <w:kern w:val="0"/>
                <w:highlight w:val="none"/>
                <w:lang w:eastAsia="zh-CN"/>
              </w:rPr>
              <w:t>；</w:t>
            </w:r>
          </w:p>
          <w:p>
            <w:pPr>
              <w:ind w:left="0" w:leftChars="0" w:firstLine="0" w:firstLineChars="0"/>
              <w:jc w:val="left"/>
              <w:rPr>
                <w:rFonts w:hint="eastAsia" w:ascii="Times New Roman" w:hAnsi="Times New Roman" w:eastAsia="宋体" w:cs="Times New Roman"/>
                <w:color w:val="auto"/>
                <w:kern w:val="0"/>
                <w:highlight w:val="none"/>
                <w:lang w:eastAsia="zh-CN"/>
              </w:rPr>
            </w:pPr>
            <w:r>
              <w:rPr>
                <w:rFonts w:hint="eastAsia" w:ascii="Times New Roman" w:hAnsi="Times New Roman" w:cs="Times New Roman"/>
                <w:color w:val="auto"/>
                <w:kern w:val="0"/>
                <w:highlight w:val="none"/>
              </w:rPr>
              <w:t>未提供相关内容或不满足采购需求要求的不得分</w:t>
            </w:r>
            <w:r>
              <w:rPr>
                <w:rFonts w:hint="eastAsia" w:ascii="Times New Roman" w:hAnsi="Times New Roman" w:cs="Times New Roman"/>
                <w:color w:val="auto"/>
                <w:kern w:val="0"/>
                <w:highlight w:val="none"/>
                <w:lang w:eastAsia="zh-CN"/>
              </w:rPr>
              <w:t>。</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17</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0"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投标人针对本项目拟定提供的设备供应方案，包括设备的清单数量，选用品牌、档次及符合实际需求情况。</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设备供应方案内容完整、具备可行性、设备性能质量可靠的得5分；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设备方案、设备性能质量基本符合需求的得3分；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设备方案描述简单、设备性能质量不稳定的得1分。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18</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0" w:type="pct"/>
            <w:noWrap w:val="0"/>
            <w:vAlign w:val="center"/>
          </w:tcPr>
          <w:p>
            <w:pPr>
              <w:ind w:left="0" w:leftChars="0" w:firstLine="0" w:firstLineChars="0"/>
              <w:jc w:val="left"/>
              <w:rPr>
                <w:rFonts w:hint="eastAsia" w:ascii="Times New Roman" w:hAnsi="Times New Roman" w:eastAsia="宋体" w:cs="Times New Roman"/>
                <w:b/>
                <w:bCs/>
                <w:color w:val="auto"/>
                <w:kern w:val="0"/>
                <w:highlight w:val="none"/>
                <w:lang w:eastAsia="zh-CN"/>
              </w:rPr>
            </w:pPr>
            <w:r>
              <w:rPr>
                <w:rFonts w:hint="eastAsia" w:ascii="Times New Roman" w:hAnsi="Times New Roman" w:cs="Times New Roman"/>
                <w:b/>
                <w:bCs/>
                <w:color w:val="auto"/>
                <w:kern w:val="0"/>
                <w:highlight w:val="none"/>
              </w:rPr>
              <w:t>拟投入本项目的项目负责人的类似项目经验</w:t>
            </w:r>
            <w:r>
              <w:rPr>
                <w:rFonts w:hint="eastAsia" w:cs="Times New Roman"/>
                <w:b/>
                <w:bCs/>
                <w:color w:val="auto"/>
                <w:kern w:val="0"/>
                <w:highlight w:val="none"/>
                <w:lang w:eastAsia="zh-CN"/>
              </w:rPr>
              <w:t>（</w:t>
            </w:r>
            <w:r>
              <w:rPr>
                <w:rFonts w:hint="eastAsia" w:cs="Times New Roman"/>
                <w:b/>
                <w:bCs/>
                <w:color w:val="auto"/>
                <w:kern w:val="0"/>
                <w:highlight w:val="none"/>
                <w:lang w:val="en-US" w:eastAsia="zh-CN"/>
              </w:rPr>
              <w:t>提供相应证明材料</w:t>
            </w:r>
            <w:r>
              <w:rPr>
                <w:rFonts w:hint="eastAsia" w:cs="Times New Roman"/>
                <w:b/>
                <w:bCs/>
                <w:color w:val="auto"/>
                <w:kern w:val="0"/>
                <w:highlight w:val="none"/>
                <w:lang w:eastAsia="zh-CN"/>
              </w:rPr>
              <w:t>）</w:t>
            </w:r>
            <w:r>
              <w:rPr>
                <w:rFonts w:hint="eastAsia" w:ascii="Times New Roman" w:hAnsi="Times New Roman" w:cs="Times New Roman"/>
                <w:b/>
                <w:bCs/>
                <w:color w:val="auto"/>
                <w:kern w:val="0"/>
                <w:highlight w:val="none"/>
              </w:rPr>
              <w:t>，资源调配能力、项目协调能力等。</w:t>
            </w:r>
            <w:r>
              <w:rPr>
                <w:rFonts w:hint="eastAsia" w:ascii="Times New Roman" w:hAnsi="Times New Roman" w:cs="Times New Roman"/>
                <w:b/>
                <w:bCs/>
                <w:color w:val="auto"/>
                <w:kern w:val="0"/>
                <w:highlight w:val="none"/>
                <w:lang w:eastAsia="zh-CN"/>
              </w:rPr>
              <w:t>（</w:t>
            </w:r>
            <w:r>
              <w:rPr>
                <w:rFonts w:hint="eastAsia" w:ascii="宋体" w:hAnsi="宋体" w:eastAsia="宋体" w:cs="宋体"/>
                <w:b/>
                <w:i w:val="0"/>
                <w:color w:val="auto"/>
                <w:kern w:val="0"/>
                <w:sz w:val="24"/>
                <w:szCs w:val="24"/>
                <w:u w:val="none"/>
                <w:lang w:val="en-US" w:eastAsia="zh-CN" w:bidi="ar"/>
              </w:rPr>
              <w:t>提供项目负责人在本单位缴纳的</w:t>
            </w:r>
            <w:r>
              <w:rPr>
                <w:rFonts w:hint="eastAsia" w:ascii="宋体" w:hAnsi="宋体" w:cs="宋体"/>
                <w:b/>
                <w:i w:val="0"/>
                <w:color w:val="auto"/>
                <w:kern w:val="0"/>
                <w:sz w:val="24"/>
                <w:szCs w:val="24"/>
                <w:u w:val="none"/>
                <w:lang w:val="en-US" w:eastAsia="zh-CN" w:bidi="ar"/>
              </w:rPr>
              <w:t>最</w:t>
            </w:r>
            <w:r>
              <w:rPr>
                <w:rFonts w:hint="eastAsia" w:ascii="宋体" w:hAnsi="宋体" w:eastAsia="宋体" w:cs="宋体"/>
                <w:b/>
                <w:i w:val="0"/>
                <w:color w:val="auto"/>
                <w:kern w:val="0"/>
                <w:sz w:val="24"/>
                <w:szCs w:val="24"/>
                <w:u w:val="none"/>
                <w:lang w:val="en-US" w:eastAsia="zh-CN" w:bidi="ar"/>
              </w:rPr>
              <w:t>近3个月</w:t>
            </w:r>
            <w:r>
              <w:rPr>
                <w:rFonts w:hint="eastAsia" w:ascii="宋体" w:hAnsi="宋体" w:cs="宋体"/>
                <w:b/>
                <w:i w:val="0"/>
                <w:color w:val="auto"/>
                <w:kern w:val="0"/>
                <w:sz w:val="24"/>
                <w:szCs w:val="24"/>
                <w:u w:val="none"/>
                <w:lang w:val="en-US" w:eastAsia="zh-CN" w:bidi="ar"/>
              </w:rPr>
              <w:t>中任意一个月的</w:t>
            </w:r>
            <w:r>
              <w:rPr>
                <w:rFonts w:hint="eastAsia" w:ascii="宋体" w:hAnsi="宋体" w:eastAsia="宋体" w:cs="宋体"/>
                <w:b/>
                <w:i w:val="0"/>
                <w:color w:val="auto"/>
                <w:kern w:val="0"/>
                <w:sz w:val="24"/>
                <w:szCs w:val="24"/>
                <w:u w:val="none"/>
                <w:lang w:val="en-US" w:eastAsia="zh-CN" w:bidi="ar"/>
              </w:rPr>
              <w:t>社保证明，否则此项不得分。</w:t>
            </w:r>
            <w:r>
              <w:rPr>
                <w:rFonts w:hint="eastAsia" w:ascii="Times New Roman" w:hAnsi="Times New Roman" w:cs="Times New Roman"/>
                <w:b/>
                <w:bCs/>
                <w:color w:val="auto"/>
                <w:kern w:val="0"/>
                <w:highlight w:val="none"/>
                <w:lang w:eastAsia="zh-CN"/>
              </w:rPr>
              <w:t>）</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项目负责人具有充足的类似项目经验、对项目的资源调配、项目协调等能力强的得5分。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项目负责人具有较少的类似项目经验、对项目的资源调配、项目协调等能力一般的得3分。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项目负责人未有类似项目经验、对项目的资源调配、项目协调等能力差的得1分。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w:t>
            </w:r>
            <w:r>
              <w:rPr>
                <w:rFonts w:hint="eastAsia" w:ascii="Times New Roman" w:hAnsi="Times New Roman" w:cs="Times New Roman"/>
                <w:color w:val="auto"/>
                <w:kern w:val="0"/>
                <w:highlight w:val="none"/>
                <w:lang w:eastAsia="zh-CN"/>
              </w:rPr>
              <w:t>社保证明或</w:t>
            </w:r>
            <w:r>
              <w:rPr>
                <w:rFonts w:hint="eastAsia" w:ascii="Times New Roman" w:hAnsi="Times New Roman" w:cs="Times New Roman"/>
                <w:color w:val="auto"/>
                <w:kern w:val="0"/>
                <w:highlight w:val="none"/>
              </w:rPr>
              <w:t>相关内容</w:t>
            </w:r>
            <w:r>
              <w:rPr>
                <w:rFonts w:hint="eastAsia" w:ascii="Times New Roman" w:hAnsi="Times New Roman" w:cs="Times New Roman"/>
                <w:color w:val="auto"/>
                <w:kern w:val="0"/>
                <w:highlight w:val="none"/>
                <w:lang w:eastAsia="zh-CN"/>
              </w:rPr>
              <w:t>不得分</w:t>
            </w:r>
            <w:r>
              <w:rPr>
                <w:rFonts w:hint="eastAsia" w:ascii="Times New Roman" w:hAnsi="Times New Roman" w:cs="Times New Roman"/>
                <w:color w:val="auto"/>
                <w:kern w:val="0"/>
                <w:highlight w:val="none"/>
              </w:rPr>
              <w:t>。</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19</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0" w:type="pct"/>
            <w:noWrap w:val="0"/>
            <w:vAlign w:val="center"/>
          </w:tcPr>
          <w:p>
            <w:pPr>
              <w:ind w:left="0" w:leftChars="0" w:firstLine="0" w:firstLineChars="0"/>
              <w:jc w:val="left"/>
              <w:rPr>
                <w:rFonts w:hint="eastAsia" w:ascii="Times New Roman" w:hAnsi="Times New Roman" w:eastAsia="宋体" w:cs="Times New Roman"/>
                <w:b/>
                <w:bCs/>
                <w:color w:val="auto"/>
                <w:kern w:val="0"/>
                <w:highlight w:val="none"/>
                <w:lang w:eastAsia="zh-CN"/>
              </w:rPr>
            </w:pPr>
            <w:r>
              <w:rPr>
                <w:rFonts w:hint="eastAsia" w:ascii="Times New Roman" w:hAnsi="Times New Roman" w:cs="Times New Roman"/>
                <w:b/>
                <w:bCs/>
                <w:color w:val="auto"/>
                <w:kern w:val="0"/>
                <w:highlight w:val="none"/>
              </w:rPr>
              <w:t>拟投入本项目的舞台的运输、装卸、搭建人员、项目运营成员（除项目</w:t>
            </w:r>
            <w:r>
              <w:rPr>
                <w:rFonts w:hint="eastAsia" w:ascii="Times New Roman" w:hAnsi="Times New Roman" w:cs="Times New Roman"/>
                <w:b/>
                <w:bCs/>
                <w:color w:val="auto"/>
                <w:kern w:val="0"/>
                <w:highlight w:val="none"/>
                <w:lang w:eastAsia="zh-CN"/>
              </w:rPr>
              <w:t>负责人</w:t>
            </w:r>
            <w:r>
              <w:rPr>
                <w:rFonts w:hint="eastAsia" w:ascii="Times New Roman" w:hAnsi="Times New Roman" w:cs="Times New Roman"/>
                <w:b/>
                <w:bCs/>
                <w:color w:val="auto"/>
                <w:kern w:val="0"/>
                <w:highlight w:val="none"/>
              </w:rPr>
              <w:t>）的数量及工作经验、职业能力等内容，须提供详细的人员分工表及专业的分布。</w:t>
            </w:r>
            <w:r>
              <w:rPr>
                <w:rFonts w:hint="eastAsia" w:ascii="Times New Roman" w:hAnsi="Times New Roman" w:cs="Times New Roman"/>
                <w:b/>
                <w:bCs/>
                <w:color w:val="auto"/>
                <w:kern w:val="0"/>
                <w:highlight w:val="none"/>
                <w:lang w:eastAsia="zh-CN"/>
              </w:rPr>
              <w:t>（</w:t>
            </w:r>
            <w:r>
              <w:rPr>
                <w:rFonts w:hint="eastAsia" w:ascii="宋体" w:hAnsi="宋体" w:eastAsia="宋体" w:cs="宋体"/>
                <w:b/>
                <w:i w:val="0"/>
                <w:color w:val="auto"/>
                <w:kern w:val="0"/>
                <w:sz w:val="24"/>
                <w:szCs w:val="24"/>
                <w:u w:val="none"/>
                <w:lang w:val="en-US" w:eastAsia="zh-CN" w:bidi="ar"/>
              </w:rPr>
              <w:t>提供上述人员在本单位缴纳的</w:t>
            </w:r>
            <w:r>
              <w:rPr>
                <w:rFonts w:hint="eastAsia" w:ascii="宋体" w:hAnsi="宋体" w:cs="宋体"/>
                <w:b/>
                <w:i w:val="0"/>
                <w:color w:val="auto"/>
                <w:kern w:val="0"/>
                <w:sz w:val="24"/>
                <w:szCs w:val="24"/>
                <w:u w:val="none"/>
                <w:lang w:val="en-US" w:eastAsia="zh-CN" w:bidi="ar"/>
              </w:rPr>
              <w:t>最</w:t>
            </w:r>
            <w:r>
              <w:rPr>
                <w:rFonts w:hint="eastAsia" w:ascii="宋体" w:hAnsi="宋体" w:eastAsia="宋体" w:cs="宋体"/>
                <w:b/>
                <w:i w:val="0"/>
                <w:color w:val="auto"/>
                <w:kern w:val="0"/>
                <w:sz w:val="24"/>
                <w:szCs w:val="24"/>
                <w:u w:val="none"/>
                <w:lang w:val="en-US" w:eastAsia="zh-CN" w:bidi="ar"/>
              </w:rPr>
              <w:t>近3个月</w:t>
            </w:r>
            <w:r>
              <w:rPr>
                <w:rFonts w:hint="eastAsia" w:ascii="宋体" w:hAnsi="宋体" w:cs="宋体"/>
                <w:b/>
                <w:i w:val="0"/>
                <w:color w:val="auto"/>
                <w:kern w:val="0"/>
                <w:sz w:val="24"/>
                <w:szCs w:val="24"/>
                <w:u w:val="none"/>
                <w:lang w:val="en-US" w:eastAsia="zh-CN" w:bidi="ar"/>
              </w:rPr>
              <w:t>中任意一个月的</w:t>
            </w:r>
            <w:r>
              <w:rPr>
                <w:rFonts w:hint="eastAsia" w:ascii="宋体" w:hAnsi="宋体" w:eastAsia="宋体" w:cs="宋体"/>
                <w:b/>
                <w:i w:val="0"/>
                <w:color w:val="auto"/>
                <w:kern w:val="0"/>
                <w:sz w:val="24"/>
                <w:szCs w:val="24"/>
                <w:u w:val="none"/>
                <w:lang w:val="en-US" w:eastAsia="zh-CN" w:bidi="ar"/>
              </w:rPr>
              <w:t>社保证明，否则此项不得分。</w:t>
            </w:r>
            <w:r>
              <w:rPr>
                <w:rFonts w:hint="eastAsia" w:ascii="Times New Roman" w:hAnsi="Times New Roman" w:cs="Times New Roman"/>
                <w:b/>
                <w:bCs/>
                <w:color w:val="auto"/>
                <w:kern w:val="0"/>
                <w:highlight w:val="none"/>
                <w:lang w:eastAsia="zh-CN"/>
              </w:rPr>
              <w:t>）</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投入人员数量充足、分工配备完善、类似项目经验丰富得</w:t>
            </w:r>
            <w:r>
              <w:rPr>
                <w:rFonts w:hint="eastAsia" w:ascii="Times New Roman" w:hAnsi="Times New Roman" w:cs="Times New Roman"/>
                <w:color w:val="auto"/>
                <w:kern w:val="0"/>
                <w:highlight w:val="none"/>
                <w:lang w:val="en-US" w:eastAsia="zh-CN"/>
              </w:rPr>
              <w:t>5</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投入人员数量基本满足、分工配备一般、类似经验较少得</w:t>
            </w:r>
            <w:r>
              <w:rPr>
                <w:rFonts w:hint="eastAsia" w:ascii="Times New Roman" w:hAnsi="Times New Roman" w:cs="Times New Roman"/>
                <w:color w:val="auto"/>
                <w:kern w:val="0"/>
                <w:highlight w:val="none"/>
                <w:lang w:val="en-US" w:eastAsia="zh-CN"/>
              </w:rPr>
              <w:t>3</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投入人员数量较少、分工配备一般、未有类似项目经验得1分；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w:t>
            </w:r>
            <w:r>
              <w:rPr>
                <w:rFonts w:hint="eastAsia" w:ascii="Times New Roman" w:hAnsi="Times New Roman" w:cs="Times New Roman"/>
                <w:color w:val="auto"/>
                <w:kern w:val="0"/>
                <w:highlight w:val="none"/>
                <w:lang w:eastAsia="zh-CN"/>
              </w:rPr>
              <w:t>社保证明或</w:t>
            </w:r>
            <w:r>
              <w:rPr>
                <w:rFonts w:hint="eastAsia" w:ascii="Times New Roman" w:hAnsi="Times New Roman" w:cs="Times New Roman"/>
                <w:color w:val="auto"/>
                <w:kern w:val="0"/>
                <w:highlight w:val="none"/>
              </w:rPr>
              <w:t>相关内容</w:t>
            </w:r>
            <w:r>
              <w:rPr>
                <w:rFonts w:hint="eastAsia" w:ascii="Times New Roman" w:hAnsi="Times New Roman" w:cs="Times New Roman"/>
                <w:color w:val="auto"/>
                <w:kern w:val="0"/>
                <w:highlight w:val="none"/>
                <w:lang w:eastAsia="zh-CN"/>
              </w:rPr>
              <w:t>不得分</w:t>
            </w:r>
            <w:r>
              <w:rPr>
                <w:rFonts w:hint="eastAsia" w:ascii="Times New Roman" w:hAnsi="Times New Roman" w:cs="Times New Roman"/>
                <w:color w:val="auto"/>
                <w:kern w:val="0"/>
                <w:highlight w:val="none"/>
              </w:rPr>
              <w:t>。</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20</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0" w:type="pct"/>
            <w:noWrap w:val="0"/>
            <w:vAlign w:val="center"/>
          </w:tcPr>
          <w:p>
            <w:pPr>
              <w:ind w:left="0" w:leftChars="0" w:firstLine="0" w:firstLineChars="0"/>
              <w:jc w:val="left"/>
              <w:rPr>
                <w:rFonts w:hint="eastAsia"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rPr>
              <w:t>投标人可提供与项目相关的</w:t>
            </w:r>
            <w:r>
              <w:rPr>
                <w:rFonts w:hint="eastAsia" w:ascii="Times New Roman" w:hAnsi="Times New Roman" w:cs="Times New Roman"/>
                <w:b/>
                <w:bCs/>
                <w:color w:val="auto"/>
                <w:kern w:val="0"/>
                <w:highlight w:val="none"/>
                <w:lang w:eastAsia="zh-CN"/>
              </w:rPr>
              <w:t>其它</w:t>
            </w:r>
            <w:r>
              <w:rPr>
                <w:rFonts w:hint="eastAsia" w:ascii="Times New Roman" w:hAnsi="Times New Roman" w:cs="Times New Roman"/>
                <w:b/>
                <w:bCs/>
                <w:color w:val="auto"/>
                <w:kern w:val="0"/>
                <w:highlight w:val="none"/>
              </w:rPr>
              <w:t>创意、设计制作内容：</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其他服务内容具有创意性、设计制作符合采购人适用需求的得</w:t>
            </w:r>
            <w:r>
              <w:rPr>
                <w:rFonts w:hint="eastAsia" w:ascii="Times New Roman" w:hAnsi="Times New Roman" w:cs="Times New Roman"/>
                <w:color w:val="auto"/>
                <w:kern w:val="0"/>
                <w:highlight w:val="none"/>
                <w:lang w:val="en-US" w:eastAsia="zh-CN"/>
              </w:rPr>
              <w:t>5</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其他服务内容基本满足采购人需求的得</w:t>
            </w:r>
            <w:r>
              <w:rPr>
                <w:rFonts w:hint="eastAsia" w:ascii="Times New Roman" w:hAnsi="Times New Roman" w:cs="Times New Roman"/>
                <w:color w:val="auto"/>
                <w:kern w:val="0"/>
                <w:highlight w:val="none"/>
                <w:lang w:val="en-US" w:eastAsia="zh-CN"/>
              </w:rPr>
              <w:t>3</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其他服务内容较差的得1分。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未提供相关内容或不满足采购需求要求的不得分。</w:t>
            </w:r>
          </w:p>
        </w:tc>
        <w:tc>
          <w:tcPr>
            <w:tcW w:w="625"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p>
        </w:tc>
        <w:tc>
          <w:tcPr>
            <w:tcW w:w="641"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bl>
    <w:p>
      <w:pPr>
        <w:widowControl/>
        <w:spacing w:line="360" w:lineRule="auto"/>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pPr>
        <w:widowControl/>
        <w:spacing w:line="360" w:lineRule="auto"/>
        <w:ind w:firstLine="720" w:firstLineChars="30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pPr>
        <w:pStyle w:val="4"/>
        <w:bidi w:val="0"/>
      </w:pPr>
      <w:bookmarkStart w:id="421" w:name="_Toc12882"/>
      <w:bookmarkStart w:id="422" w:name="_Toc24517"/>
      <w:r>
        <w:rPr>
          <w:rFonts w:hint="eastAsia"/>
        </w:rPr>
        <w:t>三、评标程序</w:t>
      </w:r>
      <w:bookmarkEnd w:id="421"/>
      <w:bookmarkEnd w:id="422"/>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4"/>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4"/>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4"/>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pPr>
        <w:pStyle w:val="134"/>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得分相同的，按</w:t>
      </w:r>
      <w:r>
        <w:rPr>
          <w:rFonts w:hint="eastAsia" w:ascii="宋体" w:hAnsi="宋体" w:cs="仿宋_GB2312"/>
          <w:color w:val="auto"/>
          <w:sz w:val="24"/>
          <w:lang w:eastAsia="zh-CN"/>
        </w:rPr>
        <w:t>投标</w:t>
      </w:r>
      <w:r>
        <w:rPr>
          <w:rFonts w:hint="eastAsia" w:ascii="宋体" w:hAnsi="宋体" w:eastAsia="宋体" w:cs="仿宋_GB2312"/>
          <w:color w:val="auto"/>
          <w:sz w:val="24"/>
        </w:rPr>
        <w:t>报价由低到高顺序排列；得分且</w:t>
      </w:r>
      <w:r>
        <w:rPr>
          <w:rFonts w:hint="eastAsia" w:ascii="宋体" w:hAnsi="宋体" w:cs="仿宋_GB2312"/>
          <w:color w:val="auto"/>
          <w:sz w:val="24"/>
          <w:lang w:eastAsia="zh-CN"/>
        </w:rPr>
        <w:t>投标</w:t>
      </w:r>
      <w:r>
        <w:rPr>
          <w:rFonts w:hint="eastAsia" w:ascii="宋体" w:hAnsi="宋体" w:eastAsia="宋体" w:cs="仿宋_GB2312"/>
          <w:color w:val="auto"/>
          <w:sz w:val="24"/>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pPr>
        <w:spacing w:line="360" w:lineRule="auto"/>
        <w:ind w:firstLine="472" w:firstLineChars="196"/>
        <w:rPr>
          <w:rFonts w:ascii="宋体" w:hAnsi="宋体" w:cs="宋体"/>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w:t>
      </w:r>
      <w:r>
        <w:rPr>
          <w:rFonts w:hint="eastAsia" w:ascii="宋体" w:hAnsi="宋体" w:cs="宋体"/>
          <w:kern w:val="0"/>
          <w:sz w:val="24"/>
        </w:rPr>
        <w:t>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bidi w:val="0"/>
        <w:rPr>
          <w:rFonts w:hint="eastAsia"/>
        </w:rPr>
      </w:pPr>
      <w:bookmarkStart w:id="423" w:name="_Toc21677"/>
      <w:bookmarkStart w:id="424" w:name="_Toc22719"/>
      <w:r>
        <w:rPr>
          <w:rFonts w:hint="eastAsia"/>
        </w:rPr>
        <w:t>四、评标中的其他事项</w:t>
      </w:r>
      <w:bookmarkEnd w:id="423"/>
      <w:bookmarkEnd w:id="424"/>
    </w:p>
    <w:p>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lang w:val="en-US" w:eastAsia="zh-CN"/>
        </w:rPr>
        <w:t>提供的有效的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cs="仿宋_GB2312"/>
          <w:sz w:val="24"/>
          <w:szCs w:val="21"/>
          <w:lang w:val="en-US" w:eastAsia="zh-CN"/>
        </w:rPr>
        <w:t>7</w:t>
      </w:r>
      <w:r>
        <w:rPr>
          <w:rFonts w:hint="eastAsia" w:ascii="宋体" w:hAnsi="宋体" w:eastAsia="宋体" w:cs="仿宋_GB2312"/>
          <w:sz w:val="24"/>
          <w:szCs w:val="21"/>
          <w:lang w:eastAsia="zh-CN"/>
        </w:rPr>
        <w:t>）</w:t>
      </w:r>
      <w:r>
        <w:rPr>
          <w:rFonts w:hint="eastAsia" w:ascii="宋体" w:hAnsi="宋体" w:eastAsia="宋体" w:cs="仿宋_GB2312"/>
          <w:sz w:val="24"/>
          <w:szCs w:val="21"/>
        </w:rPr>
        <w:t>供应商存在串通行为或虚假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8</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5"/>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pPr>
        <w:bidi w:val="0"/>
      </w:pPr>
      <w:r>
        <w:rPr>
          <w:rFonts w:hint="eastAsia"/>
        </w:rPr>
        <w:t xml:space="preserve">    </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2"/>
        <w:bidi w:val="0"/>
      </w:pPr>
      <w:bookmarkStart w:id="427" w:name="_Toc8165"/>
      <w:bookmarkStart w:id="428" w:name="_Toc18817"/>
      <w:bookmarkStart w:id="429" w:name="_Toc14809"/>
      <w:r>
        <w:rPr>
          <w:rFonts w:hint="eastAsia"/>
        </w:rPr>
        <w:t>第五部分 拟签订的合同文本</w:t>
      </w:r>
      <w:bookmarkEnd w:id="427"/>
      <w:bookmarkEnd w:id="428"/>
      <w:bookmarkEnd w:id="429"/>
    </w:p>
    <w:p>
      <w:pPr>
        <w:spacing w:line="360" w:lineRule="auto"/>
        <w:ind w:firstLine="482" w:firstLineChars="200"/>
        <w:jc w:val="center"/>
        <w:rPr>
          <w:rFonts w:ascii="宋体" w:hAnsi="宋体"/>
          <w:bCs/>
        </w:rPr>
      </w:pPr>
      <w:r>
        <w:rPr>
          <w:rFonts w:hint="eastAsia" w:ascii="宋体" w:hAnsi="宋体"/>
          <w:b/>
        </w:rPr>
        <w:t>（仅供参考）</w:t>
      </w:r>
    </w:p>
    <w:p>
      <w:pPr>
        <w:spacing w:line="360" w:lineRule="auto"/>
        <w:ind w:right="-211" w:rightChars="-88" w:firstLine="48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pStyle w:val="33"/>
        <w:snapToGrid w:val="0"/>
        <w:spacing w:before="120" w:after="120" w:line="360" w:lineRule="auto"/>
        <w:ind w:right="600"/>
        <w:jc w:val="center"/>
        <w:rPr>
          <w:rFonts w:hAnsi="宋体"/>
        </w:rPr>
      </w:pPr>
      <w:r>
        <w:rPr>
          <w:rFonts w:hint="eastAsia" w:ascii="宋体" w:hAnsi="宋体"/>
        </w:rPr>
        <w:t xml:space="preserve">                                  </w:t>
      </w:r>
    </w:p>
    <w:p>
      <w:pPr>
        <w:ind w:firstLine="480"/>
        <w:jc w:val="center"/>
        <w:rPr>
          <w:rFonts w:ascii="仿宋" w:hAnsi="仿宋" w:eastAsia="仿宋"/>
          <w:b/>
          <w:bCs/>
          <w:sz w:val="30"/>
          <w:szCs w:val="30"/>
        </w:rPr>
      </w:pPr>
      <w:bookmarkStart w:id="430" w:name="_Toc26124"/>
      <w:bookmarkStart w:id="431" w:name="_Toc16158"/>
      <w:r>
        <w:rPr>
          <w:rFonts w:hint="eastAsia" w:ascii="仿宋" w:hAnsi="仿宋" w:eastAsia="仿宋"/>
          <w:b/>
          <w:bCs/>
          <w:sz w:val="30"/>
          <w:szCs w:val="30"/>
        </w:rPr>
        <w:t>浙江省福利彩票管理中心采购合同</w:t>
      </w:r>
    </w:p>
    <w:p>
      <w:pPr>
        <w:ind w:left="0" w:leftChars="0" w:firstLine="0" w:firstLineChars="0"/>
        <w:rPr>
          <w:szCs w:val="32"/>
        </w:rPr>
      </w:pPr>
      <w:r>
        <w:rPr>
          <w:rFonts w:hint="eastAsia" w:ascii="仿宋" w:hAnsi="仿宋" w:eastAsia="仿宋"/>
          <w:sz w:val="30"/>
          <w:szCs w:val="30"/>
        </w:rPr>
        <w:t xml:space="preserve">                         </w:t>
      </w:r>
      <w:r>
        <w:rPr>
          <w:rFonts w:hint="eastAsia"/>
          <w:szCs w:val="32"/>
        </w:rPr>
        <w:t xml:space="preserve">    </w:t>
      </w:r>
    </w:p>
    <w:p>
      <w:pPr>
        <w:snapToGrid w:val="0"/>
        <w:spacing w:line="360" w:lineRule="auto"/>
        <w:ind w:left="0" w:leftChars="0" w:firstLine="0" w:firstLineChars="0"/>
        <w:rPr>
          <w:rFonts w:hint="eastAsia" w:ascii="宋体" w:hAnsi="宋体" w:eastAsia="宋体" w:cs="宋体"/>
          <w:b/>
          <w:bCs/>
          <w:spacing w:val="-6"/>
          <w:lang w:eastAsia="zh-CN"/>
        </w:rPr>
      </w:pPr>
      <w:r>
        <w:rPr>
          <w:rFonts w:hint="eastAsia" w:ascii="宋体" w:hAnsi="宋体" w:cs="宋体"/>
          <w:b/>
          <w:bCs/>
          <w:spacing w:val="-6"/>
        </w:rPr>
        <w:t>项目名称：</w:t>
      </w:r>
      <w:r>
        <w:rPr>
          <w:rFonts w:hint="eastAsia" w:ascii="宋体" w:hAnsi="宋体" w:cs="宋体"/>
          <w:b/>
          <w:bCs/>
          <w:spacing w:val="-6"/>
          <w:lang w:eastAsia="zh-CN"/>
        </w:rPr>
        <w:t>2024年浙江福彩“走进福彩公益金资助项目”活动项目</w:t>
      </w:r>
    </w:p>
    <w:p>
      <w:pPr>
        <w:snapToGrid w:val="0"/>
        <w:spacing w:line="360" w:lineRule="auto"/>
        <w:ind w:left="0" w:leftChars="0" w:firstLine="0" w:firstLineChars="0"/>
        <w:rPr>
          <w:rFonts w:hint="eastAsia" w:ascii="宋体" w:hAnsi="宋体" w:eastAsia="宋体" w:cs="宋体"/>
          <w:b/>
          <w:bCs/>
          <w:spacing w:val="-6"/>
          <w:lang w:eastAsia="zh-CN"/>
        </w:rPr>
      </w:pPr>
      <w:r>
        <w:rPr>
          <w:rFonts w:hint="eastAsia" w:ascii="宋体" w:hAnsi="宋体" w:cs="宋体"/>
          <w:b/>
          <w:bCs/>
          <w:spacing w:val="-6"/>
        </w:rPr>
        <w:t>项目编号：</w:t>
      </w:r>
      <w:r>
        <w:rPr>
          <w:rFonts w:hint="eastAsia" w:ascii="宋体" w:hAnsi="宋体" w:cs="宋体"/>
          <w:b/>
          <w:bCs/>
          <w:spacing w:val="-6"/>
          <w:lang w:eastAsia="zh-CN"/>
        </w:rPr>
        <w:t>ZJXL-FCZX-202405</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采购计划书：</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甲方（需方）：浙江省福利彩票管理中心</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乙方（供方）：</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合同鉴证方（采购代理机构）：浙江信镧建设工程咨询有限公司</w:t>
      </w:r>
    </w:p>
    <w:p>
      <w:pPr>
        <w:spacing w:line="360" w:lineRule="auto"/>
        <w:ind w:left="0" w:leftChars="0" w:firstLine="0" w:firstLineChars="0"/>
        <w:rPr>
          <w:rFonts w:ascii="宋体" w:hAnsi="宋体" w:cs="宋体"/>
          <w:b/>
          <w:bCs/>
          <w:spacing w:val="-6"/>
        </w:rPr>
      </w:pPr>
      <w:r>
        <w:rPr>
          <w:rFonts w:hint="eastAsia" w:ascii="宋体" w:hAnsi="宋体" w:cs="宋体"/>
          <w:b/>
          <w:bCs/>
          <w:spacing w:val="-6"/>
        </w:rPr>
        <w:t>签约时间、地点：202</w:t>
      </w:r>
      <w:r>
        <w:rPr>
          <w:rFonts w:hint="eastAsia" w:ascii="宋体" w:hAnsi="宋体" w:cs="宋体"/>
          <w:b/>
          <w:bCs/>
          <w:spacing w:val="-6"/>
          <w:lang w:val="en-US" w:eastAsia="zh-CN"/>
        </w:rPr>
        <w:t>4</w:t>
      </w:r>
      <w:r>
        <w:rPr>
          <w:rFonts w:hint="eastAsia" w:ascii="宋体" w:hAnsi="宋体" w:cs="宋体"/>
          <w:b/>
          <w:bCs/>
          <w:spacing w:val="-6"/>
        </w:rPr>
        <w:t>年    月    日，杭州市余杭区</w:t>
      </w:r>
    </w:p>
    <w:p>
      <w:pPr>
        <w:spacing w:line="360" w:lineRule="auto"/>
        <w:rPr>
          <w:rFonts w:ascii="宋体" w:hAnsi="宋体" w:cs="宋体"/>
          <w:b/>
          <w:bCs/>
          <w:spacing w:val="-6"/>
        </w:rPr>
      </w:pPr>
    </w:p>
    <w:p>
      <w:pPr>
        <w:snapToGrid w:val="0"/>
        <w:spacing w:line="360" w:lineRule="auto"/>
        <w:ind w:firstLine="456" w:firstLineChars="200"/>
        <w:rPr>
          <w:rFonts w:ascii="宋体" w:hAnsi="宋体" w:cs="宋体"/>
          <w:spacing w:val="-6"/>
        </w:rPr>
      </w:pPr>
      <w:r>
        <w:rPr>
          <w:rFonts w:hint="eastAsia" w:ascii="宋体" w:hAnsi="宋体" w:cs="宋体"/>
          <w:spacing w:val="-6"/>
        </w:rPr>
        <w:t>根据《中华人民共和国政府采购法》等法律法规规定，浙江信镧建设工程咨询有限公司受</w:t>
      </w:r>
      <w:r>
        <w:rPr>
          <w:rFonts w:hint="eastAsia" w:ascii="宋体" w:hAnsi="宋体" w:cs="宋体"/>
          <w:spacing w:val="-6"/>
          <w:u w:val="single"/>
        </w:rPr>
        <w:t>浙江省福利彩票管理中心</w:t>
      </w:r>
      <w:r>
        <w:rPr>
          <w:rFonts w:hint="eastAsia" w:ascii="宋体" w:hAnsi="宋体" w:cs="宋体"/>
          <w:spacing w:val="-6"/>
        </w:rPr>
        <w:t>委托，经</w:t>
      </w:r>
      <w:r>
        <w:rPr>
          <w:rFonts w:hint="eastAsia" w:ascii="宋体" w:hAnsi="宋体" w:cs="宋体"/>
          <w:spacing w:val="-6"/>
          <w:u w:val="single"/>
        </w:rPr>
        <w:t>公开招标采购</w:t>
      </w:r>
      <w:r>
        <w:rPr>
          <w:rFonts w:hint="eastAsia" w:ascii="宋体" w:hAnsi="宋体" w:cs="宋体"/>
          <w:spacing w:val="-6"/>
        </w:rPr>
        <w:t>，确定</w:t>
      </w:r>
      <w:r>
        <w:rPr>
          <w:rFonts w:hint="eastAsia" w:ascii="宋体" w:hAnsi="宋体" w:cs="宋体"/>
          <w:spacing w:val="-6"/>
          <w:u w:val="single"/>
        </w:rPr>
        <w:t xml:space="preserve">              </w:t>
      </w:r>
      <w:r>
        <w:rPr>
          <w:rFonts w:hint="eastAsia" w:ascii="宋体" w:hAnsi="宋体" w:cs="宋体"/>
          <w:spacing w:val="-6"/>
        </w:rPr>
        <w:t>为</w:t>
      </w:r>
      <w:r>
        <w:rPr>
          <w:rFonts w:hint="eastAsia" w:ascii="宋体" w:hAnsi="宋体" w:cs="宋体"/>
          <w:spacing w:val="-6"/>
          <w:u w:val="single"/>
        </w:rPr>
        <w:t xml:space="preserve">              </w:t>
      </w:r>
      <w:r>
        <w:rPr>
          <w:rFonts w:hint="eastAsia" w:ascii="宋体" w:hAnsi="宋体" w:cs="宋体"/>
          <w:spacing w:val="-6"/>
        </w:rPr>
        <w:t>项目编号</w:t>
      </w:r>
      <w:r>
        <w:rPr>
          <w:rFonts w:hint="eastAsia" w:ascii="宋体" w:hAnsi="宋体" w:cs="宋体"/>
          <w:spacing w:val="-6"/>
          <w:u w:val="single"/>
        </w:rPr>
        <w:t>（ ）</w:t>
      </w:r>
      <w:r>
        <w:rPr>
          <w:rFonts w:hint="eastAsia" w:ascii="宋体" w:hAnsi="宋体" w:cs="宋体"/>
          <w:spacing w:val="-6"/>
        </w:rPr>
        <w:t>的成交供应商。根据《中华人民共和国民法典》规定，签署本合同。</w:t>
      </w:r>
    </w:p>
    <w:p>
      <w:pPr>
        <w:spacing w:line="360" w:lineRule="auto"/>
        <w:ind w:right="26" w:rightChars="11"/>
        <w:rPr>
          <w:rFonts w:ascii="宋体" w:hAnsi="宋体" w:cs="宋体"/>
          <w:spacing w:val="-6"/>
        </w:rPr>
      </w:pPr>
    </w:p>
    <w:p>
      <w:pPr>
        <w:spacing w:line="360" w:lineRule="auto"/>
        <w:rPr>
          <w:rFonts w:ascii="宋体" w:hAnsi="宋体" w:cs="宋体"/>
          <w:b/>
          <w:spacing w:val="-6"/>
        </w:rPr>
      </w:pPr>
      <w:r>
        <w:rPr>
          <w:rFonts w:hint="eastAsia" w:ascii="宋体" w:hAnsi="宋体" w:cs="宋体"/>
          <w:b/>
          <w:spacing w:val="-6"/>
        </w:rPr>
        <w:t>第一条：采购服务清单及合同价格</w:t>
      </w:r>
    </w:p>
    <w:tbl>
      <w:tblPr>
        <w:tblStyle w:val="62"/>
        <w:tblW w:w="90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027"/>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序号</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名称</w:t>
            </w: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描述</w:t>
            </w: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数量</w:t>
            </w: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单位</w:t>
            </w: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单价（元）</w:t>
            </w: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1</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2</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合同总价（大写，人民币元）：</w:t>
            </w:r>
          </w:p>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注：</w:t>
            </w:r>
          </w:p>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cs="宋体"/>
                <w:spacing w:val="-6"/>
                <w:lang w:val="en-US" w:eastAsia="zh-CN"/>
              </w:rPr>
              <w:t>1、</w:t>
            </w:r>
            <w:r>
              <w:rPr>
                <w:rFonts w:hint="eastAsia" w:ascii="宋体" w:hAnsi="宋体" w:eastAsia="宋体" w:cs="宋体"/>
                <w:spacing w:val="-6"/>
                <w:lang w:val="zh-CN"/>
              </w:rPr>
              <w:t>以上合同总价包含履行本项目服务所需的一切费用，包括</w:t>
            </w:r>
            <w:r>
              <w:rPr>
                <w:rFonts w:hint="eastAsia" w:ascii="宋体" w:hAnsi="宋体" w:cs="宋体"/>
                <w:spacing w:val="-6"/>
                <w:lang w:val="en-US" w:eastAsia="zh-CN"/>
              </w:rPr>
              <w:t>但不限于履行所有规定服务所产生的场地、物料、宣传品、广告费、人员费以及</w:t>
            </w:r>
            <w:r>
              <w:rPr>
                <w:rFonts w:hint="eastAsia" w:ascii="宋体" w:hAnsi="宋体" w:eastAsia="宋体" w:cs="宋体"/>
                <w:spacing w:val="-6"/>
                <w:lang w:val="zh-CN"/>
              </w:rPr>
              <w:t>税费</w:t>
            </w:r>
            <w:r>
              <w:rPr>
                <w:rFonts w:hint="eastAsia" w:ascii="宋体" w:hAnsi="宋体" w:eastAsia="宋体" w:cs="宋体"/>
                <w:spacing w:val="-6"/>
                <w:lang w:val="zh-CN" w:eastAsia="zh-Hans"/>
              </w:rPr>
              <w:t>，合同价格不因国家税率调整而变动</w:t>
            </w:r>
            <w:r>
              <w:rPr>
                <w:rFonts w:hint="eastAsia" w:ascii="宋体" w:hAnsi="宋体" w:eastAsia="宋体" w:cs="宋体"/>
                <w:spacing w:val="-6"/>
                <w:lang w:val="zh-CN"/>
              </w:rPr>
              <w:t>。</w:t>
            </w:r>
          </w:p>
          <w:p>
            <w:pPr>
              <w:snapToGrid w:val="0"/>
              <w:spacing w:line="360" w:lineRule="auto"/>
              <w:ind w:left="0" w:leftChars="0" w:firstLine="0" w:firstLineChars="0"/>
              <w:jc w:val="left"/>
              <w:rPr>
                <w:rFonts w:hint="eastAsia" w:ascii="宋体" w:hAnsi="宋体" w:eastAsia="宋体" w:cs="宋体"/>
                <w:spacing w:val="-6"/>
                <w:lang w:val="en-US" w:eastAsia="zh-CN"/>
              </w:rPr>
            </w:pPr>
            <w:r>
              <w:rPr>
                <w:rFonts w:hint="eastAsia" w:ascii="宋体" w:hAnsi="宋体" w:cs="宋体"/>
                <w:spacing w:val="-6"/>
                <w:lang w:val="en-US" w:eastAsia="zh-CN"/>
              </w:rPr>
              <w:t>2、未服务或未验收通过的项目不予结算费用。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p>
        </w:tc>
      </w:tr>
    </w:tbl>
    <w:p>
      <w:pPr>
        <w:spacing w:line="360" w:lineRule="auto"/>
        <w:rPr>
          <w:rFonts w:ascii="宋体" w:hAnsi="宋体" w:cs="宋体"/>
          <w:b/>
          <w:spacing w:val="-6"/>
        </w:rPr>
      </w:pPr>
    </w:p>
    <w:p>
      <w:pPr>
        <w:spacing w:line="360" w:lineRule="auto"/>
        <w:rPr>
          <w:rFonts w:ascii="宋体" w:hAnsi="宋体" w:cs="宋体"/>
          <w:b/>
          <w:spacing w:val="-6"/>
        </w:rPr>
      </w:pPr>
      <w:r>
        <w:rPr>
          <w:rFonts w:hint="eastAsia" w:ascii="宋体" w:hAnsi="宋体" w:cs="宋体"/>
          <w:b/>
          <w:spacing w:val="-6"/>
        </w:rPr>
        <w:t>第二条：服务时间</w:t>
      </w:r>
    </w:p>
    <w:p>
      <w:pPr>
        <w:bidi w:val="0"/>
        <w:rPr>
          <w:rFonts w:hint="eastAsia"/>
          <w:color w:val="auto"/>
        </w:rPr>
      </w:pP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本合同项下全部服务</w:t>
      </w:r>
      <w:r>
        <w:rPr>
          <w:rFonts w:hint="eastAsia"/>
          <w:color w:val="auto"/>
        </w:rPr>
        <w:t>项目。</w:t>
      </w:r>
    </w:p>
    <w:p>
      <w:pPr>
        <w:spacing w:line="360" w:lineRule="auto"/>
        <w:rPr>
          <w:rFonts w:hint="eastAsia" w:ascii="宋体" w:hAnsi="宋体" w:eastAsia="宋体" w:cs="宋体"/>
          <w:b/>
          <w:color w:val="auto"/>
          <w:spacing w:val="-6"/>
          <w:lang w:eastAsia="zh-CN"/>
        </w:rPr>
      </w:pPr>
      <w:r>
        <w:rPr>
          <w:rFonts w:hint="eastAsia" w:ascii="宋体" w:hAnsi="宋体" w:cs="宋体"/>
          <w:b/>
          <w:color w:val="auto"/>
          <w:spacing w:val="-6"/>
        </w:rPr>
        <w:t>第三条：付款方式</w:t>
      </w:r>
    </w:p>
    <w:p>
      <w:pPr>
        <w:numPr>
          <w:ilvl w:val="0"/>
          <w:numId w:val="3"/>
        </w:numPr>
        <w:ind w:firstLine="480" w:firstLineChars="200"/>
        <w:rPr>
          <w:rFonts w:hint="eastAsia" w:ascii="宋体" w:hAnsi="宋体" w:eastAsia="宋体" w:cs="Times New Roman"/>
          <w:color w:val="auto"/>
          <w:szCs w:val="21"/>
        </w:rPr>
      </w:pPr>
      <w:r>
        <w:rPr>
          <w:rFonts w:hint="eastAsia" w:ascii="宋体" w:hAnsi="宋体" w:eastAsia="宋体" w:cs="Times New Roman"/>
          <w:color w:val="auto"/>
          <w:szCs w:val="21"/>
        </w:rPr>
        <w:t>合同生效以及具备实施条件后</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乙方向甲方开具发票，</w:t>
      </w:r>
      <w:r>
        <w:rPr>
          <w:rFonts w:hint="eastAsia" w:ascii="宋体" w:hAnsi="宋体" w:eastAsia="宋体" w:cs="Times New Roman"/>
          <w:color w:val="auto"/>
          <w:szCs w:val="21"/>
          <w:lang w:eastAsia="zh-CN"/>
        </w:rPr>
        <w:t>甲方</w:t>
      </w:r>
      <w:r>
        <w:rPr>
          <w:rFonts w:hint="eastAsia" w:ascii="宋体" w:hAnsi="宋体" w:cs="Times New Roman"/>
          <w:color w:val="auto"/>
          <w:szCs w:val="21"/>
          <w:lang w:val="en-US" w:eastAsia="zh-CN"/>
        </w:rPr>
        <w:t>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，向</w:t>
      </w:r>
      <w:r>
        <w:rPr>
          <w:rFonts w:hint="eastAsia" w:ascii="宋体" w:hAnsi="宋体" w:eastAsia="宋体" w:cs="Times New Roman"/>
          <w:color w:val="auto"/>
          <w:szCs w:val="21"/>
          <w:lang w:eastAsia="zh-CN"/>
        </w:rPr>
        <w:t>乙方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ascii="宋体" w:hAnsi="宋体" w:eastAsia="宋体" w:cs="Times New Roman"/>
          <w:color w:val="auto"/>
          <w:szCs w:val="21"/>
        </w:rPr>
        <w:t>0</w:t>
      </w:r>
      <w:r>
        <w:rPr>
          <w:rFonts w:hint="eastAsia" w:ascii="宋体" w:hAnsi="宋体" w:eastAsia="宋体" w:cs="Times New Roman"/>
          <w:color w:val="auto"/>
          <w:szCs w:val="21"/>
        </w:rPr>
        <w:t>%；项目履约完成，经</w:t>
      </w:r>
      <w:r>
        <w:rPr>
          <w:rFonts w:hint="eastAsia" w:ascii="宋体" w:hAnsi="宋体" w:eastAsia="宋体" w:cs="Times New Roman"/>
          <w:color w:val="auto"/>
          <w:szCs w:val="21"/>
          <w:lang w:eastAsia="zh-CN"/>
        </w:rPr>
        <w:t>甲方</w:t>
      </w:r>
      <w:r>
        <w:rPr>
          <w:rFonts w:hint="eastAsia" w:ascii="宋体" w:hAnsi="宋体" w:eastAsia="宋体" w:cs="Times New Roman"/>
          <w:color w:val="auto"/>
          <w:szCs w:val="21"/>
        </w:rPr>
        <w:t>验收合格后，收到发票后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甲方</w:t>
      </w:r>
      <w:r>
        <w:rPr>
          <w:rFonts w:hint="eastAsia" w:ascii="宋体" w:hAnsi="宋体" w:eastAsia="宋体" w:cs="Times New Roman"/>
          <w:color w:val="auto"/>
          <w:szCs w:val="21"/>
        </w:rPr>
        <w:t>向</w:t>
      </w:r>
      <w:r>
        <w:rPr>
          <w:rFonts w:hint="eastAsia" w:ascii="宋体" w:hAnsi="宋体" w:eastAsia="宋体" w:cs="Times New Roman"/>
          <w:color w:val="auto"/>
          <w:szCs w:val="21"/>
          <w:lang w:eastAsia="zh-CN"/>
        </w:rPr>
        <w:t>乙方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0%。</w:t>
      </w:r>
    </w:p>
    <w:p>
      <w:pPr>
        <w:numPr>
          <w:ilvl w:val="-1"/>
          <w:numId w:val="0"/>
        </w:numPr>
        <w:ind w:firstLine="480" w:firstLineChars="200"/>
        <w:rPr>
          <w:rFonts w:ascii="宋体" w:hAnsi="宋体" w:eastAsia="宋体" w:cs="Times New Roman"/>
          <w:color w:val="auto"/>
          <w:szCs w:val="21"/>
          <w:lang w:eastAsia="zh-Hans"/>
        </w:rPr>
      </w:pPr>
      <w:r>
        <w:rPr>
          <w:rFonts w:hint="eastAsia" w:ascii="宋体" w:hAnsi="宋体" w:eastAsia="宋体" w:cs="Times New Roman"/>
          <w:color w:val="auto"/>
          <w:szCs w:val="21"/>
        </w:rPr>
        <w:t>以上付款时间是指甲方完成向财政部门申报支付手续的时间，财政部门审查及实际支付可能造成的时间延误不视为甲方违约。</w:t>
      </w:r>
    </w:p>
    <w:p>
      <w:pPr>
        <w:numPr>
          <w:ilvl w:val="0"/>
          <w:numId w:val="3"/>
        </w:numPr>
        <w:ind w:firstLine="480" w:firstLineChars="200"/>
        <w:rPr>
          <w:rFonts w:ascii="宋体" w:hAnsi="宋体"/>
          <w:color w:val="auto"/>
          <w:szCs w:val="21"/>
        </w:rPr>
      </w:pPr>
      <w:r>
        <w:rPr>
          <w:rFonts w:ascii="宋体" w:hAnsi="宋体"/>
          <w:color w:val="auto"/>
          <w:szCs w:val="21"/>
        </w:rPr>
        <w:t>乙方确认收款账户信息为：户名：         ；账号：        ；开户行：        。</w:t>
      </w:r>
    </w:p>
    <w:p>
      <w:pPr>
        <w:pStyle w:val="54"/>
        <w:numPr>
          <w:ilvl w:val="0"/>
          <w:numId w:val="3"/>
        </w:numPr>
        <w:ind w:left="0" w:leftChars="0" w:firstLine="480"/>
      </w:pPr>
      <w:r>
        <w:rPr>
          <w:rFonts w:hint="eastAsia"/>
        </w:rPr>
        <w:t>甲方支付每笔款项前，乙方均应按照本条第1款约定向甲方开具真实、等额且税率为【】%的增值税专用发票，乙方逾期提供导致甲方未能按期付款的不视为甲方违约。</w:t>
      </w:r>
    </w:p>
    <w:p>
      <w:pPr>
        <w:spacing w:line="360" w:lineRule="auto"/>
        <w:rPr>
          <w:rFonts w:hint="default" w:ascii="宋体" w:hAnsi="宋体" w:eastAsia="宋体" w:cs="宋体"/>
          <w:b/>
          <w:color w:val="auto"/>
          <w:spacing w:val="-6"/>
          <w:lang w:val="en-US" w:eastAsia="zh-CN"/>
        </w:rPr>
      </w:pPr>
      <w:r>
        <w:rPr>
          <w:rFonts w:hint="eastAsia" w:ascii="宋体" w:hAnsi="宋体" w:cs="宋体"/>
          <w:b/>
          <w:color w:val="auto"/>
          <w:spacing w:val="-6"/>
        </w:rPr>
        <w:t>第四条：服务内容</w:t>
      </w:r>
      <w:r>
        <w:rPr>
          <w:rFonts w:hint="eastAsia" w:ascii="宋体" w:hAnsi="宋体" w:cs="宋体"/>
          <w:b/>
          <w:color w:val="auto"/>
          <w:spacing w:val="-6"/>
          <w:lang w:val="en-US" w:eastAsia="zh-CN"/>
        </w:rPr>
        <w:t>及要求</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一、组织线下活动</w:t>
      </w:r>
    </w:p>
    <w:p>
      <w:pPr>
        <w:tabs>
          <w:tab w:val="left" w:pos="0"/>
        </w:tabs>
        <w:spacing w:line="360" w:lineRule="auto"/>
        <w:ind w:firstLine="480"/>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配合全省12市（含义乌）福彩中心开展“走进福彩公益金资助项目”活动，全省各市福彩中心根据实际情况策划相应活动方案，方案经</w:t>
      </w:r>
      <w:r>
        <w:rPr>
          <w:rFonts w:hint="eastAsia" w:ascii="宋体" w:hAnsi="宋体" w:cs="Helvetica"/>
          <w:kern w:val="0"/>
          <w:sz w:val="24"/>
          <w:lang w:val="en-US" w:eastAsia="zh-CN"/>
        </w:rPr>
        <w:t>甲方</w:t>
      </w:r>
      <w:r>
        <w:rPr>
          <w:rFonts w:hint="eastAsia" w:ascii="宋体" w:hAnsi="宋体" w:eastAsia="宋体" w:cs="Helvetica"/>
          <w:kern w:val="0"/>
          <w:sz w:val="24"/>
          <w:lang w:val="en-US" w:eastAsia="zh-CN"/>
        </w:rPr>
        <w:t>同意后执行。</w:t>
      </w:r>
      <w:r>
        <w:rPr>
          <w:rFonts w:hint="eastAsia" w:ascii="宋体" w:hAnsi="宋体" w:cs="Helvetica"/>
          <w:kern w:val="0"/>
          <w:sz w:val="24"/>
          <w:lang w:val="en-US" w:eastAsia="zh-CN"/>
        </w:rPr>
        <w:t>乙方</w:t>
      </w:r>
      <w:r>
        <w:rPr>
          <w:rFonts w:hint="eastAsia" w:ascii="宋体" w:hAnsi="宋体" w:eastAsia="宋体" w:cs="Helvetica"/>
          <w:kern w:val="0"/>
          <w:sz w:val="24"/>
          <w:lang w:val="en-US" w:eastAsia="zh-CN"/>
        </w:rPr>
        <w:t>根据活动方案，配套相应的服务，包含提供每场活动专业主持人1名、优质文艺表演节目</w:t>
      </w:r>
      <w:bookmarkStart w:id="481" w:name="_GoBack"/>
      <w:bookmarkEnd w:id="481"/>
      <w:r>
        <w:rPr>
          <w:rFonts w:hint="eastAsia" w:ascii="宋体" w:hAnsi="宋体" w:eastAsia="宋体" w:cs="Helvetica"/>
          <w:kern w:val="0"/>
          <w:sz w:val="24"/>
          <w:lang w:val="en-US" w:eastAsia="zh-CN"/>
        </w:rPr>
        <w:t>3个（含演出人员相关费用）、儿童或老年人慰问品、活动现场系列宣传物料等，做好活动前、中、后期宣传工作；配合各地市福彩中心组织参加“走进福彩公益金资助项目”人员，包括媒体记者代表、购彩者代表、志愿者代表、热心公益事业的社会公众代表、“爱心驿站”代表等，每场活动总人数不少于60人。全省各市（含义乌）1场活动，其中示范型较大型活动1场，整场活动均由</w:t>
      </w:r>
      <w:r>
        <w:rPr>
          <w:rFonts w:hint="eastAsia" w:ascii="宋体" w:hAnsi="宋体" w:cs="Helvetica"/>
          <w:kern w:val="0"/>
          <w:sz w:val="24"/>
          <w:lang w:val="en-US" w:eastAsia="zh-CN"/>
        </w:rPr>
        <w:t>乙方</w:t>
      </w:r>
      <w:r>
        <w:rPr>
          <w:rFonts w:hint="eastAsia" w:ascii="宋体" w:hAnsi="宋体" w:eastAsia="宋体" w:cs="Helvetica"/>
          <w:kern w:val="0"/>
          <w:sz w:val="24"/>
          <w:lang w:val="en-US" w:eastAsia="zh-CN"/>
        </w:rPr>
        <w:t>负责执行，含大型舞台搭建（含LED大屏、场地、灯光、舞美）、主持人、表演节目、场地布设（内场及外场、道旗、引导牌等）、喷绘展板等宣传品制作展示（内容由</w:t>
      </w:r>
      <w:r>
        <w:rPr>
          <w:rFonts w:hint="eastAsia" w:ascii="宋体" w:hAnsi="宋体" w:cs="Helvetica"/>
          <w:kern w:val="0"/>
          <w:sz w:val="24"/>
          <w:lang w:val="en-US" w:eastAsia="zh-CN"/>
        </w:rPr>
        <w:t>甲方</w:t>
      </w:r>
      <w:r>
        <w:rPr>
          <w:rFonts w:hint="eastAsia" w:ascii="宋体" w:hAnsi="宋体" w:eastAsia="宋体" w:cs="Helvetica"/>
          <w:kern w:val="0"/>
          <w:sz w:val="24"/>
          <w:lang w:val="en-US" w:eastAsia="zh-CN"/>
        </w:rPr>
        <w:t>确定）。</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二、线下活动慰问品，组织参加活动代表费用及宣传品采购</w:t>
      </w:r>
    </w:p>
    <w:p>
      <w:pPr>
        <w:tabs>
          <w:tab w:val="left" w:pos="0"/>
        </w:tabs>
        <w:spacing w:line="360" w:lineRule="auto"/>
        <w:ind w:firstLine="480"/>
        <w:rPr>
          <w:rFonts w:hint="eastAsia" w:ascii="宋体" w:hAnsi="宋体" w:eastAsia="宋体" w:cs="Helvetica"/>
          <w:kern w:val="0"/>
          <w:sz w:val="24"/>
          <w:highlight w:val="none"/>
        </w:rPr>
      </w:pPr>
      <w:r>
        <w:rPr>
          <w:rFonts w:hint="eastAsia" w:ascii="宋体" w:hAnsi="宋体" w:eastAsia="宋体" w:cs="Helvetica"/>
          <w:kern w:val="0"/>
          <w:sz w:val="24"/>
          <w:highlight w:val="none"/>
        </w:rPr>
        <w:t>项目执行期间，根据活动情况，采购一批针对慰问对象（儿童、青少年、老人等）的优质物品（例如书包、被子、水杯、伞等慰问对象所需要的物品），物品采购费用每市</w:t>
      </w:r>
      <w:r>
        <w:rPr>
          <w:rFonts w:hint="eastAsia" w:ascii="宋体" w:hAnsi="宋体" w:cs="Helvetica"/>
          <w:kern w:val="0"/>
          <w:sz w:val="24"/>
          <w:highlight w:val="none"/>
          <w:lang w:val="en-US" w:eastAsia="zh-CN"/>
        </w:rPr>
        <w:t>6</w:t>
      </w:r>
      <w:r>
        <w:rPr>
          <w:rFonts w:hint="eastAsia" w:ascii="宋体" w:hAnsi="宋体" w:eastAsia="宋体" w:cs="Helvetica"/>
          <w:kern w:val="0"/>
          <w:sz w:val="24"/>
          <w:highlight w:val="none"/>
        </w:rPr>
        <w:t>0000元</w:t>
      </w:r>
      <w:r>
        <w:rPr>
          <w:rFonts w:hint="eastAsia" w:ascii="宋体" w:hAnsi="宋体" w:cs="Helvetica"/>
          <w:kern w:val="0"/>
          <w:sz w:val="24"/>
          <w:highlight w:val="none"/>
          <w:lang w:eastAsia="zh-CN"/>
        </w:rPr>
        <w:t>（物资采购明细及单价需经采购人同意并确认）</w:t>
      </w:r>
      <w:r>
        <w:rPr>
          <w:rFonts w:hint="eastAsia" w:ascii="宋体" w:hAnsi="宋体" w:eastAsia="宋体" w:cs="Helvetica"/>
          <w:kern w:val="0"/>
          <w:sz w:val="24"/>
          <w:highlight w:val="none"/>
        </w:rPr>
        <w:t>，物品清单由</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提供，经各市福彩中心选定后，由</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统一、成套配送至各市（含义乌）福彩中心指定地点，所有慰问品统一标识福彩logo，外包装由</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设计制作，经</w:t>
      </w:r>
      <w:r>
        <w:rPr>
          <w:rFonts w:hint="eastAsia" w:ascii="宋体" w:hAnsi="宋体" w:cs="Helvetica"/>
          <w:kern w:val="0"/>
          <w:sz w:val="24"/>
          <w:lang w:val="en-US" w:eastAsia="zh-CN"/>
        </w:rPr>
        <w:t>甲方</w:t>
      </w:r>
      <w:r>
        <w:rPr>
          <w:rFonts w:hint="eastAsia" w:ascii="宋体" w:hAnsi="宋体" w:eastAsia="宋体" w:cs="Helvetica"/>
          <w:kern w:val="0"/>
          <w:sz w:val="24"/>
          <w:highlight w:val="none"/>
        </w:rPr>
        <w:t>审核通过后使用；</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面向社会公开招募（</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开发小程序或其他公开渠道收集报名信息）并组织“走进福彩公益金资助项目”代表，每场</w:t>
      </w:r>
      <w:r>
        <w:rPr>
          <w:rFonts w:hint="eastAsia" w:ascii="宋体" w:hAnsi="宋体" w:cs="Helvetica"/>
          <w:kern w:val="0"/>
          <w:sz w:val="24"/>
          <w:highlight w:val="none"/>
          <w:lang w:val="en-US" w:eastAsia="zh-CN"/>
        </w:rPr>
        <w:t>60</w:t>
      </w:r>
      <w:r>
        <w:rPr>
          <w:rFonts w:hint="eastAsia" w:ascii="宋体" w:hAnsi="宋体" w:eastAsia="宋体" w:cs="Helvetica"/>
          <w:kern w:val="0"/>
          <w:sz w:val="24"/>
          <w:highlight w:val="none"/>
        </w:rPr>
        <w:t>人，每人预算200元（餐饮、宣传品等），活动所涉及费用（交通费，大巴租赁）均由</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负责，宣传品包括但不限于外装纸袋或帆布袋1只（视觉设计由</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负责，经</w:t>
      </w:r>
      <w:r>
        <w:rPr>
          <w:rFonts w:hint="eastAsia" w:ascii="宋体" w:hAnsi="宋体" w:cs="Helvetica"/>
          <w:kern w:val="0"/>
          <w:sz w:val="24"/>
          <w:lang w:val="en-US" w:eastAsia="zh-CN"/>
        </w:rPr>
        <w:t>甲方</w:t>
      </w:r>
      <w:r>
        <w:rPr>
          <w:rFonts w:hint="eastAsia" w:ascii="宋体" w:hAnsi="宋体" w:eastAsia="宋体" w:cs="Helvetica"/>
          <w:kern w:val="0"/>
          <w:sz w:val="24"/>
          <w:highlight w:val="none"/>
        </w:rPr>
        <w:t>审核通过后印制），</w:t>
      </w:r>
      <w:r>
        <w:rPr>
          <w:rFonts w:hint="eastAsia" w:ascii="宋体" w:hAnsi="宋体" w:eastAsia="宋体" w:cs="Helvetica"/>
          <w:kern w:val="0"/>
          <w:sz w:val="24"/>
          <w:highlight w:val="none"/>
          <w:lang w:val="en-US" w:eastAsia="zh-CN"/>
        </w:rPr>
        <w:t>陶瓷</w:t>
      </w:r>
      <w:r>
        <w:rPr>
          <w:rFonts w:hint="eastAsia" w:ascii="宋体" w:hAnsi="宋体" w:eastAsia="宋体" w:cs="Helvetica"/>
          <w:kern w:val="0"/>
          <w:sz w:val="24"/>
          <w:highlight w:val="none"/>
        </w:rPr>
        <w:t>杯1个，</w:t>
      </w:r>
      <w:r>
        <w:rPr>
          <w:rFonts w:hint="eastAsia" w:ascii="宋体" w:hAnsi="宋体" w:eastAsia="宋体" w:cs="Helvetica"/>
          <w:kern w:val="0"/>
          <w:sz w:val="24"/>
          <w:highlight w:val="none"/>
          <w:lang w:val="en-US" w:eastAsia="zh-CN"/>
        </w:rPr>
        <w:t>伞1把，</w:t>
      </w:r>
      <w:r>
        <w:rPr>
          <w:rFonts w:hint="eastAsia" w:ascii="宋体" w:hAnsi="宋体" w:eastAsia="宋体" w:cs="Helvetica"/>
          <w:kern w:val="0"/>
          <w:sz w:val="24"/>
          <w:highlight w:val="none"/>
        </w:rPr>
        <w:t>活动介绍手册1本等，所有物品统一印制福彩logo及</w:t>
      </w:r>
      <w:r>
        <w:rPr>
          <w:rFonts w:hint="eastAsia" w:ascii="宋体" w:hAnsi="宋体" w:eastAsia="宋体" w:cs="Helvetica"/>
          <w:kern w:val="0"/>
          <w:sz w:val="24"/>
          <w:highlight w:val="none"/>
          <w:lang w:val="en-US" w:eastAsia="zh-CN"/>
        </w:rPr>
        <w:t>IP形象</w:t>
      </w:r>
      <w:r>
        <w:rPr>
          <w:rFonts w:hint="eastAsia" w:ascii="宋体" w:hAnsi="宋体" w:eastAsia="宋体" w:cs="Helvetica"/>
          <w:kern w:val="0"/>
          <w:sz w:val="24"/>
          <w:highlight w:val="none"/>
        </w:rPr>
        <w:t>（logo由</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设计，经</w:t>
      </w:r>
      <w:r>
        <w:rPr>
          <w:rFonts w:hint="eastAsia" w:ascii="宋体" w:hAnsi="宋体" w:cs="Helvetica"/>
          <w:kern w:val="0"/>
          <w:sz w:val="24"/>
          <w:lang w:val="en-US" w:eastAsia="zh-CN"/>
        </w:rPr>
        <w:t>甲方</w:t>
      </w:r>
      <w:r>
        <w:rPr>
          <w:rFonts w:hint="eastAsia" w:ascii="宋体" w:hAnsi="宋体" w:eastAsia="宋体" w:cs="Helvetica"/>
          <w:kern w:val="0"/>
          <w:sz w:val="24"/>
          <w:highlight w:val="none"/>
        </w:rPr>
        <w:t>审核通过后使用）。数量视情况在各市之间调剂配发（统一配发到各市福彩中心，物流费用由</w:t>
      </w:r>
      <w:r>
        <w:rPr>
          <w:rFonts w:hint="eastAsia" w:ascii="宋体" w:hAnsi="宋体" w:cs="Helvetica"/>
          <w:kern w:val="0"/>
          <w:sz w:val="24"/>
          <w:highlight w:val="none"/>
          <w:lang w:eastAsia="zh-CN"/>
        </w:rPr>
        <w:t>乙方</w:t>
      </w:r>
      <w:r>
        <w:rPr>
          <w:rFonts w:hint="eastAsia" w:ascii="宋体" w:hAnsi="宋体" w:eastAsia="宋体" w:cs="Helvetica"/>
          <w:kern w:val="0"/>
          <w:sz w:val="24"/>
          <w:highlight w:val="none"/>
        </w:rPr>
        <w:t>承担）。</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三、宣传</w:t>
      </w:r>
    </w:p>
    <w:p>
      <w:pPr>
        <w:rPr>
          <w:rFonts w:hint="eastAsia" w:ascii="Times New Roman" w:hAnsi="Times New Roman" w:eastAsia="宋体" w:cs="Times New Roman"/>
          <w:color w:val="0000FF"/>
          <w:highlight w:val="none"/>
          <w:lang w:val="en-US" w:eastAsia="zh-CN"/>
        </w:rPr>
      </w:pPr>
      <w:r>
        <w:rPr>
          <w:rFonts w:hint="eastAsia" w:ascii="Times New Roman" w:hAnsi="Times New Roman" w:eastAsia="宋体" w:cs="Times New Roman"/>
          <w:color w:val="auto"/>
          <w:highlight w:val="none"/>
          <w:lang w:val="en-US" w:eastAsia="zh-CN"/>
        </w:rPr>
        <w:t>每场活动H5 1个，短视频1个，系列创意海报2张，活动宣传软文2篇，视频和图片直播各1场（直播平台观看人次不少于100万），做好每场活动前、中、后期宣传，全省12场活动结束后，做好总结性宣传报道视频不少于1个、图文报道不少于1篇。在不少于2家中央媒体刊登报道（图文影音不限）不少于5次，在不少于2家本省省级媒体刊登报道（图文影音不限）不少于12次。项目执行期间，新媒体平台（微信朋友圈、抖音、快手及其他视频平台）广告省内曝光量不少于3000万。</w:t>
      </w:r>
      <w:r>
        <w:rPr>
          <w:rFonts w:hint="eastAsia" w:ascii="Times New Roman" w:hAnsi="Times New Roman" w:eastAsia="宋体" w:cs="Times New Roman"/>
          <w:color w:val="0000FF"/>
          <w:highlight w:val="none"/>
          <w:lang w:val="en-US" w:eastAsia="zh-CN"/>
        </w:rPr>
        <w:t xml:space="preserve"> </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四、宣传成果提交要求</w:t>
      </w:r>
    </w:p>
    <w:p>
      <w:pPr>
        <w:spacing w:line="360" w:lineRule="auto"/>
        <w:rPr>
          <w:rFonts w:hint="eastAsia"/>
          <w:color w:val="auto"/>
          <w:highlight w:val="none"/>
          <w:lang w:val="en-US" w:eastAsia="zh-CN"/>
        </w:rPr>
      </w:pPr>
      <w:r>
        <w:rPr>
          <w:rFonts w:hint="eastAsia"/>
          <w:color w:val="auto"/>
          <w:highlight w:val="none"/>
          <w:lang w:val="en-US" w:eastAsia="zh-CN"/>
        </w:rPr>
        <w:t>在项目全部实施完成后</w:t>
      </w:r>
      <w:r>
        <w:rPr>
          <w:rFonts w:hint="default"/>
          <w:color w:val="auto"/>
          <w:highlight w:val="none"/>
          <w:lang w:val="en-US" w:eastAsia="zh-CN"/>
        </w:rPr>
        <w:t>7</w:t>
      </w:r>
      <w:r>
        <w:rPr>
          <w:rFonts w:hint="eastAsia"/>
          <w:color w:val="auto"/>
          <w:highlight w:val="none"/>
          <w:lang w:val="en-US" w:eastAsia="zh-CN"/>
        </w:rPr>
        <w:t>个工作日内向</w:t>
      </w:r>
      <w:r>
        <w:rPr>
          <w:rFonts w:hint="eastAsia" w:ascii="宋体" w:hAnsi="宋体" w:cs="Helvetica"/>
          <w:kern w:val="0"/>
          <w:sz w:val="24"/>
          <w:lang w:val="en-US" w:eastAsia="zh-CN"/>
        </w:rPr>
        <w:t>甲方</w:t>
      </w:r>
      <w:r>
        <w:rPr>
          <w:rFonts w:hint="eastAsia"/>
          <w:color w:val="auto"/>
          <w:highlight w:val="none"/>
          <w:lang w:val="en-US" w:eastAsia="zh-CN"/>
        </w:rPr>
        <w:t>提交书面结案报告。</w:t>
      </w:r>
    </w:p>
    <w:p>
      <w:pPr>
        <w:spacing w:line="360" w:lineRule="auto"/>
        <w:rPr>
          <w:rFonts w:ascii="宋体" w:hAnsi="宋体" w:cs="宋体"/>
          <w:b/>
          <w:spacing w:val="-6"/>
          <w:highlight w:val="none"/>
        </w:rPr>
      </w:pPr>
      <w:r>
        <w:rPr>
          <w:rFonts w:hint="eastAsia" w:ascii="宋体" w:hAnsi="宋体" w:cs="宋体"/>
          <w:b/>
          <w:spacing w:val="-6"/>
          <w:highlight w:val="none"/>
        </w:rPr>
        <w:t>第五条：其他技术、服务要求</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1.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专有技术、工艺、数据、业务和产品开发计划，客户的资料和信息等。保密条款不受本合同届满、解除、终止或本合同中其他条款的无效或履行完毕等情形的影响。</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2.乙方应保证所提供的服务或其中任何一部分均不会侵犯第三方的知识产权或其他合法权益。</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3.乙方根据本合同为甲方提供的服务所产生的一切工作成果，包括但不限于视频、图片、文案、音乐、软件程序等，知识产权均归属于甲方所有。未经甲方书面同意，乙方不得擅自使用或提供给任何第三方使用。</w:t>
      </w:r>
    </w:p>
    <w:p>
      <w:pPr>
        <w:snapToGrid w:val="0"/>
        <w:spacing w:line="360" w:lineRule="auto"/>
        <w:ind w:right="26" w:rightChars="11" w:firstLine="456" w:firstLineChars="200"/>
        <w:rPr>
          <w:rFonts w:hint="default" w:ascii="宋体" w:hAnsi="宋体" w:eastAsia="宋体" w:cs="宋体"/>
          <w:spacing w:val="-6"/>
          <w:lang w:val="en-US" w:eastAsia="zh-CN"/>
        </w:rPr>
      </w:pPr>
      <w:r>
        <w:rPr>
          <w:rFonts w:hint="eastAsia" w:ascii="宋体" w:hAnsi="宋体" w:cs="宋体"/>
          <w:spacing w:val="-6"/>
          <w:lang w:val="en-US" w:eastAsia="zh-CN"/>
        </w:rPr>
        <w:t>4.乙方在组织线下活动过程中，应当负责采取适当安全保障措施，负责现场安全管理，若在活动过程中发生安全事故造成人身或财产损失的，由乙方负责处理并承担经济责任。若给甲方造成损失的，甲方有权向乙方追偿。</w:t>
      </w:r>
    </w:p>
    <w:p>
      <w:pPr>
        <w:snapToGrid w:val="0"/>
        <w:spacing w:line="360" w:lineRule="auto"/>
        <w:rPr>
          <w:rFonts w:ascii="宋体" w:hAnsi="宋体" w:cs="宋体"/>
          <w:b/>
          <w:spacing w:val="-6"/>
        </w:rPr>
      </w:pPr>
      <w:r>
        <w:rPr>
          <w:rFonts w:hint="eastAsia" w:ascii="宋体" w:hAnsi="宋体" w:cs="宋体"/>
          <w:b/>
          <w:spacing w:val="-6"/>
        </w:rPr>
        <w:t>第六条：验收标准</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1.验收由甲方负责实施；</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2.验收依据：</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2.1合同、采购文件、</w:t>
      </w:r>
      <w:r>
        <w:rPr>
          <w:rFonts w:hint="eastAsia" w:ascii="宋体" w:hAnsi="宋体" w:cs="宋体"/>
          <w:color w:val="auto"/>
          <w:spacing w:val="-6"/>
          <w:lang w:eastAsia="zh-CN"/>
        </w:rPr>
        <w:t>投标</w:t>
      </w:r>
      <w:r>
        <w:rPr>
          <w:rFonts w:hint="eastAsia" w:ascii="宋体" w:hAnsi="宋体" w:cs="宋体"/>
          <w:color w:val="auto"/>
          <w:spacing w:val="-6"/>
        </w:rPr>
        <w:t>文件；</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2.2于</w:t>
      </w:r>
      <w:r>
        <w:rPr>
          <w:rFonts w:hint="eastAsia" w:ascii="宋体" w:hAnsi="宋体" w:cs="宋体"/>
          <w:color w:val="auto"/>
          <w:spacing w:val="-6"/>
          <w:lang w:val="en-US" w:eastAsia="zh-CN"/>
        </w:rPr>
        <w:t>2024</w:t>
      </w:r>
      <w:r>
        <w:rPr>
          <w:rFonts w:hint="eastAsia" w:ascii="宋体" w:hAnsi="宋体" w:cs="宋体"/>
          <w:color w:val="auto"/>
          <w:spacing w:val="-6"/>
        </w:rPr>
        <w:t>年</w:t>
      </w:r>
      <w:r>
        <w:rPr>
          <w:rFonts w:hint="eastAsia" w:ascii="宋体" w:hAnsi="宋体" w:cs="宋体"/>
          <w:color w:val="auto"/>
          <w:spacing w:val="-6"/>
          <w:lang w:val="en-US" w:eastAsia="zh-CN"/>
        </w:rPr>
        <w:t>11</w:t>
      </w:r>
      <w:r>
        <w:rPr>
          <w:rFonts w:hint="eastAsia" w:ascii="宋体" w:hAnsi="宋体" w:cs="宋体"/>
          <w:color w:val="auto"/>
          <w:spacing w:val="-6"/>
        </w:rPr>
        <w:t>月</w:t>
      </w:r>
      <w:r>
        <w:rPr>
          <w:rFonts w:hint="eastAsia" w:ascii="宋体" w:hAnsi="宋体" w:cs="宋体"/>
          <w:color w:val="auto"/>
          <w:spacing w:val="-6"/>
          <w:lang w:val="en-US" w:eastAsia="zh-CN"/>
        </w:rPr>
        <w:t>25</w:t>
      </w:r>
      <w:r>
        <w:rPr>
          <w:rFonts w:hint="eastAsia" w:ascii="宋体" w:hAnsi="宋体" w:cs="宋体"/>
          <w:color w:val="auto"/>
          <w:spacing w:val="-6"/>
        </w:rPr>
        <w:t>日前，乙方向甲方提供与采购文件相符的结案报告供甲方验收，以合作内容的落实情况报告为主。</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3.甲方于收到结案报告之日起7日内对乙方服务进行验收，针对乙方服务不符合本合同、采购文件、投标承诺要求的，每一项甲方有权从合同尾款中扣除</w:t>
      </w:r>
      <w:r>
        <w:rPr>
          <w:rFonts w:hint="eastAsia" w:ascii="宋体" w:hAnsi="宋体" w:cs="宋体"/>
          <w:color w:val="auto"/>
          <w:spacing w:val="-6"/>
          <w:lang w:eastAsia="zh-Hans"/>
        </w:rPr>
        <w:t>单项金额并按第七条追究乙方违约责任</w:t>
      </w:r>
      <w:r>
        <w:rPr>
          <w:rFonts w:hint="eastAsia" w:ascii="宋体" w:hAnsi="宋体" w:cs="宋体"/>
          <w:color w:val="auto"/>
          <w:spacing w:val="-6"/>
        </w:rPr>
        <w:t>。</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4.验收合格的条件：</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4.1所供服务符合标准和合同的要求；</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4.2在进行验收过程中发现的问题已被解决并得到甲方的</w:t>
      </w:r>
      <w:r>
        <w:rPr>
          <w:rFonts w:hint="eastAsia" w:ascii="宋体" w:hAnsi="宋体" w:cs="宋体"/>
          <w:color w:val="auto"/>
          <w:spacing w:val="-6"/>
          <w:lang w:eastAsia="zh-Hans"/>
        </w:rPr>
        <w:t>书面</w:t>
      </w:r>
      <w:r>
        <w:rPr>
          <w:rFonts w:hint="eastAsia" w:ascii="宋体" w:hAnsi="宋体" w:cs="宋体"/>
          <w:color w:val="auto"/>
          <w:spacing w:val="-6"/>
        </w:rPr>
        <w:t>认可；</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4.3合同中规定的所有服务和材料均已交付；</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4.4所有相关的技术文件及资料均已提交并得到接受。</w:t>
      </w:r>
    </w:p>
    <w:p>
      <w:pPr>
        <w:spacing w:line="360" w:lineRule="auto"/>
        <w:ind w:right="-588" w:rightChars="-245"/>
        <w:rPr>
          <w:rFonts w:ascii="宋体" w:hAnsi="宋体" w:cs="宋体"/>
          <w:b/>
          <w:spacing w:val="-6"/>
        </w:rPr>
      </w:pPr>
      <w:r>
        <w:rPr>
          <w:rFonts w:hint="eastAsia" w:ascii="宋体" w:hAnsi="宋体" w:cs="宋体"/>
          <w:b/>
          <w:spacing w:val="-6"/>
        </w:rPr>
        <w:t>第七条：违约责任</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1.乙方应严格按照本合同提供服务并保证质量，甲方有权随时对乙方的服务进行检查。服务过程中乙方违反“服务内容”之任一内容的，甲方有权要求乙方立即予以整改</w:t>
      </w:r>
      <w:r>
        <w:rPr>
          <w:rFonts w:hint="eastAsia" w:ascii="宋体" w:hAnsi="宋体" w:cs="宋体"/>
          <w:spacing w:val="-6"/>
          <w:lang w:eastAsia="zh-Hans"/>
        </w:rPr>
        <w:t>。</w:t>
      </w:r>
      <w:r>
        <w:rPr>
          <w:rFonts w:hint="eastAsia" w:ascii="宋体" w:hAnsi="宋体" w:cs="宋体"/>
          <w:spacing w:val="-6"/>
        </w:rPr>
        <w:t>乙方存在不予整改、整改后不符合甲方要求、合同期内累计出现整改情形超过三次</w:t>
      </w:r>
      <w:r>
        <w:rPr>
          <w:rFonts w:hint="eastAsia" w:ascii="宋体" w:hAnsi="宋体" w:cs="宋体"/>
          <w:spacing w:val="-6"/>
          <w:lang w:eastAsia="zh-Hans"/>
        </w:rPr>
        <w:t>之任一情形</w:t>
      </w:r>
      <w:r>
        <w:rPr>
          <w:rFonts w:hint="eastAsia" w:ascii="宋体" w:hAnsi="宋体" w:cs="宋体"/>
          <w:spacing w:val="-6"/>
        </w:rPr>
        <w:t>的，甲方有权单方解除本合同，乙方应按本合同总额的10%向甲方支付违约金</w:t>
      </w:r>
      <w:r>
        <w:rPr>
          <w:rFonts w:hint="eastAsia" w:ascii="宋体" w:hAnsi="宋体" w:cs="宋体"/>
          <w:spacing w:val="-6"/>
          <w:lang w:eastAsia="zh-Hans"/>
        </w:rPr>
        <w:t>，服务费用扣除乙方应支付的违约金和赔偿金后结算至解除之日</w:t>
      </w:r>
      <w:r>
        <w:rPr>
          <w:rFonts w:hint="eastAsia" w:ascii="宋体" w:hAnsi="宋体" w:cs="宋体"/>
          <w:spacing w:val="-6"/>
        </w:rPr>
        <w:t>。违约金不足以弥补损失的，乙方还应承担赔偿责任。</w:t>
      </w:r>
    </w:p>
    <w:p>
      <w:pPr>
        <w:snapToGrid w:val="0"/>
        <w:spacing w:line="360" w:lineRule="auto"/>
        <w:ind w:right="26" w:rightChars="11" w:firstLine="456" w:firstLineChars="200"/>
        <w:rPr>
          <w:rFonts w:ascii="宋体" w:hAnsi="宋体" w:cs="宋体"/>
          <w:spacing w:val="-6"/>
          <w:lang w:eastAsia="zh-Hans"/>
        </w:rPr>
      </w:pPr>
      <w:r>
        <w:rPr>
          <w:rFonts w:hint="eastAsia" w:ascii="宋体" w:hAnsi="宋体" w:cs="宋体"/>
          <w:spacing w:val="-6"/>
          <w:lang w:eastAsia="zh-Hans"/>
        </w:rPr>
        <w:t>2.因甲方单方违约导致甲方逾期支付本合同项下任何款项的，经乙方书面催告后三十天内仍未支付的，自第三十一天起应当以逾期金额为基数按本合同订立时一年期贷款市场报价利率向乙方支付违约金。</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3.乙方最终提供的结案报告未能验收合格的，乙方除应按照验收要求进行整改外，还应按照</w:t>
      </w:r>
      <w:r>
        <w:rPr>
          <w:rFonts w:hint="eastAsia" w:ascii="宋体" w:hAnsi="宋体" w:cs="宋体"/>
          <w:spacing w:val="-6"/>
          <w:lang w:eastAsia="zh-Hans"/>
        </w:rPr>
        <w:t>本合同总额的10%</w:t>
      </w:r>
      <w:r>
        <w:rPr>
          <w:rFonts w:hint="eastAsia" w:ascii="宋体" w:hAnsi="宋体" w:cs="宋体"/>
          <w:spacing w:val="-6"/>
        </w:rPr>
        <w:t>向甲方支付违约金。</w:t>
      </w:r>
    </w:p>
    <w:p>
      <w:pPr>
        <w:snapToGrid w:val="0"/>
        <w:spacing w:line="360" w:lineRule="auto"/>
        <w:ind w:right="26" w:rightChars="11" w:firstLine="456" w:firstLineChars="200"/>
        <w:rPr>
          <w:rFonts w:hint="eastAsia" w:ascii="宋体" w:hAnsi="宋体" w:cs="宋体"/>
          <w:spacing w:val="-6"/>
          <w:lang w:eastAsia="zh-Hans"/>
        </w:rPr>
      </w:pPr>
      <w:r>
        <w:rPr>
          <w:rFonts w:hint="default" w:ascii="宋体" w:hAnsi="宋体" w:cs="宋体"/>
          <w:spacing w:val="-6"/>
          <w:lang w:val="en-US"/>
        </w:rPr>
        <w:t>4</w:t>
      </w:r>
      <w:r>
        <w:rPr>
          <w:rFonts w:hint="eastAsia" w:ascii="宋体" w:hAnsi="宋体" w:cs="宋体"/>
          <w:spacing w:val="-6"/>
        </w:rPr>
        <w:t>.</w:t>
      </w:r>
      <w:r>
        <w:rPr>
          <w:rFonts w:hint="eastAsia" w:ascii="宋体" w:hAnsi="宋体" w:cs="宋体"/>
          <w:spacing w:val="-6"/>
          <w:lang w:eastAsia="zh-Hans"/>
        </w:rPr>
        <w:t>乙方违反本合同第五条之任一情形的，乙方除应立即采取补救措施外还应承担一切法律责任。甲方有权要求乙方赔偿由此产生的一切损失，并有权选择单方解除本合同并要求乙方按合同总额的10%支付违约金。服务费用扣除乙方应支付的违约金及赔偿金后结算至解除之日。</w:t>
      </w:r>
    </w:p>
    <w:p>
      <w:pPr>
        <w:snapToGrid w:val="0"/>
        <w:spacing w:line="360" w:lineRule="auto"/>
        <w:ind w:right="26" w:rightChars="11" w:firstLine="456" w:firstLineChars="200"/>
        <w:rPr>
          <w:rFonts w:hint="eastAsia" w:ascii="宋体" w:hAnsi="宋体" w:cs="宋体"/>
          <w:spacing w:val="-6"/>
          <w:lang w:eastAsia="zh-Hans"/>
        </w:rPr>
      </w:pPr>
      <w:r>
        <w:rPr>
          <w:rFonts w:hint="eastAsia" w:ascii="宋体" w:hAnsi="宋体" w:cs="宋体"/>
          <w:spacing w:val="-6"/>
          <w:lang w:eastAsia="zh-Hans"/>
        </w:rPr>
        <w:t>5.乙方逾期履行合同或逾期完成合同设定之阶段性任务的，自逾期之日起，向甲方每日偿付合同总价千分之一的违约金。经甲方通知其履行之日起超过三十日仍未履行的，甲方有权选择单方解除本合同，乙方应按照合同总额的10%向甲方支付违约金。</w:t>
      </w:r>
    </w:p>
    <w:p>
      <w:pPr>
        <w:snapToGrid w:val="0"/>
        <w:spacing w:line="360" w:lineRule="auto"/>
        <w:ind w:right="26" w:rightChars="11" w:firstLine="456" w:firstLineChars="200"/>
        <w:rPr>
          <w:rFonts w:hint="eastAsia" w:ascii="宋体" w:hAnsi="宋体" w:cs="宋体"/>
          <w:spacing w:val="-6"/>
        </w:rPr>
      </w:pPr>
      <w:r>
        <w:rPr>
          <w:rFonts w:hint="eastAsia" w:ascii="宋体" w:hAnsi="宋体" w:cs="宋体"/>
          <w:spacing w:val="-6"/>
          <w:lang w:val="en-US" w:eastAsia="zh-CN"/>
        </w:rPr>
        <w:t>6</w:t>
      </w:r>
      <w:r>
        <w:rPr>
          <w:rFonts w:hint="eastAsia" w:ascii="宋体" w:hAnsi="宋体" w:cs="宋体"/>
          <w:spacing w:val="-6"/>
        </w:rPr>
        <w:t>.甲方有权从未付款项中直接扣除乙方应承担的违约金和赔偿金。上述违约金不足以弥补甲方损失的，乙方还应承担赔偿责任。本合同所指甲方损失包括甲方直接经济损失、因乙方违约而产生的维权费用（包括调查费、律师费、诉讼费、公证费等一切费用）。</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lang w:val="en-US" w:eastAsia="zh-CN"/>
        </w:rPr>
        <w:t>6.</w:t>
      </w:r>
      <w:r>
        <w:rPr>
          <w:rFonts w:hint="eastAsia" w:ascii="宋体" w:hAnsi="宋体" w:cs="宋体"/>
          <w:spacing w:val="-6"/>
        </w:rPr>
        <w:t>协议履行过程中若因国家重大法律、政策发生变动或不可抗拒的事件发生，造成协议不能政策履行，甲乙双方共同协商解决。</w:t>
      </w:r>
    </w:p>
    <w:p>
      <w:pPr>
        <w:snapToGrid w:val="0"/>
        <w:spacing w:line="360" w:lineRule="auto"/>
        <w:rPr>
          <w:rFonts w:ascii="宋体" w:hAnsi="宋体" w:cs="宋体"/>
          <w:b/>
          <w:spacing w:val="-6"/>
        </w:rPr>
      </w:pPr>
      <w:r>
        <w:rPr>
          <w:rFonts w:hint="eastAsia" w:ascii="宋体" w:hAnsi="宋体" w:cs="宋体"/>
          <w:b/>
          <w:spacing w:val="-6"/>
        </w:rPr>
        <w:t>第八条：不可抗力事件处理</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在合同有效期内，任何一方因战争、火灾、台风、洪水、地震、罢工、流行疾病（包括疫情）、国家重大法律、政策发生变动等不可抗力事件导致不能履行合同，则合同履行期可延长，其延长期与不可抗力影响期相同。</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2.不可抗力事件发生后，应立即通知对方，并寄送有关权威机构出具的证明。</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3.不可抗力事件延续120天以上，双方应通过友好协商，确定是否继续履行合同。</w:t>
      </w:r>
    </w:p>
    <w:p>
      <w:pPr>
        <w:snapToGrid w:val="0"/>
        <w:spacing w:line="360" w:lineRule="auto"/>
        <w:ind w:right="-588" w:rightChars="-245"/>
        <w:rPr>
          <w:rFonts w:ascii="宋体" w:hAnsi="宋体" w:cs="宋体"/>
          <w:b/>
          <w:spacing w:val="-6"/>
        </w:rPr>
      </w:pPr>
      <w:r>
        <w:rPr>
          <w:rFonts w:hint="eastAsia" w:ascii="宋体" w:hAnsi="宋体" w:cs="宋体"/>
          <w:b/>
          <w:spacing w:val="-6"/>
        </w:rPr>
        <w:t>第九条：争议解决</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因本合同发生纠纷，甲乙双方应当及时协商，协商不成时，任何一方可向甲方所在地人民法院起诉。</w:t>
      </w:r>
    </w:p>
    <w:p>
      <w:pPr>
        <w:snapToGrid w:val="0"/>
        <w:spacing w:line="360" w:lineRule="auto"/>
        <w:ind w:right="-588" w:rightChars="-245"/>
        <w:rPr>
          <w:rFonts w:ascii="宋体" w:hAnsi="宋体" w:cs="宋体"/>
          <w:b/>
          <w:spacing w:val="-6"/>
        </w:rPr>
      </w:pPr>
      <w:r>
        <w:rPr>
          <w:rFonts w:hint="eastAsia" w:ascii="宋体" w:hAnsi="宋体" w:cs="宋体"/>
          <w:b/>
          <w:spacing w:val="-6"/>
        </w:rPr>
        <w:t>第十条：合同生效</w:t>
      </w:r>
    </w:p>
    <w:p>
      <w:pPr>
        <w:snapToGrid w:val="0"/>
        <w:spacing w:line="360" w:lineRule="auto"/>
        <w:ind w:firstLine="456" w:firstLineChars="200"/>
        <w:rPr>
          <w:rFonts w:ascii="宋体" w:hAnsi="宋体" w:cs="宋体"/>
          <w:spacing w:val="-6"/>
        </w:rPr>
      </w:pPr>
      <w:r>
        <w:rPr>
          <w:rFonts w:hint="eastAsia" w:ascii="宋体" w:hAnsi="宋体" w:cs="宋体"/>
          <w:spacing w:val="-6"/>
        </w:rPr>
        <w:t>1.合同经甲、乙双方法定代表人或</w:t>
      </w:r>
      <w:r>
        <w:rPr>
          <w:rFonts w:hint="eastAsia" w:ascii="宋体" w:hAnsi="宋体" w:cs="宋体"/>
          <w:spacing w:val="-6"/>
          <w:lang w:eastAsia="zh-CN"/>
        </w:rPr>
        <w:t>经办人</w:t>
      </w:r>
      <w:r>
        <w:rPr>
          <w:rFonts w:hint="eastAsia" w:ascii="宋体" w:hAnsi="宋体" w:cs="宋体"/>
          <w:spacing w:val="-6"/>
        </w:rPr>
        <w:t>签字并加盖单位公章后生效。</w:t>
      </w:r>
    </w:p>
    <w:p>
      <w:pPr>
        <w:snapToGrid w:val="0"/>
        <w:spacing w:line="360" w:lineRule="auto"/>
        <w:ind w:firstLine="456" w:firstLineChars="200"/>
        <w:rPr>
          <w:rFonts w:hint="default" w:ascii="宋体" w:hAnsi="宋体" w:eastAsia="宋体" w:cs="宋体"/>
          <w:spacing w:val="-6"/>
          <w:lang w:val="en-US" w:eastAsia="zh-CN"/>
        </w:rPr>
      </w:pPr>
      <w:r>
        <w:rPr>
          <w:rFonts w:hint="eastAsia" w:ascii="宋体" w:hAnsi="宋体" w:cs="宋体"/>
          <w:spacing w:val="-6"/>
        </w:rPr>
        <w:t>2.本合同附件、招标文件、投标文件、询标澄清、中标通知书均为合同的组成部分，与本合同具有同等法律效力。</w:t>
      </w:r>
      <w:r>
        <w:rPr>
          <w:rFonts w:hint="eastAsia" w:ascii="宋体" w:hAnsi="宋体" w:cs="宋体"/>
          <w:spacing w:val="-6"/>
          <w:lang w:val="en-US" w:eastAsia="zh-CN"/>
        </w:rPr>
        <w:t>如有约定不一致的，以较高标准为准。</w:t>
      </w:r>
    </w:p>
    <w:p>
      <w:pPr>
        <w:snapToGrid w:val="0"/>
        <w:spacing w:line="360" w:lineRule="auto"/>
        <w:rPr>
          <w:rFonts w:ascii="宋体" w:hAnsi="宋体" w:cs="宋体"/>
          <w:b/>
          <w:spacing w:val="-6"/>
        </w:rPr>
      </w:pPr>
      <w:r>
        <w:rPr>
          <w:rFonts w:hint="eastAsia" w:ascii="宋体" w:hAnsi="宋体" w:cs="宋体"/>
          <w:b/>
          <w:spacing w:val="-6"/>
        </w:rPr>
        <w:t>第十一条：合同份数</w:t>
      </w:r>
    </w:p>
    <w:p>
      <w:pPr>
        <w:snapToGrid w:val="0"/>
        <w:spacing w:line="360" w:lineRule="auto"/>
        <w:ind w:firstLine="456" w:firstLineChars="200"/>
        <w:rPr>
          <w:rFonts w:ascii="宋体" w:hAnsi="宋体" w:cs="宋体"/>
          <w:spacing w:val="-6"/>
        </w:rPr>
      </w:pPr>
      <w:r>
        <w:rPr>
          <w:rFonts w:hint="eastAsia" w:ascii="宋体" w:hAnsi="宋体" w:cs="宋体"/>
          <w:spacing w:val="-6"/>
        </w:rPr>
        <w:t>本合同一式五份，甲方执二份，乙方执二份，采购代理机构执一份。</w:t>
      </w: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甲方（需方）：（公章）</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甲方代表：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乙方代表：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地址：</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电话：</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开户银行：</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帐号：</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签字日期：      年    月    日</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合同鉴证方：浙江信镧建设工程咨询有限公司（公章）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spacing w:val="-6"/>
              </w:rPr>
              <w:t>采购代理机构代表：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rPr>
              <w:t>地址：浙江省杭州市西湖区文二路391号西湖国际科技大厦B2楼1107室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鉴证日期：      年    月    日</w:t>
            </w:r>
          </w:p>
        </w:tc>
      </w:tr>
    </w:tbl>
    <w:p>
      <w:pPr>
        <w:snapToGrid w:val="0"/>
        <w:spacing w:line="360" w:lineRule="auto"/>
        <w:rPr>
          <w:rFonts w:ascii="宋体" w:hAnsi="宋体" w:cs="宋体"/>
          <w:spacing w:val="-6"/>
        </w:rPr>
      </w:pPr>
    </w:p>
    <w:p>
      <w:pPr>
        <w:pStyle w:val="2"/>
        <w:bidi w:val="0"/>
        <w:rPr>
          <w:rFonts w:hint="eastAsia"/>
        </w:rPr>
        <w:sectPr>
          <w:headerReference r:id="rId13" w:type="first"/>
          <w:footerReference r:id="rId15" w:type="first"/>
          <w:headerReference r:id="rId12" w:type="default"/>
          <w:footerReference r:id="rId14"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2"/>
        <w:bidi w:val="0"/>
      </w:pPr>
      <w:bookmarkStart w:id="432" w:name="_Toc17909"/>
      <w:r>
        <w:rPr>
          <w:rFonts w:hint="eastAsia"/>
        </w:rPr>
        <w:t>第六部分</w:t>
      </w:r>
      <w:bookmarkEnd w:id="425"/>
      <w:r>
        <w:rPr>
          <w:rFonts w:hint="eastAsia"/>
        </w:rPr>
        <w:t xml:space="preserve"> </w:t>
      </w:r>
      <w:bookmarkEnd w:id="426"/>
      <w:r>
        <w:rPr>
          <w:rFonts w:hint="eastAsia"/>
        </w:rPr>
        <w:t>应提交的有关格式范例</w:t>
      </w:r>
      <w:bookmarkEnd w:id="430"/>
      <w:bookmarkEnd w:id="431"/>
      <w:bookmarkEnd w:id="432"/>
    </w:p>
    <w:p>
      <w:pPr>
        <w:bidi w:val="0"/>
      </w:pPr>
    </w:p>
    <w:p>
      <w:pPr>
        <w:pStyle w:val="3"/>
        <w:bidi w:val="0"/>
      </w:pPr>
      <w:bookmarkStart w:id="433" w:name="_Toc13095"/>
      <w:bookmarkStart w:id="434" w:name="_Toc8900"/>
      <w:r>
        <w:rPr>
          <w:rFonts w:hint="eastAsia"/>
        </w:rPr>
        <w:t>资格文件部分</w:t>
      </w:r>
      <w:bookmarkEnd w:id="433"/>
      <w:bookmarkEnd w:id="434"/>
    </w:p>
    <w:p>
      <w:pPr>
        <w:bidi w:val="0"/>
        <w:ind w:left="0" w:leftChars="0" w:firstLine="0" w:firstLineChars="0"/>
        <w:jc w:val="center"/>
        <w:rPr>
          <w:b/>
          <w:bCs/>
          <w:sz w:val="36"/>
          <w:szCs w:val="36"/>
        </w:rPr>
      </w:pPr>
      <w:r>
        <w:rPr>
          <w:rFonts w:hint="eastAsia"/>
          <w:b/>
          <w:bCs/>
          <w:sz w:val="36"/>
          <w:szCs w:val="36"/>
        </w:rPr>
        <w:t>目录</w:t>
      </w:r>
    </w:p>
    <w:p>
      <w:pPr>
        <w:bidi w:val="0"/>
      </w:pPr>
    </w:p>
    <w:p>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3"/>
        <w:numPr>
          <w:ilvl w:val="0"/>
          <w:numId w:val="4"/>
        </w:numPr>
        <w:bidi w:val="0"/>
        <w:rPr>
          <w:rFonts w:hint="eastAsia"/>
        </w:rPr>
      </w:pPr>
      <w:r>
        <w:rPr>
          <w:rFonts w:hint="eastAsia" w:ascii="宋体" w:hAnsi="宋体" w:cs="宋体"/>
          <w:kern w:val="0"/>
          <w:sz w:val="24"/>
        </w:rPr>
        <w:br w:type="page"/>
      </w:r>
      <w:bookmarkStart w:id="435" w:name="_Toc22040"/>
      <w:bookmarkStart w:id="436" w:name="_Toc10261"/>
      <w:r>
        <w:rPr>
          <w:rFonts w:hint="eastAsia"/>
        </w:rPr>
        <w:t>符合参加政府采购活动应当具备的一般条件的承诺函</w:t>
      </w:r>
      <w:bookmarkEnd w:id="435"/>
      <w:bookmarkEnd w:id="436"/>
    </w:p>
    <w:p>
      <w:pPr>
        <w:bidi w:val="0"/>
      </w:pPr>
    </w:p>
    <w:p>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pPr>
        <w:bidi w:val="0"/>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37" w:name="_Toc14124"/>
      <w:bookmarkStart w:id="438" w:name="_Toc27338"/>
      <w:r>
        <w:rPr>
          <w:rFonts w:hint="eastAsia"/>
        </w:rPr>
        <w:t>二、联合协议（如有）</w:t>
      </w:r>
      <w:bookmarkEnd w:id="437"/>
      <w:bookmarkEnd w:id="438"/>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
        <w:bidi w:val="0"/>
      </w:pPr>
      <w:bookmarkStart w:id="439" w:name="_Toc15398"/>
      <w:bookmarkStart w:id="440" w:name="_Toc16477"/>
      <w:r>
        <w:rPr>
          <w:rFonts w:hint="eastAsia"/>
        </w:rPr>
        <w:t>三、落实政府采购政策需满足的资格要求</w:t>
      </w:r>
      <w:bookmarkEnd w:id="439"/>
      <w:bookmarkEnd w:id="440"/>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服务</w:t>
      </w:r>
      <w:r>
        <w:rPr>
          <w:rFonts w:hint="eastAsia" w:ascii="宋体" w:hAnsi="宋体" w:cs="宋体"/>
          <w:sz w:val="24"/>
        </w:rPr>
        <w:t>全部由符合政策要求的中小企业（或小微企业）</w:t>
      </w:r>
      <w:r>
        <w:rPr>
          <w:rFonts w:hint="eastAsia" w:ascii="宋体" w:hAnsi="宋体" w:cs="宋体"/>
          <w:sz w:val="24"/>
          <w:lang w:val="en-US" w:eastAsia="zh-CN"/>
        </w:rPr>
        <w:t>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41" w:name="_Toc25288"/>
      <w:bookmarkStart w:id="442" w:name="_Toc25980"/>
      <w:r>
        <w:rPr>
          <w:rFonts w:hint="eastAsia"/>
        </w:rPr>
        <w:t>四、本项目的特定资格要求</w:t>
      </w:r>
      <w:bookmarkEnd w:id="441"/>
      <w:bookmarkEnd w:id="442"/>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bidi w:val="0"/>
      </w:pPr>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43" w:name="_Toc18377"/>
      <w:bookmarkStart w:id="444" w:name="_Toc933"/>
      <w:r>
        <w:rPr>
          <w:rFonts w:hint="eastAsia"/>
        </w:rPr>
        <w:t>商务技术文件部分</w:t>
      </w:r>
      <w:bookmarkEnd w:id="443"/>
      <w:bookmarkEnd w:id="444"/>
    </w:p>
    <w:p>
      <w:pPr>
        <w:bidi w:val="0"/>
      </w:pPr>
    </w:p>
    <w:p>
      <w:pPr>
        <w:bidi w:val="0"/>
        <w:ind w:left="0" w:leftChars="0" w:firstLine="0" w:firstLineChars="0"/>
        <w:jc w:val="center"/>
        <w:rPr>
          <w:b/>
          <w:bCs/>
          <w:sz w:val="36"/>
          <w:szCs w:val="36"/>
        </w:rPr>
      </w:pPr>
      <w:r>
        <w:rPr>
          <w:rFonts w:hint="eastAsia"/>
          <w:b/>
          <w:bCs/>
          <w:sz w:val="36"/>
          <w:szCs w:val="36"/>
        </w:rPr>
        <w:t>目录</w:t>
      </w:r>
    </w:p>
    <w:p>
      <w:pPr>
        <w:numPr>
          <w:ilvl w:val="0"/>
          <w:numId w:val="5"/>
        </w:numPr>
        <w:snapToGrid w:val="0"/>
        <w:spacing w:line="360" w:lineRule="auto"/>
        <w:ind w:left="7" w:leftChars="0" w:hanging="7" w:firstLineChars="0"/>
        <w:jc w:val="left"/>
        <w:rPr>
          <w:rFonts w:hint="eastAsia" w:ascii="宋体" w:hAnsi="宋体" w:cs="宋体"/>
        </w:rPr>
      </w:pPr>
      <w:r>
        <w:rPr>
          <w:rFonts w:hint="eastAsia" w:ascii="宋体" w:hAnsi="宋体" w:cs="宋体"/>
          <w:sz w:val="24"/>
        </w:rPr>
        <w:t>投标函</w:t>
      </w:r>
      <w:r>
        <w:rPr>
          <w:rFonts w:hint="eastAsia" w:ascii="宋体" w:hAnsi="宋体" w:cs="宋体"/>
        </w:rPr>
        <w:t>……………………………………………………………………（页码）</w:t>
      </w:r>
    </w:p>
    <w:p>
      <w:pPr>
        <w:numPr>
          <w:ilvl w:val="0"/>
          <w:numId w:val="5"/>
        </w:numPr>
        <w:snapToGrid w:val="0"/>
        <w:spacing w:line="360" w:lineRule="auto"/>
        <w:ind w:left="7" w:leftChars="0" w:hanging="7" w:firstLineChars="0"/>
        <w:jc w:val="left"/>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）联合协议…………………………………………………………………（页码）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）分包意向协议……………………………………………………………（页码）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）评标标准相应的商务技术资料…………………………………………（页码）（</w:t>
      </w:r>
      <w:r>
        <w:rPr>
          <w:rFonts w:hint="eastAsia" w:ascii="宋体" w:hAnsi="宋体" w:cs="宋体"/>
          <w:sz w:val="24"/>
          <w:lang w:val="en-US" w:eastAsia="zh-CN"/>
        </w:rPr>
        <w:t>6</w:t>
      </w:r>
      <w:r>
        <w:rPr>
          <w:rFonts w:hint="eastAsia" w:ascii="宋体" w:hAnsi="宋体" w:cs="宋体"/>
          <w:sz w:val="24"/>
        </w:rPr>
        <w:t>）商务偏离表………………………………………………………………（页码）（</w:t>
      </w:r>
      <w:r>
        <w:rPr>
          <w:rFonts w:hint="eastAsia" w:ascii="宋体" w:hAnsi="宋体" w:cs="宋体"/>
          <w:sz w:val="24"/>
          <w:lang w:val="en-US" w:eastAsia="zh-CN"/>
        </w:rPr>
        <w:t>7</w:t>
      </w:r>
      <w:r>
        <w:rPr>
          <w:rFonts w:hint="eastAsia" w:ascii="宋体" w:hAnsi="宋体" w:cs="宋体"/>
          <w:sz w:val="24"/>
        </w:rPr>
        <w:t>）技术偏离表………………………………………………………………（页码）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9）采购</w:t>
      </w:r>
      <w:r>
        <w:rPr>
          <w:rFonts w:hint="eastAsia" w:ascii="宋体" w:hAnsi="宋体" w:cs="宋体"/>
          <w:sz w:val="24"/>
          <w:lang w:val="zh-CN" w:eastAsia="zh-CN"/>
        </w:rPr>
        <w:t>代理服务费支付承诺书</w:t>
      </w:r>
      <w:r>
        <w:rPr>
          <w:rFonts w:hint="eastAsia" w:ascii="宋体" w:hAnsi="宋体" w:cs="宋体"/>
          <w:sz w:val="24"/>
        </w:rPr>
        <w:t>……………………………………………（页码）</w:t>
      </w:r>
    </w:p>
    <w:p>
      <w:pPr>
        <w:snapToGrid w:val="0"/>
        <w:spacing w:line="360" w:lineRule="auto"/>
        <w:ind w:left="7" w:leftChars="0" w:hanging="7" w:firstLineChars="0"/>
        <w:jc w:val="left"/>
        <w:rPr>
          <w:rFonts w:hint="eastAsia" w:ascii="宋体" w:hAnsi="宋体" w:cs="宋体"/>
          <w:sz w:val="24"/>
        </w:rPr>
      </w:pPr>
    </w:p>
    <w:p>
      <w:pPr>
        <w:bidi w:val="0"/>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3"/>
        <w:bidi w:val="0"/>
      </w:pPr>
      <w:bookmarkStart w:id="445" w:name="_Toc624"/>
      <w:bookmarkStart w:id="446" w:name="_Toc8786"/>
      <w:r>
        <w:rPr>
          <w:rFonts w:hint="eastAsia"/>
        </w:rPr>
        <w:t>一、投标函</w:t>
      </w:r>
      <w:bookmarkEnd w:id="445"/>
      <w:bookmarkEnd w:id="446"/>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47" w:name="_Hlk101257010"/>
      <w:r>
        <w:rPr>
          <w:rFonts w:hint="eastAsia" w:ascii="宋体" w:hAnsi="宋体" w:cs="宋体"/>
          <w:snapToGrid w:val="0"/>
          <w:color w:val="auto"/>
          <w:kern w:val="28"/>
          <w:sz w:val="24"/>
          <w:szCs w:val="20"/>
        </w:rPr>
        <w:t>（如有)</w:t>
      </w:r>
      <w:bookmarkEnd w:id="447"/>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分包意向协议（如有）；</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5</w:t>
      </w:r>
      <w:r>
        <w:rPr>
          <w:rFonts w:hint="eastAsia" w:ascii="宋体" w:hAnsi="宋体" w:eastAsia="宋体" w:cs="宋体"/>
          <w:color w:val="auto"/>
          <w:sz w:val="24"/>
        </w:rPr>
        <w:t>评标标准相应的商务技术资料；</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6</w:t>
      </w:r>
      <w:r>
        <w:rPr>
          <w:rFonts w:hint="eastAsia" w:ascii="宋体" w:hAnsi="宋体" w:eastAsia="宋体" w:cs="宋体"/>
          <w:color w:val="auto"/>
          <w:sz w:val="24"/>
        </w:rPr>
        <w:t>商务偏离表；</w:t>
      </w:r>
    </w:p>
    <w:p>
      <w:pPr>
        <w:snapToGrid w:val="0"/>
        <w:spacing w:line="360" w:lineRule="auto"/>
        <w:ind w:left="480" w:leftChars="200" w:firstLine="480" w:firstLineChars="200"/>
        <w:rPr>
          <w:rFonts w:hint="eastAsia"/>
        </w:rPr>
      </w:pPr>
      <w:r>
        <w:rPr>
          <w:rFonts w:hint="eastAsia" w:ascii="宋体" w:hAnsi="宋体" w:eastAsia="宋体" w:cs="宋体"/>
          <w:sz w:val="24"/>
        </w:rPr>
        <w:t>2.2.</w:t>
      </w:r>
      <w:r>
        <w:rPr>
          <w:rFonts w:hint="eastAsia" w:ascii="宋体" w:hAnsi="宋体" w:cs="宋体"/>
          <w:sz w:val="24"/>
          <w:lang w:val="en-US" w:eastAsia="zh-CN"/>
        </w:rPr>
        <w:t>7</w:t>
      </w:r>
      <w:r>
        <w:rPr>
          <w:rFonts w:hint="eastAsia" w:ascii="宋体" w:hAnsi="宋体" w:eastAsia="宋体" w:cs="宋体"/>
          <w:sz w:val="24"/>
        </w:rPr>
        <w:t>技术偏离表；</w:t>
      </w:r>
    </w:p>
    <w:p>
      <w:pPr>
        <w:snapToGrid w:val="0"/>
        <w:spacing w:line="360" w:lineRule="auto"/>
        <w:ind w:left="48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p>
    <w:p>
      <w:pPr>
        <w:snapToGrid w:val="0"/>
        <w:spacing w:line="360" w:lineRule="auto"/>
        <w:ind w:left="480" w:leftChars="200" w:firstLine="480" w:firstLineChars="200"/>
        <w:rPr>
          <w:rFonts w:hint="default" w:ascii="宋体" w:hAnsi="宋体" w:cs="宋体"/>
          <w:sz w:val="24"/>
          <w:lang w:val="en-US"/>
        </w:rPr>
      </w:pPr>
      <w:r>
        <w:rPr>
          <w:rFonts w:hint="eastAsia" w:ascii="宋体" w:hAnsi="宋体" w:cs="宋体"/>
          <w:sz w:val="24"/>
          <w:lang w:val="en-US" w:eastAsia="zh-CN"/>
        </w:rPr>
        <w:t>2.2.9采购</w:t>
      </w:r>
      <w:r>
        <w:rPr>
          <w:rFonts w:hint="eastAsia" w:ascii="宋体" w:hAnsi="宋体" w:cs="宋体"/>
          <w:sz w:val="24"/>
          <w:lang w:val="zh-CN" w:eastAsia="zh-CN"/>
        </w:rPr>
        <w:t>代理服务费支付承诺书</w:t>
      </w:r>
      <w:r>
        <w:rPr>
          <w:rFonts w:hint="eastAsia" w:ascii="宋体" w:hAnsi="宋体" w:cs="宋体"/>
          <w:sz w:val="24"/>
          <w:lang w:val="en-US" w:eastAsia="zh-CN"/>
        </w:rPr>
        <w:t>.</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8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w:t>
      </w:r>
      <w:r>
        <w:rPr>
          <w:rFonts w:hint="eastAsia" w:ascii="宋体" w:hAnsi="宋体" w:cs="宋体"/>
          <w:color w:val="auto"/>
          <w:sz w:val="24"/>
          <w:lang w:eastAsia="zh-CN"/>
        </w:rPr>
        <w:t>适用</w:t>
      </w:r>
      <w:r>
        <w:rPr>
          <w:rFonts w:hint="eastAsia" w:ascii="宋体" w:hAnsi="宋体" w:cs="宋体"/>
          <w:color w:val="auto"/>
          <w:sz w:val="24"/>
        </w:rPr>
        <w:t>）。</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numPr>
          <w:ilvl w:val="0"/>
          <w:numId w:val="0"/>
        </w:num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pPr>
        <w:pStyle w:val="23"/>
        <w:numPr>
          <w:ilvl w:val="0"/>
          <w:numId w:val="0"/>
        </w:numPr>
      </w:pPr>
    </w:p>
    <w:p>
      <w:pPr>
        <w:pStyle w:val="24"/>
      </w:pPr>
    </w:p>
    <w:p/>
    <w:p>
      <w:pPr>
        <w:spacing w:line="360" w:lineRule="auto"/>
        <w:ind w:firstLine="3840" w:firstLineChars="16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pPr>
        <w:snapToGrid w:val="0"/>
        <w:spacing w:line="360" w:lineRule="auto"/>
        <w:ind w:left="48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bidi w:val="0"/>
        <w:rPr>
          <w:lang w:val="zh-CN"/>
        </w:rPr>
      </w:pPr>
      <w:bookmarkStart w:id="448" w:name="_Toc17110"/>
      <w:bookmarkStart w:id="449" w:name="_Toc27417"/>
      <w:r>
        <w:rPr>
          <w:rFonts w:hint="eastAsia"/>
          <w:lang w:val="zh-CN"/>
        </w:rPr>
        <w:t>二、授权委托书或法定代表人（单位负责人、自然人本人）身份证明</w:t>
      </w:r>
      <w:bookmarkEnd w:id="448"/>
      <w:bookmarkEnd w:id="449"/>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pStyle w:val="152"/>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pStyle w:val="152"/>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2"/>
              <w:adjustRightInd w:val="0"/>
              <w:spacing w:line="360" w:lineRule="auto"/>
              <w:rPr>
                <w:rFonts w:hAnsi="宋体" w:cs="宋体"/>
                <w:bCs/>
                <w:sz w:val="24"/>
              </w:rPr>
            </w:pPr>
          </w:p>
        </w:tc>
      </w:tr>
    </w:tbl>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pStyle w:val="23"/>
        <w:rPr>
          <w:rFonts w:hint="eastAsia"/>
          <w:lang w:val="zh-CN"/>
        </w:rPr>
      </w:pPr>
    </w:p>
    <w:p>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pStyle w:val="152"/>
        <w:spacing w:line="360" w:lineRule="auto"/>
        <w:rPr>
          <w:rFonts w:hint="eastAsia" w:ascii="宋体" w:hAnsi="宋体" w:eastAsia="宋体" w:cs="宋体"/>
          <w:color w:val="auto"/>
          <w:kern w:val="0"/>
          <w:sz w:val="24"/>
          <w:highlight w:val="none"/>
          <w:lang w:val="zh-CN"/>
        </w:rPr>
      </w:pPr>
    </w:p>
    <w:p>
      <w:pPr>
        <w:pStyle w:val="152"/>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2"/>
              <w:adjustRightInd w:val="0"/>
              <w:spacing w:line="360" w:lineRule="auto"/>
              <w:rPr>
                <w:rFonts w:hAnsi="宋体" w:cs="宋体"/>
                <w:bCs/>
                <w:sz w:val="24"/>
              </w:rPr>
            </w:pPr>
          </w:p>
        </w:tc>
      </w:tr>
    </w:tbl>
    <w:p>
      <w:pPr>
        <w:jc w:val="center"/>
        <w:rPr>
          <w:rFonts w:ascii="宋体" w:hAnsi="宋体" w:cs="宋体"/>
          <w:b/>
          <w:kern w:val="0"/>
          <w:sz w:val="32"/>
          <w:szCs w:val="32"/>
        </w:rPr>
      </w:pPr>
    </w:p>
    <w:p>
      <w:pPr>
        <w:rPr>
          <w:rFonts w:ascii="宋体" w:hAnsi="宋体" w:cs="宋体"/>
        </w:rPr>
      </w:pPr>
    </w:p>
    <w:p>
      <w:pPr>
        <w:pStyle w:val="23"/>
      </w:pPr>
    </w:p>
    <w:p>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autoSpaceDE w:val="0"/>
        <w:autoSpaceDN w:val="0"/>
        <w:spacing w:line="360" w:lineRule="auto"/>
        <w:ind w:left="0" w:leftChars="0" w:firstLine="0" w:firstLineChars="0"/>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bidi w:val="0"/>
      </w:pPr>
      <w:bookmarkStart w:id="450" w:name="_Toc26755"/>
      <w:bookmarkStart w:id="451" w:name="_Toc12686"/>
      <w:r>
        <w:rPr>
          <w:rFonts w:hint="eastAsia"/>
          <w:lang w:val="en-US" w:eastAsia="zh-CN"/>
        </w:rPr>
        <w:t>三</w:t>
      </w:r>
      <w:r>
        <w:rPr>
          <w:rFonts w:hint="eastAsia"/>
        </w:rPr>
        <w:t>、联合协议（如有）</w:t>
      </w:r>
      <w:bookmarkEnd w:id="450"/>
      <w:bookmarkEnd w:id="451"/>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pStyle w:val="2"/>
        <w:bidi w:val="0"/>
        <w:rPr>
          <w:rFonts w:hint="eastAsia"/>
        </w:rPr>
        <w:sectPr>
          <w:headerReference r:id="rId17" w:type="first"/>
          <w:footerReference r:id="rId19" w:type="first"/>
          <w:headerReference r:id="rId16" w:type="default"/>
          <w:footerReference r:id="rId18"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2" w:name="_Toc11086"/>
      <w:bookmarkStart w:id="453" w:name="_Toc15871"/>
      <w:r>
        <w:rPr>
          <w:rFonts w:hint="eastAsia"/>
          <w:lang w:val="en-US" w:eastAsia="zh-CN"/>
        </w:rPr>
        <w:t>四</w:t>
      </w:r>
      <w:r>
        <w:rPr>
          <w:rFonts w:hint="eastAsia"/>
        </w:rPr>
        <w:t>、分包意向协议（如有）</w:t>
      </w:r>
      <w:bookmarkEnd w:id="452"/>
      <w:bookmarkEnd w:id="453"/>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4" w:name="_Toc20008"/>
      <w:bookmarkStart w:id="455" w:name="_Toc29359"/>
      <w:r>
        <w:rPr>
          <w:rFonts w:hint="eastAsia"/>
          <w:lang w:val="en-US" w:eastAsia="zh-CN"/>
        </w:rPr>
        <w:t>五</w:t>
      </w:r>
      <w:r>
        <w:rPr>
          <w:rFonts w:hint="eastAsia"/>
        </w:rPr>
        <w:t>、评标标准相应的商务技术资料</w:t>
      </w:r>
      <w:bookmarkEnd w:id="454"/>
      <w:bookmarkEnd w:id="455"/>
    </w:p>
    <w:p>
      <w:pPr>
        <w:snapToGrid w:val="0"/>
        <w:spacing w:line="360" w:lineRule="auto"/>
        <w:jc w:val="center"/>
        <w:rPr>
          <w:rFonts w:ascii="宋体" w:hAnsi="宋体" w:cs="宋体"/>
          <w:b/>
          <w:sz w:val="24"/>
        </w:rPr>
      </w:pPr>
      <w:r>
        <w:rPr>
          <w:rFonts w:hint="eastAsia" w:ascii="宋体" w:hAnsi="宋体" w:cs="宋体"/>
          <w:b/>
          <w:sz w:val="24"/>
        </w:rPr>
        <w:t>（按招标文件第四部分评标办法</w:t>
      </w:r>
      <w:r>
        <w:rPr>
          <w:rFonts w:hint="eastAsia" w:ascii="宋体" w:hAnsi="宋体" w:cs="宋体"/>
          <w:b/>
          <w:sz w:val="24"/>
          <w:lang w:eastAsia="zh-CN"/>
        </w:rPr>
        <w:t>中评标标准</w:t>
      </w:r>
      <w:r>
        <w:rPr>
          <w:rFonts w:hint="eastAsia" w:ascii="宋体" w:hAnsi="宋体" w:cs="宋体"/>
          <w:b/>
          <w:sz w:val="24"/>
        </w:rPr>
        <w:t>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6" w:name="_Toc18478"/>
      <w:bookmarkStart w:id="457" w:name="_Toc10001"/>
      <w:bookmarkStart w:id="458" w:name="_Toc5985"/>
      <w:r>
        <w:rPr>
          <w:rFonts w:hint="eastAsia"/>
          <w:lang w:val="en-US" w:eastAsia="zh-CN"/>
        </w:rPr>
        <w:t>六、</w:t>
      </w:r>
      <w:r>
        <w:rPr>
          <w:rFonts w:hint="eastAsia"/>
        </w:rPr>
        <w:t>商务</w:t>
      </w:r>
      <w:r>
        <w:rPr>
          <w:rFonts w:hint="eastAsia"/>
          <w:lang w:val="en-US" w:eastAsia="zh-CN"/>
        </w:rPr>
        <w:t>偏离</w:t>
      </w:r>
      <w:r>
        <w:rPr>
          <w:rFonts w:hint="eastAsia"/>
        </w:rPr>
        <w:t>表</w:t>
      </w:r>
      <w:bookmarkEnd w:id="456"/>
      <w:bookmarkEnd w:id="457"/>
      <w:bookmarkEnd w:id="45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序号</w:t>
            </w:r>
          </w:p>
        </w:tc>
        <w:tc>
          <w:tcPr>
            <w:tcW w:w="3683" w:type="dxa"/>
            <w:noWrap w:val="0"/>
            <w:vAlign w:val="top"/>
          </w:tcPr>
          <w:p>
            <w:pPr>
              <w:pStyle w:val="143"/>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pPr>
              <w:pStyle w:val="143"/>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pPr>
              <w:pStyle w:val="143"/>
              <w:widowControl w:val="0"/>
              <w:bidi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1</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2</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保证：除商务偏离表列出的偏离外，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pPr>
        <w:pStyle w:val="3"/>
        <w:bidi w:val="0"/>
      </w:pPr>
      <w:bookmarkStart w:id="459" w:name="_Toc13710"/>
      <w:bookmarkStart w:id="460" w:name="_Toc29279"/>
      <w:r>
        <w:rPr>
          <w:rFonts w:hint="eastAsia"/>
          <w:lang w:val="en-US" w:eastAsia="zh-CN"/>
        </w:rPr>
        <w:t>七、技术偏离</w:t>
      </w:r>
      <w:r>
        <w:rPr>
          <w:rFonts w:hint="eastAsia"/>
        </w:rPr>
        <w:t>表</w:t>
      </w:r>
      <w:bookmarkEnd w:id="459"/>
      <w:bookmarkEnd w:id="46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序号</w:t>
            </w:r>
          </w:p>
        </w:tc>
        <w:tc>
          <w:tcPr>
            <w:tcW w:w="3683" w:type="dxa"/>
            <w:noWrap w:val="0"/>
            <w:vAlign w:val="top"/>
          </w:tcPr>
          <w:p>
            <w:pPr>
              <w:pStyle w:val="143"/>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pPr>
              <w:pStyle w:val="143"/>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pPr>
              <w:pStyle w:val="143"/>
              <w:widowControl w:val="0"/>
              <w:bidi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1</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2</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bidi w:val="0"/>
        <w:rPr>
          <w:rFonts w:hint="eastAsia"/>
          <w:lang w:val="zh-CN"/>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hint="eastAsia"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rFonts w:ascii="宋体" w:hAnsi="宋体" w:cs="宋体"/>
          <w:b/>
          <w:kern w:val="0"/>
          <w:sz w:val="32"/>
          <w:szCs w:val="32"/>
        </w:rPr>
      </w:pPr>
      <w:bookmarkStart w:id="461" w:name="_Toc22522"/>
      <w:bookmarkStart w:id="462" w:name="_Toc1831"/>
      <w:r>
        <w:rPr>
          <w:rFonts w:hint="eastAsia" w:ascii="宋体" w:hAnsi="宋体" w:cs="宋体"/>
          <w:b/>
          <w:bCs/>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461"/>
      <w:bookmarkEnd w:id="462"/>
    </w:p>
    <w:p>
      <w:pPr>
        <w:snapToGrid w:val="0"/>
        <w:spacing w:line="360" w:lineRule="auto"/>
        <w:rPr>
          <w:rFonts w:ascii="宋体" w:hAnsi="宋体" w:cs="宋体"/>
          <w:sz w:val="24"/>
        </w:rPr>
      </w:pP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仿宋_GB2312"/>
          <w:kern w:val="0"/>
          <w:sz w:val="24"/>
          <w:lang w:val="zh-CN"/>
        </w:rPr>
        <w:t>同级</w:t>
      </w:r>
      <w:r>
        <w:rPr>
          <w:rFonts w:hint="eastAsia" w:ascii="宋体" w:hAnsi="宋体" w:cs="宋体"/>
          <w:kern w:val="0"/>
          <w:sz w:val="24"/>
          <w:lang w:val="zh-CN"/>
        </w:rPr>
        <w:t>财政部门。由此引起的相应损失均由我单位承担。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rFonts w:hint="eastAsia"/>
          <w:lang w:val="en-US" w:eastAsia="zh-CN"/>
        </w:rPr>
      </w:pPr>
      <w:bookmarkStart w:id="463" w:name="_Toc24979"/>
      <w:bookmarkStart w:id="464" w:name="_Toc2224"/>
      <w:r>
        <w:rPr>
          <w:rFonts w:hint="eastAsia"/>
          <w:lang w:val="en-US" w:eastAsia="zh-CN"/>
        </w:rPr>
        <w:t>九、代理服务费支付承诺书</w:t>
      </w:r>
      <w:bookmarkEnd w:id="463"/>
      <w:bookmarkEnd w:id="464"/>
    </w:p>
    <w:p>
      <w:pPr>
        <w:snapToGrid w:val="0"/>
        <w:spacing w:before="50" w:after="50" w:line="360" w:lineRule="auto"/>
        <w:rPr>
          <w:rFonts w:ascii="Times New Roman" w:hAnsi="Times New Roman"/>
          <w:spacing w:val="20"/>
          <w:sz w:val="24"/>
          <w:u w:val="single"/>
        </w:rPr>
      </w:pPr>
    </w:p>
    <w:p>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pPr>
        <w:snapToGrid w:val="0"/>
        <w:spacing w:before="50" w:after="50" w:line="360" w:lineRule="auto"/>
        <w:ind w:firstLine="630"/>
        <w:rPr>
          <w:rFonts w:hint="eastAsia" w:ascii="Times New Roman" w:hAnsi="宋体"/>
          <w:color w:val="auto"/>
          <w:sz w:val="24"/>
          <w:lang w:eastAsia="zh-CN"/>
        </w:rPr>
      </w:pPr>
      <w:r>
        <w:rPr>
          <w:rFonts w:ascii="Times New Roman" w:hAnsi="宋体"/>
          <w:color w:val="auto"/>
          <w:sz w:val="24"/>
        </w:rPr>
        <w:t>我</w:t>
      </w:r>
      <w:r>
        <w:rPr>
          <w:rFonts w:hint="eastAsia" w:ascii="Times New Roman" w:hAnsi="宋体"/>
          <w:color w:val="auto"/>
          <w:sz w:val="24"/>
          <w:lang w:eastAsia="zh-CN"/>
        </w:rPr>
        <w:t>单位</w:t>
      </w:r>
      <w:r>
        <w:rPr>
          <w:rFonts w:ascii="Times New Roman" w:hAnsi="宋体"/>
          <w:color w:val="auto"/>
          <w:sz w:val="24"/>
        </w:rPr>
        <w:t>承诺</w:t>
      </w:r>
      <w:r>
        <w:rPr>
          <w:rFonts w:hint="eastAsia" w:ascii="Times New Roman" w:hAnsi="宋体"/>
          <w:color w:val="auto"/>
          <w:sz w:val="24"/>
          <w:lang w:eastAsia="zh-CN"/>
        </w:rPr>
        <w:t>，</w:t>
      </w:r>
      <w:r>
        <w:rPr>
          <w:rFonts w:ascii="Times New Roman" w:hAnsi="宋体"/>
          <w:color w:val="auto"/>
          <w:sz w:val="24"/>
        </w:rPr>
        <w:t>如</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项目（项目编号：</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w:t>
      </w:r>
      <w:r>
        <w:rPr>
          <w:rFonts w:ascii="Times New Roman" w:hAnsi="宋体"/>
          <w:color w:val="auto"/>
          <w:sz w:val="24"/>
        </w:rPr>
        <w:t>中标，我公司将自中标</w:t>
      </w:r>
      <w:r>
        <w:rPr>
          <w:rFonts w:hint="eastAsia" w:ascii="Times New Roman" w:hAnsi="宋体"/>
          <w:color w:val="auto"/>
          <w:sz w:val="24"/>
          <w:lang w:eastAsia="zh-CN"/>
        </w:rPr>
        <w:t>（</w:t>
      </w:r>
      <w:r>
        <w:rPr>
          <w:rFonts w:hint="eastAsia" w:ascii="Times New Roman" w:hAnsi="宋体"/>
          <w:color w:val="auto"/>
          <w:sz w:val="24"/>
          <w:lang w:val="en-US" w:eastAsia="zh-CN"/>
        </w:rPr>
        <w:t>成交）</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个工作日内按</w:t>
      </w:r>
      <w:r>
        <w:rPr>
          <w:rFonts w:hint="eastAsia" w:ascii="Times New Roman" w:hAnsi="宋体"/>
          <w:color w:val="auto"/>
          <w:sz w:val="24"/>
          <w:lang w:val="en-US" w:eastAsia="zh-CN"/>
        </w:rPr>
        <w:t>采购</w:t>
      </w:r>
      <w:r>
        <w:rPr>
          <w:rFonts w:ascii="Times New Roman" w:hAnsi="宋体"/>
          <w:color w:val="auto"/>
          <w:sz w:val="24"/>
        </w:rPr>
        <w:t>文件规定的标准（金额）一次性向采购代理机构支付代理服务费</w:t>
      </w:r>
      <w:r>
        <w:rPr>
          <w:rFonts w:hint="eastAsia" w:ascii="Times New Roman" w:hAnsi="宋体"/>
          <w:color w:val="auto"/>
          <w:sz w:val="24"/>
          <w:lang w:eastAsia="zh-CN"/>
        </w:rPr>
        <w:t>，如逾期支付，我单位愿意按采购文件约定支付违约金。</w:t>
      </w:r>
    </w:p>
    <w:p>
      <w:pPr>
        <w:snapToGrid w:val="0"/>
        <w:spacing w:before="50" w:after="50" w:line="360" w:lineRule="auto"/>
        <w:ind w:firstLine="630"/>
        <w:rPr>
          <w:rFonts w:hint="default" w:ascii="Times New Roman" w:hAnsi="宋体"/>
          <w:color w:val="auto"/>
          <w:sz w:val="24"/>
          <w:lang w:val="en-US" w:eastAsia="zh-CN"/>
        </w:rPr>
      </w:pPr>
      <w:r>
        <w:rPr>
          <w:rFonts w:hint="eastAsia" w:ascii="Times New Roman" w:hAnsi="宋体"/>
          <w:color w:val="auto"/>
          <w:sz w:val="24"/>
          <w:lang w:val="en-US" w:eastAsia="zh-CN"/>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开票信息</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发票抬头：</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地址：</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税号：</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联系方式</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联系人：</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eastAsia"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邮箱：</w:t>
            </w:r>
          </w:p>
        </w:tc>
        <w:tc>
          <w:tcPr>
            <w:tcW w:w="3147" w:type="dxa"/>
            <w:noWrap w:val="0"/>
            <w:vAlign w:val="center"/>
          </w:tcPr>
          <w:p>
            <w:pPr>
              <w:snapToGrid w:val="0"/>
              <w:spacing w:before="50" w:after="50" w:line="360" w:lineRule="auto"/>
              <w:ind w:left="0" w:leftChars="0" w:firstLine="0" w:firstLineChars="0"/>
              <w:jc w:val="left"/>
              <w:rPr>
                <w:rFonts w:hint="eastAsia" w:ascii="Times New Roman"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pPr>
              <w:snapToGrid w:val="0"/>
              <w:spacing w:before="50" w:after="50" w:line="360" w:lineRule="auto"/>
              <w:ind w:left="0" w:leftChars="0" w:firstLine="0" w:firstLineChars="0"/>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78" w:type="dxa"/>
            <w:noWrap w:val="0"/>
            <w:vAlign w:val="center"/>
          </w:tcPr>
          <w:p>
            <w:pPr>
              <w:snapToGrid w:val="0"/>
              <w:spacing w:before="50" w:after="50" w:line="360" w:lineRule="auto"/>
              <w:jc w:val="center"/>
              <w:rPr>
                <w:rFonts w:hint="eastAsia" w:ascii="Times New Roman" w:hAnsi="宋体"/>
                <w:sz w:val="24"/>
                <w:vertAlign w:val="baseline"/>
                <w:lang w:val="en-US" w:eastAsia="zh-CN"/>
              </w:rPr>
            </w:pPr>
            <w:r>
              <w:rPr>
                <w:rFonts w:hint="eastAsia" w:ascii="Times New Roman" w:hAnsi="宋体"/>
                <w:sz w:val="24"/>
                <w:vertAlign w:val="baseline"/>
                <w:lang w:val="en-US" w:eastAsia="zh-CN"/>
              </w:rPr>
              <w:t>发票是否需邮寄（仅限</w:t>
            </w:r>
            <w:r>
              <w:rPr>
                <w:rFonts w:hint="eastAsia" w:ascii="Times New Roman" w:hAnsi="宋体"/>
                <w:sz w:val="24"/>
                <w:lang w:val="en-US" w:eastAsia="zh-CN"/>
              </w:rPr>
              <w:t>增值税专票</w:t>
            </w:r>
            <w:r>
              <w:rPr>
                <w:rFonts w:hint="eastAsia" w:ascii="Times New Roman" w:hAnsi="宋体"/>
                <w:sz w:val="24"/>
                <w:vertAlign w:val="baseline"/>
                <w:lang w:val="en-US" w:eastAsia="zh-CN"/>
              </w:rPr>
              <w:t>）</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sz w:val="24"/>
                <w:vertAlign w:val="baseline"/>
                <w:lang w:val="en-US" w:eastAsia="zh-CN"/>
              </w:rPr>
            </w:pPr>
            <w:r>
              <w:rPr>
                <w:rFonts w:hint="eastAsia" w:ascii="Times New Roman" w:hAnsi="宋体"/>
                <w:sz w:val="24"/>
                <w:lang w:val="en-US" w:eastAsia="zh-CN"/>
              </w:rPr>
              <w:t>请在括号里打勾选择：</w:t>
            </w:r>
            <w:r>
              <w:rPr>
                <w:rFonts w:hint="eastAsia" w:ascii="Times New Roman" w:hAnsi="宋体"/>
                <w:sz w:val="24"/>
                <w:vertAlign w:val="baseline"/>
                <w:lang w:val="en-US" w:eastAsia="zh-CN"/>
              </w:rPr>
              <w:t xml:space="preserve"> 是（    ）     否（    ）</w:t>
            </w:r>
          </w:p>
          <w:p>
            <w:pPr>
              <w:snapToGrid w:val="0"/>
              <w:spacing w:before="50" w:after="50" w:line="360" w:lineRule="auto"/>
              <w:ind w:left="0" w:leftChars="0" w:firstLine="0" w:firstLineChars="0"/>
              <w:jc w:val="left"/>
              <w:rPr>
                <w:rFonts w:hint="eastAsia" w:ascii="Times New Roman" w:hAnsi="宋体"/>
                <w:sz w:val="24"/>
                <w:vertAlign w:val="baseline"/>
                <w:lang w:val="en-US" w:eastAsia="zh-CN"/>
              </w:rPr>
            </w:pPr>
            <w:r>
              <w:rPr>
                <w:rFonts w:hint="eastAsia" w:ascii="Times New Roman" w:hAnsi="宋体"/>
                <w:sz w:val="24"/>
                <w:lang w:val="en-US" w:eastAsia="zh-CN"/>
              </w:rPr>
              <w:t>备注：</w:t>
            </w:r>
            <w:r>
              <w:rPr>
                <w:rFonts w:hint="eastAsia" w:ascii="Times New Roman" w:hAnsi="宋体"/>
                <w:sz w:val="24"/>
              </w:rPr>
              <w:t>需邮寄</w:t>
            </w:r>
            <w:r>
              <w:rPr>
                <w:rFonts w:hint="eastAsia" w:ascii="Times New Roman" w:hAnsi="宋体"/>
                <w:sz w:val="24"/>
                <w:lang w:val="en-US" w:eastAsia="zh-CN"/>
              </w:rPr>
              <w:t>发票的</w:t>
            </w:r>
            <w:r>
              <w:rPr>
                <w:rFonts w:hint="eastAsia" w:ascii="Times New Roman" w:hAnsi="宋体"/>
                <w:sz w:val="24"/>
              </w:rPr>
              <w:t>，邮费到付。</w:t>
            </w:r>
            <w:r>
              <w:rPr>
                <w:rFonts w:hint="eastAsia" w:ascii="Times New Roman" w:hAnsi="宋体"/>
                <w:sz w:val="24"/>
                <w:lang w:eastAsia="zh-CN"/>
              </w:rPr>
              <w:t>（</w:t>
            </w:r>
            <w:r>
              <w:rPr>
                <w:rFonts w:hint="eastAsia" w:ascii="Times New Roman" w:hAnsi="宋体"/>
                <w:sz w:val="24"/>
                <w:vertAlign w:val="baseline"/>
                <w:lang w:val="en-US" w:eastAsia="zh-CN"/>
              </w:rPr>
              <w:t>邮寄地址：</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，联系人：</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，联系号码：</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w:t>
            </w:r>
            <w:r>
              <w:rPr>
                <w:rFonts w:hint="eastAsia" w:ascii="Times New Roman" w:hAnsi="宋体"/>
                <w:sz w:val="24"/>
                <w:lang w:eastAsia="zh-CN"/>
              </w:rPr>
              <w:t>）</w:t>
            </w:r>
          </w:p>
        </w:tc>
      </w:tr>
    </w:tbl>
    <w:p>
      <w:pPr>
        <w:snapToGrid w:val="0"/>
        <w:spacing w:before="50" w:after="50" w:line="360" w:lineRule="auto"/>
        <w:ind w:firstLine="630"/>
        <w:rPr>
          <w:rFonts w:ascii="Times New Roman" w:hAnsi="Times New Roman"/>
          <w:sz w:val="24"/>
        </w:rPr>
      </w:pPr>
    </w:p>
    <w:p>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Times New Roman" w:hAnsi="Times New Roman"/>
          <w:sz w:val="24"/>
          <w:u w:val="none"/>
        </w:rPr>
        <w:t xml:space="preserve">                  </w:t>
      </w:r>
    </w:p>
    <w:p>
      <w:pPr>
        <w:snapToGrid w:val="0"/>
        <w:spacing w:before="50" w:after="50" w:line="360" w:lineRule="auto"/>
        <w:jc w:val="center"/>
        <w:rPr>
          <w:rFonts w:ascii="Times New Roman" w:hAnsi="宋体"/>
          <w:sz w:val="24"/>
        </w:rPr>
      </w:pPr>
      <w:r>
        <w:rPr>
          <w:rFonts w:hint="eastAsia" w:ascii="Times New Roman" w:hAnsi="宋体"/>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pPr>
        <w:snapToGrid w:val="0"/>
        <w:spacing w:before="50" w:after="50" w:line="360" w:lineRule="auto"/>
        <w:rPr>
          <w:rFonts w:hint="eastAsia" w:ascii="Times New Roman" w:hAnsi="宋体"/>
          <w:sz w:val="24"/>
          <w:lang w:val="en-US" w:eastAsia="zh-CN"/>
        </w:rPr>
      </w:pPr>
    </w:p>
    <w:p>
      <w:pPr>
        <w:pStyle w:val="2"/>
        <w:bidi w:val="0"/>
        <w:rPr>
          <w:rFonts w:hint="eastAsia" w:eastAsia="宋体"/>
          <w:lang w:val="en-US" w:eastAsia="zh-CN"/>
        </w:rPr>
        <w:sectPr>
          <w:headerReference r:id="rId21" w:type="first"/>
          <w:footerReference r:id="rId23" w:type="first"/>
          <w:headerReference r:id="rId20" w:type="default"/>
          <w:footerReference r:id="rId22"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65" w:name="_Toc28938"/>
      <w:bookmarkStart w:id="466" w:name="_Toc8380"/>
      <w:r>
        <w:rPr>
          <w:rFonts w:hint="eastAsia"/>
        </w:rPr>
        <w:t>报价文件部分</w:t>
      </w:r>
      <w:bookmarkEnd w:id="465"/>
      <w:bookmarkEnd w:id="466"/>
    </w:p>
    <w:p>
      <w:pPr>
        <w:bidi w:val="0"/>
        <w:ind w:left="0" w:leftChars="0" w:firstLine="0" w:firstLineChars="0"/>
        <w:jc w:val="center"/>
        <w:rPr>
          <w:b/>
          <w:bCs/>
          <w:sz w:val="36"/>
          <w:szCs w:val="36"/>
        </w:rPr>
      </w:pPr>
      <w:r>
        <w:rPr>
          <w:rFonts w:hint="eastAsia"/>
          <w:b/>
          <w:bCs/>
          <w:sz w:val="36"/>
          <w:szCs w:val="36"/>
        </w:rPr>
        <w:t>目录</w:t>
      </w:r>
    </w:p>
    <w:p>
      <w:pPr>
        <w:bidi w:val="0"/>
      </w:pPr>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如果有</w:t>
      </w:r>
      <w:r>
        <w:rPr>
          <w:rFonts w:hint="eastAsia" w:ascii="宋体" w:hAnsi="宋体" w:cs="宋体"/>
          <w:color w:val="auto"/>
          <w:sz w:val="24"/>
          <w:lang w:eastAsia="zh-CN"/>
        </w:rPr>
        <w:t>）</w:t>
      </w:r>
      <w:r>
        <w:rPr>
          <w:rFonts w:hint="eastAsia" w:ascii="宋体" w:hAnsi="宋体" w:cs="宋体"/>
          <w:color w:val="auto"/>
          <w:sz w:val="24"/>
        </w:rPr>
        <w:t>………………………………………………（页码）（</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snapToGrid w:val="0"/>
        <w:spacing w:line="360" w:lineRule="auto"/>
        <w:ind w:left="0" w:leftChars="0" w:firstLine="0" w:firstLineChars="0"/>
        <w:rPr>
          <w:rFonts w:ascii="宋体" w:hAnsi="宋体" w:cs="宋体"/>
          <w:sz w:val="24"/>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67" w:name="_Toc28115"/>
      <w:bookmarkStart w:id="468" w:name="_Toc16712"/>
      <w:r>
        <w:rPr>
          <w:rFonts w:hint="eastAsia"/>
        </w:rPr>
        <w:t>一、开标一览表（报价表）</w:t>
      </w:r>
      <w:bookmarkEnd w:id="467"/>
      <w:bookmarkEnd w:id="468"/>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noWrap w:val="0"/>
            <w:vAlign w:val="center"/>
          </w:tcPr>
          <w:p>
            <w:pPr>
              <w:pStyle w:val="485"/>
              <w:bidi w:val="0"/>
              <w:ind w:left="0" w:leftChars="0" w:firstLine="0" w:firstLineChars="0"/>
              <w:jc w:val="center"/>
              <w:rPr>
                <w:rFonts w:hint="eastAsia"/>
                <w:b/>
                <w:bCs/>
              </w:rPr>
            </w:pPr>
            <w:r>
              <w:rPr>
                <w:rFonts w:hint="eastAsia"/>
                <w:b/>
                <w:bCs/>
              </w:rPr>
              <w:t>序号</w:t>
            </w:r>
          </w:p>
        </w:tc>
        <w:tc>
          <w:tcPr>
            <w:tcW w:w="2762" w:type="dxa"/>
            <w:noWrap w:val="0"/>
            <w:vAlign w:val="center"/>
          </w:tcPr>
          <w:p>
            <w:pPr>
              <w:pStyle w:val="485"/>
              <w:bidi w:val="0"/>
              <w:ind w:left="0" w:leftChars="0" w:firstLine="0" w:firstLineChars="0"/>
              <w:jc w:val="center"/>
              <w:rPr>
                <w:rFonts w:hint="default"/>
                <w:b/>
                <w:bCs/>
                <w:lang w:val="en-US" w:eastAsia="zh-CN"/>
              </w:rPr>
            </w:pPr>
            <w:r>
              <w:rPr>
                <w:rFonts w:hint="eastAsia"/>
                <w:b/>
                <w:bCs/>
                <w:lang w:val="en-US" w:eastAsia="zh-CN"/>
              </w:rPr>
              <w:t>费用</w:t>
            </w:r>
            <w:r>
              <w:rPr>
                <w:rFonts w:hint="eastAsia"/>
                <w:b/>
                <w:bCs/>
              </w:rPr>
              <w:t>名称</w:t>
            </w:r>
          </w:p>
        </w:tc>
        <w:tc>
          <w:tcPr>
            <w:tcW w:w="1796" w:type="dxa"/>
            <w:noWrap w:val="0"/>
            <w:vAlign w:val="center"/>
          </w:tcPr>
          <w:p>
            <w:pPr>
              <w:pStyle w:val="485"/>
              <w:bidi w:val="0"/>
              <w:ind w:left="0" w:leftChars="0" w:firstLine="0" w:firstLineChars="0"/>
              <w:jc w:val="center"/>
              <w:rPr>
                <w:rFonts w:hint="eastAsia"/>
                <w:b/>
                <w:bCs/>
              </w:rPr>
            </w:pPr>
            <w:r>
              <w:rPr>
                <w:rFonts w:hint="eastAsia"/>
                <w:b/>
                <w:bCs/>
              </w:rPr>
              <w:t>数量</w:t>
            </w:r>
          </w:p>
        </w:tc>
        <w:tc>
          <w:tcPr>
            <w:tcW w:w="1225" w:type="dxa"/>
            <w:noWrap w:val="0"/>
            <w:vAlign w:val="center"/>
          </w:tcPr>
          <w:p>
            <w:pPr>
              <w:pStyle w:val="485"/>
              <w:bidi w:val="0"/>
              <w:ind w:left="0" w:leftChars="0" w:firstLine="0" w:firstLineChars="0"/>
              <w:jc w:val="center"/>
              <w:rPr>
                <w:rFonts w:hint="eastAsia"/>
                <w:b/>
                <w:bCs/>
              </w:rPr>
            </w:pPr>
            <w:r>
              <w:rPr>
                <w:rFonts w:hint="eastAsia"/>
                <w:b/>
                <w:bCs/>
              </w:rPr>
              <w:t>单价</w:t>
            </w:r>
          </w:p>
        </w:tc>
        <w:tc>
          <w:tcPr>
            <w:tcW w:w="1890" w:type="dxa"/>
            <w:noWrap w:val="0"/>
            <w:vAlign w:val="center"/>
          </w:tcPr>
          <w:p>
            <w:pPr>
              <w:pStyle w:val="485"/>
              <w:bidi w:val="0"/>
              <w:ind w:left="0" w:leftChars="0" w:firstLine="0" w:firstLineChars="0"/>
              <w:jc w:val="center"/>
              <w:rPr>
                <w:rFonts w:hint="eastAsia"/>
                <w:b/>
                <w:bCs/>
              </w:rPr>
            </w:pPr>
            <w:r>
              <w:rPr>
                <w:rFonts w:hint="eastAsia"/>
                <w:b/>
                <w:bCs/>
              </w:rPr>
              <w:t>总价</w:t>
            </w:r>
          </w:p>
        </w:tc>
        <w:tc>
          <w:tcPr>
            <w:tcW w:w="1220" w:type="dxa"/>
            <w:noWrap w:val="0"/>
            <w:vAlign w:val="center"/>
          </w:tcPr>
          <w:p>
            <w:pPr>
              <w:pStyle w:val="485"/>
              <w:bidi w:val="0"/>
              <w:ind w:left="0" w:leftChars="0" w:firstLine="0" w:firstLineChars="0"/>
              <w:jc w:val="center"/>
              <w:rPr>
                <w:rFonts w:hint="eastAsia"/>
                <w:b/>
                <w:bCs/>
              </w:rPr>
            </w:pPr>
            <w:r>
              <w:rPr>
                <w:rFonts w:hint="eastAsia"/>
                <w:b/>
                <w:bCs/>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noWrap w:val="0"/>
            <w:vAlign w:val="center"/>
          </w:tcPr>
          <w:p>
            <w:pPr>
              <w:pStyle w:val="485"/>
              <w:bidi w:val="0"/>
              <w:ind w:left="0" w:leftChars="0" w:firstLine="0" w:firstLineChars="0"/>
              <w:jc w:val="center"/>
              <w:rPr>
                <w:rFonts w:hint="eastAsia"/>
                <w:b/>
                <w:bCs/>
              </w:rPr>
            </w:pP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pPr>
              <w:pStyle w:val="485"/>
              <w:bidi w:val="0"/>
              <w:ind w:left="0" w:leftChars="0" w:firstLine="0" w:firstLineChars="0"/>
              <w:jc w:val="center"/>
              <w:rPr>
                <w:rFonts w:hint="eastAsia"/>
                <w:b/>
                <w:bCs/>
              </w:rPr>
            </w:pP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pPr>
              <w:pStyle w:val="485"/>
              <w:bidi w:val="0"/>
              <w:ind w:left="0" w:leftChars="0" w:firstLine="0" w:firstLineChars="0"/>
              <w:jc w:val="center"/>
              <w:rPr>
                <w:rFonts w:hint="default" w:eastAsia="宋体"/>
                <w:b/>
                <w:bCs/>
                <w:lang w:val="en-US" w:eastAsia="zh-CN"/>
              </w:rPr>
            </w:pPr>
            <w:r>
              <w:rPr>
                <w:rFonts w:hint="eastAsia"/>
                <w:b/>
                <w:bCs/>
                <w:lang w:val="en-US" w:eastAsia="zh-CN"/>
              </w:rPr>
              <w:t>......</w:t>
            </w: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noWrap w:val="0"/>
            <w:vAlign w:val="center"/>
          </w:tcPr>
          <w:p>
            <w:pPr>
              <w:pStyle w:val="485"/>
              <w:bidi w:val="0"/>
              <w:ind w:left="0" w:leftChars="0" w:firstLine="0" w:firstLineChars="0"/>
              <w:jc w:val="center"/>
              <w:rPr>
                <w:rFonts w:hint="eastAsia"/>
                <w:b/>
                <w:bCs/>
              </w:rPr>
            </w:pPr>
            <w:r>
              <w:rPr>
                <w:rFonts w:hint="eastAsia"/>
                <w:b/>
                <w:bCs/>
                <w:lang w:val="en-US" w:eastAsia="zh-CN"/>
              </w:rPr>
              <w:t>报价</w:t>
            </w:r>
            <w:r>
              <w:rPr>
                <w:rFonts w:hint="eastAsia"/>
                <w:b/>
                <w:bCs/>
              </w:rPr>
              <w:t>总价（小写）</w:t>
            </w:r>
          </w:p>
        </w:tc>
        <w:tc>
          <w:tcPr>
            <w:tcW w:w="6131" w:type="dxa"/>
            <w:gridSpan w:val="4"/>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noWrap w:val="0"/>
            <w:vAlign w:val="center"/>
          </w:tcPr>
          <w:p>
            <w:pPr>
              <w:pStyle w:val="485"/>
              <w:bidi w:val="0"/>
              <w:ind w:left="0" w:leftChars="0" w:firstLine="0" w:firstLineChars="0"/>
              <w:jc w:val="center"/>
              <w:rPr>
                <w:rFonts w:hint="eastAsia"/>
                <w:b/>
                <w:bCs/>
              </w:rPr>
            </w:pPr>
            <w:r>
              <w:rPr>
                <w:rFonts w:hint="eastAsia"/>
                <w:b/>
                <w:bCs/>
                <w:lang w:val="en-US" w:eastAsia="zh-CN"/>
              </w:rPr>
              <w:t>报价</w:t>
            </w:r>
            <w:r>
              <w:rPr>
                <w:rFonts w:hint="eastAsia"/>
                <w:b/>
                <w:bCs/>
              </w:rPr>
              <w:t>总价（大写）</w:t>
            </w:r>
          </w:p>
        </w:tc>
        <w:tc>
          <w:tcPr>
            <w:tcW w:w="6131" w:type="dxa"/>
            <w:gridSpan w:val="4"/>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noWrap w:val="0"/>
            <w:vAlign w:val="center"/>
          </w:tcPr>
          <w:p>
            <w:pPr>
              <w:pStyle w:val="485"/>
              <w:bidi w:val="0"/>
              <w:ind w:left="0" w:leftChars="0" w:firstLine="0" w:firstLineChars="0"/>
              <w:jc w:val="center"/>
              <w:rPr>
                <w:rFonts w:hint="default"/>
                <w:b/>
                <w:bCs/>
                <w:lang w:val="en-US" w:eastAsia="zh-CN"/>
              </w:rPr>
            </w:pPr>
            <w:r>
              <w:rPr>
                <w:rFonts w:hint="eastAsia"/>
                <w:b/>
                <w:bCs/>
                <w:lang w:val="en-US" w:eastAsia="zh-CN"/>
              </w:rPr>
              <w:t>服务期</w:t>
            </w:r>
          </w:p>
        </w:tc>
        <w:tc>
          <w:tcPr>
            <w:tcW w:w="6131" w:type="dxa"/>
            <w:gridSpan w:val="4"/>
            <w:noWrap w:val="0"/>
            <w:vAlign w:val="center"/>
          </w:tcPr>
          <w:p>
            <w:pPr>
              <w:pStyle w:val="485"/>
              <w:bidi w:val="0"/>
              <w:ind w:left="0" w:leftChars="0" w:firstLine="0" w:firstLineChars="0"/>
              <w:jc w:val="center"/>
              <w:rPr>
                <w:rFonts w:hint="eastAsia"/>
                <w:b/>
                <w:bCs/>
              </w:rPr>
            </w:pPr>
          </w:p>
        </w:tc>
      </w:tr>
    </w:tbl>
    <w:p>
      <w:pPr>
        <w:snapToGrid w:val="0"/>
        <w:spacing w:line="360" w:lineRule="auto"/>
        <w:ind w:left="0" w:leftChars="0" w:firstLine="0" w:firstLineChars="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en-US" w:eastAsia="zh-CN"/>
        </w:rPr>
        <w:t>4、</w:t>
      </w:r>
      <w:r>
        <w:rPr>
          <w:rFonts w:hint="eastAsia" w:ascii="宋体" w:hAnsi="宋体" w:cs="宋体"/>
          <w:b/>
          <w:bCs/>
          <w:color w:val="auto"/>
          <w:kern w:val="0"/>
          <w:sz w:val="24"/>
          <w:lang w:val="zh-CN"/>
        </w:rPr>
        <w:t>供应商报价低于项目预算50%的，应当在报价文件中详细阐述不影响产品质量或者诚信履约的具体原因。</w:t>
      </w:r>
    </w:p>
    <w:p>
      <w:pPr>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firstLine="4080" w:firstLineChars="17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color w:val="auto"/>
        </w:rPr>
      </w:pPr>
      <w:bookmarkStart w:id="469" w:name="_Toc1047"/>
      <w:bookmarkStart w:id="470" w:name="_Toc19337"/>
      <w:r>
        <w:rPr>
          <w:rFonts w:hint="eastAsia"/>
          <w:color w:val="auto"/>
        </w:rPr>
        <w:t>二、</w:t>
      </w:r>
      <w:r>
        <w:rPr>
          <w:rFonts w:hint="eastAsia"/>
          <w:color w:val="auto"/>
          <w:lang w:eastAsia="zh-CN"/>
        </w:rPr>
        <w:t>报价情况说明</w:t>
      </w:r>
      <w:r>
        <w:rPr>
          <w:rFonts w:hint="eastAsia"/>
          <w:color w:val="auto"/>
        </w:rPr>
        <w:t>（如果有）</w:t>
      </w:r>
    </w:p>
    <w:p>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p>
      <w:pPr>
        <w:pStyle w:val="3"/>
        <w:bidi w:val="0"/>
        <w:jc w:val="both"/>
        <w:rPr>
          <w:rFonts w:hint="eastAsia"/>
        </w:rPr>
        <w:sectPr>
          <w:headerReference r:id="rId25" w:type="first"/>
          <w:footerReference r:id="rId27" w:type="first"/>
          <w:headerReference r:id="rId24" w:type="default"/>
          <w:footerReference r:id="rId26"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r>
        <w:rPr>
          <w:rFonts w:hint="eastAsia"/>
          <w:lang w:eastAsia="zh-CN"/>
        </w:rPr>
        <w:t>三</w:t>
      </w:r>
      <w:r>
        <w:rPr>
          <w:rFonts w:hint="eastAsia"/>
        </w:rPr>
        <w:t>、中小企业声明函（如果有）</w:t>
      </w:r>
      <w:bookmarkEnd w:id="469"/>
      <w:bookmarkEnd w:id="470"/>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bidi w:val="0"/>
      </w:pPr>
      <w:bookmarkStart w:id="471" w:name="_Toc29378"/>
      <w:bookmarkStart w:id="472" w:name="_Toc465665161"/>
      <w:bookmarkStart w:id="473" w:name="_Toc30052"/>
      <w:r>
        <w:rPr>
          <w:rFonts w:hint="eastAsia"/>
        </w:rPr>
        <w:t>附件</w:t>
      </w:r>
      <w:bookmarkEnd w:id="471"/>
      <w:bookmarkEnd w:id="472"/>
      <w:bookmarkEnd w:id="473"/>
    </w:p>
    <w:p>
      <w:pPr>
        <w:pStyle w:val="4"/>
        <w:bidi w:val="0"/>
      </w:pPr>
      <w:r>
        <w:rPr>
          <w:rFonts w:hint="eastAsia"/>
        </w:rPr>
        <w:t>附件1：残疾人福利性单位声明函</w:t>
      </w:r>
    </w:p>
    <w:p>
      <w:pPr>
        <w:spacing w:line="360" w:lineRule="auto"/>
        <w:rPr>
          <w:rFonts w:ascii="宋体" w:hAnsi="宋体" w:cs="宋体"/>
          <w:b/>
          <w:spacing w:val="6"/>
          <w:sz w:val="32"/>
          <w:szCs w:val="32"/>
        </w:rPr>
      </w:pPr>
    </w:p>
    <w:p>
      <w:pPr>
        <w:spacing w:line="360" w:lineRule="auto"/>
        <w:jc w:val="center"/>
        <w:rPr>
          <w:rFonts w:ascii="宋体" w:hAnsi="宋体" w:cs="宋体"/>
          <w:b/>
          <w:spacing w:val="6"/>
          <w:sz w:val="32"/>
          <w:szCs w:val="32"/>
        </w:rPr>
      </w:pPr>
      <w:bookmarkStart w:id="474" w:name="OLE_LINK14"/>
      <w:bookmarkStart w:id="475" w:name="OLE_LINK13"/>
      <w:r>
        <w:rPr>
          <w:rFonts w:hint="eastAsia" w:ascii="宋体" w:hAnsi="宋体" w:cs="宋体"/>
          <w:b/>
          <w:spacing w:val="6"/>
          <w:sz w:val="32"/>
          <w:szCs w:val="32"/>
        </w:rPr>
        <w:t>残疾人福利性单位声明函</w:t>
      </w:r>
    </w:p>
    <w:bookmarkEnd w:id="474"/>
    <w:bookmarkEnd w:id="47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w:t>
      </w:r>
      <w:r>
        <w:rPr>
          <w:rFonts w:hint="eastAsia" w:ascii="宋体" w:hAnsi="宋体" w:cs="宋体"/>
          <w:sz w:val="24"/>
        </w:rPr>
        <w:t>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pPr>
      <w:r>
        <w:rPr>
          <w:rFonts w:hint="eastAsia"/>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pStyle w:val="4"/>
        <w:bidi w:val="0"/>
      </w:pPr>
      <w:r>
        <w:rPr>
          <w:rFonts w:hint="eastAsia"/>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4"/>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47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476"/>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rPr>
          <w:rFonts w:hint="eastAsia" w:ascii="宋体" w:hAnsi="宋体" w:cs="宋体"/>
          <w:kern w:val="0"/>
          <w:sz w:val="24"/>
          <w:lang w:val="zh-CN"/>
        </w:rPr>
      </w:pP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numPr>
          <w:ilvl w:val="0"/>
          <w:numId w:val="6"/>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600" w:firstLineChars="2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pPr>
        <w:bidi w:val="0"/>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jc w:val="left"/>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ind w:right="420"/>
        <w:rPr>
          <w:rFonts w:ascii="宋体" w:hAnsi="宋体" w:cs="宋体"/>
        </w:rPr>
      </w:pPr>
    </w:p>
    <w:p>
      <w:pPr>
        <w:spacing w:line="360" w:lineRule="auto"/>
        <w:rPr>
          <w:rFonts w:ascii="宋体" w:hAnsi="宋体" w:cs="宋体"/>
          <w:bCs/>
          <w:sz w:val="24"/>
        </w:rPr>
      </w:pPr>
    </w:p>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77" w:name="_Toc131845147"/>
    <w:bookmarkStart w:id="478" w:name="_Toc36110187"/>
    <w:bookmarkStart w:id="479" w:name="_Toc164085800"/>
    <w:bookmarkStart w:id="480" w:name="_Toc91899912"/>
    <w:r>
      <w:rPr>
        <w:rFonts w:hint="eastAsia" w:ascii="仿宋_GB2312" w:eastAsia="仿宋_GB2312"/>
        <w:kern w:val="0"/>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ind w:firstLine="36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0"/>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ED70B397"/>
    <w:multiLevelType w:val="singleLevel"/>
    <w:tmpl w:val="ED70B397"/>
    <w:lvl w:ilvl="0" w:tentative="0">
      <w:start w:val="2"/>
      <w:numFmt w:val="chineseCounting"/>
      <w:suff w:val="nothing"/>
      <w:lvlText w:val="%1、"/>
      <w:lvlJc w:val="left"/>
      <w:rPr>
        <w:rFonts w:hint="eastAsia"/>
      </w:rPr>
    </w:lvl>
  </w:abstractNum>
  <w:abstractNum w:abstractNumId="2">
    <w:nsid w:val="F08B1065"/>
    <w:multiLevelType w:val="singleLevel"/>
    <w:tmpl w:val="F08B1065"/>
    <w:lvl w:ilvl="0" w:tentative="0">
      <w:start w:val="1"/>
      <w:numFmt w:val="chineseCounting"/>
      <w:suff w:val="nothing"/>
      <w:lvlText w:val="%1、"/>
      <w:lvlJc w:val="left"/>
      <w:rPr>
        <w:rFonts w:hint="eastAsia"/>
      </w:rPr>
    </w:lvl>
  </w:abstractNum>
  <w:abstractNum w:abstractNumId="3">
    <w:nsid w:val="17813490"/>
    <w:multiLevelType w:val="singleLevel"/>
    <w:tmpl w:val="17813490"/>
    <w:lvl w:ilvl="0" w:tentative="0">
      <w:start w:val="7"/>
      <w:numFmt w:val="chineseCounting"/>
      <w:suff w:val="nothing"/>
      <w:lvlText w:val="%1、"/>
      <w:lvlJc w:val="left"/>
      <w:rPr>
        <w:rFonts w:hint="eastAsia"/>
      </w:rPr>
    </w:lvl>
  </w:abstractNum>
  <w:abstractNum w:abstractNumId="4">
    <w:nsid w:val="3991CAFD"/>
    <w:multiLevelType w:val="singleLevel"/>
    <w:tmpl w:val="3991CAFD"/>
    <w:lvl w:ilvl="0" w:tentative="0">
      <w:start w:val="1"/>
      <w:numFmt w:val="decimal"/>
      <w:suff w:val="nothing"/>
      <w:lvlText w:val="%1、"/>
      <w:lvlJc w:val="left"/>
    </w:lvl>
  </w:abstractNum>
  <w:abstractNum w:abstractNumId="5">
    <w:nsid w:val="47123116"/>
    <w:multiLevelType w:val="singleLevel"/>
    <w:tmpl w:val="47123116"/>
    <w:lvl w:ilvl="0" w:tentative="0">
      <w:start w:val="1"/>
      <w:numFmt w:val="decimal"/>
      <w:suff w:val="nothing"/>
      <w:lvlText w:val="%1、"/>
      <w:lvlJc w:val="left"/>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MDJhNzkzYmIxZTJmMWY3YjFmZWZiODM3ZDFjN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351AA"/>
    <w:rsid w:val="010651D9"/>
    <w:rsid w:val="010A5926"/>
    <w:rsid w:val="010F3B4F"/>
    <w:rsid w:val="011C626C"/>
    <w:rsid w:val="011F6449"/>
    <w:rsid w:val="01236AFB"/>
    <w:rsid w:val="01431A4A"/>
    <w:rsid w:val="01475A35"/>
    <w:rsid w:val="015B4A06"/>
    <w:rsid w:val="01665986"/>
    <w:rsid w:val="018114F8"/>
    <w:rsid w:val="01825843"/>
    <w:rsid w:val="01951217"/>
    <w:rsid w:val="019F7441"/>
    <w:rsid w:val="01A0392C"/>
    <w:rsid w:val="01B37585"/>
    <w:rsid w:val="01B76F0F"/>
    <w:rsid w:val="01BB4E57"/>
    <w:rsid w:val="01D55165"/>
    <w:rsid w:val="01DF6BF8"/>
    <w:rsid w:val="01EC2C57"/>
    <w:rsid w:val="02213098"/>
    <w:rsid w:val="0227136C"/>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D52DD"/>
    <w:rsid w:val="034A50BF"/>
    <w:rsid w:val="036634D2"/>
    <w:rsid w:val="036C334D"/>
    <w:rsid w:val="03787FA7"/>
    <w:rsid w:val="03824D80"/>
    <w:rsid w:val="03BE360A"/>
    <w:rsid w:val="03DD35E4"/>
    <w:rsid w:val="04076900"/>
    <w:rsid w:val="041A5A3B"/>
    <w:rsid w:val="04221DEB"/>
    <w:rsid w:val="042311BA"/>
    <w:rsid w:val="04250279"/>
    <w:rsid w:val="042B157A"/>
    <w:rsid w:val="043A29F5"/>
    <w:rsid w:val="046B6852"/>
    <w:rsid w:val="048F763B"/>
    <w:rsid w:val="049F330E"/>
    <w:rsid w:val="04AA775C"/>
    <w:rsid w:val="04AF1889"/>
    <w:rsid w:val="04B57B90"/>
    <w:rsid w:val="04C630A7"/>
    <w:rsid w:val="04C737B8"/>
    <w:rsid w:val="04D3209A"/>
    <w:rsid w:val="04EE7C6A"/>
    <w:rsid w:val="04F66F48"/>
    <w:rsid w:val="05251E14"/>
    <w:rsid w:val="053E0EA6"/>
    <w:rsid w:val="054776DC"/>
    <w:rsid w:val="055B4188"/>
    <w:rsid w:val="0587093E"/>
    <w:rsid w:val="05886B6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BF5E5A"/>
    <w:rsid w:val="08CF57E6"/>
    <w:rsid w:val="08D66AD6"/>
    <w:rsid w:val="08DA33A3"/>
    <w:rsid w:val="08DC68C1"/>
    <w:rsid w:val="08E80F13"/>
    <w:rsid w:val="09160D90"/>
    <w:rsid w:val="09335624"/>
    <w:rsid w:val="0944690F"/>
    <w:rsid w:val="09535675"/>
    <w:rsid w:val="095F057D"/>
    <w:rsid w:val="09615163"/>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8B7B6A"/>
    <w:rsid w:val="0B9C164B"/>
    <w:rsid w:val="0BCA0C05"/>
    <w:rsid w:val="0BE65DF4"/>
    <w:rsid w:val="0BF6188C"/>
    <w:rsid w:val="0BF73C91"/>
    <w:rsid w:val="0C032502"/>
    <w:rsid w:val="0C057D3E"/>
    <w:rsid w:val="0C170175"/>
    <w:rsid w:val="0C2D5832"/>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2F2ACE"/>
    <w:rsid w:val="0D3D6507"/>
    <w:rsid w:val="0D4A7419"/>
    <w:rsid w:val="0D827401"/>
    <w:rsid w:val="0D84094E"/>
    <w:rsid w:val="0D8A00E9"/>
    <w:rsid w:val="0D8D589E"/>
    <w:rsid w:val="0D914EAB"/>
    <w:rsid w:val="0DA01C73"/>
    <w:rsid w:val="0DD63300"/>
    <w:rsid w:val="0DDC300B"/>
    <w:rsid w:val="0DF50604"/>
    <w:rsid w:val="0DF702FE"/>
    <w:rsid w:val="0E060E51"/>
    <w:rsid w:val="0E207BB1"/>
    <w:rsid w:val="0E255073"/>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5B4403"/>
    <w:rsid w:val="0F6248D2"/>
    <w:rsid w:val="0F693536"/>
    <w:rsid w:val="0F7B0511"/>
    <w:rsid w:val="0F7B76D9"/>
    <w:rsid w:val="0F816ACD"/>
    <w:rsid w:val="0F9832DB"/>
    <w:rsid w:val="0FBF3FD2"/>
    <w:rsid w:val="0FBF7FF3"/>
    <w:rsid w:val="0FD8769D"/>
    <w:rsid w:val="10433B10"/>
    <w:rsid w:val="10646583"/>
    <w:rsid w:val="107D4B15"/>
    <w:rsid w:val="1081433D"/>
    <w:rsid w:val="108A3C80"/>
    <w:rsid w:val="10A67900"/>
    <w:rsid w:val="10C26171"/>
    <w:rsid w:val="10DC3AFF"/>
    <w:rsid w:val="10F33360"/>
    <w:rsid w:val="10FC16EA"/>
    <w:rsid w:val="110F1D40"/>
    <w:rsid w:val="1122342A"/>
    <w:rsid w:val="11266F33"/>
    <w:rsid w:val="11302E58"/>
    <w:rsid w:val="118963A1"/>
    <w:rsid w:val="118F2D20"/>
    <w:rsid w:val="11905D0C"/>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B36C2"/>
    <w:rsid w:val="13BF3CE4"/>
    <w:rsid w:val="140D7E52"/>
    <w:rsid w:val="141008D8"/>
    <w:rsid w:val="14125FE6"/>
    <w:rsid w:val="146D271E"/>
    <w:rsid w:val="14982588"/>
    <w:rsid w:val="149A5AD9"/>
    <w:rsid w:val="14A7619D"/>
    <w:rsid w:val="14B72CF4"/>
    <w:rsid w:val="14BA2CD9"/>
    <w:rsid w:val="14D01265"/>
    <w:rsid w:val="14D40792"/>
    <w:rsid w:val="150536C3"/>
    <w:rsid w:val="150C1963"/>
    <w:rsid w:val="15142B9D"/>
    <w:rsid w:val="151447A0"/>
    <w:rsid w:val="152807B7"/>
    <w:rsid w:val="154A6454"/>
    <w:rsid w:val="15762120"/>
    <w:rsid w:val="158626FD"/>
    <w:rsid w:val="15D33E82"/>
    <w:rsid w:val="15E117D1"/>
    <w:rsid w:val="15E71E0B"/>
    <w:rsid w:val="15F60C24"/>
    <w:rsid w:val="16382D92"/>
    <w:rsid w:val="16A8729C"/>
    <w:rsid w:val="16B33777"/>
    <w:rsid w:val="16B921CE"/>
    <w:rsid w:val="16BC70A7"/>
    <w:rsid w:val="16BF171B"/>
    <w:rsid w:val="16C6339E"/>
    <w:rsid w:val="16E74130"/>
    <w:rsid w:val="172F2D79"/>
    <w:rsid w:val="17557BEF"/>
    <w:rsid w:val="17D349C1"/>
    <w:rsid w:val="17F36AF9"/>
    <w:rsid w:val="1830729E"/>
    <w:rsid w:val="1870062C"/>
    <w:rsid w:val="187F6506"/>
    <w:rsid w:val="18817102"/>
    <w:rsid w:val="18830A15"/>
    <w:rsid w:val="18852B28"/>
    <w:rsid w:val="188B5321"/>
    <w:rsid w:val="19067AD5"/>
    <w:rsid w:val="191F46F3"/>
    <w:rsid w:val="19393A07"/>
    <w:rsid w:val="19412058"/>
    <w:rsid w:val="194D1260"/>
    <w:rsid w:val="195061BB"/>
    <w:rsid w:val="19932372"/>
    <w:rsid w:val="19A20DD5"/>
    <w:rsid w:val="19AE03F1"/>
    <w:rsid w:val="19CC6629"/>
    <w:rsid w:val="1A071A03"/>
    <w:rsid w:val="1A1F16AE"/>
    <w:rsid w:val="1A3B5C77"/>
    <w:rsid w:val="1A5E71D6"/>
    <w:rsid w:val="1A7F48BE"/>
    <w:rsid w:val="1A9609E5"/>
    <w:rsid w:val="1A984BAD"/>
    <w:rsid w:val="1AB8220E"/>
    <w:rsid w:val="1AE4166C"/>
    <w:rsid w:val="1AE914E9"/>
    <w:rsid w:val="1AF06CFB"/>
    <w:rsid w:val="1AF11B8D"/>
    <w:rsid w:val="1B11359C"/>
    <w:rsid w:val="1B196286"/>
    <w:rsid w:val="1B1A33C4"/>
    <w:rsid w:val="1B251A22"/>
    <w:rsid w:val="1B2A271F"/>
    <w:rsid w:val="1B4346C9"/>
    <w:rsid w:val="1B530544"/>
    <w:rsid w:val="1B6237D6"/>
    <w:rsid w:val="1B713184"/>
    <w:rsid w:val="1BA209CF"/>
    <w:rsid w:val="1BB4777D"/>
    <w:rsid w:val="1BD75AB8"/>
    <w:rsid w:val="1C0459C2"/>
    <w:rsid w:val="1C0B75F6"/>
    <w:rsid w:val="1C1B3B4A"/>
    <w:rsid w:val="1C705992"/>
    <w:rsid w:val="1C88086E"/>
    <w:rsid w:val="1CA41E93"/>
    <w:rsid w:val="1CC03DE6"/>
    <w:rsid w:val="1CC40E9D"/>
    <w:rsid w:val="1D013333"/>
    <w:rsid w:val="1D1A36B1"/>
    <w:rsid w:val="1D266CE1"/>
    <w:rsid w:val="1D3963AF"/>
    <w:rsid w:val="1D3F13B8"/>
    <w:rsid w:val="1D554554"/>
    <w:rsid w:val="1D5F7333"/>
    <w:rsid w:val="1D6A673C"/>
    <w:rsid w:val="1D9247AE"/>
    <w:rsid w:val="1DB567EC"/>
    <w:rsid w:val="1DD24F8B"/>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BD6790"/>
    <w:rsid w:val="1EE008AE"/>
    <w:rsid w:val="1F0A0FF3"/>
    <w:rsid w:val="1F38206B"/>
    <w:rsid w:val="1F5771FF"/>
    <w:rsid w:val="1F6146A4"/>
    <w:rsid w:val="1FB44357"/>
    <w:rsid w:val="1FD013DE"/>
    <w:rsid w:val="1FD2426D"/>
    <w:rsid w:val="1FD67D2B"/>
    <w:rsid w:val="1FE868A9"/>
    <w:rsid w:val="1FF52CDF"/>
    <w:rsid w:val="20034907"/>
    <w:rsid w:val="20173E4B"/>
    <w:rsid w:val="20174376"/>
    <w:rsid w:val="203F5FA2"/>
    <w:rsid w:val="20436D85"/>
    <w:rsid w:val="204E48BC"/>
    <w:rsid w:val="208606BA"/>
    <w:rsid w:val="208921B3"/>
    <w:rsid w:val="20973DEB"/>
    <w:rsid w:val="20B26522"/>
    <w:rsid w:val="20B44310"/>
    <w:rsid w:val="20ED311F"/>
    <w:rsid w:val="20F41B9B"/>
    <w:rsid w:val="2103170F"/>
    <w:rsid w:val="211116EB"/>
    <w:rsid w:val="214D1CF5"/>
    <w:rsid w:val="216133FC"/>
    <w:rsid w:val="2169C975"/>
    <w:rsid w:val="216C51F8"/>
    <w:rsid w:val="21725AA3"/>
    <w:rsid w:val="21780E44"/>
    <w:rsid w:val="218E0668"/>
    <w:rsid w:val="21AC0D29"/>
    <w:rsid w:val="21BB6B29"/>
    <w:rsid w:val="21D56769"/>
    <w:rsid w:val="21E52EF3"/>
    <w:rsid w:val="21FB5D7B"/>
    <w:rsid w:val="22015E94"/>
    <w:rsid w:val="220B1C3D"/>
    <w:rsid w:val="221C3808"/>
    <w:rsid w:val="221D1D20"/>
    <w:rsid w:val="22314F7F"/>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C91A0F"/>
    <w:rsid w:val="23E95BEF"/>
    <w:rsid w:val="23F872E7"/>
    <w:rsid w:val="23FD0064"/>
    <w:rsid w:val="2438774A"/>
    <w:rsid w:val="245375B0"/>
    <w:rsid w:val="245A2A83"/>
    <w:rsid w:val="24642C0A"/>
    <w:rsid w:val="246758CC"/>
    <w:rsid w:val="246A53BC"/>
    <w:rsid w:val="247B1377"/>
    <w:rsid w:val="24A24583"/>
    <w:rsid w:val="24B22173"/>
    <w:rsid w:val="24B95AD9"/>
    <w:rsid w:val="24BE24DA"/>
    <w:rsid w:val="24CF5825"/>
    <w:rsid w:val="24D3611E"/>
    <w:rsid w:val="24D663E6"/>
    <w:rsid w:val="24D77F2B"/>
    <w:rsid w:val="251E56BC"/>
    <w:rsid w:val="25395D40"/>
    <w:rsid w:val="253E32FC"/>
    <w:rsid w:val="256102F5"/>
    <w:rsid w:val="25627E42"/>
    <w:rsid w:val="256C6F12"/>
    <w:rsid w:val="258B00E2"/>
    <w:rsid w:val="25A917A6"/>
    <w:rsid w:val="25BE27CC"/>
    <w:rsid w:val="25D71527"/>
    <w:rsid w:val="25F74A5C"/>
    <w:rsid w:val="2609650F"/>
    <w:rsid w:val="2628662C"/>
    <w:rsid w:val="262D044F"/>
    <w:rsid w:val="262D45DE"/>
    <w:rsid w:val="266C240C"/>
    <w:rsid w:val="26871DC8"/>
    <w:rsid w:val="269B4641"/>
    <w:rsid w:val="26A53EF9"/>
    <w:rsid w:val="26A94201"/>
    <w:rsid w:val="26AC274F"/>
    <w:rsid w:val="26F47146"/>
    <w:rsid w:val="27044A29"/>
    <w:rsid w:val="2705294F"/>
    <w:rsid w:val="271D34C8"/>
    <w:rsid w:val="274F6984"/>
    <w:rsid w:val="275053D0"/>
    <w:rsid w:val="27514BC5"/>
    <w:rsid w:val="27606603"/>
    <w:rsid w:val="276142BF"/>
    <w:rsid w:val="27783712"/>
    <w:rsid w:val="277B51EB"/>
    <w:rsid w:val="27907362"/>
    <w:rsid w:val="27955DFF"/>
    <w:rsid w:val="27BB0BF2"/>
    <w:rsid w:val="27F24C39"/>
    <w:rsid w:val="27F82B28"/>
    <w:rsid w:val="27FD567B"/>
    <w:rsid w:val="28333E1D"/>
    <w:rsid w:val="284214B5"/>
    <w:rsid w:val="28454BD6"/>
    <w:rsid w:val="28455253"/>
    <w:rsid w:val="28551971"/>
    <w:rsid w:val="285B1C53"/>
    <w:rsid w:val="285F44BB"/>
    <w:rsid w:val="289F7086"/>
    <w:rsid w:val="28AC0642"/>
    <w:rsid w:val="28C32028"/>
    <w:rsid w:val="28CC490F"/>
    <w:rsid w:val="28DB3F5E"/>
    <w:rsid w:val="28DE40AA"/>
    <w:rsid w:val="28E472D6"/>
    <w:rsid w:val="28F25980"/>
    <w:rsid w:val="29192396"/>
    <w:rsid w:val="29345E77"/>
    <w:rsid w:val="294C65AD"/>
    <w:rsid w:val="29573B46"/>
    <w:rsid w:val="29673C78"/>
    <w:rsid w:val="29806583"/>
    <w:rsid w:val="298B3C4C"/>
    <w:rsid w:val="29AA5BAE"/>
    <w:rsid w:val="29B153F8"/>
    <w:rsid w:val="29C462AA"/>
    <w:rsid w:val="29F26D24"/>
    <w:rsid w:val="2A021BF3"/>
    <w:rsid w:val="2A077EA1"/>
    <w:rsid w:val="2A15033F"/>
    <w:rsid w:val="2A1662C1"/>
    <w:rsid w:val="2A1C7367"/>
    <w:rsid w:val="2A1D290F"/>
    <w:rsid w:val="2A2815FA"/>
    <w:rsid w:val="2A4F6D47"/>
    <w:rsid w:val="2A6D6092"/>
    <w:rsid w:val="2A7059AD"/>
    <w:rsid w:val="2A7D76B4"/>
    <w:rsid w:val="2A840C26"/>
    <w:rsid w:val="2A945420"/>
    <w:rsid w:val="2AC646EF"/>
    <w:rsid w:val="2ACE5934"/>
    <w:rsid w:val="2AFA4BDA"/>
    <w:rsid w:val="2B4324C3"/>
    <w:rsid w:val="2B437463"/>
    <w:rsid w:val="2B7807EE"/>
    <w:rsid w:val="2B9D3AD8"/>
    <w:rsid w:val="2BA50BF7"/>
    <w:rsid w:val="2BAC6FF8"/>
    <w:rsid w:val="2BBF00EC"/>
    <w:rsid w:val="2BC37160"/>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771A84"/>
    <w:rsid w:val="2DAA74E0"/>
    <w:rsid w:val="2DCE5BE2"/>
    <w:rsid w:val="2DD15014"/>
    <w:rsid w:val="2DF72DE4"/>
    <w:rsid w:val="2E0220AF"/>
    <w:rsid w:val="2E4B082A"/>
    <w:rsid w:val="2E5D4E86"/>
    <w:rsid w:val="2E5D6C6C"/>
    <w:rsid w:val="2E5D790B"/>
    <w:rsid w:val="2E9A3C18"/>
    <w:rsid w:val="2EA80FBB"/>
    <w:rsid w:val="2EAA1469"/>
    <w:rsid w:val="2EBB0FEE"/>
    <w:rsid w:val="2EC63002"/>
    <w:rsid w:val="2F0A6B38"/>
    <w:rsid w:val="2F0F0341"/>
    <w:rsid w:val="2F946CCB"/>
    <w:rsid w:val="2F9D6E59"/>
    <w:rsid w:val="2FA06539"/>
    <w:rsid w:val="2FB45B8C"/>
    <w:rsid w:val="2FD25781"/>
    <w:rsid w:val="2FDC745C"/>
    <w:rsid w:val="2FFD7934"/>
    <w:rsid w:val="301744FA"/>
    <w:rsid w:val="305407BD"/>
    <w:rsid w:val="30733ACD"/>
    <w:rsid w:val="308C3862"/>
    <w:rsid w:val="30931AAA"/>
    <w:rsid w:val="309379D8"/>
    <w:rsid w:val="30A270F7"/>
    <w:rsid w:val="30DF1478"/>
    <w:rsid w:val="30EC586F"/>
    <w:rsid w:val="31994BEB"/>
    <w:rsid w:val="319C6071"/>
    <w:rsid w:val="31A92BF9"/>
    <w:rsid w:val="31AC537E"/>
    <w:rsid w:val="31E3679B"/>
    <w:rsid w:val="31E732FD"/>
    <w:rsid w:val="32070E04"/>
    <w:rsid w:val="3212150D"/>
    <w:rsid w:val="32430FFB"/>
    <w:rsid w:val="32462AB5"/>
    <w:rsid w:val="32517576"/>
    <w:rsid w:val="32523D7F"/>
    <w:rsid w:val="32543208"/>
    <w:rsid w:val="32811B31"/>
    <w:rsid w:val="32AF46F6"/>
    <w:rsid w:val="32BE5C2C"/>
    <w:rsid w:val="32DF0D23"/>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94C8A"/>
    <w:rsid w:val="34AF62C9"/>
    <w:rsid w:val="34C06EA1"/>
    <w:rsid w:val="34CB4388"/>
    <w:rsid w:val="34EF59D0"/>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851BE2"/>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642D4"/>
    <w:rsid w:val="38BC0149"/>
    <w:rsid w:val="38D87D1C"/>
    <w:rsid w:val="394418E0"/>
    <w:rsid w:val="39557407"/>
    <w:rsid w:val="39636459"/>
    <w:rsid w:val="396B7F6C"/>
    <w:rsid w:val="39B417A9"/>
    <w:rsid w:val="39CD63CE"/>
    <w:rsid w:val="39EE5889"/>
    <w:rsid w:val="39FC5695"/>
    <w:rsid w:val="39FE23D7"/>
    <w:rsid w:val="3A006D8E"/>
    <w:rsid w:val="3A2C7DDF"/>
    <w:rsid w:val="3A3651E5"/>
    <w:rsid w:val="3A41726F"/>
    <w:rsid w:val="3A4B6C9E"/>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CFB75AA"/>
    <w:rsid w:val="3D3103CE"/>
    <w:rsid w:val="3D3C7F39"/>
    <w:rsid w:val="3D440F09"/>
    <w:rsid w:val="3D4504A0"/>
    <w:rsid w:val="3D6702AE"/>
    <w:rsid w:val="3D8734BB"/>
    <w:rsid w:val="3D8A7047"/>
    <w:rsid w:val="3D9A11D4"/>
    <w:rsid w:val="3D9A6B04"/>
    <w:rsid w:val="3DA16D89"/>
    <w:rsid w:val="3DA364BE"/>
    <w:rsid w:val="3DDB1283"/>
    <w:rsid w:val="3DE041CB"/>
    <w:rsid w:val="3DE1502A"/>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264C5"/>
    <w:rsid w:val="3F060E16"/>
    <w:rsid w:val="3F1D1096"/>
    <w:rsid w:val="3F2D1834"/>
    <w:rsid w:val="3F2F0234"/>
    <w:rsid w:val="3F4C3C26"/>
    <w:rsid w:val="3F6363FE"/>
    <w:rsid w:val="3F756B8F"/>
    <w:rsid w:val="3F95482B"/>
    <w:rsid w:val="3FA94F62"/>
    <w:rsid w:val="3FC0345D"/>
    <w:rsid w:val="3FFC538D"/>
    <w:rsid w:val="4019356B"/>
    <w:rsid w:val="401C4AEF"/>
    <w:rsid w:val="401D0186"/>
    <w:rsid w:val="40421A8A"/>
    <w:rsid w:val="404544F3"/>
    <w:rsid w:val="404552A0"/>
    <w:rsid w:val="40592157"/>
    <w:rsid w:val="406E1CAE"/>
    <w:rsid w:val="40955117"/>
    <w:rsid w:val="40A0133A"/>
    <w:rsid w:val="40AC64D2"/>
    <w:rsid w:val="40C31A53"/>
    <w:rsid w:val="40C615C5"/>
    <w:rsid w:val="40FF545D"/>
    <w:rsid w:val="410067C8"/>
    <w:rsid w:val="412C31AD"/>
    <w:rsid w:val="4134048C"/>
    <w:rsid w:val="415A4752"/>
    <w:rsid w:val="41676CC7"/>
    <w:rsid w:val="41765884"/>
    <w:rsid w:val="417A621E"/>
    <w:rsid w:val="418F0D2A"/>
    <w:rsid w:val="41996E28"/>
    <w:rsid w:val="41D01505"/>
    <w:rsid w:val="41E10065"/>
    <w:rsid w:val="42145339"/>
    <w:rsid w:val="423D7F71"/>
    <w:rsid w:val="42474939"/>
    <w:rsid w:val="424C3C57"/>
    <w:rsid w:val="42613FF3"/>
    <w:rsid w:val="42660D96"/>
    <w:rsid w:val="428667D2"/>
    <w:rsid w:val="42A715A3"/>
    <w:rsid w:val="42CD1CE0"/>
    <w:rsid w:val="42E1381E"/>
    <w:rsid w:val="42ED6459"/>
    <w:rsid w:val="42F76310"/>
    <w:rsid w:val="42FE58DD"/>
    <w:rsid w:val="430A00AF"/>
    <w:rsid w:val="43174B3D"/>
    <w:rsid w:val="434B790E"/>
    <w:rsid w:val="43516679"/>
    <w:rsid w:val="4360274F"/>
    <w:rsid w:val="438A6373"/>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3C389E"/>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574"/>
    <w:rsid w:val="475F1DC4"/>
    <w:rsid w:val="476C2789"/>
    <w:rsid w:val="47706278"/>
    <w:rsid w:val="477B778F"/>
    <w:rsid w:val="478203EC"/>
    <w:rsid w:val="47B025FA"/>
    <w:rsid w:val="47D3281F"/>
    <w:rsid w:val="4809698F"/>
    <w:rsid w:val="4811697D"/>
    <w:rsid w:val="485B6724"/>
    <w:rsid w:val="487A3E25"/>
    <w:rsid w:val="488B5503"/>
    <w:rsid w:val="48937E21"/>
    <w:rsid w:val="48987CCA"/>
    <w:rsid w:val="489A0361"/>
    <w:rsid w:val="48B94FF3"/>
    <w:rsid w:val="48BB2297"/>
    <w:rsid w:val="48E37AAB"/>
    <w:rsid w:val="48FD4B4C"/>
    <w:rsid w:val="490A68E0"/>
    <w:rsid w:val="491055FE"/>
    <w:rsid w:val="495F5B3E"/>
    <w:rsid w:val="496F77D7"/>
    <w:rsid w:val="49704F0A"/>
    <w:rsid w:val="497654FD"/>
    <w:rsid w:val="49B64211"/>
    <w:rsid w:val="49F6167F"/>
    <w:rsid w:val="4A064FA0"/>
    <w:rsid w:val="4A16615C"/>
    <w:rsid w:val="4A3F01A4"/>
    <w:rsid w:val="4A4424D7"/>
    <w:rsid w:val="4AA62243"/>
    <w:rsid w:val="4AB82D0F"/>
    <w:rsid w:val="4AC20427"/>
    <w:rsid w:val="4AEB7664"/>
    <w:rsid w:val="4AEF3676"/>
    <w:rsid w:val="4AFD7C19"/>
    <w:rsid w:val="4B0567D1"/>
    <w:rsid w:val="4B1F1F0B"/>
    <w:rsid w:val="4B236AAE"/>
    <w:rsid w:val="4B3F553C"/>
    <w:rsid w:val="4B5F25AA"/>
    <w:rsid w:val="4B707271"/>
    <w:rsid w:val="4B89356C"/>
    <w:rsid w:val="4B9739F7"/>
    <w:rsid w:val="4BB11B2A"/>
    <w:rsid w:val="4BEA1283"/>
    <w:rsid w:val="4BEE2503"/>
    <w:rsid w:val="4C0A4C0B"/>
    <w:rsid w:val="4C116304"/>
    <w:rsid w:val="4C157304"/>
    <w:rsid w:val="4C245A30"/>
    <w:rsid w:val="4C80445A"/>
    <w:rsid w:val="4C871B54"/>
    <w:rsid w:val="4CB14CA1"/>
    <w:rsid w:val="4CB6685F"/>
    <w:rsid w:val="4CC367FE"/>
    <w:rsid w:val="4D077F3C"/>
    <w:rsid w:val="4D123355"/>
    <w:rsid w:val="4D2A3B31"/>
    <w:rsid w:val="4D312C52"/>
    <w:rsid w:val="4D905305"/>
    <w:rsid w:val="4D964A72"/>
    <w:rsid w:val="4D9C1254"/>
    <w:rsid w:val="4DF74D1B"/>
    <w:rsid w:val="4E091428"/>
    <w:rsid w:val="4E793892"/>
    <w:rsid w:val="4E800872"/>
    <w:rsid w:val="4E8D1FA1"/>
    <w:rsid w:val="4E9751B5"/>
    <w:rsid w:val="4E9C3C7E"/>
    <w:rsid w:val="4E9D1D67"/>
    <w:rsid w:val="4EC569ED"/>
    <w:rsid w:val="4ED50EA1"/>
    <w:rsid w:val="4EEC050C"/>
    <w:rsid w:val="4EF54F8F"/>
    <w:rsid w:val="4F104EC3"/>
    <w:rsid w:val="4F47354A"/>
    <w:rsid w:val="4F911C54"/>
    <w:rsid w:val="4F912F4E"/>
    <w:rsid w:val="4FA03191"/>
    <w:rsid w:val="4FB81CB8"/>
    <w:rsid w:val="4FE625E0"/>
    <w:rsid w:val="5021480F"/>
    <w:rsid w:val="50407605"/>
    <w:rsid w:val="505F6D03"/>
    <w:rsid w:val="507117F6"/>
    <w:rsid w:val="50746AF7"/>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674AAB"/>
    <w:rsid w:val="518832C8"/>
    <w:rsid w:val="518A1BE1"/>
    <w:rsid w:val="518F1137"/>
    <w:rsid w:val="519D3C50"/>
    <w:rsid w:val="51A0432A"/>
    <w:rsid w:val="51A477D8"/>
    <w:rsid w:val="51A86090"/>
    <w:rsid w:val="51AD6B85"/>
    <w:rsid w:val="51B7396D"/>
    <w:rsid w:val="51CB2747"/>
    <w:rsid w:val="522E4CC3"/>
    <w:rsid w:val="52331D7F"/>
    <w:rsid w:val="5240116C"/>
    <w:rsid w:val="5244713B"/>
    <w:rsid w:val="52615633"/>
    <w:rsid w:val="526679D0"/>
    <w:rsid w:val="526F4DE4"/>
    <w:rsid w:val="528C5C89"/>
    <w:rsid w:val="52977FD4"/>
    <w:rsid w:val="52A25790"/>
    <w:rsid w:val="52A42173"/>
    <w:rsid w:val="52A96B6F"/>
    <w:rsid w:val="52B34185"/>
    <w:rsid w:val="52B45975"/>
    <w:rsid w:val="52D7336D"/>
    <w:rsid w:val="52D94AA4"/>
    <w:rsid w:val="52DA1E8F"/>
    <w:rsid w:val="52EA3A62"/>
    <w:rsid w:val="52F50BB8"/>
    <w:rsid w:val="53097272"/>
    <w:rsid w:val="530A525A"/>
    <w:rsid w:val="531360AD"/>
    <w:rsid w:val="53544462"/>
    <w:rsid w:val="536116CB"/>
    <w:rsid w:val="53762B86"/>
    <w:rsid w:val="5397158E"/>
    <w:rsid w:val="53C95979"/>
    <w:rsid w:val="54013861"/>
    <w:rsid w:val="54487265"/>
    <w:rsid w:val="544D6070"/>
    <w:rsid w:val="545E01A5"/>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C65992"/>
    <w:rsid w:val="55DC29B6"/>
    <w:rsid w:val="55DD4241"/>
    <w:rsid w:val="56646524"/>
    <w:rsid w:val="566B6D1E"/>
    <w:rsid w:val="56730E0B"/>
    <w:rsid w:val="568338FF"/>
    <w:rsid w:val="568A2F88"/>
    <w:rsid w:val="56CB7313"/>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245EC"/>
    <w:rsid w:val="57CD20C2"/>
    <w:rsid w:val="57D675AB"/>
    <w:rsid w:val="57D95FDD"/>
    <w:rsid w:val="57EE1A40"/>
    <w:rsid w:val="580B5F93"/>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32EDD"/>
    <w:rsid w:val="5A1716AB"/>
    <w:rsid w:val="5A2A7C7B"/>
    <w:rsid w:val="5A3E2560"/>
    <w:rsid w:val="5A42686F"/>
    <w:rsid w:val="5A4F65D5"/>
    <w:rsid w:val="5A5D3B6E"/>
    <w:rsid w:val="5A637A76"/>
    <w:rsid w:val="5A6D33BA"/>
    <w:rsid w:val="5A792B1F"/>
    <w:rsid w:val="5A874767"/>
    <w:rsid w:val="5AA85BE2"/>
    <w:rsid w:val="5AAD6F28"/>
    <w:rsid w:val="5AB04370"/>
    <w:rsid w:val="5ABE3BC9"/>
    <w:rsid w:val="5AD21814"/>
    <w:rsid w:val="5AD63A24"/>
    <w:rsid w:val="5B2E1A1D"/>
    <w:rsid w:val="5B330FD0"/>
    <w:rsid w:val="5B3E21DC"/>
    <w:rsid w:val="5B4269DA"/>
    <w:rsid w:val="5B843A1C"/>
    <w:rsid w:val="5B873E3F"/>
    <w:rsid w:val="5B8B7D36"/>
    <w:rsid w:val="5B8F6EDB"/>
    <w:rsid w:val="5BA770FE"/>
    <w:rsid w:val="5BE30FD5"/>
    <w:rsid w:val="5C02690E"/>
    <w:rsid w:val="5C196DA7"/>
    <w:rsid w:val="5C2A048C"/>
    <w:rsid w:val="5C530A93"/>
    <w:rsid w:val="5C80234E"/>
    <w:rsid w:val="5C8026E5"/>
    <w:rsid w:val="5C82418F"/>
    <w:rsid w:val="5C844510"/>
    <w:rsid w:val="5C8A680C"/>
    <w:rsid w:val="5C8E73AF"/>
    <w:rsid w:val="5CAF6A84"/>
    <w:rsid w:val="5CDD5A24"/>
    <w:rsid w:val="5D07136C"/>
    <w:rsid w:val="5D0C4701"/>
    <w:rsid w:val="5D0F0395"/>
    <w:rsid w:val="5D1B7170"/>
    <w:rsid w:val="5D221076"/>
    <w:rsid w:val="5D397964"/>
    <w:rsid w:val="5D5A391C"/>
    <w:rsid w:val="5D5F10C0"/>
    <w:rsid w:val="5D6A375C"/>
    <w:rsid w:val="5D891B7B"/>
    <w:rsid w:val="5D8B1FAD"/>
    <w:rsid w:val="5DA84041"/>
    <w:rsid w:val="5DAD38EE"/>
    <w:rsid w:val="5DC06184"/>
    <w:rsid w:val="5DEC0837"/>
    <w:rsid w:val="5E006862"/>
    <w:rsid w:val="5E0207B9"/>
    <w:rsid w:val="5E1834A1"/>
    <w:rsid w:val="5E261785"/>
    <w:rsid w:val="5E4A7017"/>
    <w:rsid w:val="5E552BBA"/>
    <w:rsid w:val="5E611C10"/>
    <w:rsid w:val="5E733EB6"/>
    <w:rsid w:val="5E7A0F3F"/>
    <w:rsid w:val="5EE17A4E"/>
    <w:rsid w:val="5EE252D1"/>
    <w:rsid w:val="5EFC7377"/>
    <w:rsid w:val="5F002C5F"/>
    <w:rsid w:val="5F06174D"/>
    <w:rsid w:val="5F3A3602"/>
    <w:rsid w:val="5F4104EC"/>
    <w:rsid w:val="5F45733B"/>
    <w:rsid w:val="5F6277C6"/>
    <w:rsid w:val="5F6D0B1D"/>
    <w:rsid w:val="5F8D0B82"/>
    <w:rsid w:val="5FB44916"/>
    <w:rsid w:val="5FCC5339"/>
    <w:rsid w:val="5FE34A5B"/>
    <w:rsid w:val="5FFE1E36"/>
    <w:rsid w:val="600E4517"/>
    <w:rsid w:val="60232584"/>
    <w:rsid w:val="6063353A"/>
    <w:rsid w:val="6065283C"/>
    <w:rsid w:val="607330CE"/>
    <w:rsid w:val="60825176"/>
    <w:rsid w:val="608D10A6"/>
    <w:rsid w:val="60937EE0"/>
    <w:rsid w:val="609F2AC4"/>
    <w:rsid w:val="60D93E32"/>
    <w:rsid w:val="60E903BA"/>
    <w:rsid w:val="60F44FE8"/>
    <w:rsid w:val="60FA2EE8"/>
    <w:rsid w:val="61054A27"/>
    <w:rsid w:val="610A52BC"/>
    <w:rsid w:val="610C28A7"/>
    <w:rsid w:val="611D2366"/>
    <w:rsid w:val="61421856"/>
    <w:rsid w:val="615227C4"/>
    <w:rsid w:val="61654E3F"/>
    <w:rsid w:val="6182292A"/>
    <w:rsid w:val="618229A0"/>
    <w:rsid w:val="619F7F92"/>
    <w:rsid w:val="61B01959"/>
    <w:rsid w:val="61F94C26"/>
    <w:rsid w:val="62000E56"/>
    <w:rsid w:val="624B51DE"/>
    <w:rsid w:val="624F3E49"/>
    <w:rsid w:val="62632286"/>
    <w:rsid w:val="62885958"/>
    <w:rsid w:val="62E26C7B"/>
    <w:rsid w:val="62F40B65"/>
    <w:rsid w:val="62FC2CFE"/>
    <w:rsid w:val="62FD6FC2"/>
    <w:rsid w:val="63024505"/>
    <w:rsid w:val="630755A9"/>
    <w:rsid w:val="63305E7B"/>
    <w:rsid w:val="63387D47"/>
    <w:rsid w:val="633961F6"/>
    <w:rsid w:val="635600A5"/>
    <w:rsid w:val="635A1B7D"/>
    <w:rsid w:val="635B1DB5"/>
    <w:rsid w:val="63711FED"/>
    <w:rsid w:val="63880DDC"/>
    <w:rsid w:val="638D750D"/>
    <w:rsid w:val="63AC6CC0"/>
    <w:rsid w:val="64055776"/>
    <w:rsid w:val="64240056"/>
    <w:rsid w:val="643E143A"/>
    <w:rsid w:val="64491666"/>
    <w:rsid w:val="644C301C"/>
    <w:rsid w:val="64812A1F"/>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E322FD"/>
    <w:rsid w:val="66195831"/>
    <w:rsid w:val="662E75B1"/>
    <w:rsid w:val="66342C2E"/>
    <w:rsid w:val="663E784C"/>
    <w:rsid w:val="6678210A"/>
    <w:rsid w:val="668B6A45"/>
    <w:rsid w:val="66A40E14"/>
    <w:rsid w:val="66C85FD6"/>
    <w:rsid w:val="670578C8"/>
    <w:rsid w:val="671B7875"/>
    <w:rsid w:val="672243F5"/>
    <w:rsid w:val="672F3F24"/>
    <w:rsid w:val="673E055F"/>
    <w:rsid w:val="67450E58"/>
    <w:rsid w:val="67551CE3"/>
    <w:rsid w:val="67577E13"/>
    <w:rsid w:val="67A22552"/>
    <w:rsid w:val="67AE2497"/>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66B0F"/>
    <w:rsid w:val="68876EFB"/>
    <w:rsid w:val="68884654"/>
    <w:rsid w:val="688B7757"/>
    <w:rsid w:val="689F444F"/>
    <w:rsid w:val="68B96DBB"/>
    <w:rsid w:val="68CA2805"/>
    <w:rsid w:val="68D53B46"/>
    <w:rsid w:val="68D56DB4"/>
    <w:rsid w:val="68E937A3"/>
    <w:rsid w:val="68F81CDA"/>
    <w:rsid w:val="69041BF3"/>
    <w:rsid w:val="69083E29"/>
    <w:rsid w:val="693E15D3"/>
    <w:rsid w:val="695F2F1B"/>
    <w:rsid w:val="69627681"/>
    <w:rsid w:val="69664CCB"/>
    <w:rsid w:val="6977531D"/>
    <w:rsid w:val="69877256"/>
    <w:rsid w:val="69926EAA"/>
    <w:rsid w:val="699410ED"/>
    <w:rsid w:val="699F1009"/>
    <w:rsid w:val="69B83AA1"/>
    <w:rsid w:val="69CA10DE"/>
    <w:rsid w:val="69CC2BFF"/>
    <w:rsid w:val="69D03A8B"/>
    <w:rsid w:val="69FD55B8"/>
    <w:rsid w:val="6A06256A"/>
    <w:rsid w:val="6A0B1C62"/>
    <w:rsid w:val="6A2358EB"/>
    <w:rsid w:val="6A2406C8"/>
    <w:rsid w:val="6A3603B7"/>
    <w:rsid w:val="6A6F1742"/>
    <w:rsid w:val="6A9001BE"/>
    <w:rsid w:val="6AD17EDC"/>
    <w:rsid w:val="6ADE0BD1"/>
    <w:rsid w:val="6AE96859"/>
    <w:rsid w:val="6B147746"/>
    <w:rsid w:val="6B24787C"/>
    <w:rsid w:val="6B573233"/>
    <w:rsid w:val="6B5B6274"/>
    <w:rsid w:val="6B935D53"/>
    <w:rsid w:val="6C1119E5"/>
    <w:rsid w:val="6C196F71"/>
    <w:rsid w:val="6C226FCB"/>
    <w:rsid w:val="6C31226F"/>
    <w:rsid w:val="6C552F0B"/>
    <w:rsid w:val="6C677B3E"/>
    <w:rsid w:val="6C8C67B7"/>
    <w:rsid w:val="6C9D744C"/>
    <w:rsid w:val="6CAB52CB"/>
    <w:rsid w:val="6CB26586"/>
    <w:rsid w:val="6CDE7E4F"/>
    <w:rsid w:val="6D167928"/>
    <w:rsid w:val="6D1A412B"/>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CE1671"/>
    <w:rsid w:val="6ED446C5"/>
    <w:rsid w:val="6EDC5B3C"/>
    <w:rsid w:val="6F2A7D94"/>
    <w:rsid w:val="6F71097A"/>
    <w:rsid w:val="6F8331F1"/>
    <w:rsid w:val="6FAE1A09"/>
    <w:rsid w:val="6FCE5D0B"/>
    <w:rsid w:val="6FD75BF8"/>
    <w:rsid w:val="6FF15617"/>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33A1083"/>
    <w:rsid w:val="73720D0C"/>
    <w:rsid w:val="739E1612"/>
    <w:rsid w:val="73A50197"/>
    <w:rsid w:val="73AF7192"/>
    <w:rsid w:val="73C0646E"/>
    <w:rsid w:val="741325D9"/>
    <w:rsid w:val="7416389E"/>
    <w:rsid w:val="741743EB"/>
    <w:rsid w:val="742222F5"/>
    <w:rsid w:val="74476126"/>
    <w:rsid w:val="745148D6"/>
    <w:rsid w:val="746D05CC"/>
    <w:rsid w:val="74706664"/>
    <w:rsid w:val="74790B89"/>
    <w:rsid w:val="747F3682"/>
    <w:rsid w:val="749C4185"/>
    <w:rsid w:val="74CB2696"/>
    <w:rsid w:val="75067759"/>
    <w:rsid w:val="752E6DCD"/>
    <w:rsid w:val="753541F8"/>
    <w:rsid w:val="7551380D"/>
    <w:rsid w:val="75600BE5"/>
    <w:rsid w:val="7564475C"/>
    <w:rsid w:val="7583797F"/>
    <w:rsid w:val="75B03B6C"/>
    <w:rsid w:val="75D20F1D"/>
    <w:rsid w:val="75D94B83"/>
    <w:rsid w:val="75DA2C18"/>
    <w:rsid w:val="75F43EC6"/>
    <w:rsid w:val="75F54412"/>
    <w:rsid w:val="761D08E0"/>
    <w:rsid w:val="76360227"/>
    <w:rsid w:val="764F1A43"/>
    <w:rsid w:val="765D347C"/>
    <w:rsid w:val="766B1082"/>
    <w:rsid w:val="76826699"/>
    <w:rsid w:val="768947FB"/>
    <w:rsid w:val="76A71A13"/>
    <w:rsid w:val="76C87133"/>
    <w:rsid w:val="76CD08D5"/>
    <w:rsid w:val="76D70AD3"/>
    <w:rsid w:val="76DB4B92"/>
    <w:rsid w:val="77052AA4"/>
    <w:rsid w:val="77136511"/>
    <w:rsid w:val="77340A39"/>
    <w:rsid w:val="77351FD0"/>
    <w:rsid w:val="77472422"/>
    <w:rsid w:val="775C5C1A"/>
    <w:rsid w:val="777F31F2"/>
    <w:rsid w:val="779F4A84"/>
    <w:rsid w:val="77AF3E74"/>
    <w:rsid w:val="77BC475C"/>
    <w:rsid w:val="77C6711F"/>
    <w:rsid w:val="77D1700D"/>
    <w:rsid w:val="77E918D9"/>
    <w:rsid w:val="77EC04CC"/>
    <w:rsid w:val="77EF68E0"/>
    <w:rsid w:val="7840538D"/>
    <w:rsid w:val="78775729"/>
    <w:rsid w:val="78A42DB0"/>
    <w:rsid w:val="78A51694"/>
    <w:rsid w:val="78A656AB"/>
    <w:rsid w:val="78B2245C"/>
    <w:rsid w:val="78E172CC"/>
    <w:rsid w:val="78EA1D1F"/>
    <w:rsid w:val="7904172F"/>
    <w:rsid w:val="790F7E27"/>
    <w:rsid w:val="792A231A"/>
    <w:rsid w:val="79316829"/>
    <w:rsid w:val="797E66A9"/>
    <w:rsid w:val="798518A4"/>
    <w:rsid w:val="79916E2D"/>
    <w:rsid w:val="79A97383"/>
    <w:rsid w:val="79E27E8B"/>
    <w:rsid w:val="79E640A7"/>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ADB6759"/>
    <w:rsid w:val="7AF82F16"/>
    <w:rsid w:val="7B257FFD"/>
    <w:rsid w:val="7B2F6C85"/>
    <w:rsid w:val="7B343476"/>
    <w:rsid w:val="7B3C56EE"/>
    <w:rsid w:val="7B5A2978"/>
    <w:rsid w:val="7B5A7E4C"/>
    <w:rsid w:val="7B667AF9"/>
    <w:rsid w:val="7B7468F8"/>
    <w:rsid w:val="7B974734"/>
    <w:rsid w:val="7BA13B58"/>
    <w:rsid w:val="7BA656AB"/>
    <w:rsid w:val="7BC425AA"/>
    <w:rsid w:val="7BEE0103"/>
    <w:rsid w:val="7BF15121"/>
    <w:rsid w:val="7C0A0FE4"/>
    <w:rsid w:val="7C254906"/>
    <w:rsid w:val="7C376AA7"/>
    <w:rsid w:val="7C590818"/>
    <w:rsid w:val="7C7C10F6"/>
    <w:rsid w:val="7C813471"/>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11B45"/>
    <w:rsid w:val="7D77201B"/>
    <w:rsid w:val="7DB57A34"/>
    <w:rsid w:val="7DE60973"/>
    <w:rsid w:val="7DEF0916"/>
    <w:rsid w:val="7E102FFF"/>
    <w:rsid w:val="7E1322BB"/>
    <w:rsid w:val="7E1E5218"/>
    <w:rsid w:val="7E4B6E7F"/>
    <w:rsid w:val="7E4D4360"/>
    <w:rsid w:val="7E5C7A06"/>
    <w:rsid w:val="7E67A662"/>
    <w:rsid w:val="7E750A33"/>
    <w:rsid w:val="7E795122"/>
    <w:rsid w:val="7E9A4E1F"/>
    <w:rsid w:val="7EA7723A"/>
    <w:rsid w:val="7EC642EF"/>
    <w:rsid w:val="7ED06A30"/>
    <w:rsid w:val="7EDF3993"/>
    <w:rsid w:val="7EE718FB"/>
    <w:rsid w:val="7EEF4326"/>
    <w:rsid w:val="7EF56FBB"/>
    <w:rsid w:val="7F0768EB"/>
    <w:rsid w:val="7F143BEC"/>
    <w:rsid w:val="7F3B48A0"/>
    <w:rsid w:val="7F6A2CF0"/>
    <w:rsid w:val="7F715AF2"/>
    <w:rsid w:val="7F886E69"/>
    <w:rsid w:val="7FC627FF"/>
    <w:rsid w:val="7FDB3BED"/>
    <w:rsid w:val="BB7FA927"/>
    <w:rsid w:val="F5FFD31F"/>
    <w:rsid w:val="FD01D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5"/>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5">
    <w:name w:val="heading 4"/>
    <w:basedOn w:val="1"/>
    <w:next w:val="1"/>
    <w:link w:val="329"/>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5"/>
    <w:link w:val="323"/>
    <w:autoRedefine/>
    <w:qFormat/>
    <w:uiPriority w:val="0"/>
    <w:pPr>
      <w:ind w:firstLine="420"/>
    </w:pPr>
    <w:rPr>
      <w:rFonts w:hAnsi="Calibri" w:cs="Times New Roman"/>
      <w:snapToGrid/>
      <w:szCs w:val="20"/>
    </w:rPr>
  </w:style>
  <w:style w:type="paragraph" w:styleId="25">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5"/>
    <w:autoRedefine/>
    <w:qFormat/>
    <w:uiPriority w:val="99"/>
    <w:pPr>
      <w:tabs>
        <w:tab w:val="center" w:pos="4153"/>
        <w:tab w:val="right" w:pos="8306"/>
      </w:tabs>
      <w:snapToGrid w:val="0"/>
      <w:jc w:val="left"/>
    </w:pPr>
    <w:rPr>
      <w:sz w:val="18"/>
      <w:szCs w:val="18"/>
    </w:rPr>
  </w:style>
  <w:style w:type="paragraph" w:styleId="41">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autoRedefine/>
    <w:qFormat/>
    <w:uiPriority w:val="0"/>
    <w:rPr>
      <w:b/>
      <w:bCs/>
    </w:rPr>
  </w:style>
  <w:style w:type="paragraph" w:styleId="61">
    <w:name w:val="Body Text First Indent 2"/>
    <w:basedOn w:val="25"/>
    <w:next w:val="24"/>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0">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1">
    <w:name w:val="Default"/>
    <w:next w:val="82"/>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autoRedefine/>
    <w:qFormat/>
    <w:uiPriority w:val="0"/>
    <w:pPr>
      <w:adjustRightInd/>
      <w:ind w:firstLine="420" w:firstLineChars="200"/>
    </w:pPr>
    <w:rPr>
      <w:rFonts w:eastAsia="仿宋_GB2312"/>
      <w:sz w:val="2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rFonts w:ascii="Times New Roman" w:hAnsi="Times New Roman" w:eastAsia="宋体"/>
      <w:sz w:val="24"/>
      <w:szCs w:val="22"/>
      <w:lang w:val="en-US" w:eastAsia="zh-CN" w:bidi="ar-SA"/>
    </w:rPr>
  </w:style>
  <w:style w:type="paragraph" w:customStyle="1" w:styleId="143">
    <w:name w:val="无间隔1"/>
    <w:link w:val="142"/>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6"/>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0"/>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4"/>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1"/>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33"/>
    <w:next w:val="23"/>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
    <w:basedOn w:val="1"/>
    <w:autoRedefine/>
    <w:qFormat/>
    <w:uiPriority w:val="0"/>
    <w:pPr>
      <w:snapToGrid w:val="0"/>
      <w:spacing w:line="240" w:lineRule="auto"/>
      <w:jc w:val="center"/>
      <w:outlineLvl w:val="0"/>
    </w:pPr>
    <w:rPr>
      <w:rFonts w:hint="eastAsia" w:ascii="宋体" w:hAnsi="宋体" w:cs="宋体"/>
      <w:bCs/>
      <w:sz w:val="24"/>
    </w:rPr>
  </w:style>
  <w:style w:type="character" w:customStyle="1" w:styleId="968">
    <w:name w:val="NormalCharacter"/>
    <w:autoRedefine/>
    <w:qFormat/>
    <w:uiPriority w:val="0"/>
  </w:style>
  <w:style w:type="paragraph" w:customStyle="1" w:styleId="969">
    <w:name w:val="无间隔3"/>
    <w:basedOn w:val="1"/>
    <w:autoRedefine/>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29392</Words>
  <Characters>30955</Characters>
  <Lines>284</Lines>
  <Paragraphs>80</Paragraphs>
  <TotalTime>0</TotalTime>
  <ScaleCrop>false</ScaleCrop>
  <LinksUpToDate>false</LinksUpToDate>
  <CharactersWithSpaces>36849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Stacey郑</cp:lastModifiedBy>
  <cp:lastPrinted>2024-05-10T06:16:00Z</cp:lastPrinted>
  <dcterms:modified xsi:type="dcterms:W3CDTF">2024-05-16T12:24:30Z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76B1D42A5D584F7BBE6F776A3827DBAC</vt:lpwstr>
  </property>
</Properties>
</file>